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11C0F" w14:textId="0CC0E13C" w:rsidR="00A320E6" w:rsidRDefault="00A320E6" w:rsidP="00AE0286">
      <w:pPr>
        <w:rPr>
          <w:rFonts w:ascii="宋体" w:hAnsi="宋体" w:cs="宋体"/>
          <w:kern w:val="0"/>
          <w:sz w:val="18"/>
          <w:lang w:bidi="zh-CN"/>
        </w:rPr>
      </w:pPr>
    </w:p>
    <w:p w14:paraId="5E8D74DD" w14:textId="77777777" w:rsidR="00311363" w:rsidRPr="00311363" w:rsidRDefault="00311363" w:rsidP="00311363">
      <w:pPr>
        <w:pStyle w:val="2"/>
        <w:rPr>
          <w:lang w:bidi="zh-CN"/>
        </w:rPr>
      </w:pPr>
    </w:p>
    <w:p w14:paraId="073E5A6C" w14:textId="77777777" w:rsidR="00A320E6" w:rsidRDefault="00A320E6" w:rsidP="00AE0286">
      <w:pPr>
        <w:pStyle w:val="2"/>
      </w:pPr>
    </w:p>
    <w:p w14:paraId="7E1F9528" w14:textId="77777777" w:rsidR="00A320E6" w:rsidRDefault="00A320E6" w:rsidP="00AE0286">
      <w:pPr>
        <w:pStyle w:val="2"/>
      </w:pPr>
    </w:p>
    <w:p w14:paraId="1CAA1B04" w14:textId="77777777" w:rsidR="00A320E6" w:rsidRDefault="00000000" w:rsidP="00AE0286">
      <w:pPr>
        <w:pStyle w:val="a5"/>
        <w:ind w:left="0"/>
        <w:jc w:val="center"/>
        <w:rPr>
          <w:rFonts w:ascii="黑体" w:eastAsia="黑体" w:hAnsi="黑体"/>
          <w:sz w:val="72"/>
          <w:szCs w:val="72"/>
        </w:rPr>
      </w:pPr>
      <w:r>
        <w:rPr>
          <w:rFonts w:ascii="黑体" w:eastAsia="黑体" w:hAnsi="黑体" w:hint="eastAsia"/>
          <w:sz w:val="72"/>
          <w:szCs w:val="72"/>
        </w:rPr>
        <w:t>资产评估</w:t>
      </w:r>
    </w:p>
    <w:p w14:paraId="44DB291E" w14:textId="77777777" w:rsidR="00A320E6" w:rsidRDefault="00000000" w:rsidP="00AE0286">
      <w:pPr>
        <w:pStyle w:val="a5"/>
        <w:ind w:left="0"/>
        <w:jc w:val="center"/>
        <w:rPr>
          <w:rFonts w:ascii="黑体" w:eastAsia="黑体" w:hAnsi="黑体"/>
          <w:sz w:val="72"/>
          <w:szCs w:val="72"/>
        </w:rPr>
      </w:pPr>
      <w:r>
        <w:rPr>
          <w:rFonts w:ascii="黑体" w:eastAsia="黑体" w:hAnsi="黑体" w:hint="eastAsia"/>
          <w:sz w:val="72"/>
          <w:szCs w:val="72"/>
        </w:rPr>
        <w:t>相关法律法规汇编</w:t>
      </w:r>
    </w:p>
    <w:p w14:paraId="26C53460" w14:textId="77777777" w:rsidR="00A320E6" w:rsidRDefault="00000000" w:rsidP="0095000A">
      <w:pPr>
        <w:spacing w:line="281" w:lineRule="auto"/>
        <w:jc w:val="center"/>
        <w:rPr>
          <w:rFonts w:ascii="黑体" w:eastAsia="黑体" w:hAnsi="黑体"/>
          <w:b/>
          <w:bCs/>
          <w:sz w:val="72"/>
          <w:szCs w:val="72"/>
        </w:rPr>
      </w:pPr>
      <w:r>
        <w:rPr>
          <w:rFonts w:ascii="黑体" w:eastAsia="黑体" w:hAnsi="黑体"/>
          <w:b/>
          <w:bCs/>
          <w:sz w:val="72"/>
          <w:szCs w:val="72"/>
        </w:rPr>
        <w:t>2022</w:t>
      </w:r>
    </w:p>
    <w:p w14:paraId="7676FD7F" w14:textId="77777777" w:rsidR="00A320E6" w:rsidRDefault="00A320E6" w:rsidP="00AE0286">
      <w:pPr>
        <w:pStyle w:val="2"/>
      </w:pPr>
    </w:p>
    <w:p w14:paraId="4DE7DAEF" w14:textId="77777777" w:rsidR="00A320E6" w:rsidRPr="00C57439" w:rsidRDefault="00A320E6" w:rsidP="00AE0286">
      <w:pPr>
        <w:pStyle w:val="2"/>
      </w:pPr>
    </w:p>
    <w:p w14:paraId="52C6EEF2" w14:textId="77777777" w:rsidR="00A320E6" w:rsidRDefault="00A320E6" w:rsidP="00AE0286">
      <w:pPr>
        <w:pStyle w:val="2"/>
      </w:pPr>
    </w:p>
    <w:p w14:paraId="34C997E0" w14:textId="77777777" w:rsidR="00A320E6" w:rsidRDefault="00A320E6" w:rsidP="00AE0286">
      <w:pPr>
        <w:pStyle w:val="2"/>
      </w:pPr>
    </w:p>
    <w:p w14:paraId="34D43DAC" w14:textId="77777777" w:rsidR="00A320E6" w:rsidRDefault="00A320E6" w:rsidP="00AE0286">
      <w:pPr>
        <w:pStyle w:val="2"/>
      </w:pPr>
    </w:p>
    <w:p w14:paraId="4D4ECC65" w14:textId="77777777" w:rsidR="00A320E6" w:rsidRDefault="00A320E6" w:rsidP="00AE0286">
      <w:pPr>
        <w:pStyle w:val="2"/>
      </w:pPr>
    </w:p>
    <w:p w14:paraId="1C498E97" w14:textId="77777777" w:rsidR="00A320E6" w:rsidRDefault="00000000" w:rsidP="00AE0286">
      <w:pPr>
        <w:jc w:val="left"/>
        <w:rPr>
          <w:sz w:val="24"/>
          <w:szCs w:val="16"/>
        </w:rPr>
      </w:pPr>
      <w:r>
        <w:rPr>
          <w:sz w:val="24"/>
          <w:szCs w:val="16"/>
        </w:rPr>
        <w:br w:type="page"/>
      </w:r>
    </w:p>
    <w:p w14:paraId="4CF00202" w14:textId="77777777" w:rsidR="00A320E6" w:rsidRDefault="00000000" w:rsidP="00AE0286">
      <w:pPr>
        <w:spacing w:line="360" w:lineRule="auto"/>
        <w:jc w:val="center"/>
        <w:rPr>
          <w:rFonts w:ascii="黑体" w:eastAsia="黑体" w:hAnsi="黑体" w:cs="Times New Roman"/>
          <w:sz w:val="44"/>
          <w:szCs w:val="44"/>
        </w:rPr>
      </w:pPr>
      <w:r>
        <w:rPr>
          <w:rFonts w:ascii="黑体" w:eastAsia="黑体" w:hAnsi="黑体" w:cs="Times New Roman" w:hint="eastAsia"/>
          <w:sz w:val="44"/>
          <w:szCs w:val="44"/>
        </w:rPr>
        <w:lastRenderedPageBreak/>
        <w:t>前</w:t>
      </w:r>
      <w:r>
        <w:rPr>
          <w:rFonts w:ascii="黑体" w:eastAsia="黑体" w:hAnsi="黑体" w:cs="Times New Roman"/>
          <w:sz w:val="44"/>
          <w:szCs w:val="44"/>
        </w:rPr>
        <w:t xml:space="preserve">  </w:t>
      </w:r>
      <w:r>
        <w:rPr>
          <w:rFonts w:ascii="黑体" w:eastAsia="黑体" w:hAnsi="黑体" w:cs="Times New Roman" w:hint="eastAsia"/>
          <w:sz w:val="44"/>
          <w:szCs w:val="44"/>
        </w:rPr>
        <w:t>言</w:t>
      </w:r>
    </w:p>
    <w:p w14:paraId="2E89E7AF" w14:textId="77777777" w:rsidR="00A320E6" w:rsidRDefault="00000000" w:rsidP="00AE0286">
      <w:pPr>
        <w:spacing w:line="360"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资产评估是市场经济不可或缺的专业服务行业，是现代专业服务行业的重要组成部分，是我国经济体制改革逐步深化的重要专业支撑力量。资产评估相关法律法规主要依据国务院、财政部、证监会、国务院国有资产监督管理委员会、中国资产评估协会等部门针对资产评估行业需求制定、颁布的法律、通知及部分规章制度</w:t>
      </w:r>
      <w:r>
        <w:rPr>
          <w:rFonts w:ascii="仿宋" w:eastAsia="仿宋" w:hAnsi="仿宋" w:cs="Times New Roman"/>
          <w:sz w:val="30"/>
          <w:szCs w:val="30"/>
        </w:rPr>
        <w:t>，</w:t>
      </w:r>
      <w:r>
        <w:rPr>
          <w:rFonts w:ascii="仿宋" w:eastAsia="仿宋" w:hAnsi="仿宋" w:cs="Times New Roman" w:hint="eastAsia"/>
          <w:sz w:val="30"/>
          <w:szCs w:val="30"/>
        </w:rPr>
        <w:t>对于促进行业长远稳定发展、维护社会经济秩序有十分重要且深远的意义。</w:t>
      </w:r>
    </w:p>
    <w:p w14:paraId="7B8A000F" w14:textId="77777777" w:rsidR="00A320E6" w:rsidRDefault="00000000" w:rsidP="00AE0286">
      <w:pPr>
        <w:spacing w:line="360"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本书全面梳理</w:t>
      </w:r>
      <w:r>
        <w:rPr>
          <w:rFonts w:ascii="仿宋" w:eastAsia="仿宋" w:hAnsi="仿宋" w:cs="Times New Roman" w:hint="eastAsia"/>
          <w:sz w:val="30"/>
          <w:szCs w:val="30"/>
          <w:lang w:eastAsia="zh-Hans"/>
        </w:rPr>
        <w:t>截至</w:t>
      </w:r>
      <w:r>
        <w:rPr>
          <w:rFonts w:ascii="仿宋" w:eastAsia="仿宋" w:hAnsi="仿宋" w:cs="Times New Roman"/>
          <w:sz w:val="30"/>
          <w:szCs w:val="30"/>
          <w:lang w:eastAsia="zh-Hans"/>
        </w:rPr>
        <w:t>2022</w:t>
      </w:r>
      <w:r>
        <w:rPr>
          <w:rFonts w:ascii="仿宋" w:eastAsia="仿宋" w:hAnsi="仿宋" w:cs="Times New Roman" w:hint="eastAsia"/>
          <w:sz w:val="30"/>
          <w:szCs w:val="30"/>
          <w:lang w:eastAsia="zh-Hans"/>
        </w:rPr>
        <w:t>年</w:t>
      </w:r>
      <w:r>
        <w:rPr>
          <w:rFonts w:ascii="仿宋" w:eastAsia="仿宋" w:hAnsi="仿宋" w:cs="Times New Roman"/>
          <w:sz w:val="30"/>
          <w:szCs w:val="30"/>
          <w:lang w:eastAsia="zh-Hans"/>
        </w:rPr>
        <w:t>7</w:t>
      </w:r>
      <w:r>
        <w:rPr>
          <w:rFonts w:ascii="仿宋" w:eastAsia="仿宋" w:hAnsi="仿宋" w:cs="Times New Roman" w:hint="eastAsia"/>
          <w:sz w:val="30"/>
          <w:szCs w:val="30"/>
          <w:lang w:eastAsia="zh-Hans"/>
        </w:rPr>
        <w:t>月</w:t>
      </w:r>
      <w:r>
        <w:rPr>
          <w:rFonts w:ascii="仿宋" w:eastAsia="仿宋" w:hAnsi="仿宋" w:cs="Times New Roman" w:hint="eastAsia"/>
          <w:sz w:val="30"/>
          <w:szCs w:val="30"/>
        </w:rPr>
        <w:t>与资产评估相关的法律法规，力求</w:t>
      </w:r>
      <w:r>
        <w:rPr>
          <w:rFonts w:ascii="仿宋" w:eastAsia="仿宋" w:hAnsi="仿宋" w:cs="Times New Roman" w:hint="eastAsia"/>
          <w:sz w:val="30"/>
          <w:szCs w:val="30"/>
          <w:lang w:eastAsia="zh-Hans"/>
        </w:rPr>
        <w:t>促进执业规范化</w:t>
      </w:r>
      <w:r>
        <w:rPr>
          <w:rFonts w:ascii="仿宋" w:eastAsia="仿宋" w:hAnsi="仿宋" w:cs="Times New Roman"/>
          <w:sz w:val="30"/>
          <w:szCs w:val="30"/>
          <w:lang w:eastAsia="zh-Hans"/>
        </w:rPr>
        <w:t>，</w:t>
      </w:r>
      <w:r>
        <w:rPr>
          <w:rFonts w:ascii="仿宋" w:eastAsia="仿宋" w:hAnsi="仿宋" w:cs="Times New Roman" w:hint="eastAsia"/>
          <w:sz w:val="30"/>
          <w:szCs w:val="30"/>
          <w:lang w:eastAsia="zh-Hans"/>
        </w:rPr>
        <w:t>提高</w:t>
      </w:r>
      <w:r>
        <w:rPr>
          <w:rFonts w:ascii="仿宋" w:eastAsia="仿宋" w:hAnsi="仿宋" w:cs="Times New Roman" w:hint="eastAsia"/>
          <w:sz w:val="30"/>
          <w:szCs w:val="30"/>
        </w:rPr>
        <w:t>执业</w:t>
      </w:r>
      <w:r>
        <w:rPr>
          <w:rFonts w:ascii="仿宋" w:eastAsia="仿宋" w:hAnsi="仿宋" w:cs="Times New Roman" w:hint="eastAsia"/>
          <w:sz w:val="30"/>
          <w:szCs w:val="30"/>
          <w:lang w:eastAsia="zh-Hans"/>
        </w:rPr>
        <w:t>质量</w:t>
      </w:r>
      <w:r>
        <w:rPr>
          <w:rFonts w:ascii="仿宋" w:eastAsia="仿宋" w:hAnsi="仿宋" w:cs="Times New Roman" w:hint="eastAsia"/>
          <w:sz w:val="30"/>
          <w:szCs w:val="30"/>
        </w:rPr>
        <w:t>，实现服务对象与评估业务的多元化发展。后期将</w:t>
      </w:r>
      <w:r>
        <w:rPr>
          <w:rFonts w:ascii="仿宋" w:eastAsia="仿宋" w:hAnsi="仿宋" w:cs="Times New Roman" w:hint="eastAsia"/>
          <w:sz w:val="30"/>
          <w:szCs w:val="30"/>
          <w:lang w:eastAsia="zh-Hans"/>
        </w:rPr>
        <w:t>继续</w:t>
      </w:r>
      <w:r>
        <w:rPr>
          <w:rFonts w:ascii="仿宋" w:eastAsia="仿宋" w:hAnsi="仿宋" w:cs="Times New Roman" w:hint="eastAsia"/>
          <w:sz w:val="30"/>
          <w:szCs w:val="30"/>
        </w:rPr>
        <w:t>根据法律法规和评估理论的变化及时进行完善。</w:t>
      </w:r>
    </w:p>
    <w:p w14:paraId="78313755" w14:textId="5F0FF9CC" w:rsidR="00A320E6" w:rsidRDefault="0095000A" w:rsidP="00AE0286">
      <w:pPr>
        <w:ind w:firstLineChars="200" w:firstLine="600"/>
        <w:rPr>
          <w:rFonts w:ascii="仿宋" w:eastAsia="仿宋" w:hAnsi="仿宋" w:cs="Times New Roman"/>
          <w:sz w:val="30"/>
          <w:szCs w:val="30"/>
        </w:rPr>
      </w:pPr>
      <w:r w:rsidRPr="0095000A">
        <w:rPr>
          <w:rFonts w:ascii="仿宋" w:eastAsia="仿宋" w:hAnsi="仿宋" w:cs="Times New Roman" w:hint="eastAsia"/>
          <w:sz w:val="30"/>
          <w:szCs w:val="30"/>
        </w:rPr>
        <w:t>本书是由山东省资产评估协会</w:t>
      </w:r>
      <w:r>
        <w:rPr>
          <w:rFonts w:ascii="仿宋" w:eastAsia="仿宋" w:hAnsi="仿宋" w:cs="Times New Roman" w:hint="eastAsia"/>
          <w:sz w:val="30"/>
          <w:szCs w:val="30"/>
        </w:rPr>
        <w:t>组织</w:t>
      </w:r>
      <w:r w:rsidRPr="0095000A">
        <w:rPr>
          <w:rFonts w:ascii="仿宋" w:eastAsia="仿宋" w:hAnsi="仿宋" w:cs="Times New Roman" w:hint="eastAsia"/>
          <w:sz w:val="30"/>
          <w:szCs w:val="30"/>
        </w:rPr>
        <w:t>，山东中新土地房地产资产评估有限公司汇编而成。涉及资料来源于公开网络，仅供内部使用，严禁用于商业用途。</w:t>
      </w:r>
    </w:p>
    <w:p w14:paraId="1324A9B3" w14:textId="1ACD5E68" w:rsidR="00A320E6" w:rsidRDefault="00A320E6" w:rsidP="00AE0286">
      <w:pPr>
        <w:pStyle w:val="2"/>
      </w:pPr>
    </w:p>
    <w:p w14:paraId="008EE836" w14:textId="77777777" w:rsidR="00A320E6" w:rsidRDefault="00000000" w:rsidP="00AE0286">
      <w:pPr>
        <w:ind w:firstLineChars="200" w:firstLine="600"/>
        <w:jc w:val="right"/>
        <w:rPr>
          <w:rFonts w:ascii="仿宋" w:eastAsia="仿宋" w:hAnsi="仿宋" w:cs="Times New Roman"/>
          <w:sz w:val="30"/>
          <w:szCs w:val="30"/>
        </w:rPr>
      </w:pPr>
      <w:r>
        <w:rPr>
          <w:rFonts w:ascii="仿宋" w:eastAsia="仿宋" w:hAnsi="仿宋" w:cs="Times New Roman"/>
          <w:sz w:val="30"/>
          <w:szCs w:val="30"/>
        </w:rPr>
        <w:t>2022</w:t>
      </w:r>
      <w:r>
        <w:rPr>
          <w:rFonts w:ascii="仿宋" w:eastAsia="仿宋" w:hAnsi="仿宋" w:cs="Times New Roman" w:hint="eastAsia"/>
          <w:sz w:val="30"/>
          <w:szCs w:val="30"/>
        </w:rPr>
        <w:t>年7月1日</w:t>
      </w:r>
    </w:p>
    <w:p w14:paraId="056F0B3B" w14:textId="77777777" w:rsidR="00A320E6" w:rsidRDefault="00A320E6" w:rsidP="00AE0286">
      <w:pPr>
        <w:pStyle w:val="2"/>
      </w:pPr>
    </w:p>
    <w:p w14:paraId="100E7EF9" w14:textId="77777777" w:rsidR="00A320E6" w:rsidRDefault="00A320E6" w:rsidP="00AE0286">
      <w:pPr>
        <w:pStyle w:val="2"/>
        <w:sectPr w:rsidR="00A320E6">
          <w:headerReference w:type="even" r:id="rId8"/>
          <w:headerReference w:type="default" r:id="rId9"/>
          <w:footerReference w:type="even" r:id="rId10"/>
          <w:headerReference w:type="first" r:id="rId11"/>
          <w:pgSz w:w="11906" w:h="16838"/>
          <w:pgMar w:top="1440" w:right="1800" w:bottom="1440" w:left="1800" w:header="851" w:footer="992" w:gutter="0"/>
          <w:cols w:space="425"/>
          <w:docGrid w:type="lines" w:linePitch="312"/>
        </w:sectPr>
      </w:pPr>
    </w:p>
    <w:sdt>
      <w:sdtPr>
        <w:rPr>
          <w:rFonts w:asciiTheme="minorHAnsi" w:hAnsiTheme="minorHAnsi" w:cstheme="minorBidi"/>
          <w:szCs w:val="22"/>
          <w:lang w:val="zh-CN"/>
        </w:rPr>
        <w:id w:val="1563448124"/>
      </w:sdtPr>
      <w:sdtContent>
        <w:p w14:paraId="1729DFB3" w14:textId="77777777" w:rsidR="00A320E6" w:rsidRDefault="00000000" w:rsidP="00AE0286">
          <w:pPr>
            <w:pStyle w:val="TOC1"/>
            <w:tabs>
              <w:tab w:val="right" w:leader="dot" w:pos="8306"/>
            </w:tabs>
            <w:jc w:val="center"/>
            <w:rPr>
              <w:sz w:val="44"/>
              <w:szCs w:val="44"/>
            </w:rPr>
          </w:pPr>
          <w:r>
            <w:rPr>
              <w:sz w:val="44"/>
              <w:szCs w:val="44"/>
              <w:lang w:val="zh-CN"/>
            </w:rPr>
            <w:t>目</w:t>
          </w:r>
          <w:r>
            <w:rPr>
              <w:sz w:val="44"/>
              <w:szCs w:val="44"/>
            </w:rPr>
            <w:t xml:space="preserve">  </w:t>
          </w:r>
          <w:r>
            <w:rPr>
              <w:sz w:val="44"/>
              <w:szCs w:val="44"/>
              <w:lang w:val="zh-CN"/>
            </w:rPr>
            <w:t>录</w:t>
          </w:r>
        </w:p>
        <w:p w14:paraId="3B18AD83" w14:textId="754E091B" w:rsidR="002A1705" w:rsidRPr="002A1705" w:rsidRDefault="00000000" w:rsidP="002A1705">
          <w:pPr>
            <w:pStyle w:val="TOC1"/>
            <w:tabs>
              <w:tab w:val="right" w:leader="dot" w:pos="8720"/>
            </w:tabs>
            <w:spacing w:line="312" w:lineRule="auto"/>
            <w:rPr>
              <w:rFonts w:ascii="宋体" w:hAnsi="宋体" w:cstheme="minorBidi"/>
              <w:b/>
              <w:bCs/>
              <w:noProof/>
              <w:sz w:val="28"/>
              <w:szCs w:val="28"/>
            </w:rPr>
          </w:pPr>
          <w:r w:rsidRPr="002A1705">
            <w:rPr>
              <w:rFonts w:ascii="宋体" w:hAnsi="宋体"/>
            </w:rPr>
            <w:fldChar w:fldCharType="begin"/>
          </w:r>
          <w:r w:rsidRPr="002A1705">
            <w:rPr>
              <w:rFonts w:ascii="宋体" w:hAnsi="宋体"/>
            </w:rPr>
            <w:instrText xml:space="preserve"> TOC \o "1-3" \h \z \u </w:instrText>
          </w:r>
          <w:r w:rsidRPr="002A1705">
            <w:rPr>
              <w:rFonts w:ascii="宋体" w:hAnsi="宋体"/>
            </w:rPr>
            <w:fldChar w:fldCharType="separate"/>
          </w:r>
          <w:hyperlink w:anchor="_Toc112227340" w:history="1">
            <w:r w:rsidR="002A1705" w:rsidRPr="002A1705">
              <w:rPr>
                <w:rStyle w:val="ac"/>
                <w:rFonts w:ascii="宋体" w:hAnsi="宋体" w:cs="黑体"/>
                <w:b/>
                <w:bCs/>
                <w:noProof/>
                <w:kern w:val="0"/>
                <w:sz w:val="28"/>
                <w:szCs w:val="28"/>
                <w:lang w:bidi="ar"/>
              </w:rPr>
              <w:t>一、资产评估业务相关法律法规</w:t>
            </w:r>
            <w:r w:rsidR="002A1705" w:rsidRPr="002A1705">
              <w:rPr>
                <w:rFonts w:ascii="宋体" w:hAnsi="宋体"/>
                <w:b/>
                <w:bCs/>
                <w:noProof/>
                <w:webHidden/>
                <w:sz w:val="28"/>
                <w:szCs w:val="28"/>
              </w:rPr>
              <w:tab/>
            </w:r>
            <w:r w:rsidR="002A1705" w:rsidRPr="002A1705">
              <w:rPr>
                <w:rFonts w:ascii="宋体" w:hAnsi="宋体"/>
                <w:b/>
                <w:bCs/>
                <w:noProof/>
                <w:webHidden/>
                <w:sz w:val="28"/>
                <w:szCs w:val="28"/>
              </w:rPr>
              <w:fldChar w:fldCharType="begin"/>
            </w:r>
            <w:r w:rsidR="002A1705" w:rsidRPr="002A1705">
              <w:rPr>
                <w:rFonts w:ascii="宋体" w:hAnsi="宋体"/>
                <w:b/>
                <w:bCs/>
                <w:noProof/>
                <w:webHidden/>
                <w:sz w:val="28"/>
                <w:szCs w:val="28"/>
              </w:rPr>
              <w:instrText xml:space="preserve"> PAGEREF _Toc112227340 \h </w:instrText>
            </w:r>
            <w:r w:rsidR="002A1705" w:rsidRPr="002A1705">
              <w:rPr>
                <w:rFonts w:ascii="宋体" w:hAnsi="宋体"/>
                <w:b/>
                <w:bCs/>
                <w:noProof/>
                <w:webHidden/>
                <w:sz w:val="28"/>
                <w:szCs w:val="28"/>
              </w:rPr>
            </w:r>
            <w:r w:rsidR="002A1705" w:rsidRPr="002A1705">
              <w:rPr>
                <w:rFonts w:ascii="宋体" w:hAnsi="宋体"/>
                <w:b/>
                <w:bCs/>
                <w:noProof/>
                <w:webHidden/>
                <w:sz w:val="28"/>
                <w:szCs w:val="28"/>
              </w:rPr>
              <w:fldChar w:fldCharType="separate"/>
            </w:r>
            <w:r w:rsidR="002A1705" w:rsidRPr="002A1705">
              <w:rPr>
                <w:rFonts w:ascii="宋体" w:hAnsi="宋体"/>
                <w:b/>
                <w:bCs/>
                <w:noProof/>
                <w:webHidden/>
                <w:sz w:val="28"/>
                <w:szCs w:val="28"/>
              </w:rPr>
              <w:t>1</w:t>
            </w:r>
            <w:r w:rsidR="002A1705" w:rsidRPr="002A1705">
              <w:rPr>
                <w:rFonts w:ascii="宋体" w:hAnsi="宋体"/>
                <w:b/>
                <w:bCs/>
                <w:noProof/>
                <w:webHidden/>
                <w:sz w:val="28"/>
                <w:szCs w:val="28"/>
              </w:rPr>
              <w:fldChar w:fldCharType="end"/>
            </w:r>
          </w:hyperlink>
        </w:p>
        <w:p w14:paraId="3CC53C87" w14:textId="6DC7F80C" w:rsidR="002A1705" w:rsidRPr="002A1705" w:rsidRDefault="00000000" w:rsidP="002A1705">
          <w:pPr>
            <w:pStyle w:val="TOC3"/>
            <w:tabs>
              <w:tab w:val="right" w:leader="dot" w:pos="8720"/>
            </w:tabs>
            <w:spacing w:line="312" w:lineRule="auto"/>
            <w:rPr>
              <w:rFonts w:ascii="宋体" w:hAnsi="宋体" w:cstheme="minorBidi"/>
              <w:noProof/>
              <w:sz w:val="22"/>
            </w:rPr>
          </w:pPr>
          <w:hyperlink w:anchor="_Toc112227341" w:history="1">
            <w:r w:rsidR="002A1705" w:rsidRPr="002A1705">
              <w:rPr>
                <w:rStyle w:val="ac"/>
                <w:rFonts w:ascii="宋体" w:hAnsi="宋体" w:cs="宋体"/>
                <w:noProof/>
                <w:kern w:val="0"/>
                <w:sz w:val="22"/>
                <w:lang w:bidi="ar"/>
              </w:rPr>
              <w:t>行政事业性国有资产管理条例（国务院令第738号）</w:t>
            </w:r>
            <w:r w:rsidR="002A1705" w:rsidRPr="002A1705">
              <w:rPr>
                <w:rFonts w:ascii="宋体" w:hAnsi="宋体"/>
                <w:noProof/>
                <w:webHidden/>
                <w:sz w:val="22"/>
              </w:rPr>
              <w:tab/>
            </w:r>
            <w:r w:rsidR="002A1705" w:rsidRPr="002A1705">
              <w:rPr>
                <w:rFonts w:ascii="宋体" w:hAnsi="宋体"/>
                <w:noProof/>
                <w:webHidden/>
                <w:sz w:val="22"/>
              </w:rPr>
              <w:fldChar w:fldCharType="begin"/>
            </w:r>
            <w:r w:rsidR="002A1705" w:rsidRPr="002A1705">
              <w:rPr>
                <w:rFonts w:ascii="宋体" w:hAnsi="宋体"/>
                <w:noProof/>
                <w:webHidden/>
                <w:sz w:val="22"/>
              </w:rPr>
              <w:instrText xml:space="preserve"> PAGEREF _Toc112227341 \h </w:instrText>
            </w:r>
            <w:r w:rsidR="002A1705" w:rsidRPr="002A1705">
              <w:rPr>
                <w:rFonts w:ascii="宋体" w:hAnsi="宋体"/>
                <w:noProof/>
                <w:webHidden/>
                <w:sz w:val="22"/>
              </w:rPr>
            </w:r>
            <w:r w:rsidR="002A1705" w:rsidRPr="002A1705">
              <w:rPr>
                <w:rFonts w:ascii="宋体" w:hAnsi="宋体"/>
                <w:noProof/>
                <w:webHidden/>
                <w:sz w:val="22"/>
              </w:rPr>
              <w:fldChar w:fldCharType="separate"/>
            </w:r>
            <w:r w:rsidR="002A1705" w:rsidRPr="002A1705">
              <w:rPr>
                <w:rFonts w:ascii="宋体" w:hAnsi="宋体"/>
                <w:noProof/>
                <w:webHidden/>
                <w:sz w:val="22"/>
              </w:rPr>
              <w:t>1</w:t>
            </w:r>
            <w:r w:rsidR="002A1705" w:rsidRPr="002A1705">
              <w:rPr>
                <w:rFonts w:ascii="宋体" w:hAnsi="宋体"/>
                <w:noProof/>
                <w:webHidden/>
                <w:sz w:val="22"/>
              </w:rPr>
              <w:fldChar w:fldCharType="end"/>
            </w:r>
          </w:hyperlink>
        </w:p>
        <w:p w14:paraId="75AFDAE3" w14:textId="796E68C7" w:rsidR="002A1705" w:rsidRPr="002A1705" w:rsidRDefault="00000000" w:rsidP="002A1705">
          <w:pPr>
            <w:pStyle w:val="TOC3"/>
            <w:tabs>
              <w:tab w:val="right" w:leader="dot" w:pos="8720"/>
            </w:tabs>
            <w:spacing w:line="312" w:lineRule="auto"/>
            <w:rPr>
              <w:rFonts w:ascii="宋体" w:hAnsi="宋体" w:cstheme="minorBidi"/>
              <w:noProof/>
              <w:sz w:val="22"/>
            </w:rPr>
          </w:pPr>
          <w:hyperlink w:anchor="_Toc112227342" w:history="1">
            <w:r w:rsidR="002A1705" w:rsidRPr="002A1705">
              <w:rPr>
                <w:rStyle w:val="ac"/>
                <w:rFonts w:ascii="宋体" w:hAnsi="宋体" w:cs="宋体"/>
                <w:noProof/>
                <w:kern w:val="0"/>
                <w:sz w:val="22"/>
                <w:lang w:bidi="ar"/>
              </w:rPr>
              <w:t>最高人民法院关于人民法院民事执行中拍卖、变卖财产的规定</w:t>
            </w:r>
            <w:r w:rsidR="002A1705" w:rsidRPr="002A1705">
              <w:rPr>
                <w:rFonts w:ascii="宋体" w:hAnsi="宋体"/>
                <w:noProof/>
                <w:webHidden/>
                <w:sz w:val="22"/>
              </w:rPr>
              <w:tab/>
            </w:r>
            <w:r w:rsidR="002A1705" w:rsidRPr="002A1705">
              <w:rPr>
                <w:rFonts w:ascii="宋体" w:hAnsi="宋体"/>
                <w:noProof/>
                <w:webHidden/>
                <w:sz w:val="22"/>
              </w:rPr>
              <w:fldChar w:fldCharType="begin"/>
            </w:r>
            <w:r w:rsidR="002A1705" w:rsidRPr="002A1705">
              <w:rPr>
                <w:rFonts w:ascii="宋体" w:hAnsi="宋体"/>
                <w:noProof/>
                <w:webHidden/>
                <w:sz w:val="22"/>
              </w:rPr>
              <w:instrText xml:space="preserve"> PAGEREF _Toc112227342 \h </w:instrText>
            </w:r>
            <w:r w:rsidR="002A1705" w:rsidRPr="002A1705">
              <w:rPr>
                <w:rFonts w:ascii="宋体" w:hAnsi="宋体"/>
                <w:noProof/>
                <w:webHidden/>
                <w:sz w:val="22"/>
              </w:rPr>
            </w:r>
            <w:r w:rsidR="002A1705" w:rsidRPr="002A1705">
              <w:rPr>
                <w:rFonts w:ascii="宋体" w:hAnsi="宋体"/>
                <w:noProof/>
                <w:webHidden/>
                <w:sz w:val="22"/>
              </w:rPr>
              <w:fldChar w:fldCharType="separate"/>
            </w:r>
            <w:r w:rsidR="002A1705" w:rsidRPr="002A1705">
              <w:rPr>
                <w:rFonts w:ascii="宋体" w:hAnsi="宋体"/>
                <w:noProof/>
                <w:webHidden/>
                <w:sz w:val="22"/>
              </w:rPr>
              <w:t>8</w:t>
            </w:r>
            <w:r w:rsidR="002A1705" w:rsidRPr="002A1705">
              <w:rPr>
                <w:rFonts w:ascii="宋体" w:hAnsi="宋体"/>
                <w:noProof/>
                <w:webHidden/>
                <w:sz w:val="22"/>
              </w:rPr>
              <w:fldChar w:fldCharType="end"/>
            </w:r>
          </w:hyperlink>
        </w:p>
        <w:p w14:paraId="766D1A1E" w14:textId="317B9F4C" w:rsidR="002A1705" w:rsidRPr="002A1705" w:rsidRDefault="00000000" w:rsidP="002A1705">
          <w:pPr>
            <w:pStyle w:val="TOC3"/>
            <w:tabs>
              <w:tab w:val="right" w:leader="dot" w:pos="8720"/>
            </w:tabs>
            <w:spacing w:line="312" w:lineRule="auto"/>
            <w:rPr>
              <w:rFonts w:ascii="宋体" w:hAnsi="宋体" w:cstheme="minorBidi"/>
              <w:noProof/>
            </w:rPr>
          </w:pPr>
          <w:hyperlink w:anchor="_Toc112227343" w:history="1">
            <w:r w:rsidR="002A1705" w:rsidRPr="002A1705">
              <w:rPr>
                <w:rStyle w:val="ac"/>
                <w:rFonts w:ascii="宋体" w:hAnsi="宋体" w:cs="宋体"/>
                <w:noProof/>
                <w:kern w:val="0"/>
                <w:sz w:val="22"/>
                <w:lang w:bidi="ar"/>
              </w:rPr>
              <w:t>关于破产企业国有划拨土地使用权应否列入破产财产等问题的批复</w:t>
            </w:r>
            <w:r w:rsidR="002A1705" w:rsidRPr="002A1705">
              <w:rPr>
                <w:rFonts w:ascii="宋体" w:hAnsi="宋体"/>
                <w:noProof/>
                <w:webHidden/>
                <w:sz w:val="22"/>
              </w:rPr>
              <w:tab/>
            </w:r>
            <w:r w:rsidR="002A1705" w:rsidRPr="002A1705">
              <w:rPr>
                <w:rFonts w:ascii="宋体" w:hAnsi="宋体"/>
                <w:noProof/>
                <w:webHidden/>
                <w:sz w:val="22"/>
              </w:rPr>
              <w:fldChar w:fldCharType="begin"/>
            </w:r>
            <w:r w:rsidR="002A1705" w:rsidRPr="002A1705">
              <w:rPr>
                <w:rFonts w:ascii="宋体" w:hAnsi="宋体"/>
                <w:noProof/>
                <w:webHidden/>
                <w:sz w:val="22"/>
              </w:rPr>
              <w:instrText xml:space="preserve"> PAGEREF _Toc112227343 \h </w:instrText>
            </w:r>
            <w:r w:rsidR="002A1705" w:rsidRPr="002A1705">
              <w:rPr>
                <w:rFonts w:ascii="宋体" w:hAnsi="宋体"/>
                <w:noProof/>
                <w:webHidden/>
                <w:sz w:val="22"/>
              </w:rPr>
            </w:r>
            <w:r w:rsidR="002A1705" w:rsidRPr="002A1705">
              <w:rPr>
                <w:rFonts w:ascii="宋体" w:hAnsi="宋体"/>
                <w:noProof/>
                <w:webHidden/>
                <w:sz w:val="22"/>
              </w:rPr>
              <w:fldChar w:fldCharType="separate"/>
            </w:r>
            <w:r w:rsidR="002A1705" w:rsidRPr="002A1705">
              <w:rPr>
                <w:rFonts w:ascii="宋体" w:hAnsi="宋体"/>
                <w:noProof/>
                <w:webHidden/>
                <w:sz w:val="22"/>
              </w:rPr>
              <w:t>13</w:t>
            </w:r>
            <w:r w:rsidR="002A1705" w:rsidRPr="002A1705">
              <w:rPr>
                <w:rFonts w:ascii="宋体" w:hAnsi="宋体"/>
                <w:noProof/>
                <w:webHidden/>
                <w:sz w:val="22"/>
              </w:rPr>
              <w:fldChar w:fldCharType="end"/>
            </w:r>
          </w:hyperlink>
        </w:p>
        <w:p w14:paraId="528FE137" w14:textId="4DC037AF" w:rsidR="002A1705" w:rsidRPr="002A1705" w:rsidRDefault="00000000" w:rsidP="002A1705">
          <w:pPr>
            <w:pStyle w:val="TOC1"/>
            <w:tabs>
              <w:tab w:val="right" w:leader="dot" w:pos="8720"/>
            </w:tabs>
            <w:spacing w:line="312" w:lineRule="auto"/>
            <w:rPr>
              <w:rStyle w:val="ac"/>
              <w:rFonts w:cs="黑体"/>
              <w:b/>
              <w:bCs/>
              <w:kern w:val="0"/>
              <w:sz w:val="28"/>
              <w:szCs w:val="28"/>
              <w:lang w:bidi="ar"/>
            </w:rPr>
          </w:pPr>
          <w:hyperlink w:anchor="_Toc112227344" w:history="1">
            <w:r w:rsidR="002A1705" w:rsidRPr="002A1705">
              <w:rPr>
                <w:rStyle w:val="ac"/>
                <w:rFonts w:ascii="宋体" w:hAnsi="宋体" w:cs="黑体"/>
                <w:b/>
                <w:bCs/>
                <w:noProof/>
                <w:kern w:val="0"/>
                <w:sz w:val="28"/>
                <w:szCs w:val="28"/>
                <w:lang w:bidi="ar"/>
              </w:rPr>
              <w:t>二、资产评估执业规范类</w:t>
            </w:r>
            <w:r w:rsidR="002A1705" w:rsidRPr="002A1705">
              <w:rPr>
                <w:rStyle w:val="ac"/>
                <w:rFonts w:cs="黑体"/>
                <w:b/>
                <w:bCs/>
                <w:webHidden/>
                <w:kern w:val="0"/>
                <w:sz w:val="28"/>
                <w:szCs w:val="28"/>
                <w:lang w:bidi="ar"/>
              </w:rPr>
              <w:tab/>
            </w:r>
            <w:r w:rsidR="002A1705" w:rsidRPr="002A1705">
              <w:rPr>
                <w:rStyle w:val="ac"/>
                <w:rFonts w:cs="黑体"/>
                <w:b/>
                <w:bCs/>
                <w:webHidden/>
                <w:kern w:val="0"/>
                <w:sz w:val="28"/>
                <w:szCs w:val="28"/>
                <w:lang w:bidi="ar"/>
              </w:rPr>
              <w:fldChar w:fldCharType="begin"/>
            </w:r>
            <w:r w:rsidR="002A1705" w:rsidRPr="002A1705">
              <w:rPr>
                <w:rStyle w:val="ac"/>
                <w:rFonts w:cs="黑体"/>
                <w:b/>
                <w:bCs/>
                <w:webHidden/>
                <w:kern w:val="0"/>
                <w:sz w:val="28"/>
                <w:szCs w:val="28"/>
                <w:lang w:bidi="ar"/>
              </w:rPr>
              <w:instrText xml:space="preserve"> PAGEREF _Toc112227344 \h </w:instrText>
            </w:r>
            <w:r w:rsidR="002A1705" w:rsidRPr="002A1705">
              <w:rPr>
                <w:rStyle w:val="ac"/>
                <w:rFonts w:cs="黑体"/>
                <w:b/>
                <w:bCs/>
                <w:webHidden/>
                <w:kern w:val="0"/>
                <w:sz w:val="28"/>
                <w:szCs w:val="28"/>
                <w:lang w:bidi="ar"/>
              </w:rPr>
            </w:r>
            <w:r w:rsidR="002A1705" w:rsidRPr="002A1705">
              <w:rPr>
                <w:rStyle w:val="ac"/>
                <w:rFonts w:cs="黑体"/>
                <w:b/>
                <w:bCs/>
                <w:webHidden/>
                <w:kern w:val="0"/>
                <w:sz w:val="28"/>
                <w:szCs w:val="28"/>
                <w:lang w:bidi="ar"/>
              </w:rPr>
              <w:fldChar w:fldCharType="separate"/>
            </w:r>
            <w:r w:rsidR="002A1705" w:rsidRPr="002A1705">
              <w:rPr>
                <w:rStyle w:val="ac"/>
                <w:rFonts w:cs="黑体"/>
                <w:b/>
                <w:bCs/>
                <w:webHidden/>
                <w:kern w:val="0"/>
                <w:sz w:val="28"/>
                <w:szCs w:val="28"/>
                <w:lang w:bidi="ar"/>
              </w:rPr>
              <w:t>15</w:t>
            </w:r>
            <w:r w:rsidR="002A1705" w:rsidRPr="002A1705">
              <w:rPr>
                <w:rStyle w:val="ac"/>
                <w:rFonts w:cs="黑体"/>
                <w:b/>
                <w:bCs/>
                <w:webHidden/>
                <w:kern w:val="0"/>
                <w:sz w:val="28"/>
                <w:szCs w:val="28"/>
                <w:lang w:bidi="ar"/>
              </w:rPr>
              <w:fldChar w:fldCharType="end"/>
            </w:r>
          </w:hyperlink>
        </w:p>
        <w:p w14:paraId="74BFDF9B" w14:textId="021EF649" w:rsidR="002A1705" w:rsidRPr="002A1705" w:rsidRDefault="00000000" w:rsidP="002A1705">
          <w:pPr>
            <w:pStyle w:val="TOC2"/>
            <w:tabs>
              <w:tab w:val="right" w:leader="dot" w:pos="8720"/>
            </w:tabs>
            <w:spacing w:line="312" w:lineRule="auto"/>
            <w:rPr>
              <w:rFonts w:ascii="宋体" w:hAnsi="宋体" w:cstheme="minorBidi"/>
              <w:b/>
              <w:bCs/>
              <w:noProof/>
              <w:sz w:val="24"/>
            </w:rPr>
          </w:pPr>
          <w:hyperlink w:anchor="_Toc112227345" w:history="1">
            <w:r w:rsidR="002A1705" w:rsidRPr="002A1705">
              <w:rPr>
                <w:rStyle w:val="ac"/>
                <w:rFonts w:ascii="宋体" w:hAnsi="宋体"/>
                <w:b/>
                <w:bCs/>
                <w:noProof/>
                <w:sz w:val="24"/>
                <w:lang w:bidi="ar"/>
              </w:rPr>
              <w:t>实体性具体准则</w:t>
            </w:r>
            <w:r w:rsidR="002A1705" w:rsidRPr="002A1705">
              <w:rPr>
                <w:rFonts w:ascii="宋体" w:hAnsi="宋体"/>
                <w:b/>
                <w:bCs/>
                <w:noProof/>
                <w:webHidden/>
                <w:sz w:val="24"/>
              </w:rPr>
              <w:tab/>
            </w:r>
            <w:r w:rsidR="002A1705" w:rsidRPr="002A1705">
              <w:rPr>
                <w:rFonts w:ascii="宋体" w:hAnsi="宋体"/>
                <w:b/>
                <w:bCs/>
                <w:noProof/>
                <w:webHidden/>
                <w:sz w:val="24"/>
              </w:rPr>
              <w:fldChar w:fldCharType="begin"/>
            </w:r>
            <w:r w:rsidR="002A1705" w:rsidRPr="002A1705">
              <w:rPr>
                <w:rFonts w:ascii="宋体" w:hAnsi="宋体"/>
                <w:b/>
                <w:bCs/>
                <w:noProof/>
                <w:webHidden/>
                <w:sz w:val="24"/>
              </w:rPr>
              <w:instrText xml:space="preserve"> PAGEREF _Toc112227345 \h </w:instrText>
            </w:r>
            <w:r w:rsidR="002A1705" w:rsidRPr="002A1705">
              <w:rPr>
                <w:rFonts w:ascii="宋体" w:hAnsi="宋体"/>
                <w:b/>
                <w:bCs/>
                <w:noProof/>
                <w:webHidden/>
                <w:sz w:val="24"/>
              </w:rPr>
            </w:r>
            <w:r w:rsidR="002A1705" w:rsidRPr="002A1705">
              <w:rPr>
                <w:rFonts w:ascii="宋体" w:hAnsi="宋体"/>
                <w:b/>
                <w:bCs/>
                <w:noProof/>
                <w:webHidden/>
                <w:sz w:val="24"/>
              </w:rPr>
              <w:fldChar w:fldCharType="separate"/>
            </w:r>
            <w:r w:rsidR="002A1705" w:rsidRPr="002A1705">
              <w:rPr>
                <w:rFonts w:ascii="宋体" w:hAnsi="宋体"/>
                <w:b/>
                <w:bCs/>
                <w:noProof/>
                <w:webHidden/>
                <w:sz w:val="24"/>
              </w:rPr>
              <w:t>15</w:t>
            </w:r>
            <w:r w:rsidR="002A1705" w:rsidRPr="002A1705">
              <w:rPr>
                <w:rFonts w:ascii="宋体" w:hAnsi="宋体"/>
                <w:b/>
                <w:bCs/>
                <w:noProof/>
                <w:webHidden/>
                <w:sz w:val="24"/>
              </w:rPr>
              <w:fldChar w:fldCharType="end"/>
            </w:r>
          </w:hyperlink>
        </w:p>
        <w:p w14:paraId="7FF23B56" w14:textId="1960EAF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46" w:history="1">
            <w:r w:rsidR="002A1705" w:rsidRPr="002A1705">
              <w:rPr>
                <w:rStyle w:val="ac"/>
                <w:rFonts w:ascii="宋体" w:hAnsi="宋体" w:cs="宋体"/>
                <w:noProof/>
                <w:kern w:val="0"/>
                <w:sz w:val="22"/>
                <w:lang w:bidi="ar"/>
              </w:rPr>
              <w:t>体育无形资产评估指导意见</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_Toc112227346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15</w:t>
            </w:r>
            <w:r w:rsidR="002A1705" w:rsidRPr="002A1705">
              <w:rPr>
                <w:rStyle w:val="ac"/>
                <w:rFonts w:cs="宋体"/>
                <w:webHidden/>
                <w:kern w:val="0"/>
                <w:sz w:val="22"/>
                <w:lang w:bidi="ar"/>
              </w:rPr>
              <w:fldChar w:fldCharType="end"/>
            </w:r>
          </w:hyperlink>
        </w:p>
        <w:p w14:paraId="0ADB402A" w14:textId="3B879D96" w:rsidR="002A1705" w:rsidRPr="002A1705" w:rsidRDefault="00000000" w:rsidP="002A1705">
          <w:pPr>
            <w:pStyle w:val="TOC2"/>
            <w:tabs>
              <w:tab w:val="right" w:leader="dot" w:pos="8720"/>
            </w:tabs>
            <w:spacing w:line="312" w:lineRule="auto"/>
            <w:rPr>
              <w:rStyle w:val="ac"/>
              <w:b/>
              <w:bCs/>
              <w:sz w:val="24"/>
              <w:lang w:bidi="ar"/>
            </w:rPr>
          </w:pPr>
          <w:hyperlink w:anchor="_Toc112227347" w:history="1">
            <w:r w:rsidR="002A1705" w:rsidRPr="002A1705">
              <w:rPr>
                <w:rStyle w:val="ac"/>
                <w:rFonts w:ascii="宋体" w:hAnsi="宋体"/>
                <w:b/>
                <w:bCs/>
                <w:noProof/>
                <w:sz w:val="24"/>
                <w:lang w:bidi="ar"/>
              </w:rPr>
              <w:t>资产评估操作专家指引</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_Toc112227347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25</w:t>
            </w:r>
            <w:r w:rsidR="002A1705" w:rsidRPr="002A1705">
              <w:rPr>
                <w:rStyle w:val="ac"/>
                <w:b/>
                <w:bCs/>
                <w:webHidden/>
                <w:sz w:val="24"/>
                <w:lang w:bidi="ar"/>
              </w:rPr>
              <w:fldChar w:fldCharType="end"/>
            </w:r>
          </w:hyperlink>
        </w:p>
        <w:p w14:paraId="183950B8" w14:textId="5C0A5A5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48" w:history="1">
            <w:r w:rsidR="002A1705" w:rsidRPr="002A1705">
              <w:rPr>
                <w:rStyle w:val="ac"/>
                <w:rFonts w:ascii="宋体" w:hAnsi="宋体" w:cs="宋体"/>
                <w:noProof/>
                <w:kern w:val="0"/>
                <w:sz w:val="22"/>
                <w:lang w:bidi="ar"/>
              </w:rPr>
              <w:t>资产评估专家指引第13号——境外并购资产评估</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_Toc112227348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25</w:t>
            </w:r>
            <w:r w:rsidR="002A1705" w:rsidRPr="002A1705">
              <w:rPr>
                <w:rStyle w:val="ac"/>
                <w:rFonts w:cs="宋体"/>
                <w:webHidden/>
                <w:kern w:val="0"/>
                <w:sz w:val="22"/>
                <w:lang w:bidi="ar"/>
              </w:rPr>
              <w:fldChar w:fldCharType="end"/>
            </w:r>
          </w:hyperlink>
        </w:p>
        <w:p w14:paraId="69DA64EE" w14:textId="05AD6E1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49" w:history="1">
            <w:r w:rsidR="002A1705" w:rsidRPr="002A1705">
              <w:rPr>
                <w:rStyle w:val="ac"/>
                <w:rFonts w:ascii="宋体" w:hAnsi="宋体" w:cs="宋体"/>
                <w:noProof/>
                <w:kern w:val="0"/>
                <w:sz w:val="22"/>
                <w:lang w:bidi="ar"/>
              </w:rPr>
              <w:t>资产评估专家指引第14号——科创企业资产评估</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_Toc112227349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46</w:t>
            </w:r>
            <w:r w:rsidR="002A1705" w:rsidRPr="002A1705">
              <w:rPr>
                <w:rStyle w:val="ac"/>
                <w:rFonts w:cs="宋体"/>
                <w:webHidden/>
                <w:kern w:val="0"/>
                <w:sz w:val="22"/>
                <w:lang w:bidi="ar"/>
              </w:rPr>
              <w:fldChar w:fldCharType="end"/>
            </w:r>
          </w:hyperlink>
        </w:p>
        <w:p w14:paraId="7A5EE03D" w14:textId="2EBB043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0" w:history="1">
            <w:r w:rsidR="002A1705" w:rsidRPr="002A1705">
              <w:rPr>
                <w:rStyle w:val="ac"/>
                <w:rFonts w:ascii="宋体" w:hAnsi="宋体" w:cs="宋体"/>
                <w:noProof/>
                <w:kern w:val="0"/>
                <w:sz w:val="22"/>
                <w:lang w:bidi="ar"/>
              </w:rPr>
              <w:t>资产评估专家指引——知识产权侵权损害评估（征求意见稿）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61</w:t>
            </w:r>
            <w:r w:rsidR="002A1705" w:rsidRPr="002A1705">
              <w:rPr>
                <w:rStyle w:val="ac"/>
                <w:rFonts w:cs="宋体"/>
                <w:webHidden/>
                <w:kern w:val="0"/>
                <w:sz w:val="22"/>
                <w:lang w:bidi="ar"/>
              </w:rPr>
              <w:fldChar w:fldCharType="end"/>
            </w:r>
          </w:hyperlink>
        </w:p>
        <w:p w14:paraId="24CD85F0" w14:textId="6D548D4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1" w:history="1">
            <w:r w:rsidR="002A1705" w:rsidRPr="002A1705">
              <w:rPr>
                <w:rStyle w:val="ac"/>
                <w:rFonts w:ascii="宋体" w:hAnsi="宋体" w:cs="宋体"/>
                <w:noProof/>
                <w:kern w:val="0"/>
                <w:sz w:val="22"/>
                <w:lang w:bidi="ar"/>
              </w:rPr>
              <w:t>资产评估专家指引——计算机软件著作权资产评估（征求意见稿）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66</w:t>
            </w:r>
            <w:r w:rsidR="002A1705" w:rsidRPr="002A1705">
              <w:rPr>
                <w:rStyle w:val="ac"/>
                <w:rFonts w:cs="宋体"/>
                <w:webHidden/>
                <w:kern w:val="0"/>
                <w:sz w:val="22"/>
                <w:lang w:bidi="ar"/>
              </w:rPr>
              <w:fldChar w:fldCharType="end"/>
            </w:r>
          </w:hyperlink>
        </w:p>
        <w:p w14:paraId="7B9812BD" w14:textId="04BC4B77"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2" w:history="1">
            <w:r w:rsidR="002A1705" w:rsidRPr="002A1705">
              <w:rPr>
                <w:rStyle w:val="ac"/>
                <w:rFonts w:ascii="宋体" w:hAnsi="宋体" w:cs="宋体"/>
                <w:noProof/>
                <w:kern w:val="0"/>
                <w:sz w:val="22"/>
                <w:lang w:bidi="ar"/>
              </w:rPr>
              <w:t>资产评估专家指引——碳资产评估（征求意见稿）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76</w:t>
            </w:r>
            <w:r w:rsidR="002A1705" w:rsidRPr="002A1705">
              <w:rPr>
                <w:rStyle w:val="ac"/>
                <w:rFonts w:cs="宋体"/>
                <w:webHidden/>
                <w:kern w:val="0"/>
                <w:sz w:val="22"/>
                <w:lang w:bidi="ar"/>
              </w:rPr>
              <w:fldChar w:fldCharType="end"/>
            </w:r>
          </w:hyperlink>
        </w:p>
        <w:p w14:paraId="1413D29A" w14:textId="5F4F0755" w:rsidR="002A1705" w:rsidRPr="002A1705" w:rsidRDefault="00000000" w:rsidP="002A1705">
          <w:pPr>
            <w:pStyle w:val="TOC2"/>
            <w:tabs>
              <w:tab w:val="right" w:leader="dot" w:pos="8720"/>
            </w:tabs>
            <w:spacing w:line="312" w:lineRule="auto"/>
            <w:rPr>
              <w:rStyle w:val="ac"/>
              <w:b/>
              <w:bCs/>
              <w:sz w:val="24"/>
              <w:lang w:bidi="ar"/>
            </w:rPr>
          </w:pPr>
          <w:hyperlink w:anchor="_Toc112227353" w:history="1">
            <w:r w:rsidR="002A1705" w:rsidRPr="002A1705">
              <w:rPr>
                <w:rStyle w:val="ac"/>
                <w:rFonts w:ascii="宋体" w:hAnsi="宋体"/>
                <w:b/>
                <w:bCs/>
                <w:noProof/>
                <w:sz w:val="24"/>
                <w:lang w:bidi="ar"/>
              </w:rPr>
              <w:t>资产评估指导意见</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_Toc112227353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83</w:t>
            </w:r>
            <w:r w:rsidR="002A1705" w:rsidRPr="002A1705">
              <w:rPr>
                <w:rStyle w:val="ac"/>
                <w:b/>
                <w:bCs/>
                <w:webHidden/>
                <w:sz w:val="24"/>
                <w:lang w:bidi="ar"/>
              </w:rPr>
              <w:fldChar w:fldCharType="end"/>
            </w:r>
          </w:hyperlink>
        </w:p>
        <w:p w14:paraId="57830DD3" w14:textId="38C8B57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4" w:history="1">
            <w:r w:rsidR="002A1705" w:rsidRPr="002A1705">
              <w:rPr>
                <w:rStyle w:val="ac"/>
                <w:rFonts w:ascii="宋体" w:hAnsi="宋体" w:cs="宋体"/>
                <w:noProof/>
                <w:kern w:val="0"/>
                <w:sz w:val="22"/>
                <w:lang w:bidi="ar"/>
              </w:rPr>
              <w:t>涉执房地产处置司法评估指导意见（试行）</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83</w:t>
            </w:r>
            <w:r w:rsidR="002A1705" w:rsidRPr="002A1705">
              <w:rPr>
                <w:rStyle w:val="ac"/>
                <w:rFonts w:cs="宋体"/>
                <w:webHidden/>
                <w:kern w:val="0"/>
                <w:sz w:val="22"/>
                <w:lang w:bidi="ar"/>
              </w:rPr>
              <w:fldChar w:fldCharType="end"/>
            </w:r>
          </w:hyperlink>
        </w:p>
        <w:p w14:paraId="59B6341D" w14:textId="6266883D" w:rsidR="002A1705" w:rsidRPr="002A1705" w:rsidRDefault="00000000" w:rsidP="002A1705">
          <w:pPr>
            <w:pStyle w:val="TOC2"/>
            <w:tabs>
              <w:tab w:val="right" w:leader="dot" w:pos="8720"/>
            </w:tabs>
            <w:spacing w:line="312" w:lineRule="auto"/>
            <w:rPr>
              <w:rStyle w:val="ac"/>
              <w:b/>
              <w:bCs/>
              <w:sz w:val="24"/>
              <w:lang w:bidi="ar"/>
            </w:rPr>
          </w:pPr>
          <w:hyperlink w:anchor="_Toc112227355" w:history="1">
            <w:r w:rsidR="002A1705" w:rsidRPr="002A1705">
              <w:rPr>
                <w:rStyle w:val="ac"/>
                <w:rFonts w:ascii="宋体" w:hAnsi="宋体"/>
                <w:b/>
                <w:bCs/>
                <w:noProof/>
                <w:sz w:val="24"/>
                <w:lang w:bidi="ar"/>
              </w:rPr>
              <w:t>资产评估操作专家提示</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_Toc112227355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91</w:t>
            </w:r>
            <w:r w:rsidR="002A1705" w:rsidRPr="002A1705">
              <w:rPr>
                <w:rStyle w:val="ac"/>
                <w:b/>
                <w:bCs/>
                <w:webHidden/>
                <w:sz w:val="24"/>
                <w:lang w:bidi="ar"/>
              </w:rPr>
              <w:fldChar w:fldCharType="end"/>
            </w:r>
          </w:hyperlink>
        </w:p>
        <w:p w14:paraId="3DFA1BEB" w14:textId="36E90AE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6" w:history="1">
            <w:r w:rsidR="002A1705" w:rsidRPr="002A1705">
              <w:rPr>
                <w:rStyle w:val="ac"/>
                <w:rFonts w:ascii="宋体" w:hAnsi="宋体" w:cs="宋体"/>
                <w:noProof/>
                <w:kern w:val="0"/>
                <w:sz w:val="22"/>
                <w:lang w:bidi="ar"/>
              </w:rPr>
              <w:t>中评协关于关注企业商誉减值测试评估业务风险的提示</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91</w:t>
            </w:r>
            <w:r w:rsidR="002A1705" w:rsidRPr="002A1705">
              <w:rPr>
                <w:rStyle w:val="ac"/>
                <w:rFonts w:cs="宋体"/>
                <w:webHidden/>
                <w:kern w:val="0"/>
                <w:sz w:val="22"/>
                <w:lang w:bidi="ar"/>
              </w:rPr>
              <w:fldChar w:fldCharType="end"/>
            </w:r>
          </w:hyperlink>
        </w:p>
        <w:p w14:paraId="3F0DE8FA" w14:textId="21A76E2A" w:rsidR="002A1705" w:rsidRPr="002A1705" w:rsidRDefault="00000000" w:rsidP="002A1705">
          <w:pPr>
            <w:pStyle w:val="TOC2"/>
            <w:tabs>
              <w:tab w:val="right" w:leader="dot" w:pos="8720"/>
            </w:tabs>
            <w:spacing w:line="312" w:lineRule="auto"/>
            <w:rPr>
              <w:rStyle w:val="ac"/>
              <w:b/>
              <w:bCs/>
              <w:sz w:val="24"/>
              <w:lang w:bidi="ar"/>
            </w:rPr>
          </w:pPr>
          <w:hyperlink w:anchor="_Toc112227357" w:history="1">
            <w:r w:rsidR="002A1705" w:rsidRPr="002A1705">
              <w:rPr>
                <w:rStyle w:val="ac"/>
                <w:rFonts w:ascii="宋体" w:hAnsi="宋体"/>
                <w:b/>
                <w:bCs/>
                <w:noProof/>
                <w:sz w:val="24"/>
                <w:lang w:bidi="ar"/>
              </w:rPr>
              <w:t>资产评估指导意见</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_Toc112227357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92</w:t>
            </w:r>
            <w:r w:rsidR="002A1705" w:rsidRPr="002A1705">
              <w:rPr>
                <w:rStyle w:val="ac"/>
                <w:b/>
                <w:bCs/>
                <w:webHidden/>
                <w:sz w:val="24"/>
                <w:lang w:bidi="ar"/>
              </w:rPr>
              <w:fldChar w:fldCharType="end"/>
            </w:r>
          </w:hyperlink>
        </w:p>
        <w:p w14:paraId="13AF9A29" w14:textId="7BAE2320"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8" w:history="1">
            <w:r w:rsidR="002A1705" w:rsidRPr="002A1705">
              <w:rPr>
                <w:rStyle w:val="ac"/>
                <w:rFonts w:ascii="宋体" w:hAnsi="宋体" w:cs="宋体"/>
                <w:noProof/>
                <w:kern w:val="0"/>
                <w:sz w:val="22"/>
                <w:lang w:bidi="ar"/>
              </w:rPr>
              <w:t>文物资源资产评估指导意见（征求意见稿）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92</w:t>
            </w:r>
            <w:r w:rsidR="002A1705" w:rsidRPr="002A1705">
              <w:rPr>
                <w:rStyle w:val="ac"/>
                <w:rFonts w:cs="宋体"/>
                <w:webHidden/>
                <w:kern w:val="0"/>
                <w:sz w:val="22"/>
                <w:lang w:bidi="ar"/>
              </w:rPr>
              <w:fldChar w:fldCharType="end"/>
            </w:r>
          </w:hyperlink>
        </w:p>
        <w:p w14:paraId="52B9DA7B" w14:textId="6FC5B53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59" w:history="1">
            <w:r w:rsidR="002A1705" w:rsidRPr="002A1705">
              <w:rPr>
                <w:rStyle w:val="ac"/>
                <w:rFonts w:ascii="宋体" w:hAnsi="宋体" w:cs="宋体"/>
                <w:noProof/>
                <w:kern w:val="0"/>
                <w:sz w:val="22"/>
                <w:lang w:bidi="ar"/>
              </w:rPr>
              <w:t>数据资产评估指导意见（征求意见稿）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_Toc112227359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99</w:t>
            </w:r>
            <w:r w:rsidR="002A1705" w:rsidRPr="002A1705">
              <w:rPr>
                <w:rStyle w:val="ac"/>
                <w:rFonts w:cs="宋体"/>
                <w:webHidden/>
                <w:kern w:val="0"/>
                <w:sz w:val="22"/>
                <w:lang w:bidi="ar"/>
              </w:rPr>
              <w:fldChar w:fldCharType="end"/>
            </w:r>
          </w:hyperlink>
        </w:p>
        <w:p w14:paraId="3EFF7461" w14:textId="65498372"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0" w:history="1">
            <w:r w:rsidR="002A1705" w:rsidRPr="002A1705">
              <w:rPr>
                <w:rStyle w:val="ac"/>
                <w:rFonts w:ascii="宋体" w:hAnsi="宋体" w:cs="宋体"/>
                <w:noProof/>
                <w:kern w:val="0"/>
                <w:sz w:val="22"/>
                <w:lang w:bidi="ar"/>
              </w:rPr>
              <w:t>关键核心技术资产评估指导意见（征求意见稿）</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106</w:t>
            </w:r>
            <w:r w:rsidR="002A1705" w:rsidRPr="002A1705">
              <w:rPr>
                <w:rStyle w:val="ac"/>
                <w:rFonts w:cs="宋体"/>
                <w:webHidden/>
                <w:kern w:val="0"/>
                <w:sz w:val="22"/>
                <w:lang w:bidi="ar"/>
              </w:rPr>
              <w:fldChar w:fldCharType="end"/>
            </w:r>
          </w:hyperlink>
        </w:p>
        <w:p w14:paraId="692082F4" w14:textId="05967F6F" w:rsidR="002A1705" w:rsidRPr="002A1705" w:rsidRDefault="00000000" w:rsidP="002A1705">
          <w:pPr>
            <w:pStyle w:val="TOC2"/>
            <w:tabs>
              <w:tab w:val="right" w:leader="dot" w:pos="8720"/>
            </w:tabs>
            <w:spacing w:line="312" w:lineRule="auto"/>
            <w:rPr>
              <w:rStyle w:val="ac"/>
              <w:b/>
              <w:bCs/>
              <w:sz w:val="24"/>
              <w:lang w:bidi="ar"/>
            </w:rPr>
          </w:pPr>
          <w:hyperlink w:anchor="_Toc112227361" w:history="1">
            <w:r w:rsidR="002A1705" w:rsidRPr="002A1705">
              <w:rPr>
                <w:rStyle w:val="ac"/>
                <w:rFonts w:ascii="宋体" w:hAnsi="宋体"/>
                <w:b/>
                <w:bCs/>
                <w:noProof/>
                <w:sz w:val="24"/>
                <w:lang w:bidi="ar"/>
              </w:rPr>
              <w:t>监管机构-证监会</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_Toc112227361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118</w:t>
            </w:r>
            <w:r w:rsidR="002A1705" w:rsidRPr="002A1705">
              <w:rPr>
                <w:rStyle w:val="ac"/>
                <w:b/>
                <w:bCs/>
                <w:webHidden/>
                <w:sz w:val="24"/>
                <w:lang w:bidi="ar"/>
              </w:rPr>
              <w:fldChar w:fldCharType="end"/>
            </w:r>
          </w:hyperlink>
        </w:p>
        <w:p w14:paraId="1F4CC30D" w14:textId="077891F1"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2" w:history="1">
            <w:r w:rsidR="002A1705" w:rsidRPr="002A1705">
              <w:rPr>
                <w:rStyle w:val="ac"/>
                <w:rFonts w:ascii="宋体" w:hAnsi="宋体" w:cs="宋体"/>
                <w:noProof/>
                <w:kern w:val="0"/>
                <w:sz w:val="22"/>
                <w:lang w:bidi="ar"/>
              </w:rPr>
              <w:t>证券服务机构从事证券服务业务备案管理规定</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118</w:t>
            </w:r>
            <w:r w:rsidR="002A1705" w:rsidRPr="002A1705">
              <w:rPr>
                <w:rStyle w:val="ac"/>
                <w:rFonts w:cs="宋体"/>
                <w:webHidden/>
                <w:kern w:val="0"/>
                <w:sz w:val="22"/>
                <w:lang w:bidi="ar"/>
              </w:rPr>
              <w:fldChar w:fldCharType="end"/>
            </w:r>
          </w:hyperlink>
        </w:p>
        <w:p w14:paraId="5EE39F97" w14:textId="41748E40"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3" w:history="1">
            <w:r w:rsidR="002A1705" w:rsidRPr="002A1705">
              <w:rPr>
                <w:rStyle w:val="ac"/>
                <w:rFonts w:ascii="宋体" w:hAnsi="宋体" w:cs="宋体"/>
                <w:noProof/>
                <w:kern w:val="0"/>
                <w:sz w:val="22"/>
                <w:lang w:bidi="ar"/>
              </w:rPr>
              <w:t>资产评估机构从事证券服务业务备案办法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124</w:t>
            </w:r>
            <w:r w:rsidR="002A1705" w:rsidRPr="002A1705">
              <w:rPr>
                <w:rStyle w:val="ac"/>
                <w:rFonts w:cs="宋体"/>
                <w:webHidden/>
                <w:kern w:val="0"/>
                <w:sz w:val="22"/>
                <w:lang w:bidi="ar"/>
              </w:rPr>
              <w:fldChar w:fldCharType="end"/>
            </w:r>
          </w:hyperlink>
        </w:p>
        <w:p w14:paraId="5D6E43D6" w14:textId="163D345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4" w:history="1">
            <w:r w:rsidR="002A1705" w:rsidRPr="002A1705">
              <w:rPr>
                <w:rStyle w:val="ac"/>
                <w:rFonts w:ascii="宋体" w:hAnsi="宋体" w:cs="宋体"/>
                <w:noProof/>
                <w:kern w:val="0"/>
                <w:sz w:val="22"/>
                <w:lang w:bidi="ar"/>
              </w:rPr>
              <w:t>非上市公众公司监督管理办法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127</w:t>
            </w:r>
            <w:r w:rsidR="002A1705" w:rsidRPr="002A1705">
              <w:rPr>
                <w:rStyle w:val="ac"/>
                <w:rFonts w:cs="宋体"/>
                <w:webHidden/>
                <w:kern w:val="0"/>
                <w:sz w:val="22"/>
                <w:lang w:bidi="ar"/>
              </w:rPr>
              <w:fldChar w:fldCharType="end"/>
            </w:r>
          </w:hyperlink>
        </w:p>
        <w:p w14:paraId="6A2D5CBB" w14:textId="276B6E73"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5" w:history="1">
            <w:r w:rsidR="002A1705" w:rsidRPr="002A1705">
              <w:rPr>
                <w:rStyle w:val="ac"/>
                <w:rFonts w:ascii="宋体" w:hAnsi="宋体" w:cs="宋体"/>
                <w:noProof/>
                <w:kern w:val="0"/>
                <w:sz w:val="22"/>
                <w:lang w:bidi="ar"/>
              </w:rPr>
              <w:t>上海证券交易所科创板上市公司重大资产重组审核规则（2021年修订）</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138</w:t>
            </w:r>
            <w:r w:rsidR="002A1705" w:rsidRPr="002A1705">
              <w:rPr>
                <w:rStyle w:val="ac"/>
                <w:rFonts w:cs="宋体"/>
                <w:webHidden/>
                <w:kern w:val="0"/>
                <w:sz w:val="22"/>
                <w:lang w:bidi="ar"/>
              </w:rPr>
              <w:fldChar w:fldCharType="end"/>
            </w:r>
          </w:hyperlink>
        </w:p>
        <w:p w14:paraId="694B52AA" w14:textId="5AF0370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6" w:history="1">
            <w:r w:rsidR="002A1705" w:rsidRPr="002A1705">
              <w:rPr>
                <w:rStyle w:val="ac"/>
                <w:rFonts w:ascii="宋体" w:hAnsi="宋体" w:cs="宋体"/>
                <w:noProof/>
                <w:kern w:val="0"/>
                <w:sz w:val="22"/>
                <w:lang w:bidi="ar"/>
              </w:rPr>
              <w:t>深圳证券交易所创业板上市公司重大资产重组审核规则 （2021 年修订）</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140</w:t>
            </w:r>
            <w:r w:rsidR="002A1705" w:rsidRPr="002A1705">
              <w:rPr>
                <w:rStyle w:val="ac"/>
                <w:rFonts w:cs="宋体"/>
                <w:webHidden/>
                <w:kern w:val="0"/>
                <w:sz w:val="22"/>
                <w:lang w:bidi="ar"/>
              </w:rPr>
              <w:fldChar w:fldCharType="end"/>
            </w:r>
          </w:hyperlink>
        </w:p>
        <w:p w14:paraId="09AF30B5" w14:textId="3D9CE84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7" w:history="1">
            <w:r w:rsidR="002A1705" w:rsidRPr="002A1705">
              <w:rPr>
                <w:rStyle w:val="ac"/>
                <w:rFonts w:ascii="宋体" w:hAnsi="宋体" w:cs="宋体"/>
                <w:noProof/>
                <w:kern w:val="0"/>
                <w:sz w:val="22"/>
                <w:lang w:bidi="ar"/>
              </w:rPr>
              <w:t>监管规则适用指引——评估类第1号</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141</w:t>
            </w:r>
            <w:r w:rsidR="002A1705" w:rsidRPr="002A1705">
              <w:rPr>
                <w:rStyle w:val="ac"/>
                <w:rFonts w:cs="宋体"/>
                <w:webHidden/>
                <w:kern w:val="0"/>
                <w:sz w:val="22"/>
                <w:lang w:bidi="ar"/>
              </w:rPr>
              <w:fldChar w:fldCharType="end"/>
            </w:r>
          </w:hyperlink>
        </w:p>
        <w:p w14:paraId="20EC4747" w14:textId="4ED31C3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8" w:history="1">
            <w:r w:rsidR="002A1705" w:rsidRPr="002A1705">
              <w:rPr>
                <w:rStyle w:val="ac"/>
                <w:rFonts w:ascii="宋体" w:hAnsi="宋体" w:cs="宋体"/>
                <w:noProof/>
                <w:kern w:val="0"/>
                <w:sz w:val="22"/>
                <w:lang w:bidi="ar"/>
              </w:rPr>
              <w:t>监管规则适用指引——会计类第1号</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146</w:t>
            </w:r>
            <w:r w:rsidR="002A1705" w:rsidRPr="002A1705">
              <w:rPr>
                <w:rStyle w:val="ac"/>
                <w:rFonts w:cs="宋体"/>
                <w:webHidden/>
                <w:kern w:val="0"/>
                <w:sz w:val="22"/>
                <w:lang w:bidi="ar"/>
              </w:rPr>
              <w:fldChar w:fldCharType="end"/>
            </w:r>
          </w:hyperlink>
        </w:p>
        <w:p w14:paraId="23773920" w14:textId="02CE3ABC"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69" w:history="1">
            <w:r w:rsidR="002A1705" w:rsidRPr="002A1705">
              <w:rPr>
                <w:rStyle w:val="ac"/>
                <w:rFonts w:ascii="宋体" w:hAnsi="宋体" w:cs="宋体"/>
                <w:noProof/>
                <w:kern w:val="0"/>
                <w:sz w:val="22"/>
                <w:lang w:bidi="ar"/>
              </w:rPr>
              <w:t>监管规则适用指引——会计类第2号</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_Toc112227369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171</w:t>
            </w:r>
            <w:r w:rsidR="002A1705" w:rsidRPr="002A1705">
              <w:rPr>
                <w:rStyle w:val="ac"/>
                <w:rFonts w:cs="宋体"/>
                <w:webHidden/>
                <w:kern w:val="0"/>
                <w:sz w:val="22"/>
                <w:lang w:bidi="ar"/>
              </w:rPr>
              <w:fldChar w:fldCharType="end"/>
            </w:r>
          </w:hyperlink>
        </w:p>
        <w:p w14:paraId="2FD73B4C" w14:textId="41A8FD4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0" w:history="1">
            <w:r w:rsidR="002A1705" w:rsidRPr="002A1705">
              <w:rPr>
                <w:rStyle w:val="ac"/>
                <w:rFonts w:ascii="宋体" w:hAnsi="宋体" w:cs="宋体"/>
                <w:noProof/>
                <w:kern w:val="0"/>
                <w:sz w:val="22"/>
                <w:lang w:bidi="ar"/>
              </w:rPr>
              <w:t>监管规则适用指引——审计类第1号</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178</w:t>
            </w:r>
            <w:r w:rsidR="002A1705" w:rsidRPr="002A1705">
              <w:rPr>
                <w:rStyle w:val="ac"/>
                <w:rFonts w:cs="宋体"/>
                <w:webHidden/>
                <w:kern w:val="0"/>
                <w:sz w:val="22"/>
                <w:lang w:bidi="ar"/>
              </w:rPr>
              <w:fldChar w:fldCharType="end"/>
            </w:r>
          </w:hyperlink>
        </w:p>
        <w:p w14:paraId="6F0A8EB3" w14:textId="0CE29A0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1" w:history="1">
            <w:r w:rsidR="002A1705" w:rsidRPr="002A1705">
              <w:rPr>
                <w:rStyle w:val="ac"/>
                <w:rFonts w:ascii="宋体" w:hAnsi="宋体" w:cs="宋体"/>
                <w:noProof/>
                <w:kern w:val="0"/>
                <w:sz w:val="22"/>
                <w:lang w:bidi="ar"/>
              </w:rPr>
              <w:t>上市公司信息披露管理办法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184</w:t>
            </w:r>
            <w:r w:rsidR="002A1705" w:rsidRPr="002A1705">
              <w:rPr>
                <w:rStyle w:val="ac"/>
                <w:rFonts w:cs="宋体"/>
                <w:webHidden/>
                <w:kern w:val="0"/>
                <w:sz w:val="22"/>
                <w:lang w:bidi="ar"/>
              </w:rPr>
              <w:fldChar w:fldCharType="end"/>
            </w:r>
          </w:hyperlink>
        </w:p>
        <w:p w14:paraId="03115CCC" w14:textId="2156D1C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2" w:history="1">
            <w:r w:rsidR="002A1705" w:rsidRPr="002A1705">
              <w:rPr>
                <w:rStyle w:val="ac"/>
                <w:rFonts w:ascii="宋体" w:hAnsi="宋体" w:cs="宋体"/>
                <w:noProof/>
                <w:kern w:val="0"/>
                <w:sz w:val="22"/>
                <w:lang w:bidi="ar"/>
              </w:rPr>
              <w:t>四川证监局：关于进一步规范和完善商誉减值测试和信息披露的监管通报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197</w:t>
            </w:r>
            <w:r w:rsidR="002A1705" w:rsidRPr="002A1705">
              <w:rPr>
                <w:rStyle w:val="ac"/>
                <w:rFonts w:cs="宋体"/>
                <w:webHidden/>
                <w:kern w:val="0"/>
                <w:sz w:val="22"/>
                <w:lang w:bidi="ar"/>
              </w:rPr>
              <w:fldChar w:fldCharType="end"/>
            </w:r>
          </w:hyperlink>
        </w:p>
        <w:p w14:paraId="4C21A3A6" w14:textId="7AC602C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3" w:history="1">
            <w:r w:rsidR="002A1705" w:rsidRPr="002A1705">
              <w:rPr>
                <w:rStyle w:val="ac"/>
                <w:rFonts w:ascii="宋体" w:hAnsi="宋体" w:cs="宋体"/>
                <w:noProof/>
                <w:kern w:val="0"/>
                <w:sz w:val="22"/>
                <w:lang w:bidi="ar"/>
              </w:rPr>
              <w:t>2019年度商誉减值审计与评估专题检查情况的通报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200</w:t>
            </w:r>
            <w:r w:rsidR="002A1705" w:rsidRPr="002A1705">
              <w:rPr>
                <w:rStyle w:val="ac"/>
                <w:rFonts w:cs="宋体"/>
                <w:webHidden/>
                <w:kern w:val="0"/>
                <w:sz w:val="22"/>
                <w:lang w:bidi="ar"/>
              </w:rPr>
              <w:fldChar w:fldCharType="end"/>
            </w:r>
          </w:hyperlink>
        </w:p>
        <w:p w14:paraId="418FF139" w14:textId="4F8C37C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4" w:history="1">
            <w:r w:rsidR="002A1705" w:rsidRPr="002A1705">
              <w:rPr>
                <w:rStyle w:val="ac"/>
                <w:rFonts w:ascii="宋体" w:hAnsi="宋体" w:cs="宋体"/>
                <w:noProof/>
                <w:kern w:val="0"/>
                <w:sz w:val="22"/>
                <w:lang w:bidi="ar"/>
              </w:rPr>
              <w:t>上海证券交易所上市公司自律监管指引第6号——重大资产重组</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204</w:t>
            </w:r>
            <w:r w:rsidR="002A1705" w:rsidRPr="002A1705">
              <w:rPr>
                <w:rStyle w:val="ac"/>
                <w:rFonts w:cs="宋体"/>
                <w:webHidden/>
                <w:kern w:val="0"/>
                <w:sz w:val="22"/>
                <w:lang w:bidi="ar"/>
              </w:rPr>
              <w:fldChar w:fldCharType="end"/>
            </w:r>
          </w:hyperlink>
        </w:p>
        <w:p w14:paraId="4A25E0FD" w14:textId="38D3F7F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5" w:history="1">
            <w:r w:rsidR="002A1705" w:rsidRPr="002A1705">
              <w:rPr>
                <w:rStyle w:val="ac"/>
                <w:rFonts w:ascii="宋体" w:hAnsi="宋体" w:cs="宋体"/>
                <w:noProof/>
                <w:kern w:val="0"/>
                <w:sz w:val="22"/>
                <w:lang w:bidi="ar"/>
              </w:rPr>
              <w:t>公开发行证券的公司信息披露内容与格式准则第26号 ——上市公司重大资产重组（2022年修订）</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216</w:t>
            </w:r>
            <w:r w:rsidR="002A1705" w:rsidRPr="002A1705">
              <w:rPr>
                <w:rStyle w:val="ac"/>
                <w:rFonts w:cs="宋体"/>
                <w:webHidden/>
                <w:kern w:val="0"/>
                <w:sz w:val="22"/>
                <w:lang w:bidi="ar"/>
              </w:rPr>
              <w:fldChar w:fldCharType="end"/>
            </w:r>
          </w:hyperlink>
        </w:p>
        <w:p w14:paraId="2A35161D" w14:textId="3F18058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6" w:history="1">
            <w:r w:rsidR="002A1705" w:rsidRPr="002A1705">
              <w:rPr>
                <w:rStyle w:val="ac"/>
                <w:rFonts w:ascii="宋体" w:hAnsi="宋体" w:cs="宋体"/>
                <w:noProof/>
                <w:kern w:val="0"/>
                <w:sz w:val="22"/>
                <w:lang w:bidi="ar"/>
              </w:rPr>
              <w:t>非上市公司股权估值指引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245</w:t>
            </w:r>
            <w:r w:rsidR="002A1705" w:rsidRPr="002A1705">
              <w:rPr>
                <w:rStyle w:val="ac"/>
                <w:rFonts w:cs="宋体"/>
                <w:webHidden/>
                <w:kern w:val="0"/>
                <w:sz w:val="22"/>
                <w:lang w:bidi="ar"/>
              </w:rPr>
              <w:fldChar w:fldCharType="end"/>
            </w:r>
          </w:hyperlink>
        </w:p>
        <w:p w14:paraId="519E25F5" w14:textId="2F7DA85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7" w:history="1">
            <w:r w:rsidR="002A1705" w:rsidRPr="002A1705">
              <w:rPr>
                <w:rStyle w:val="ac"/>
                <w:rFonts w:ascii="宋体" w:hAnsi="宋体" w:cs="宋体"/>
                <w:noProof/>
                <w:kern w:val="0"/>
                <w:sz w:val="22"/>
                <w:lang w:bidi="ar"/>
              </w:rPr>
              <w:t>证券公司金融工具估值指引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252</w:t>
            </w:r>
            <w:r w:rsidR="002A1705" w:rsidRPr="002A1705">
              <w:rPr>
                <w:rStyle w:val="ac"/>
                <w:rFonts w:cs="宋体"/>
                <w:webHidden/>
                <w:kern w:val="0"/>
                <w:sz w:val="22"/>
                <w:lang w:bidi="ar"/>
              </w:rPr>
              <w:fldChar w:fldCharType="end"/>
            </w:r>
          </w:hyperlink>
        </w:p>
        <w:p w14:paraId="3B231686" w14:textId="003C784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8" w:history="1">
            <w:r w:rsidR="002A1705" w:rsidRPr="002A1705">
              <w:rPr>
                <w:rStyle w:val="ac"/>
                <w:rFonts w:ascii="宋体" w:hAnsi="宋体" w:cs="宋体"/>
                <w:noProof/>
                <w:kern w:val="0"/>
                <w:sz w:val="22"/>
                <w:lang w:bidi="ar"/>
              </w:rPr>
              <w:t>私募投资基金非上市股权投资估值指引（试行）</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259</w:t>
            </w:r>
            <w:r w:rsidR="002A1705" w:rsidRPr="002A1705">
              <w:rPr>
                <w:rStyle w:val="ac"/>
                <w:rFonts w:cs="宋体"/>
                <w:webHidden/>
                <w:kern w:val="0"/>
                <w:sz w:val="22"/>
                <w:lang w:bidi="ar"/>
              </w:rPr>
              <w:fldChar w:fldCharType="end"/>
            </w:r>
          </w:hyperlink>
        </w:p>
        <w:p w14:paraId="4C23E972" w14:textId="6B151B6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79" w:history="1">
            <w:r w:rsidR="002A1705" w:rsidRPr="002A1705">
              <w:rPr>
                <w:rStyle w:val="ac"/>
                <w:rFonts w:ascii="宋体" w:hAnsi="宋体" w:cs="宋体"/>
                <w:noProof/>
                <w:kern w:val="0"/>
                <w:sz w:val="22"/>
                <w:lang w:bidi="ar"/>
              </w:rPr>
              <w:t>基金中基金估值业务指引（试行）</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_Toc112227379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266</w:t>
            </w:r>
            <w:r w:rsidR="002A1705" w:rsidRPr="002A1705">
              <w:rPr>
                <w:rStyle w:val="ac"/>
                <w:rFonts w:cs="宋体"/>
                <w:webHidden/>
                <w:kern w:val="0"/>
                <w:sz w:val="22"/>
                <w:lang w:bidi="ar"/>
              </w:rPr>
              <w:fldChar w:fldCharType="end"/>
            </w:r>
          </w:hyperlink>
        </w:p>
        <w:p w14:paraId="18BFA14B" w14:textId="0C65FE2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0" w:history="1">
            <w:r w:rsidR="002A1705" w:rsidRPr="002A1705">
              <w:rPr>
                <w:rStyle w:val="ac"/>
                <w:rFonts w:ascii="宋体" w:hAnsi="宋体" w:cs="宋体"/>
                <w:noProof/>
                <w:kern w:val="0"/>
                <w:sz w:val="22"/>
                <w:lang w:bidi="ar"/>
              </w:rPr>
              <w:t>《关于加强注册制下中介机构廉洁从业监管的意见》</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268</w:t>
            </w:r>
            <w:r w:rsidR="002A1705" w:rsidRPr="002A1705">
              <w:rPr>
                <w:rStyle w:val="ac"/>
                <w:rFonts w:cs="宋体"/>
                <w:webHidden/>
                <w:kern w:val="0"/>
                <w:sz w:val="22"/>
                <w:lang w:bidi="ar"/>
              </w:rPr>
              <w:fldChar w:fldCharType="end"/>
            </w:r>
          </w:hyperlink>
        </w:p>
        <w:p w14:paraId="0A9B7CC9" w14:textId="046899B2"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1" w:history="1">
            <w:r w:rsidR="002A1705" w:rsidRPr="002A1705">
              <w:rPr>
                <w:rStyle w:val="ac"/>
                <w:rFonts w:ascii="宋体" w:hAnsi="宋体" w:cs="宋体"/>
                <w:noProof/>
                <w:kern w:val="0"/>
                <w:sz w:val="22"/>
                <w:lang w:bidi="ar"/>
              </w:rPr>
              <w:t>会计及评估监管工作通讯二〇一八年第四期（总第26期）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272</w:t>
            </w:r>
            <w:r w:rsidR="002A1705" w:rsidRPr="002A1705">
              <w:rPr>
                <w:rStyle w:val="ac"/>
                <w:rFonts w:cs="宋体"/>
                <w:webHidden/>
                <w:kern w:val="0"/>
                <w:sz w:val="22"/>
                <w:lang w:bidi="ar"/>
              </w:rPr>
              <w:fldChar w:fldCharType="end"/>
            </w:r>
          </w:hyperlink>
        </w:p>
        <w:p w14:paraId="0A0EE9E3" w14:textId="6EB6A78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2" w:history="1">
            <w:r w:rsidR="002A1705" w:rsidRPr="002A1705">
              <w:rPr>
                <w:rStyle w:val="ac"/>
                <w:rFonts w:ascii="宋体" w:hAnsi="宋体" w:cs="宋体"/>
                <w:noProof/>
                <w:kern w:val="0"/>
                <w:sz w:val="22"/>
                <w:lang w:bidi="ar"/>
              </w:rPr>
              <w:t>会计及评估监管工作通讯二〇一九年第一期（总第27期）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284</w:t>
            </w:r>
            <w:r w:rsidR="002A1705" w:rsidRPr="002A1705">
              <w:rPr>
                <w:rStyle w:val="ac"/>
                <w:rFonts w:cs="宋体"/>
                <w:webHidden/>
                <w:kern w:val="0"/>
                <w:sz w:val="22"/>
                <w:lang w:bidi="ar"/>
              </w:rPr>
              <w:fldChar w:fldCharType="end"/>
            </w:r>
          </w:hyperlink>
        </w:p>
        <w:p w14:paraId="792F6C26" w14:textId="6911910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3" w:history="1">
            <w:r w:rsidR="002A1705" w:rsidRPr="002A1705">
              <w:rPr>
                <w:rStyle w:val="ac"/>
                <w:rFonts w:ascii="宋体" w:hAnsi="宋体" w:cs="宋体"/>
                <w:noProof/>
                <w:kern w:val="0"/>
                <w:sz w:val="22"/>
                <w:lang w:bidi="ar"/>
              </w:rPr>
              <w:t>会计及评估监管工作通讯二〇一九年第二期（总第28期）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291</w:t>
            </w:r>
            <w:r w:rsidR="002A1705" w:rsidRPr="002A1705">
              <w:rPr>
                <w:rStyle w:val="ac"/>
                <w:rFonts w:cs="宋体"/>
                <w:webHidden/>
                <w:kern w:val="0"/>
                <w:sz w:val="22"/>
                <w:lang w:bidi="ar"/>
              </w:rPr>
              <w:fldChar w:fldCharType="end"/>
            </w:r>
          </w:hyperlink>
        </w:p>
        <w:p w14:paraId="2B54E0F9" w14:textId="0817D44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4" w:history="1">
            <w:r w:rsidR="002A1705" w:rsidRPr="002A1705">
              <w:rPr>
                <w:rStyle w:val="ac"/>
                <w:rFonts w:ascii="宋体" w:hAnsi="宋体" w:cs="宋体"/>
                <w:noProof/>
                <w:kern w:val="0"/>
                <w:sz w:val="22"/>
                <w:lang w:bidi="ar"/>
              </w:rPr>
              <w:t>会计及评估监管工作通讯二〇一九年第四期（总第30期）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301</w:t>
            </w:r>
            <w:r w:rsidR="002A1705" w:rsidRPr="002A1705">
              <w:rPr>
                <w:rStyle w:val="ac"/>
                <w:rFonts w:cs="宋体"/>
                <w:webHidden/>
                <w:kern w:val="0"/>
                <w:sz w:val="22"/>
                <w:lang w:bidi="ar"/>
              </w:rPr>
              <w:fldChar w:fldCharType="end"/>
            </w:r>
          </w:hyperlink>
        </w:p>
        <w:p w14:paraId="72476AF9" w14:textId="4AAB5B6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5" w:history="1">
            <w:r w:rsidR="002A1705" w:rsidRPr="002A1705">
              <w:rPr>
                <w:rStyle w:val="ac"/>
                <w:rFonts w:ascii="宋体" w:hAnsi="宋体" w:cs="宋体"/>
                <w:noProof/>
                <w:kern w:val="0"/>
                <w:sz w:val="22"/>
                <w:lang w:bidi="ar"/>
              </w:rPr>
              <w:t>会计及评估监管工作通讯二〇一九年第六期（总第32期）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310</w:t>
            </w:r>
            <w:r w:rsidR="002A1705" w:rsidRPr="002A1705">
              <w:rPr>
                <w:rStyle w:val="ac"/>
                <w:rFonts w:cs="宋体"/>
                <w:webHidden/>
                <w:kern w:val="0"/>
                <w:sz w:val="22"/>
                <w:lang w:bidi="ar"/>
              </w:rPr>
              <w:fldChar w:fldCharType="end"/>
            </w:r>
          </w:hyperlink>
        </w:p>
        <w:p w14:paraId="38DFCD57" w14:textId="033339C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6" w:history="1">
            <w:r w:rsidR="002A1705" w:rsidRPr="002A1705">
              <w:rPr>
                <w:rStyle w:val="ac"/>
                <w:rFonts w:ascii="宋体" w:hAnsi="宋体" w:cs="宋体"/>
                <w:noProof/>
                <w:kern w:val="0"/>
                <w:sz w:val="22"/>
                <w:lang w:bidi="ar"/>
              </w:rPr>
              <w:t>会计及评估监管工作通讯二〇二〇年第一期（总第33期）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321</w:t>
            </w:r>
            <w:r w:rsidR="002A1705" w:rsidRPr="002A1705">
              <w:rPr>
                <w:rStyle w:val="ac"/>
                <w:rFonts w:cs="宋体"/>
                <w:webHidden/>
                <w:kern w:val="0"/>
                <w:sz w:val="22"/>
                <w:lang w:bidi="ar"/>
              </w:rPr>
              <w:fldChar w:fldCharType="end"/>
            </w:r>
          </w:hyperlink>
        </w:p>
        <w:p w14:paraId="7CD5583F" w14:textId="62F60945"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7" w:history="1">
            <w:r w:rsidR="002A1705" w:rsidRPr="002A1705">
              <w:rPr>
                <w:rStyle w:val="ac"/>
                <w:rFonts w:ascii="宋体" w:hAnsi="宋体" w:cs="宋体"/>
                <w:noProof/>
                <w:kern w:val="0"/>
                <w:sz w:val="22"/>
                <w:lang w:bidi="ar"/>
              </w:rPr>
              <w:t>会计及评估监管工作通讯二〇二〇年第二期（总第 34 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341</w:t>
            </w:r>
            <w:r w:rsidR="002A1705" w:rsidRPr="002A1705">
              <w:rPr>
                <w:rStyle w:val="ac"/>
                <w:rFonts w:cs="宋体"/>
                <w:webHidden/>
                <w:kern w:val="0"/>
                <w:sz w:val="22"/>
                <w:lang w:bidi="ar"/>
              </w:rPr>
              <w:fldChar w:fldCharType="end"/>
            </w:r>
          </w:hyperlink>
        </w:p>
        <w:p w14:paraId="1FA75A55" w14:textId="69D91A73"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8" w:history="1">
            <w:r w:rsidR="002A1705" w:rsidRPr="002A1705">
              <w:rPr>
                <w:rStyle w:val="ac"/>
                <w:rFonts w:ascii="宋体" w:hAnsi="宋体" w:cs="宋体"/>
                <w:noProof/>
                <w:kern w:val="0"/>
                <w:sz w:val="22"/>
                <w:lang w:bidi="ar"/>
              </w:rPr>
              <w:t>会计及评估监管工作通讯二〇二〇年第三期（总第 35 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348</w:t>
            </w:r>
            <w:r w:rsidR="002A1705" w:rsidRPr="002A1705">
              <w:rPr>
                <w:rStyle w:val="ac"/>
                <w:rFonts w:cs="宋体"/>
                <w:webHidden/>
                <w:kern w:val="0"/>
                <w:sz w:val="22"/>
                <w:lang w:bidi="ar"/>
              </w:rPr>
              <w:fldChar w:fldCharType="end"/>
            </w:r>
          </w:hyperlink>
        </w:p>
        <w:p w14:paraId="724122A7" w14:textId="53FE0AD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89" w:history="1">
            <w:r w:rsidR="002A1705" w:rsidRPr="002A1705">
              <w:rPr>
                <w:rStyle w:val="ac"/>
                <w:rFonts w:ascii="宋体" w:hAnsi="宋体" w:cs="宋体"/>
                <w:noProof/>
                <w:kern w:val="0"/>
                <w:sz w:val="22"/>
                <w:lang w:bidi="ar"/>
              </w:rPr>
              <w:t>会计及评估监管工作通讯二〇二一年第一期（总第 39 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_Toc112227389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355</w:t>
            </w:r>
            <w:r w:rsidR="002A1705" w:rsidRPr="002A1705">
              <w:rPr>
                <w:rStyle w:val="ac"/>
                <w:rFonts w:cs="宋体"/>
                <w:webHidden/>
                <w:kern w:val="0"/>
                <w:sz w:val="22"/>
                <w:lang w:bidi="ar"/>
              </w:rPr>
              <w:fldChar w:fldCharType="end"/>
            </w:r>
          </w:hyperlink>
        </w:p>
        <w:p w14:paraId="47DB4E37" w14:textId="42CCA37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0" w:history="1">
            <w:r w:rsidR="002A1705" w:rsidRPr="002A1705">
              <w:rPr>
                <w:rStyle w:val="ac"/>
                <w:rFonts w:ascii="宋体" w:hAnsi="宋体" w:cs="宋体"/>
                <w:noProof/>
                <w:kern w:val="0"/>
                <w:sz w:val="22"/>
                <w:lang w:bidi="ar"/>
              </w:rPr>
              <w:t>会计及评估监管工作通讯二〇二一年第二期（总第 40 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365</w:t>
            </w:r>
            <w:r w:rsidR="002A1705" w:rsidRPr="002A1705">
              <w:rPr>
                <w:rStyle w:val="ac"/>
                <w:rFonts w:cs="宋体"/>
                <w:webHidden/>
                <w:kern w:val="0"/>
                <w:sz w:val="22"/>
                <w:lang w:bidi="ar"/>
              </w:rPr>
              <w:fldChar w:fldCharType="end"/>
            </w:r>
          </w:hyperlink>
        </w:p>
        <w:p w14:paraId="43545D09" w14:textId="6C6ACB73" w:rsidR="002A1705" w:rsidRPr="002A1705" w:rsidRDefault="00000000" w:rsidP="002A1705">
          <w:pPr>
            <w:pStyle w:val="TOC2"/>
            <w:tabs>
              <w:tab w:val="right" w:leader="dot" w:pos="8720"/>
            </w:tabs>
            <w:spacing w:line="312" w:lineRule="auto"/>
            <w:rPr>
              <w:rStyle w:val="ac"/>
              <w:b/>
              <w:bCs/>
              <w:sz w:val="24"/>
              <w:lang w:bidi="ar"/>
            </w:rPr>
          </w:pPr>
          <w:hyperlink w:anchor="_Toc112227391" w:history="1">
            <w:r w:rsidR="002A1705" w:rsidRPr="002A1705">
              <w:rPr>
                <w:rStyle w:val="ac"/>
                <w:rFonts w:ascii="宋体" w:hAnsi="宋体"/>
                <w:b/>
                <w:bCs/>
                <w:noProof/>
                <w:sz w:val="24"/>
                <w:lang w:bidi="ar"/>
              </w:rPr>
              <w:t>监管机构-国资委</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_Toc112227391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366</w:t>
            </w:r>
            <w:r w:rsidR="002A1705" w:rsidRPr="002A1705">
              <w:rPr>
                <w:rStyle w:val="ac"/>
                <w:b/>
                <w:bCs/>
                <w:webHidden/>
                <w:sz w:val="24"/>
                <w:lang w:bidi="ar"/>
              </w:rPr>
              <w:fldChar w:fldCharType="end"/>
            </w:r>
          </w:hyperlink>
        </w:p>
        <w:p w14:paraId="1681FFEF" w14:textId="065B3111"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2" w:history="1">
            <w:r w:rsidR="002A1705" w:rsidRPr="002A1705">
              <w:rPr>
                <w:rStyle w:val="ac"/>
                <w:rFonts w:ascii="宋体" w:hAnsi="宋体" w:cs="宋体"/>
                <w:noProof/>
                <w:kern w:val="0"/>
                <w:sz w:val="22"/>
                <w:lang w:bidi="ar"/>
              </w:rPr>
              <w:t>关于加强中央企业商誉管理的通知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366</w:t>
            </w:r>
            <w:r w:rsidR="002A1705" w:rsidRPr="002A1705">
              <w:rPr>
                <w:rStyle w:val="ac"/>
                <w:rFonts w:cs="宋体"/>
                <w:webHidden/>
                <w:kern w:val="0"/>
                <w:sz w:val="22"/>
                <w:lang w:bidi="ar"/>
              </w:rPr>
              <w:fldChar w:fldCharType="end"/>
            </w:r>
          </w:hyperlink>
        </w:p>
        <w:p w14:paraId="14442940" w14:textId="477897D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3" w:history="1">
            <w:r w:rsidR="002A1705" w:rsidRPr="002A1705">
              <w:rPr>
                <w:rStyle w:val="ac"/>
                <w:rFonts w:ascii="宋体" w:hAnsi="宋体" w:cs="宋体"/>
                <w:noProof/>
                <w:kern w:val="0"/>
                <w:sz w:val="22"/>
                <w:lang w:bidi="ar"/>
              </w:rPr>
              <w:t>关于企业国有资产交易流转有关事项的通知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370</w:t>
            </w:r>
            <w:r w:rsidR="002A1705" w:rsidRPr="002A1705">
              <w:rPr>
                <w:rStyle w:val="ac"/>
                <w:rFonts w:cs="宋体"/>
                <w:webHidden/>
                <w:kern w:val="0"/>
                <w:sz w:val="22"/>
                <w:lang w:bidi="ar"/>
              </w:rPr>
              <w:fldChar w:fldCharType="end"/>
            </w:r>
          </w:hyperlink>
        </w:p>
        <w:p w14:paraId="15EF4349" w14:textId="07592217" w:rsidR="002A1705" w:rsidRPr="002A1705" w:rsidRDefault="00000000" w:rsidP="002A1705">
          <w:pPr>
            <w:pStyle w:val="TOC2"/>
            <w:tabs>
              <w:tab w:val="right" w:leader="dot" w:pos="8720"/>
            </w:tabs>
            <w:spacing w:line="312" w:lineRule="auto"/>
            <w:rPr>
              <w:rStyle w:val="ac"/>
              <w:b/>
              <w:bCs/>
              <w:sz w:val="24"/>
              <w:lang w:bidi="ar"/>
            </w:rPr>
          </w:pPr>
          <w:hyperlink w:anchor="_Toc112227394" w:history="1">
            <w:r w:rsidR="002A1705" w:rsidRPr="002A1705">
              <w:rPr>
                <w:rStyle w:val="ac"/>
                <w:rFonts w:ascii="宋体" w:hAnsi="宋体"/>
                <w:b/>
                <w:bCs/>
                <w:noProof/>
                <w:sz w:val="24"/>
                <w:lang w:bidi="ar"/>
              </w:rPr>
              <w:t>监管机构-财政部</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_Toc112227394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371</w:t>
            </w:r>
            <w:r w:rsidR="002A1705" w:rsidRPr="002A1705">
              <w:rPr>
                <w:rStyle w:val="ac"/>
                <w:b/>
                <w:bCs/>
                <w:webHidden/>
                <w:sz w:val="24"/>
                <w:lang w:bidi="ar"/>
              </w:rPr>
              <w:fldChar w:fldCharType="end"/>
            </w:r>
          </w:hyperlink>
        </w:p>
        <w:p w14:paraId="16F5027E" w14:textId="4333705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5" w:history="1">
            <w:r w:rsidR="002A1705" w:rsidRPr="002A1705">
              <w:rPr>
                <w:rStyle w:val="ac"/>
                <w:rFonts w:ascii="宋体" w:hAnsi="宋体" w:cs="宋体"/>
                <w:noProof/>
                <w:kern w:val="0"/>
                <w:sz w:val="22"/>
                <w:lang w:bidi="ar"/>
              </w:rPr>
              <w:t>关于规范金融企业国有资产评估项目核准备案工作有关事项的通知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371</w:t>
            </w:r>
            <w:r w:rsidR="002A1705" w:rsidRPr="002A1705">
              <w:rPr>
                <w:rStyle w:val="ac"/>
                <w:rFonts w:cs="宋体"/>
                <w:webHidden/>
                <w:kern w:val="0"/>
                <w:sz w:val="22"/>
                <w:lang w:bidi="ar"/>
              </w:rPr>
              <w:fldChar w:fldCharType="end"/>
            </w:r>
          </w:hyperlink>
        </w:p>
        <w:p w14:paraId="506D4D60" w14:textId="4DEA4F6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6" w:history="1">
            <w:r w:rsidR="002A1705" w:rsidRPr="002A1705">
              <w:rPr>
                <w:rStyle w:val="ac"/>
                <w:rFonts w:ascii="宋体" w:hAnsi="宋体" w:cs="宋体"/>
                <w:noProof/>
                <w:kern w:val="0"/>
                <w:sz w:val="22"/>
                <w:lang w:bidi="ar"/>
              </w:rPr>
              <w:t>关于进一步规范银行函证及回函工作的通知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372</w:t>
            </w:r>
            <w:r w:rsidR="002A1705" w:rsidRPr="002A1705">
              <w:rPr>
                <w:rStyle w:val="ac"/>
                <w:rFonts w:cs="宋体"/>
                <w:webHidden/>
                <w:kern w:val="0"/>
                <w:sz w:val="22"/>
                <w:lang w:bidi="ar"/>
              </w:rPr>
              <w:fldChar w:fldCharType="end"/>
            </w:r>
          </w:hyperlink>
        </w:p>
        <w:p w14:paraId="0C3E3F29" w14:textId="4429DEE4"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7" w:history="1">
            <w:r w:rsidR="002A1705" w:rsidRPr="002A1705">
              <w:rPr>
                <w:rStyle w:val="ac"/>
                <w:rFonts w:ascii="宋体" w:hAnsi="宋体" w:cs="宋体"/>
                <w:noProof/>
                <w:kern w:val="0"/>
                <w:sz w:val="22"/>
                <w:lang w:bidi="ar"/>
              </w:rPr>
              <w:t>关于进一步加强知识产权质押融资工作的通知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375</w:t>
            </w:r>
            <w:r w:rsidR="002A1705" w:rsidRPr="002A1705">
              <w:rPr>
                <w:rStyle w:val="ac"/>
                <w:rFonts w:cs="宋体"/>
                <w:webHidden/>
                <w:kern w:val="0"/>
                <w:sz w:val="22"/>
                <w:lang w:bidi="ar"/>
              </w:rPr>
              <w:fldChar w:fldCharType="end"/>
            </w:r>
          </w:hyperlink>
        </w:p>
        <w:p w14:paraId="4B09AEDB" w14:textId="5F4320C8" w:rsidR="002A1705" w:rsidRPr="002A1705" w:rsidRDefault="00000000" w:rsidP="002A1705">
          <w:pPr>
            <w:pStyle w:val="TOC2"/>
            <w:tabs>
              <w:tab w:val="right" w:leader="dot" w:pos="8720"/>
            </w:tabs>
            <w:spacing w:line="312" w:lineRule="auto"/>
            <w:rPr>
              <w:rStyle w:val="ac"/>
              <w:b/>
              <w:bCs/>
              <w:sz w:val="24"/>
              <w:lang w:bidi="ar"/>
            </w:rPr>
          </w:pPr>
          <w:hyperlink w:anchor="_Toc112227398" w:history="1">
            <w:r w:rsidR="002A1705" w:rsidRPr="002A1705">
              <w:rPr>
                <w:rStyle w:val="ac"/>
                <w:rFonts w:ascii="宋体" w:hAnsi="宋体"/>
                <w:b/>
                <w:bCs/>
                <w:noProof/>
                <w:sz w:val="24"/>
                <w:lang w:bidi="ar"/>
              </w:rPr>
              <w:t>地方协会发布文件</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_Toc112227398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378</w:t>
            </w:r>
            <w:r w:rsidR="002A1705" w:rsidRPr="002A1705">
              <w:rPr>
                <w:rStyle w:val="ac"/>
                <w:b/>
                <w:bCs/>
                <w:webHidden/>
                <w:sz w:val="24"/>
                <w:lang w:bidi="ar"/>
              </w:rPr>
              <w:fldChar w:fldCharType="end"/>
            </w:r>
          </w:hyperlink>
        </w:p>
        <w:p w14:paraId="4D85F2C8" w14:textId="246D0C3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399" w:history="1">
            <w:r w:rsidR="002A1705" w:rsidRPr="002A1705">
              <w:rPr>
                <w:rStyle w:val="ac"/>
                <w:rFonts w:ascii="宋体" w:hAnsi="宋体" w:cs="宋体"/>
                <w:noProof/>
                <w:kern w:val="0"/>
                <w:sz w:val="22"/>
                <w:lang w:bidi="ar"/>
              </w:rPr>
              <w:t>北京资产评估协会资产评估专业技术委员会执业问题解答（2021年）</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_Toc112227399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378</w:t>
            </w:r>
            <w:r w:rsidR="002A1705" w:rsidRPr="002A1705">
              <w:rPr>
                <w:rStyle w:val="ac"/>
                <w:rFonts w:cs="宋体"/>
                <w:webHidden/>
                <w:kern w:val="0"/>
                <w:sz w:val="22"/>
                <w:lang w:bidi="ar"/>
              </w:rPr>
              <w:fldChar w:fldCharType="end"/>
            </w:r>
          </w:hyperlink>
        </w:p>
        <w:p w14:paraId="26BFB9BA" w14:textId="4B6BF6EC"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00" w:history="1">
            <w:r w:rsidR="002A1705" w:rsidRPr="002A1705">
              <w:rPr>
                <w:rStyle w:val="ac"/>
                <w:rFonts w:ascii="宋体" w:hAnsi="宋体" w:cs="宋体"/>
                <w:noProof/>
                <w:kern w:val="0"/>
                <w:sz w:val="22"/>
                <w:lang w:bidi="ar"/>
              </w:rPr>
              <w:t>北京资产评估协会资产评估专业技术委员会执业问题解答（2020年第二期）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388</w:t>
            </w:r>
            <w:r w:rsidR="002A1705" w:rsidRPr="002A1705">
              <w:rPr>
                <w:rStyle w:val="ac"/>
                <w:rFonts w:cs="宋体"/>
                <w:webHidden/>
                <w:kern w:val="0"/>
                <w:sz w:val="22"/>
                <w:lang w:bidi="ar"/>
              </w:rPr>
              <w:fldChar w:fldCharType="end"/>
            </w:r>
          </w:hyperlink>
        </w:p>
        <w:p w14:paraId="2444CA98" w14:textId="08419FFA" w:rsidR="002A1705" w:rsidRDefault="00000000" w:rsidP="002A1705">
          <w:pPr>
            <w:pStyle w:val="TOC3"/>
            <w:tabs>
              <w:tab w:val="right" w:leader="dot" w:pos="8720"/>
            </w:tabs>
            <w:spacing w:line="312" w:lineRule="auto"/>
            <w:rPr>
              <w:rStyle w:val="ac"/>
              <w:rFonts w:ascii="宋体" w:hAnsi="宋体" w:cs="宋体"/>
              <w:noProof/>
              <w:kern w:val="0"/>
              <w:sz w:val="22"/>
              <w:lang w:bidi="ar"/>
            </w:rPr>
          </w:pPr>
          <w:hyperlink w:anchor="_Toc112227401" w:history="1">
            <w:r w:rsidR="002A1705" w:rsidRPr="002A1705">
              <w:rPr>
                <w:rStyle w:val="ac"/>
                <w:rFonts w:ascii="宋体" w:hAnsi="宋体" w:cs="宋体"/>
                <w:noProof/>
                <w:kern w:val="0"/>
                <w:sz w:val="22"/>
                <w:lang w:bidi="ar"/>
              </w:rPr>
              <w:t>北京资产评估协会资产评估专业技术委员会执业问题解答（2020年第一期）</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398</w:t>
            </w:r>
            <w:r w:rsidR="002A1705" w:rsidRPr="002A1705">
              <w:rPr>
                <w:rStyle w:val="ac"/>
                <w:rFonts w:cs="宋体"/>
                <w:webHidden/>
                <w:kern w:val="0"/>
                <w:sz w:val="22"/>
                <w:lang w:bidi="ar"/>
              </w:rPr>
              <w:fldChar w:fldCharType="end"/>
            </w:r>
          </w:hyperlink>
        </w:p>
        <w:p w14:paraId="48C3FF66" w14:textId="77777777" w:rsidR="00414A88" w:rsidRPr="00414A88" w:rsidRDefault="00414A88" w:rsidP="00414A88">
          <w:pPr>
            <w:pStyle w:val="2"/>
            <w:rPr>
              <w:lang w:bidi="ar"/>
            </w:rPr>
          </w:pPr>
        </w:p>
        <w:p w14:paraId="7E1D01A1" w14:textId="4E70532B" w:rsidR="002A1705" w:rsidRPr="002A1705" w:rsidRDefault="00000000" w:rsidP="002A1705">
          <w:pPr>
            <w:pStyle w:val="TOC1"/>
            <w:tabs>
              <w:tab w:val="right" w:leader="dot" w:pos="8720"/>
            </w:tabs>
            <w:spacing w:line="312" w:lineRule="auto"/>
            <w:rPr>
              <w:rStyle w:val="ac"/>
              <w:rFonts w:cs="黑体"/>
              <w:b/>
              <w:bCs/>
              <w:kern w:val="0"/>
              <w:sz w:val="28"/>
              <w:szCs w:val="28"/>
              <w:lang w:bidi="ar"/>
            </w:rPr>
          </w:pPr>
          <w:hyperlink w:anchor="_Toc112227402" w:history="1">
            <w:r w:rsidR="002A1705" w:rsidRPr="002A1705">
              <w:rPr>
                <w:rStyle w:val="ac"/>
                <w:rFonts w:ascii="宋体" w:hAnsi="宋体" w:cs="黑体"/>
                <w:b/>
                <w:bCs/>
                <w:noProof/>
                <w:kern w:val="0"/>
                <w:sz w:val="28"/>
                <w:szCs w:val="28"/>
                <w:lang w:bidi="ar"/>
              </w:rPr>
              <w:t>三、 房地产估价规范</w:t>
            </w:r>
            <w:r w:rsidR="002A1705" w:rsidRPr="002A1705">
              <w:rPr>
                <w:rStyle w:val="ac"/>
                <w:rFonts w:cs="黑体"/>
                <w:b/>
                <w:bCs/>
                <w:webHidden/>
                <w:kern w:val="0"/>
                <w:sz w:val="28"/>
                <w:szCs w:val="28"/>
                <w:lang w:bidi="ar"/>
              </w:rPr>
              <w:tab/>
            </w:r>
            <w:r w:rsidR="002A1705" w:rsidRPr="002A1705">
              <w:rPr>
                <w:rStyle w:val="ac"/>
                <w:rFonts w:cs="黑体"/>
                <w:b/>
                <w:bCs/>
                <w:webHidden/>
                <w:kern w:val="0"/>
                <w:sz w:val="28"/>
                <w:szCs w:val="28"/>
                <w:lang w:bidi="ar"/>
              </w:rPr>
              <w:fldChar w:fldCharType="begin"/>
            </w:r>
            <w:r w:rsidR="002A1705" w:rsidRPr="002A1705">
              <w:rPr>
                <w:rStyle w:val="ac"/>
                <w:rFonts w:cs="黑体"/>
                <w:b/>
                <w:bCs/>
                <w:webHidden/>
                <w:kern w:val="0"/>
                <w:sz w:val="28"/>
                <w:szCs w:val="28"/>
                <w:lang w:bidi="ar"/>
              </w:rPr>
              <w:instrText xml:space="preserve"> PAGEREF _Toc112227402 \h </w:instrText>
            </w:r>
            <w:r w:rsidR="002A1705" w:rsidRPr="002A1705">
              <w:rPr>
                <w:rStyle w:val="ac"/>
                <w:rFonts w:cs="黑体"/>
                <w:b/>
                <w:bCs/>
                <w:webHidden/>
                <w:kern w:val="0"/>
                <w:sz w:val="28"/>
                <w:szCs w:val="28"/>
                <w:lang w:bidi="ar"/>
              </w:rPr>
            </w:r>
            <w:r w:rsidR="002A1705" w:rsidRPr="002A1705">
              <w:rPr>
                <w:rStyle w:val="ac"/>
                <w:rFonts w:cs="黑体"/>
                <w:b/>
                <w:bCs/>
                <w:webHidden/>
                <w:kern w:val="0"/>
                <w:sz w:val="28"/>
                <w:szCs w:val="28"/>
                <w:lang w:bidi="ar"/>
              </w:rPr>
              <w:fldChar w:fldCharType="separate"/>
            </w:r>
            <w:r w:rsidR="002A1705" w:rsidRPr="002A1705">
              <w:rPr>
                <w:rStyle w:val="ac"/>
                <w:rFonts w:cs="黑体"/>
                <w:b/>
                <w:bCs/>
                <w:webHidden/>
                <w:kern w:val="0"/>
                <w:sz w:val="28"/>
                <w:szCs w:val="28"/>
                <w:lang w:bidi="ar"/>
              </w:rPr>
              <w:t>410</w:t>
            </w:r>
            <w:r w:rsidR="002A1705" w:rsidRPr="002A1705">
              <w:rPr>
                <w:rStyle w:val="ac"/>
                <w:rFonts w:cs="黑体"/>
                <w:b/>
                <w:bCs/>
                <w:webHidden/>
                <w:kern w:val="0"/>
                <w:sz w:val="28"/>
                <w:szCs w:val="28"/>
                <w:lang w:bidi="ar"/>
              </w:rPr>
              <w:fldChar w:fldCharType="end"/>
            </w:r>
          </w:hyperlink>
        </w:p>
        <w:p w14:paraId="39D48A94" w14:textId="14EC636C" w:rsidR="002A1705" w:rsidRPr="002A1705" w:rsidRDefault="00000000" w:rsidP="002A1705">
          <w:pPr>
            <w:pStyle w:val="TOC2"/>
            <w:tabs>
              <w:tab w:val="right" w:leader="dot" w:pos="8720"/>
            </w:tabs>
            <w:spacing w:line="312" w:lineRule="auto"/>
            <w:rPr>
              <w:rStyle w:val="ac"/>
              <w:b/>
              <w:bCs/>
              <w:sz w:val="24"/>
              <w:lang w:bidi="ar"/>
            </w:rPr>
          </w:pPr>
          <w:hyperlink w:anchor="_Toc112227403" w:history="1">
            <w:r w:rsidR="002A1705" w:rsidRPr="002A1705">
              <w:rPr>
                <w:rStyle w:val="ac"/>
                <w:rFonts w:ascii="宋体" w:hAnsi="宋体"/>
                <w:b/>
                <w:bCs/>
                <w:noProof/>
                <w:sz w:val="24"/>
                <w:lang w:bidi="ar"/>
              </w:rPr>
              <w:t>山东省规范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_Toc112227403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410</w:t>
            </w:r>
            <w:r w:rsidR="002A1705" w:rsidRPr="002A1705">
              <w:rPr>
                <w:rStyle w:val="ac"/>
                <w:b/>
                <w:bCs/>
                <w:webHidden/>
                <w:sz w:val="24"/>
                <w:lang w:bidi="ar"/>
              </w:rPr>
              <w:fldChar w:fldCharType="end"/>
            </w:r>
          </w:hyperlink>
        </w:p>
        <w:p w14:paraId="29D52ACE" w14:textId="1A73013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04" w:history="1">
            <w:r w:rsidR="002A1705" w:rsidRPr="002A1705">
              <w:rPr>
                <w:rStyle w:val="ac"/>
                <w:rFonts w:ascii="宋体" w:hAnsi="宋体" w:cs="宋体"/>
                <w:noProof/>
                <w:kern w:val="0"/>
                <w:sz w:val="22"/>
                <w:lang w:bidi="ar"/>
              </w:rPr>
              <w:t>山东省住房和城乡建设厅关于调整工程建设疫情防控相关费用的通知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410</w:t>
            </w:r>
            <w:r w:rsidR="002A1705" w:rsidRPr="002A1705">
              <w:rPr>
                <w:rStyle w:val="ac"/>
                <w:rFonts w:cs="宋体"/>
                <w:webHidden/>
                <w:kern w:val="0"/>
                <w:sz w:val="22"/>
                <w:lang w:bidi="ar"/>
              </w:rPr>
              <w:fldChar w:fldCharType="end"/>
            </w:r>
          </w:hyperlink>
        </w:p>
        <w:p w14:paraId="71D7EEE9" w14:textId="4293EDB7"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05" w:history="1">
            <w:r w:rsidR="002A1705" w:rsidRPr="002A1705">
              <w:rPr>
                <w:rStyle w:val="ac"/>
                <w:rFonts w:ascii="宋体" w:hAnsi="宋体" w:cs="宋体"/>
                <w:noProof/>
                <w:kern w:val="0"/>
                <w:sz w:val="22"/>
                <w:lang w:bidi="ar"/>
              </w:rPr>
              <w:t>青岛市住房和城乡建设局国有土地上房屋征收评估管理办法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411</w:t>
            </w:r>
            <w:r w:rsidR="002A1705" w:rsidRPr="002A1705">
              <w:rPr>
                <w:rStyle w:val="ac"/>
                <w:rFonts w:cs="宋体"/>
                <w:webHidden/>
                <w:kern w:val="0"/>
                <w:sz w:val="22"/>
                <w:lang w:bidi="ar"/>
              </w:rPr>
              <w:fldChar w:fldCharType="end"/>
            </w:r>
          </w:hyperlink>
        </w:p>
        <w:p w14:paraId="03F544D4" w14:textId="6B4D63F0"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06" w:history="1">
            <w:r w:rsidR="002A1705" w:rsidRPr="002A1705">
              <w:rPr>
                <w:rStyle w:val="ac"/>
                <w:rFonts w:ascii="宋体" w:hAnsi="宋体" w:cs="宋体"/>
                <w:noProof/>
                <w:kern w:val="0"/>
                <w:sz w:val="22"/>
                <w:lang w:bidi="ar"/>
              </w:rPr>
              <w:t>青岛市住房和城乡建设局国有土地上房屋征收评估技术规范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415</w:t>
            </w:r>
            <w:r w:rsidR="002A1705" w:rsidRPr="002A1705">
              <w:rPr>
                <w:rStyle w:val="ac"/>
                <w:rFonts w:cs="宋体"/>
                <w:webHidden/>
                <w:kern w:val="0"/>
                <w:sz w:val="22"/>
                <w:lang w:bidi="ar"/>
              </w:rPr>
              <w:fldChar w:fldCharType="end"/>
            </w:r>
          </w:hyperlink>
        </w:p>
        <w:p w14:paraId="735E26F2" w14:textId="07B7CE12" w:rsidR="002A1705" w:rsidRPr="002A1705" w:rsidRDefault="00000000" w:rsidP="002A1705">
          <w:pPr>
            <w:pStyle w:val="TOC2"/>
            <w:tabs>
              <w:tab w:val="right" w:leader="dot" w:pos="8720"/>
            </w:tabs>
            <w:spacing w:line="312" w:lineRule="auto"/>
            <w:rPr>
              <w:rStyle w:val="ac"/>
              <w:b/>
              <w:bCs/>
              <w:sz w:val="24"/>
              <w:lang w:bidi="ar"/>
            </w:rPr>
          </w:pPr>
          <w:hyperlink w:anchor="_Toc112227407" w:history="1">
            <w:r w:rsidR="002A1705" w:rsidRPr="002A1705">
              <w:rPr>
                <w:rStyle w:val="ac"/>
                <w:rFonts w:ascii="宋体" w:hAnsi="宋体"/>
                <w:b/>
                <w:bCs/>
                <w:noProof/>
                <w:sz w:val="24"/>
                <w:lang w:bidi="ar"/>
              </w:rPr>
              <w:t>北京市规范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_Toc112227407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423</w:t>
            </w:r>
            <w:r w:rsidR="002A1705" w:rsidRPr="002A1705">
              <w:rPr>
                <w:rStyle w:val="ac"/>
                <w:b/>
                <w:bCs/>
                <w:webHidden/>
                <w:sz w:val="24"/>
                <w:lang w:bidi="ar"/>
              </w:rPr>
              <w:fldChar w:fldCharType="end"/>
            </w:r>
          </w:hyperlink>
        </w:p>
        <w:p w14:paraId="7E08F903" w14:textId="0FBFB51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08" w:history="1">
            <w:r w:rsidR="002A1705" w:rsidRPr="002A1705">
              <w:rPr>
                <w:rStyle w:val="ac"/>
                <w:rFonts w:ascii="宋体" w:hAnsi="宋体" w:cs="宋体"/>
                <w:noProof/>
                <w:kern w:val="0"/>
                <w:sz w:val="22"/>
                <w:lang w:bidi="ar"/>
              </w:rPr>
              <w:t>北京市国有土地上房屋征收评估暂行办法</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_Toc112227408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423</w:t>
            </w:r>
            <w:r w:rsidR="002A1705" w:rsidRPr="002A1705">
              <w:rPr>
                <w:rStyle w:val="ac"/>
                <w:rFonts w:cs="宋体"/>
                <w:webHidden/>
                <w:kern w:val="0"/>
                <w:sz w:val="22"/>
                <w:lang w:bidi="ar"/>
              </w:rPr>
              <w:fldChar w:fldCharType="end"/>
            </w:r>
          </w:hyperlink>
        </w:p>
        <w:p w14:paraId="3945E5E5" w14:textId="1206E420" w:rsidR="002A1705" w:rsidRPr="002A1705" w:rsidRDefault="00000000" w:rsidP="002A1705">
          <w:pPr>
            <w:pStyle w:val="TOC2"/>
            <w:tabs>
              <w:tab w:val="right" w:leader="dot" w:pos="8720"/>
            </w:tabs>
            <w:spacing w:line="312" w:lineRule="auto"/>
            <w:rPr>
              <w:rStyle w:val="ac"/>
              <w:b/>
              <w:bCs/>
              <w:sz w:val="24"/>
              <w:lang w:bidi="ar"/>
            </w:rPr>
          </w:pPr>
          <w:hyperlink w:anchor="_Toc112227409" w:history="1">
            <w:r w:rsidR="002A1705" w:rsidRPr="002A1705">
              <w:rPr>
                <w:rStyle w:val="ac"/>
                <w:rFonts w:ascii="宋体" w:hAnsi="宋体"/>
                <w:b/>
                <w:bCs/>
                <w:noProof/>
                <w:sz w:val="24"/>
                <w:lang w:bidi="ar"/>
              </w:rPr>
              <w:t>上海市规范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_Toc112227409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430</w:t>
            </w:r>
            <w:r w:rsidR="002A1705" w:rsidRPr="002A1705">
              <w:rPr>
                <w:rStyle w:val="ac"/>
                <w:b/>
                <w:bCs/>
                <w:webHidden/>
                <w:sz w:val="24"/>
                <w:lang w:bidi="ar"/>
              </w:rPr>
              <w:fldChar w:fldCharType="end"/>
            </w:r>
          </w:hyperlink>
        </w:p>
        <w:p w14:paraId="49915B22" w14:textId="4731750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0" w:history="1">
            <w:r w:rsidR="002A1705" w:rsidRPr="002A1705">
              <w:rPr>
                <w:rStyle w:val="ac"/>
                <w:rFonts w:ascii="宋体" w:hAnsi="宋体" w:cs="宋体"/>
                <w:noProof/>
                <w:kern w:val="0"/>
                <w:sz w:val="22"/>
                <w:lang w:bidi="ar"/>
              </w:rPr>
              <w:t>上海市国有土地上房屋征收评估管理规定</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430</w:t>
            </w:r>
            <w:r w:rsidR="002A1705" w:rsidRPr="002A1705">
              <w:rPr>
                <w:rStyle w:val="ac"/>
                <w:rFonts w:cs="宋体"/>
                <w:webHidden/>
                <w:kern w:val="0"/>
                <w:sz w:val="22"/>
                <w:lang w:bidi="ar"/>
              </w:rPr>
              <w:fldChar w:fldCharType="end"/>
            </w:r>
          </w:hyperlink>
        </w:p>
        <w:p w14:paraId="6861F221" w14:textId="4FC0F211" w:rsidR="002A1705" w:rsidRPr="002A1705" w:rsidRDefault="00000000" w:rsidP="002A1705">
          <w:pPr>
            <w:pStyle w:val="TOC1"/>
            <w:tabs>
              <w:tab w:val="right" w:leader="dot" w:pos="8720"/>
            </w:tabs>
            <w:spacing w:line="312" w:lineRule="auto"/>
            <w:rPr>
              <w:rStyle w:val="ac"/>
              <w:rFonts w:cs="黑体"/>
              <w:b/>
              <w:bCs/>
              <w:kern w:val="0"/>
              <w:sz w:val="28"/>
              <w:szCs w:val="28"/>
              <w:lang w:bidi="ar"/>
            </w:rPr>
          </w:pPr>
          <w:hyperlink w:anchor="_Toc112227411" w:history="1">
            <w:r w:rsidR="002A1705" w:rsidRPr="002A1705">
              <w:rPr>
                <w:rStyle w:val="ac"/>
                <w:rFonts w:ascii="宋体" w:hAnsi="宋体" w:cs="黑体"/>
                <w:b/>
                <w:bCs/>
                <w:noProof/>
                <w:kern w:val="0"/>
                <w:sz w:val="28"/>
                <w:szCs w:val="28"/>
                <w:lang w:bidi="ar"/>
              </w:rPr>
              <w:t>四、 土地估价规范</w:t>
            </w:r>
            <w:r w:rsidR="002A1705" w:rsidRPr="002A1705">
              <w:rPr>
                <w:rStyle w:val="ac"/>
                <w:rFonts w:cs="黑体"/>
                <w:b/>
                <w:bCs/>
                <w:webHidden/>
                <w:kern w:val="0"/>
                <w:sz w:val="28"/>
                <w:szCs w:val="28"/>
                <w:lang w:bidi="ar"/>
              </w:rPr>
              <w:tab/>
            </w:r>
            <w:r w:rsidR="002A1705" w:rsidRPr="002A1705">
              <w:rPr>
                <w:rStyle w:val="ac"/>
                <w:rFonts w:cs="黑体"/>
                <w:b/>
                <w:bCs/>
                <w:webHidden/>
                <w:kern w:val="0"/>
                <w:sz w:val="28"/>
                <w:szCs w:val="28"/>
                <w:lang w:bidi="ar"/>
              </w:rPr>
              <w:fldChar w:fldCharType="begin"/>
            </w:r>
            <w:r w:rsidR="002A1705" w:rsidRPr="002A1705">
              <w:rPr>
                <w:rStyle w:val="ac"/>
                <w:rFonts w:cs="黑体"/>
                <w:b/>
                <w:bCs/>
                <w:webHidden/>
                <w:kern w:val="0"/>
                <w:sz w:val="28"/>
                <w:szCs w:val="28"/>
                <w:lang w:bidi="ar"/>
              </w:rPr>
              <w:instrText xml:space="preserve"> PAGEREF _Toc112227411 \h </w:instrText>
            </w:r>
            <w:r w:rsidR="002A1705" w:rsidRPr="002A1705">
              <w:rPr>
                <w:rStyle w:val="ac"/>
                <w:rFonts w:cs="黑体"/>
                <w:b/>
                <w:bCs/>
                <w:webHidden/>
                <w:kern w:val="0"/>
                <w:sz w:val="28"/>
                <w:szCs w:val="28"/>
                <w:lang w:bidi="ar"/>
              </w:rPr>
            </w:r>
            <w:r w:rsidR="002A1705" w:rsidRPr="002A1705">
              <w:rPr>
                <w:rStyle w:val="ac"/>
                <w:rFonts w:cs="黑体"/>
                <w:b/>
                <w:bCs/>
                <w:webHidden/>
                <w:kern w:val="0"/>
                <w:sz w:val="28"/>
                <w:szCs w:val="28"/>
                <w:lang w:bidi="ar"/>
              </w:rPr>
              <w:fldChar w:fldCharType="separate"/>
            </w:r>
            <w:r w:rsidR="002A1705" w:rsidRPr="002A1705">
              <w:rPr>
                <w:rStyle w:val="ac"/>
                <w:rFonts w:cs="黑体"/>
                <w:b/>
                <w:bCs/>
                <w:webHidden/>
                <w:kern w:val="0"/>
                <w:sz w:val="28"/>
                <w:szCs w:val="28"/>
                <w:lang w:bidi="ar"/>
              </w:rPr>
              <w:t>440</w:t>
            </w:r>
            <w:r w:rsidR="002A1705" w:rsidRPr="002A1705">
              <w:rPr>
                <w:rStyle w:val="ac"/>
                <w:rFonts w:cs="黑体"/>
                <w:b/>
                <w:bCs/>
                <w:webHidden/>
                <w:kern w:val="0"/>
                <w:sz w:val="28"/>
                <w:szCs w:val="28"/>
                <w:lang w:bidi="ar"/>
              </w:rPr>
              <w:fldChar w:fldCharType="end"/>
            </w:r>
          </w:hyperlink>
        </w:p>
        <w:p w14:paraId="1092C078" w14:textId="48A42A83" w:rsidR="002A1705" w:rsidRPr="002A1705" w:rsidRDefault="00000000" w:rsidP="002A1705">
          <w:pPr>
            <w:pStyle w:val="TOC2"/>
            <w:tabs>
              <w:tab w:val="right" w:leader="dot" w:pos="8720"/>
            </w:tabs>
            <w:spacing w:line="312" w:lineRule="auto"/>
            <w:rPr>
              <w:rStyle w:val="ac"/>
              <w:b/>
              <w:bCs/>
              <w:sz w:val="24"/>
              <w:lang w:bidi="ar"/>
            </w:rPr>
          </w:pPr>
          <w:hyperlink w:anchor="_Toc112227412" w:history="1">
            <w:r w:rsidR="002A1705" w:rsidRPr="002A1705">
              <w:rPr>
                <w:rStyle w:val="ac"/>
                <w:rFonts w:ascii="宋体" w:hAnsi="宋体"/>
                <w:b/>
                <w:bCs/>
                <w:noProof/>
                <w:sz w:val="24"/>
                <w:lang w:bidi="ar"/>
              </w:rPr>
              <w:t>山东省规范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_Toc112227412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440</w:t>
            </w:r>
            <w:r w:rsidR="002A1705" w:rsidRPr="002A1705">
              <w:rPr>
                <w:rStyle w:val="ac"/>
                <w:b/>
                <w:bCs/>
                <w:webHidden/>
                <w:sz w:val="24"/>
                <w:lang w:bidi="ar"/>
              </w:rPr>
              <w:fldChar w:fldCharType="end"/>
            </w:r>
          </w:hyperlink>
        </w:p>
        <w:p w14:paraId="68EE8552" w14:textId="4B963AB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3" w:history="1">
            <w:r w:rsidR="002A1705" w:rsidRPr="002A1705">
              <w:rPr>
                <w:rStyle w:val="ac"/>
                <w:rFonts w:ascii="宋体" w:hAnsi="宋体" w:cs="宋体"/>
                <w:noProof/>
                <w:kern w:val="0"/>
                <w:sz w:val="22"/>
                <w:lang w:bidi="ar"/>
              </w:rPr>
              <w:t>关于泰安市征地地上附着物和青苗补偿标准的批复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440</w:t>
            </w:r>
            <w:r w:rsidR="002A1705" w:rsidRPr="002A1705">
              <w:rPr>
                <w:rStyle w:val="ac"/>
                <w:rFonts w:cs="宋体"/>
                <w:webHidden/>
                <w:kern w:val="0"/>
                <w:sz w:val="22"/>
                <w:lang w:bidi="ar"/>
              </w:rPr>
              <w:fldChar w:fldCharType="end"/>
            </w:r>
          </w:hyperlink>
        </w:p>
        <w:p w14:paraId="217D90CE" w14:textId="37BFCB1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4" w:history="1">
            <w:r w:rsidR="002A1705" w:rsidRPr="002A1705">
              <w:rPr>
                <w:rStyle w:val="ac"/>
                <w:rFonts w:ascii="宋体" w:hAnsi="宋体" w:cs="宋体"/>
                <w:noProof/>
                <w:kern w:val="0"/>
                <w:sz w:val="22"/>
                <w:lang w:bidi="ar"/>
              </w:rPr>
              <w:t>关于烟台市征地地上附着物和青苗补偿标准的批复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444</w:t>
            </w:r>
            <w:r w:rsidR="002A1705" w:rsidRPr="002A1705">
              <w:rPr>
                <w:rStyle w:val="ac"/>
                <w:rFonts w:cs="宋体"/>
                <w:webHidden/>
                <w:kern w:val="0"/>
                <w:sz w:val="22"/>
                <w:lang w:bidi="ar"/>
              </w:rPr>
              <w:fldChar w:fldCharType="end"/>
            </w:r>
          </w:hyperlink>
        </w:p>
        <w:p w14:paraId="6928E588" w14:textId="6BBF630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5" w:history="1">
            <w:r w:rsidR="002A1705" w:rsidRPr="002A1705">
              <w:rPr>
                <w:rStyle w:val="ac"/>
                <w:rFonts w:ascii="宋体" w:hAnsi="宋体" w:cs="宋体"/>
                <w:noProof/>
                <w:kern w:val="0"/>
                <w:sz w:val="22"/>
                <w:lang w:bidi="ar"/>
              </w:rPr>
              <w:t>关于青岛市征地地上附着物和青苗补偿标准的批复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449</w:t>
            </w:r>
            <w:r w:rsidR="002A1705" w:rsidRPr="002A1705">
              <w:rPr>
                <w:rStyle w:val="ac"/>
                <w:rFonts w:cs="宋体"/>
                <w:webHidden/>
                <w:kern w:val="0"/>
                <w:sz w:val="22"/>
                <w:lang w:bidi="ar"/>
              </w:rPr>
              <w:fldChar w:fldCharType="end"/>
            </w:r>
          </w:hyperlink>
        </w:p>
        <w:p w14:paraId="60FA832C" w14:textId="7E2104F6"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6" w:history="1">
            <w:r w:rsidR="002A1705" w:rsidRPr="002A1705">
              <w:rPr>
                <w:rStyle w:val="ac"/>
                <w:rFonts w:ascii="宋体" w:hAnsi="宋体" w:cs="宋体"/>
                <w:noProof/>
                <w:kern w:val="0"/>
                <w:sz w:val="22"/>
                <w:lang w:bidi="ar"/>
              </w:rPr>
              <w:t>关于枣庄市征地地上附着物和青苗补偿标准的批复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454</w:t>
            </w:r>
            <w:r w:rsidR="002A1705" w:rsidRPr="002A1705">
              <w:rPr>
                <w:rStyle w:val="ac"/>
                <w:rFonts w:cs="宋体"/>
                <w:webHidden/>
                <w:kern w:val="0"/>
                <w:sz w:val="22"/>
                <w:lang w:bidi="ar"/>
              </w:rPr>
              <w:fldChar w:fldCharType="end"/>
            </w:r>
          </w:hyperlink>
        </w:p>
        <w:p w14:paraId="058716FD" w14:textId="4DE23FB0"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7" w:history="1">
            <w:r w:rsidR="002A1705" w:rsidRPr="002A1705">
              <w:rPr>
                <w:rStyle w:val="ac"/>
                <w:rFonts w:ascii="宋体" w:hAnsi="宋体" w:cs="宋体"/>
                <w:noProof/>
                <w:kern w:val="0"/>
                <w:sz w:val="22"/>
                <w:lang w:bidi="ar"/>
              </w:rPr>
              <w:t>关于威海市征地地上附着物和青苗补偿标准的批复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460</w:t>
            </w:r>
            <w:r w:rsidR="002A1705" w:rsidRPr="002A1705">
              <w:rPr>
                <w:rStyle w:val="ac"/>
                <w:rFonts w:cs="宋体"/>
                <w:webHidden/>
                <w:kern w:val="0"/>
                <w:sz w:val="22"/>
                <w:lang w:bidi="ar"/>
              </w:rPr>
              <w:fldChar w:fldCharType="end"/>
            </w:r>
          </w:hyperlink>
        </w:p>
        <w:p w14:paraId="2A899FE2" w14:textId="32D5544C"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8" w:history="1">
            <w:r w:rsidR="002A1705" w:rsidRPr="002A1705">
              <w:rPr>
                <w:rStyle w:val="ac"/>
                <w:rFonts w:ascii="宋体" w:hAnsi="宋体" w:cs="宋体"/>
                <w:noProof/>
                <w:kern w:val="0"/>
                <w:sz w:val="22"/>
                <w:lang w:bidi="ar"/>
              </w:rPr>
              <w:t>关于潍坊市征地地上附着物和青苗补偿标准的批复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467</w:t>
            </w:r>
            <w:r w:rsidR="002A1705" w:rsidRPr="002A1705">
              <w:rPr>
                <w:rStyle w:val="ac"/>
                <w:rFonts w:cs="宋体"/>
                <w:webHidden/>
                <w:kern w:val="0"/>
                <w:sz w:val="22"/>
                <w:lang w:bidi="ar"/>
              </w:rPr>
              <w:fldChar w:fldCharType="end"/>
            </w:r>
          </w:hyperlink>
        </w:p>
        <w:p w14:paraId="7CC76EE0" w14:textId="1BDAAB77"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19" w:history="1">
            <w:r w:rsidR="002A1705" w:rsidRPr="002A1705">
              <w:rPr>
                <w:rStyle w:val="ac"/>
                <w:rFonts w:ascii="宋体" w:hAnsi="宋体" w:cs="宋体"/>
                <w:noProof/>
                <w:kern w:val="0"/>
                <w:sz w:val="22"/>
                <w:lang w:bidi="ar"/>
              </w:rPr>
              <w:t>关于济宁市征地地上附着物和青苗补偿标准的批复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_Toc112227419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472</w:t>
            </w:r>
            <w:r w:rsidR="002A1705" w:rsidRPr="002A1705">
              <w:rPr>
                <w:rStyle w:val="ac"/>
                <w:rFonts w:cs="宋体"/>
                <w:webHidden/>
                <w:kern w:val="0"/>
                <w:sz w:val="22"/>
                <w:lang w:bidi="ar"/>
              </w:rPr>
              <w:fldChar w:fldCharType="end"/>
            </w:r>
          </w:hyperlink>
        </w:p>
        <w:p w14:paraId="09F5760C" w14:textId="10B96ED3"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0" w:history="1">
            <w:r w:rsidR="002A1705" w:rsidRPr="002A1705">
              <w:rPr>
                <w:rStyle w:val="ac"/>
                <w:rFonts w:ascii="宋体" w:hAnsi="宋体" w:cs="宋体"/>
                <w:noProof/>
                <w:kern w:val="0"/>
                <w:sz w:val="22"/>
                <w:lang w:bidi="ar"/>
              </w:rPr>
              <w:t>关于菏泽市征地地上附着物和青苗补偿标准的批复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478</w:t>
            </w:r>
            <w:r w:rsidR="002A1705" w:rsidRPr="002A1705">
              <w:rPr>
                <w:rStyle w:val="ac"/>
                <w:rFonts w:cs="宋体"/>
                <w:webHidden/>
                <w:kern w:val="0"/>
                <w:sz w:val="22"/>
                <w:lang w:bidi="ar"/>
              </w:rPr>
              <w:fldChar w:fldCharType="end"/>
            </w:r>
          </w:hyperlink>
        </w:p>
        <w:p w14:paraId="28BE68C7" w14:textId="36EC3097"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1" w:history="1">
            <w:r w:rsidR="002A1705" w:rsidRPr="002A1705">
              <w:rPr>
                <w:rStyle w:val="ac"/>
                <w:rFonts w:ascii="宋体" w:hAnsi="宋体" w:cs="宋体"/>
                <w:noProof/>
                <w:kern w:val="0"/>
                <w:sz w:val="22"/>
                <w:lang w:bidi="ar"/>
              </w:rPr>
              <w:t>关于东营市征地地上附着物和青苗补偿标准的批复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484</w:t>
            </w:r>
            <w:r w:rsidR="002A1705" w:rsidRPr="002A1705">
              <w:rPr>
                <w:rStyle w:val="ac"/>
                <w:rFonts w:cs="宋体"/>
                <w:webHidden/>
                <w:kern w:val="0"/>
                <w:sz w:val="22"/>
                <w:lang w:bidi="ar"/>
              </w:rPr>
              <w:fldChar w:fldCharType="end"/>
            </w:r>
          </w:hyperlink>
        </w:p>
        <w:p w14:paraId="2BC65989" w14:textId="00B4FD6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2" w:history="1">
            <w:r w:rsidR="002A1705" w:rsidRPr="002A1705">
              <w:rPr>
                <w:rStyle w:val="ac"/>
                <w:rFonts w:ascii="宋体" w:hAnsi="宋体" w:cs="宋体"/>
                <w:noProof/>
                <w:kern w:val="0"/>
                <w:sz w:val="22"/>
                <w:lang w:bidi="ar"/>
              </w:rPr>
              <w:t>关于济南市征地地上附着物和青苗补偿标准的批复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489</w:t>
            </w:r>
            <w:r w:rsidR="002A1705" w:rsidRPr="002A1705">
              <w:rPr>
                <w:rStyle w:val="ac"/>
                <w:rFonts w:cs="宋体"/>
                <w:webHidden/>
                <w:kern w:val="0"/>
                <w:sz w:val="22"/>
                <w:lang w:bidi="ar"/>
              </w:rPr>
              <w:fldChar w:fldCharType="end"/>
            </w:r>
          </w:hyperlink>
        </w:p>
        <w:p w14:paraId="73659BEE" w14:textId="4BFBAD68"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3" w:history="1">
            <w:r w:rsidR="002A1705" w:rsidRPr="002A1705">
              <w:rPr>
                <w:rStyle w:val="ac"/>
                <w:rFonts w:ascii="宋体" w:hAnsi="宋体" w:cs="宋体"/>
                <w:noProof/>
                <w:kern w:val="0"/>
                <w:sz w:val="22"/>
                <w:lang w:bidi="ar"/>
              </w:rPr>
              <w:t>关于滨州市征地地上附着物和青苗补偿标准的批复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515</w:t>
            </w:r>
            <w:r w:rsidR="002A1705" w:rsidRPr="002A1705">
              <w:rPr>
                <w:rStyle w:val="ac"/>
                <w:rFonts w:cs="宋体"/>
                <w:webHidden/>
                <w:kern w:val="0"/>
                <w:sz w:val="22"/>
                <w:lang w:bidi="ar"/>
              </w:rPr>
              <w:fldChar w:fldCharType="end"/>
            </w:r>
          </w:hyperlink>
        </w:p>
        <w:p w14:paraId="1C1BFE63" w14:textId="1799E9B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4" w:history="1">
            <w:r w:rsidR="002A1705" w:rsidRPr="002A1705">
              <w:rPr>
                <w:rStyle w:val="ac"/>
                <w:rFonts w:ascii="宋体" w:hAnsi="宋体" w:cs="宋体"/>
                <w:noProof/>
                <w:kern w:val="0"/>
                <w:sz w:val="22"/>
                <w:lang w:bidi="ar"/>
              </w:rPr>
              <w:t>关于德州市征地地上附着物和青苗补偿标准的批复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518</w:t>
            </w:r>
            <w:r w:rsidR="002A1705" w:rsidRPr="002A1705">
              <w:rPr>
                <w:rStyle w:val="ac"/>
                <w:rFonts w:cs="宋体"/>
                <w:webHidden/>
                <w:kern w:val="0"/>
                <w:sz w:val="22"/>
                <w:lang w:bidi="ar"/>
              </w:rPr>
              <w:fldChar w:fldCharType="end"/>
            </w:r>
          </w:hyperlink>
        </w:p>
        <w:p w14:paraId="78FAD86E" w14:textId="4EB9E23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5" w:history="1">
            <w:r w:rsidR="002A1705" w:rsidRPr="002A1705">
              <w:rPr>
                <w:rStyle w:val="ac"/>
                <w:rFonts w:ascii="宋体" w:hAnsi="宋体" w:cs="宋体"/>
                <w:noProof/>
                <w:kern w:val="0"/>
                <w:sz w:val="22"/>
                <w:lang w:bidi="ar"/>
              </w:rPr>
              <w:t>关于淄博市征地地上附着物和青苗补偿标准的批复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523</w:t>
            </w:r>
            <w:r w:rsidR="002A1705" w:rsidRPr="002A1705">
              <w:rPr>
                <w:rStyle w:val="ac"/>
                <w:rFonts w:cs="宋体"/>
                <w:webHidden/>
                <w:kern w:val="0"/>
                <w:sz w:val="22"/>
                <w:lang w:bidi="ar"/>
              </w:rPr>
              <w:fldChar w:fldCharType="end"/>
            </w:r>
          </w:hyperlink>
        </w:p>
        <w:p w14:paraId="4A4DE434" w14:textId="5C003D3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6" w:history="1">
            <w:r w:rsidR="002A1705" w:rsidRPr="002A1705">
              <w:rPr>
                <w:rStyle w:val="ac"/>
                <w:rFonts w:ascii="宋体" w:hAnsi="宋体" w:cs="宋体"/>
                <w:noProof/>
                <w:kern w:val="0"/>
                <w:sz w:val="22"/>
                <w:lang w:bidi="ar"/>
              </w:rPr>
              <w:t>关于日照市征地地上附着物和青苗补偿标准的批复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528</w:t>
            </w:r>
            <w:r w:rsidR="002A1705" w:rsidRPr="002A1705">
              <w:rPr>
                <w:rStyle w:val="ac"/>
                <w:rFonts w:cs="宋体"/>
                <w:webHidden/>
                <w:kern w:val="0"/>
                <w:sz w:val="22"/>
                <w:lang w:bidi="ar"/>
              </w:rPr>
              <w:fldChar w:fldCharType="end"/>
            </w:r>
          </w:hyperlink>
        </w:p>
        <w:p w14:paraId="29387CA1" w14:textId="20169434"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7" w:history="1">
            <w:r w:rsidR="002A1705" w:rsidRPr="002A1705">
              <w:rPr>
                <w:rStyle w:val="ac"/>
                <w:rFonts w:ascii="宋体" w:hAnsi="宋体" w:cs="宋体"/>
                <w:noProof/>
                <w:kern w:val="0"/>
                <w:sz w:val="22"/>
                <w:lang w:bidi="ar"/>
              </w:rPr>
              <w:t>关于聊城市征地地上附着物和青苗补偿标准的批复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533</w:t>
            </w:r>
            <w:r w:rsidR="002A1705" w:rsidRPr="002A1705">
              <w:rPr>
                <w:rStyle w:val="ac"/>
                <w:rFonts w:cs="宋体"/>
                <w:webHidden/>
                <w:kern w:val="0"/>
                <w:sz w:val="22"/>
                <w:lang w:bidi="ar"/>
              </w:rPr>
              <w:fldChar w:fldCharType="end"/>
            </w:r>
          </w:hyperlink>
        </w:p>
        <w:p w14:paraId="7711E8E1" w14:textId="0FAC8CC3"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28" w:history="1">
            <w:r w:rsidR="002A1705" w:rsidRPr="002A1705">
              <w:rPr>
                <w:rStyle w:val="ac"/>
                <w:rFonts w:ascii="宋体" w:hAnsi="宋体" w:cs="宋体"/>
                <w:noProof/>
                <w:kern w:val="0"/>
                <w:sz w:val="22"/>
                <w:lang w:bidi="ar"/>
              </w:rPr>
              <w:t>关于临沂市征地地上附着物和青苗补偿标准的批复</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_Toc112227428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539</w:t>
            </w:r>
            <w:r w:rsidR="002A1705" w:rsidRPr="002A1705">
              <w:rPr>
                <w:rStyle w:val="ac"/>
                <w:rFonts w:cs="宋体"/>
                <w:webHidden/>
                <w:kern w:val="0"/>
                <w:sz w:val="22"/>
                <w:lang w:bidi="ar"/>
              </w:rPr>
              <w:fldChar w:fldCharType="end"/>
            </w:r>
          </w:hyperlink>
        </w:p>
        <w:p w14:paraId="051FE904" w14:textId="3349D4CA" w:rsidR="002A1705" w:rsidRPr="002A1705" w:rsidRDefault="00000000" w:rsidP="002A1705">
          <w:pPr>
            <w:pStyle w:val="TOC2"/>
            <w:tabs>
              <w:tab w:val="right" w:leader="dot" w:pos="8720"/>
            </w:tabs>
            <w:spacing w:line="312" w:lineRule="auto"/>
            <w:rPr>
              <w:rStyle w:val="ac"/>
              <w:b/>
              <w:bCs/>
              <w:sz w:val="24"/>
              <w:lang w:bidi="ar"/>
            </w:rPr>
          </w:pPr>
          <w:hyperlink w:anchor="_Toc112227429" w:history="1">
            <w:r w:rsidR="002A1705" w:rsidRPr="002A1705">
              <w:rPr>
                <w:rStyle w:val="ac"/>
                <w:rFonts w:ascii="宋体" w:hAnsi="宋体"/>
                <w:b/>
                <w:bCs/>
                <w:noProof/>
                <w:sz w:val="24"/>
                <w:lang w:bidi="ar"/>
              </w:rPr>
              <w:t>北京市规范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_Toc112227429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545</w:t>
            </w:r>
            <w:r w:rsidR="002A1705" w:rsidRPr="002A1705">
              <w:rPr>
                <w:rStyle w:val="ac"/>
                <w:b/>
                <w:bCs/>
                <w:webHidden/>
                <w:sz w:val="24"/>
                <w:lang w:bidi="ar"/>
              </w:rPr>
              <w:fldChar w:fldCharType="end"/>
            </w:r>
          </w:hyperlink>
        </w:p>
        <w:p w14:paraId="343AF9DF" w14:textId="306B702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0" w:history="1">
            <w:r w:rsidR="002A1705" w:rsidRPr="002A1705">
              <w:rPr>
                <w:rStyle w:val="ac"/>
                <w:rFonts w:ascii="宋体" w:hAnsi="宋体" w:cs="宋体"/>
                <w:noProof/>
                <w:kern w:val="0"/>
                <w:sz w:val="22"/>
                <w:lang w:bidi="ar"/>
              </w:rPr>
              <w:t>关于发布《北京市协议出让涉及的划拨地价评估技术指引（试行）》的通知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545</w:t>
            </w:r>
            <w:r w:rsidR="002A1705" w:rsidRPr="002A1705">
              <w:rPr>
                <w:rStyle w:val="ac"/>
                <w:rFonts w:cs="宋体"/>
                <w:webHidden/>
                <w:kern w:val="0"/>
                <w:sz w:val="22"/>
                <w:lang w:bidi="ar"/>
              </w:rPr>
              <w:fldChar w:fldCharType="end"/>
            </w:r>
          </w:hyperlink>
        </w:p>
        <w:p w14:paraId="5590BB6C" w14:textId="181D0C59" w:rsidR="002A1705" w:rsidRPr="002A1705" w:rsidRDefault="00000000" w:rsidP="002A1705">
          <w:pPr>
            <w:pStyle w:val="TOC1"/>
            <w:tabs>
              <w:tab w:val="right" w:leader="dot" w:pos="8720"/>
            </w:tabs>
            <w:spacing w:line="312" w:lineRule="auto"/>
            <w:rPr>
              <w:rStyle w:val="ac"/>
              <w:rFonts w:cs="黑体"/>
              <w:b/>
              <w:bCs/>
              <w:kern w:val="0"/>
              <w:sz w:val="28"/>
              <w:szCs w:val="28"/>
              <w:lang w:bidi="ar"/>
            </w:rPr>
          </w:pPr>
          <w:hyperlink w:anchor="_Toc112227431" w:history="1">
            <w:r w:rsidR="002A1705" w:rsidRPr="002A1705">
              <w:rPr>
                <w:rStyle w:val="ac"/>
                <w:rFonts w:ascii="宋体" w:hAnsi="宋体" w:cs="黑体"/>
                <w:b/>
                <w:bCs/>
                <w:noProof/>
                <w:kern w:val="0"/>
                <w:sz w:val="28"/>
                <w:szCs w:val="28"/>
                <w:lang w:bidi="ar"/>
              </w:rPr>
              <w:t>五、 矿业权评估准则</w:t>
            </w:r>
            <w:r w:rsidR="002A1705" w:rsidRPr="002A1705">
              <w:rPr>
                <w:rStyle w:val="ac"/>
                <w:rFonts w:cs="黑体"/>
                <w:b/>
                <w:bCs/>
                <w:webHidden/>
                <w:kern w:val="0"/>
                <w:sz w:val="28"/>
                <w:szCs w:val="28"/>
                <w:lang w:bidi="ar"/>
              </w:rPr>
              <w:tab/>
            </w:r>
            <w:r w:rsidR="002A1705" w:rsidRPr="002A1705">
              <w:rPr>
                <w:rStyle w:val="ac"/>
                <w:rFonts w:cs="黑体"/>
                <w:b/>
                <w:bCs/>
                <w:webHidden/>
                <w:kern w:val="0"/>
                <w:sz w:val="28"/>
                <w:szCs w:val="28"/>
                <w:lang w:bidi="ar"/>
              </w:rPr>
              <w:fldChar w:fldCharType="begin"/>
            </w:r>
            <w:r w:rsidR="002A1705" w:rsidRPr="002A1705">
              <w:rPr>
                <w:rStyle w:val="ac"/>
                <w:rFonts w:cs="黑体"/>
                <w:b/>
                <w:bCs/>
                <w:webHidden/>
                <w:kern w:val="0"/>
                <w:sz w:val="28"/>
                <w:szCs w:val="28"/>
                <w:lang w:bidi="ar"/>
              </w:rPr>
              <w:instrText xml:space="preserve"> PAGEREF _Toc112227431 \h </w:instrText>
            </w:r>
            <w:r w:rsidR="002A1705" w:rsidRPr="002A1705">
              <w:rPr>
                <w:rStyle w:val="ac"/>
                <w:rFonts w:cs="黑体"/>
                <w:b/>
                <w:bCs/>
                <w:webHidden/>
                <w:kern w:val="0"/>
                <w:sz w:val="28"/>
                <w:szCs w:val="28"/>
                <w:lang w:bidi="ar"/>
              </w:rPr>
            </w:r>
            <w:r w:rsidR="002A1705" w:rsidRPr="002A1705">
              <w:rPr>
                <w:rStyle w:val="ac"/>
                <w:rFonts w:cs="黑体"/>
                <w:b/>
                <w:bCs/>
                <w:webHidden/>
                <w:kern w:val="0"/>
                <w:sz w:val="28"/>
                <w:szCs w:val="28"/>
                <w:lang w:bidi="ar"/>
              </w:rPr>
              <w:fldChar w:fldCharType="separate"/>
            </w:r>
            <w:r w:rsidR="002A1705" w:rsidRPr="002A1705">
              <w:rPr>
                <w:rStyle w:val="ac"/>
                <w:rFonts w:cs="黑体"/>
                <w:b/>
                <w:bCs/>
                <w:webHidden/>
                <w:kern w:val="0"/>
                <w:sz w:val="28"/>
                <w:szCs w:val="28"/>
                <w:lang w:bidi="ar"/>
              </w:rPr>
              <w:t>564</w:t>
            </w:r>
            <w:r w:rsidR="002A1705" w:rsidRPr="002A1705">
              <w:rPr>
                <w:rStyle w:val="ac"/>
                <w:rFonts w:cs="黑体"/>
                <w:b/>
                <w:bCs/>
                <w:webHidden/>
                <w:kern w:val="0"/>
                <w:sz w:val="28"/>
                <w:szCs w:val="28"/>
                <w:lang w:bidi="ar"/>
              </w:rPr>
              <w:fldChar w:fldCharType="end"/>
            </w:r>
          </w:hyperlink>
        </w:p>
        <w:p w14:paraId="2C730F27" w14:textId="20DE646F" w:rsidR="002A1705" w:rsidRPr="002A1705" w:rsidRDefault="00000000" w:rsidP="002A1705">
          <w:pPr>
            <w:pStyle w:val="TOC2"/>
            <w:tabs>
              <w:tab w:val="right" w:leader="dot" w:pos="8720"/>
            </w:tabs>
            <w:spacing w:line="312" w:lineRule="auto"/>
            <w:rPr>
              <w:rStyle w:val="ac"/>
              <w:b/>
              <w:bCs/>
              <w:sz w:val="24"/>
              <w:lang w:bidi="ar"/>
            </w:rPr>
          </w:pPr>
          <w:hyperlink w:anchor="_Toc112227432" w:history="1">
            <w:r w:rsidR="002A1705" w:rsidRPr="002A1705">
              <w:rPr>
                <w:rStyle w:val="ac"/>
                <w:rFonts w:ascii="宋体" w:hAnsi="宋体"/>
                <w:b/>
                <w:bCs/>
                <w:noProof/>
                <w:sz w:val="24"/>
                <w:lang w:bidi="ar"/>
              </w:rPr>
              <w:t>矿业权评估基本准则</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_Toc112227432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564</w:t>
            </w:r>
            <w:r w:rsidR="002A1705" w:rsidRPr="002A1705">
              <w:rPr>
                <w:rStyle w:val="ac"/>
                <w:b/>
                <w:bCs/>
                <w:webHidden/>
                <w:sz w:val="24"/>
                <w:lang w:bidi="ar"/>
              </w:rPr>
              <w:fldChar w:fldCharType="end"/>
            </w:r>
          </w:hyperlink>
        </w:p>
        <w:p w14:paraId="55191ABE" w14:textId="1BD84B72"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3" w:history="1">
            <w:r w:rsidR="002A1705" w:rsidRPr="002A1705">
              <w:rPr>
                <w:rStyle w:val="ac"/>
                <w:rFonts w:ascii="宋体" w:hAnsi="宋体" w:cs="宋体"/>
                <w:noProof/>
                <w:kern w:val="0"/>
                <w:sz w:val="22"/>
                <w:lang w:bidi="ar"/>
              </w:rPr>
              <w:t>评估师职业道德基本准则</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564</w:t>
            </w:r>
            <w:r w:rsidR="002A1705" w:rsidRPr="002A1705">
              <w:rPr>
                <w:rStyle w:val="ac"/>
                <w:rFonts w:cs="宋体"/>
                <w:webHidden/>
                <w:kern w:val="0"/>
                <w:sz w:val="22"/>
                <w:lang w:bidi="ar"/>
              </w:rPr>
              <w:fldChar w:fldCharType="end"/>
            </w:r>
          </w:hyperlink>
        </w:p>
        <w:p w14:paraId="3F23C11E" w14:textId="6A604B7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4" w:history="1">
            <w:r w:rsidR="002A1705" w:rsidRPr="002A1705">
              <w:rPr>
                <w:rStyle w:val="ac"/>
                <w:rFonts w:ascii="宋体" w:hAnsi="宋体" w:cs="宋体"/>
                <w:noProof/>
                <w:kern w:val="0"/>
                <w:sz w:val="22"/>
                <w:lang w:bidi="ar"/>
              </w:rPr>
              <w:t>矿业权评估技术基本准则</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564</w:t>
            </w:r>
            <w:r w:rsidR="002A1705" w:rsidRPr="002A1705">
              <w:rPr>
                <w:rStyle w:val="ac"/>
                <w:rFonts w:cs="宋体"/>
                <w:webHidden/>
                <w:kern w:val="0"/>
                <w:sz w:val="22"/>
                <w:lang w:bidi="ar"/>
              </w:rPr>
              <w:fldChar w:fldCharType="end"/>
            </w:r>
          </w:hyperlink>
        </w:p>
        <w:p w14:paraId="59B46A6C" w14:textId="3838077F" w:rsidR="002A1705" w:rsidRPr="002A1705" w:rsidRDefault="00000000" w:rsidP="002A1705">
          <w:pPr>
            <w:pStyle w:val="TOC2"/>
            <w:tabs>
              <w:tab w:val="right" w:leader="dot" w:pos="8720"/>
            </w:tabs>
            <w:spacing w:line="312" w:lineRule="auto"/>
            <w:rPr>
              <w:rStyle w:val="ac"/>
              <w:b/>
              <w:bCs/>
              <w:sz w:val="24"/>
              <w:lang w:bidi="ar"/>
            </w:rPr>
          </w:pPr>
          <w:hyperlink w:anchor="_Toc112227435" w:history="1">
            <w:r w:rsidR="002A1705" w:rsidRPr="002A1705">
              <w:rPr>
                <w:rStyle w:val="ac"/>
                <w:rFonts w:ascii="宋体" w:hAnsi="宋体"/>
                <w:b/>
                <w:bCs/>
                <w:noProof/>
                <w:sz w:val="24"/>
                <w:lang w:bidi="ar"/>
              </w:rPr>
              <w:t>矿业权评估技术规范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_Toc112227435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572</w:t>
            </w:r>
            <w:r w:rsidR="002A1705" w:rsidRPr="002A1705">
              <w:rPr>
                <w:rStyle w:val="ac"/>
                <w:b/>
                <w:bCs/>
                <w:webHidden/>
                <w:sz w:val="24"/>
                <w:lang w:bidi="ar"/>
              </w:rPr>
              <w:fldChar w:fldCharType="end"/>
            </w:r>
          </w:hyperlink>
        </w:p>
        <w:p w14:paraId="796398DB" w14:textId="2F6B15E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6" w:history="1">
            <w:r w:rsidR="002A1705" w:rsidRPr="002A1705">
              <w:rPr>
                <w:rStyle w:val="ac"/>
                <w:rFonts w:ascii="宋体" w:hAnsi="宋体" w:cs="宋体"/>
                <w:noProof/>
                <w:kern w:val="0"/>
                <w:sz w:val="22"/>
                <w:lang w:bidi="ar"/>
              </w:rPr>
              <w:t>矿业权评估程序规范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572</w:t>
            </w:r>
            <w:r w:rsidR="002A1705" w:rsidRPr="002A1705">
              <w:rPr>
                <w:rStyle w:val="ac"/>
                <w:rFonts w:cs="宋体"/>
                <w:webHidden/>
                <w:kern w:val="0"/>
                <w:sz w:val="22"/>
                <w:lang w:bidi="ar"/>
              </w:rPr>
              <w:fldChar w:fldCharType="end"/>
            </w:r>
          </w:hyperlink>
        </w:p>
        <w:p w14:paraId="7CEC11C6" w14:textId="7C76C7E1"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7" w:history="1">
            <w:r w:rsidR="002A1705" w:rsidRPr="002A1705">
              <w:rPr>
                <w:rStyle w:val="ac"/>
                <w:rFonts w:ascii="宋体" w:hAnsi="宋体" w:cs="宋体"/>
                <w:noProof/>
                <w:kern w:val="0"/>
                <w:sz w:val="22"/>
                <w:lang w:bidi="ar"/>
              </w:rPr>
              <w:t>矿业权评估业务约定书规范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_Toc112227437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575</w:t>
            </w:r>
            <w:r w:rsidR="002A1705" w:rsidRPr="002A1705">
              <w:rPr>
                <w:rStyle w:val="ac"/>
                <w:rFonts w:cs="宋体"/>
                <w:webHidden/>
                <w:kern w:val="0"/>
                <w:sz w:val="22"/>
                <w:lang w:bidi="ar"/>
              </w:rPr>
              <w:fldChar w:fldCharType="end"/>
            </w:r>
          </w:hyperlink>
        </w:p>
        <w:p w14:paraId="0772E1D4" w14:textId="625B777D"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8" w:history="1">
            <w:r w:rsidR="002A1705" w:rsidRPr="002A1705">
              <w:rPr>
                <w:rStyle w:val="ac"/>
                <w:rFonts w:ascii="宋体" w:hAnsi="宋体" w:cs="宋体"/>
                <w:noProof/>
                <w:kern w:val="0"/>
                <w:sz w:val="22"/>
                <w:lang w:bidi="ar"/>
              </w:rPr>
              <w:t>矿业权评估项目工作底稿规范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579</w:t>
            </w:r>
            <w:r w:rsidR="002A1705" w:rsidRPr="002A1705">
              <w:rPr>
                <w:rStyle w:val="ac"/>
                <w:rFonts w:cs="宋体"/>
                <w:webHidden/>
                <w:kern w:val="0"/>
                <w:sz w:val="22"/>
                <w:lang w:bidi="ar"/>
              </w:rPr>
              <w:fldChar w:fldCharType="end"/>
            </w:r>
          </w:hyperlink>
        </w:p>
        <w:p w14:paraId="5D4E3018" w14:textId="346602BF"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39" w:history="1">
            <w:r w:rsidR="002A1705" w:rsidRPr="002A1705">
              <w:rPr>
                <w:rStyle w:val="ac"/>
                <w:rFonts w:ascii="宋体" w:hAnsi="宋体" w:cs="宋体"/>
                <w:noProof/>
                <w:kern w:val="0"/>
                <w:sz w:val="22"/>
                <w:lang w:bidi="ar"/>
              </w:rPr>
              <w:t>矿业权评估项目档案管理规范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_Toc112227439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581</w:t>
            </w:r>
            <w:r w:rsidR="002A1705" w:rsidRPr="002A1705">
              <w:rPr>
                <w:rStyle w:val="ac"/>
                <w:rFonts w:cs="宋体"/>
                <w:webHidden/>
                <w:kern w:val="0"/>
                <w:sz w:val="22"/>
                <w:lang w:bidi="ar"/>
              </w:rPr>
              <w:fldChar w:fldCharType="end"/>
            </w:r>
          </w:hyperlink>
        </w:p>
        <w:p w14:paraId="1B97FDC2" w14:textId="6A8A661B"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0" w:history="1">
            <w:r w:rsidR="002A1705" w:rsidRPr="002A1705">
              <w:rPr>
                <w:rStyle w:val="ac"/>
                <w:rFonts w:ascii="宋体" w:hAnsi="宋体" w:cs="宋体"/>
                <w:noProof/>
                <w:kern w:val="0"/>
                <w:sz w:val="22"/>
                <w:lang w:bidi="ar"/>
              </w:rPr>
              <w:t>矿业权评估报告编制规范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583</w:t>
            </w:r>
            <w:r w:rsidR="002A1705" w:rsidRPr="002A1705">
              <w:rPr>
                <w:rStyle w:val="ac"/>
                <w:rFonts w:cs="宋体"/>
                <w:webHidden/>
                <w:kern w:val="0"/>
                <w:sz w:val="22"/>
                <w:lang w:bidi="ar"/>
              </w:rPr>
              <w:fldChar w:fldCharType="end"/>
            </w:r>
          </w:hyperlink>
        </w:p>
        <w:p w14:paraId="30EECAAD" w14:textId="76F73452" w:rsidR="002A1705" w:rsidRPr="002A1705" w:rsidRDefault="00000000" w:rsidP="002A1705">
          <w:pPr>
            <w:pStyle w:val="TOC2"/>
            <w:tabs>
              <w:tab w:val="right" w:leader="dot" w:pos="8720"/>
            </w:tabs>
            <w:spacing w:line="312" w:lineRule="auto"/>
            <w:rPr>
              <w:rStyle w:val="ac"/>
              <w:b/>
              <w:bCs/>
              <w:sz w:val="24"/>
              <w:lang w:bidi="ar"/>
            </w:rPr>
          </w:pPr>
          <w:hyperlink w:anchor="_Toc112227441" w:history="1">
            <w:r w:rsidR="002A1705" w:rsidRPr="002A1705">
              <w:rPr>
                <w:rStyle w:val="ac"/>
                <w:rFonts w:ascii="宋体" w:hAnsi="宋体"/>
                <w:b/>
                <w:bCs/>
                <w:noProof/>
                <w:sz w:val="24"/>
                <w:lang w:bidi="ar"/>
              </w:rPr>
              <w:t>评估方法规范</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_Toc112227441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588</w:t>
            </w:r>
            <w:r w:rsidR="002A1705" w:rsidRPr="002A1705">
              <w:rPr>
                <w:rStyle w:val="ac"/>
                <w:b/>
                <w:bCs/>
                <w:webHidden/>
                <w:sz w:val="24"/>
                <w:lang w:bidi="ar"/>
              </w:rPr>
              <w:fldChar w:fldCharType="end"/>
            </w:r>
          </w:hyperlink>
        </w:p>
        <w:p w14:paraId="53E22876" w14:textId="52EFAA5E"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2" w:history="1">
            <w:r w:rsidR="002A1705" w:rsidRPr="002A1705">
              <w:rPr>
                <w:rStyle w:val="ac"/>
                <w:rFonts w:ascii="宋体" w:hAnsi="宋体" w:cs="宋体"/>
                <w:noProof/>
                <w:kern w:val="0"/>
                <w:sz w:val="22"/>
                <w:lang w:bidi="ar"/>
              </w:rPr>
              <w:t>收益途径评估方法规范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588</w:t>
            </w:r>
            <w:r w:rsidR="002A1705" w:rsidRPr="002A1705">
              <w:rPr>
                <w:rStyle w:val="ac"/>
                <w:rFonts w:cs="宋体"/>
                <w:webHidden/>
                <w:kern w:val="0"/>
                <w:sz w:val="22"/>
                <w:lang w:bidi="ar"/>
              </w:rPr>
              <w:fldChar w:fldCharType="end"/>
            </w:r>
          </w:hyperlink>
        </w:p>
        <w:p w14:paraId="26371A00" w14:textId="6F75DBE7"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3" w:history="1">
            <w:r w:rsidR="002A1705" w:rsidRPr="002A1705">
              <w:rPr>
                <w:rStyle w:val="ac"/>
                <w:rFonts w:ascii="宋体" w:hAnsi="宋体" w:cs="宋体"/>
                <w:noProof/>
                <w:kern w:val="0"/>
                <w:sz w:val="22"/>
                <w:lang w:bidi="ar"/>
              </w:rPr>
              <w:t>成本途径评估方法规范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_Toc112227443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600</w:t>
            </w:r>
            <w:r w:rsidR="002A1705" w:rsidRPr="002A1705">
              <w:rPr>
                <w:rStyle w:val="ac"/>
                <w:rFonts w:cs="宋体"/>
                <w:webHidden/>
                <w:kern w:val="0"/>
                <w:sz w:val="22"/>
                <w:lang w:bidi="ar"/>
              </w:rPr>
              <w:fldChar w:fldCharType="end"/>
            </w:r>
          </w:hyperlink>
        </w:p>
        <w:p w14:paraId="2AED3164" w14:textId="64FEBFD9"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4" w:history="1">
            <w:r w:rsidR="002A1705" w:rsidRPr="002A1705">
              <w:rPr>
                <w:rStyle w:val="ac"/>
                <w:rFonts w:ascii="宋体" w:hAnsi="宋体" w:cs="宋体"/>
                <w:noProof/>
                <w:kern w:val="0"/>
                <w:sz w:val="22"/>
                <w:lang w:bidi="ar"/>
              </w:rPr>
              <w:t>市场途径评估方法规范</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_Toc112227444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605</w:t>
            </w:r>
            <w:r w:rsidR="002A1705" w:rsidRPr="002A1705">
              <w:rPr>
                <w:rStyle w:val="ac"/>
                <w:rFonts w:cs="宋体"/>
                <w:webHidden/>
                <w:kern w:val="0"/>
                <w:sz w:val="22"/>
                <w:lang w:bidi="ar"/>
              </w:rPr>
              <w:fldChar w:fldCharType="end"/>
            </w:r>
          </w:hyperlink>
        </w:p>
        <w:p w14:paraId="688C966D" w14:textId="75BA80B3"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5" w:history="1">
            <w:r w:rsidR="002A1705" w:rsidRPr="002A1705">
              <w:rPr>
                <w:rStyle w:val="ac"/>
                <w:rFonts w:ascii="宋体" w:hAnsi="宋体" w:cs="宋体"/>
                <w:noProof/>
                <w:kern w:val="0"/>
                <w:sz w:val="22"/>
                <w:lang w:bidi="ar"/>
              </w:rPr>
              <w:t>矿业权价款评估应用指南</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_Toc112227445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610</w:t>
            </w:r>
            <w:r w:rsidR="002A1705" w:rsidRPr="002A1705">
              <w:rPr>
                <w:rStyle w:val="ac"/>
                <w:rFonts w:cs="宋体"/>
                <w:webHidden/>
                <w:kern w:val="0"/>
                <w:sz w:val="22"/>
                <w:lang w:bidi="ar"/>
              </w:rPr>
              <w:fldChar w:fldCharType="end"/>
            </w:r>
          </w:hyperlink>
        </w:p>
        <w:p w14:paraId="7473D047" w14:textId="565ED191"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6" w:history="1">
            <w:r w:rsidR="002A1705" w:rsidRPr="002A1705">
              <w:rPr>
                <w:rStyle w:val="ac"/>
                <w:rFonts w:ascii="宋体" w:hAnsi="宋体" w:cs="宋体"/>
                <w:noProof/>
                <w:kern w:val="0"/>
                <w:sz w:val="22"/>
                <w:lang w:bidi="ar"/>
              </w:rPr>
              <w:t>矿业权转让评估应用指南</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_Toc112227446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616</w:t>
            </w:r>
            <w:r w:rsidR="002A1705" w:rsidRPr="002A1705">
              <w:rPr>
                <w:rStyle w:val="ac"/>
                <w:rFonts w:cs="宋体"/>
                <w:webHidden/>
                <w:kern w:val="0"/>
                <w:sz w:val="22"/>
                <w:lang w:bidi="ar"/>
              </w:rPr>
              <w:fldChar w:fldCharType="end"/>
            </w:r>
          </w:hyperlink>
        </w:p>
        <w:p w14:paraId="1A0A173A" w14:textId="64FE57D3" w:rsidR="002A1705" w:rsidRPr="002A1705" w:rsidRDefault="00000000" w:rsidP="002A1705">
          <w:pPr>
            <w:pStyle w:val="TOC2"/>
            <w:tabs>
              <w:tab w:val="right" w:leader="dot" w:pos="8720"/>
            </w:tabs>
            <w:spacing w:line="312" w:lineRule="auto"/>
            <w:rPr>
              <w:rStyle w:val="ac"/>
              <w:b/>
              <w:bCs/>
              <w:sz w:val="24"/>
              <w:lang w:bidi="ar"/>
            </w:rPr>
          </w:pPr>
          <w:hyperlink w:anchor="_Toc112227447" w:history="1">
            <w:r w:rsidR="002A1705" w:rsidRPr="002A1705">
              <w:rPr>
                <w:rStyle w:val="ac"/>
                <w:rFonts w:ascii="宋体" w:hAnsi="宋体"/>
                <w:b/>
                <w:bCs/>
                <w:noProof/>
                <w:sz w:val="24"/>
                <w:lang w:bidi="ar"/>
              </w:rPr>
              <w:t>矿业权评估指导意见</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_Toc112227447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629</w:t>
            </w:r>
            <w:r w:rsidR="002A1705" w:rsidRPr="002A1705">
              <w:rPr>
                <w:rStyle w:val="ac"/>
                <w:b/>
                <w:bCs/>
                <w:webHidden/>
                <w:sz w:val="24"/>
                <w:lang w:bidi="ar"/>
              </w:rPr>
              <w:fldChar w:fldCharType="end"/>
            </w:r>
          </w:hyperlink>
        </w:p>
        <w:p w14:paraId="1029C10C" w14:textId="612F5101"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48" w:history="1">
            <w:r w:rsidR="002A1705" w:rsidRPr="002A1705">
              <w:rPr>
                <w:rStyle w:val="ac"/>
                <w:rFonts w:ascii="宋体" w:hAnsi="宋体" w:cs="宋体"/>
                <w:noProof/>
                <w:kern w:val="0"/>
                <w:sz w:val="22"/>
                <w:lang w:bidi="ar"/>
              </w:rPr>
              <w:t>确定评估基准日指导意见</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_Toc112227448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629</w:t>
            </w:r>
            <w:r w:rsidR="002A1705" w:rsidRPr="002A1705">
              <w:rPr>
                <w:rStyle w:val="ac"/>
                <w:rFonts w:cs="宋体"/>
                <w:webHidden/>
                <w:kern w:val="0"/>
                <w:sz w:val="22"/>
                <w:lang w:bidi="ar"/>
              </w:rPr>
              <w:fldChar w:fldCharType="end"/>
            </w:r>
          </w:hyperlink>
        </w:p>
        <w:p w14:paraId="2CDFACF2" w14:textId="6CA332BB" w:rsidR="002A1705" w:rsidRPr="002A1705" w:rsidRDefault="00000000" w:rsidP="002A1705">
          <w:pPr>
            <w:pStyle w:val="TOC2"/>
            <w:tabs>
              <w:tab w:val="right" w:leader="dot" w:pos="8720"/>
            </w:tabs>
            <w:spacing w:line="312" w:lineRule="auto"/>
            <w:rPr>
              <w:rStyle w:val="ac"/>
              <w:b/>
              <w:bCs/>
              <w:sz w:val="24"/>
              <w:lang w:bidi="ar"/>
            </w:rPr>
          </w:pPr>
          <w:hyperlink w:anchor="_Toc112227449" w:history="1">
            <w:r w:rsidR="002A1705" w:rsidRPr="002A1705">
              <w:rPr>
                <w:rStyle w:val="ac"/>
                <w:rFonts w:ascii="宋体" w:hAnsi="宋体"/>
                <w:b/>
                <w:bCs/>
                <w:noProof/>
                <w:sz w:val="24"/>
                <w:lang w:bidi="ar"/>
              </w:rPr>
              <w:t>其他</w:t>
            </w:r>
            <w:r w:rsidR="002A1705" w:rsidRPr="002A1705">
              <w:rPr>
                <w:rStyle w:val="ac"/>
                <w:b/>
                <w:bCs/>
                <w:webHidden/>
                <w:sz w:val="24"/>
                <w:lang w:bidi="ar"/>
              </w:rPr>
              <w:tab/>
            </w:r>
            <w:r w:rsidR="002A1705" w:rsidRPr="002A1705">
              <w:rPr>
                <w:rStyle w:val="ac"/>
                <w:b/>
                <w:bCs/>
                <w:webHidden/>
                <w:sz w:val="24"/>
                <w:lang w:bidi="ar"/>
              </w:rPr>
              <w:fldChar w:fldCharType="begin"/>
            </w:r>
            <w:r w:rsidR="002A1705" w:rsidRPr="002A1705">
              <w:rPr>
                <w:rStyle w:val="ac"/>
                <w:b/>
                <w:bCs/>
                <w:webHidden/>
                <w:sz w:val="24"/>
                <w:lang w:bidi="ar"/>
              </w:rPr>
              <w:instrText xml:space="preserve"> PAGEREF _Toc112227449 \h </w:instrText>
            </w:r>
            <w:r w:rsidR="002A1705" w:rsidRPr="002A1705">
              <w:rPr>
                <w:rStyle w:val="ac"/>
                <w:b/>
                <w:bCs/>
                <w:webHidden/>
                <w:sz w:val="24"/>
                <w:lang w:bidi="ar"/>
              </w:rPr>
            </w:r>
            <w:r w:rsidR="002A1705" w:rsidRPr="002A1705">
              <w:rPr>
                <w:rStyle w:val="ac"/>
                <w:b/>
                <w:bCs/>
                <w:webHidden/>
                <w:sz w:val="24"/>
                <w:lang w:bidi="ar"/>
              </w:rPr>
              <w:fldChar w:fldCharType="separate"/>
            </w:r>
            <w:r w:rsidR="002A1705" w:rsidRPr="002A1705">
              <w:rPr>
                <w:rStyle w:val="ac"/>
                <w:b/>
                <w:bCs/>
                <w:webHidden/>
                <w:sz w:val="24"/>
                <w:lang w:bidi="ar"/>
              </w:rPr>
              <w:t>631</w:t>
            </w:r>
            <w:r w:rsidR="002A1705" w:rsidRPr="002A1705">
              <w:rPr>
                <w:rStyle w:val="ac"/>
                <w:b/>
                <w:bCs/>
                <w:webHidden/>
                <w:sz w:val="24"/>
                <w:lang w:bidi="ar"/>
              </w:rPr>
              <w:fldChar w:fldCharType="end"/>
            </w:r>
          </w:hyperlink>
        </w:p>
        <w:p w14:paraId="1BFA939D" w14:textId="549F3C10"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50" w:history="1">
            <w:r w:rsidR="002A1705" w:rsidRPr="002A1705">
              <w:rPr>
                <w:rStyle w:val="ac"/>
                <w:rFonts w:ascii="宋体" w:hAnsi="宋体" w:cs="宋体"/>
                <w:noProof/>
                <w:kern w:val="0"/>
                <w:sz w:val="22"/>
                <w:lang w:bidi="ar"/>
              </w:rPr>
              <w:t>矿产资源勘查区块登记管理办法（2014修订）</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_Toc112227450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631</w:t>
            </w:r>
            <w:r w:rsidR="002A1705" w:rsidRPr="002A1705">
              <w:rPr>
                <w:rStyle w:val="ac"/>
                <w:rFonts w:cs="宋体"/>
                <w:webHidden/>
                <w:kern w:val="0"/>
                <w:sz w:val="22"/>
                <w:lang w:bidi="ar"/>
              </w:rPr>
              <w:fldChar w:fldCharType="end"/>
            </w:r>
          </w:hyperlink>
        </w:p>
        <w:p w14:paraId="76FD9D63" w14:textId="531441C6"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51" w:history="1">
            <w:r w:rsidR="002A1705" w:rsidRPr="002A1705">
              <w:rPr>
                <w:rStyle w:val="ac"/>
                <w:rFonts w:ascii="宋体" w:hAnsi="宋体" w:cs="宋体"/>
                <w:noProof/>
                <w:kern w:val="0"/>
                <w:sz w:val="22"/>
                <w:lang w:bidi="ar"/>
              </w:rPr>
              <w:t>关于落实资源税改革优惠政策若干事项的公告</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_Toc112227451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637</w:t>
            </w:r>
            <w:r w:rsidR="002A1705" w:rsidRPr="002A1705">
              <w:rPr>
                <w:rStyle w:val="ac"/>
                <w:rFonts w:cs="宋体"/>
                <w:webHidden/>
                <w:kern w:val="0"/>
                <w:sz w:val="22"/>
                <w:lang w:bidi="ar"/>
              </w:rPr>
              <w:fldChar w:fldCharType="end"/>
            </w:r>
          </w:hyperlink>
        </w:p>
        <w:p w14:paraId="7A8BD75F" w14:textId="35E3A74A" w:rsidR="002A1705" w:rsidRPr="002A1705" w:rsidRDefault="00000000" w:rsidP="002A1705">
          <w:pPr>
            <w:pStyle w:val="TOC3"/>
            <w:tabs>
              <w:tab w:val="right" w:leader="dot" w:pos="8720"/>
            </w:tabs>
            <w:spacing w:line="312" w:lineRule="auto"/>
            <w:rPr>
              <w:rStyle w:val="ac"/>
              <w:rFonts w:cs="宋体"/>
              <w:kern w:val="0"/>
              <w:sz w:val="22"/>
              <w:lang w:bidi="ar"/>
            </w:rPr>
          </w:pPr>
          <w:hyperlink w:anchor="_Toc112227452" w:history="1">
            <w:r w:rsidR="002A1705" w:rsidRPr="002A1705">
              <w:rPr>
                <w:rStyle w:val="ac"/>
                <w:rFonts w:ascii="宋体" w:hAnsi="宋体" w:cs="宋体"/>
                <w:noProof/>
                <w:kern w:val="0"/>
                <w:sz w:val="22"/>
                <w:lang w:bidi="ar"/>
              </w:rPr>
              <w:t>关于调整山东省矿业权出让收益征收管理政策的通知</w:t>
            </w:r>
            <w:r w:rsidR="002A1705" w:rsidRPr="002A1705">
              <w:rPr>
                <w:rStyle w:val="ac"/>
                <w:rFonts w:cs="宋体"/>
                <w:webHidden/>
                <w:kern w:val="0"/>
                <w:sz w:val="22"/>
                <w:lang w:bidi="ar"/>
              </w:rPr>
              <w:tab/>
            </w:r>
            <w:r w:rsidR="002A1705" w:rsidRPr="002A1705">
              <w:rPr>
                <w:rStyle w:val="ac"/>
                <w:rFonts w:cs="宋体"/>
                <w:webHidden/>
                <w:kern w:val="0"/>
                <w:sz w:val="22"/>
                <w:lang w:bidi="ar"/>
              </w:rPr>
              <w:fldChar w:fldCharType="begin"/>
            </w:r>
            <w:r w:rsidR="002A1705" w:rsidRPr="002A1705">
              <w:rPr>
                <w:rStyle w:val="ac"/>
                <w:rFonts w:cs="宋体"/>
                <w:webHidden/>
                <w:kern w:val="0"/>
                <w:sz w:val="22"/>
                <w:lang w:bidi="ar"/>
              </w:rPr>
              <w:instrText xml:space="preserve"> PAGEREF _Toc112227452 \h </w:instrText>
            </w:r>
            <w:r w:rsidR="002A1705" w:rsidRPr="002A1705">
              <w:rPr>
                <w:rStyle w:val="ac"/>
                <w:rFonts w:cs="宋体"/>
                <w:webHidden/>
                <w:kern w:val="0"/>
                <w:sz w:val="22"/>
                <w:lang w:bidi="ar"/>
              </w:rPr>
            </w:r>
            <w:r w:rsidR="002A1705" w:rsidRPr="002A1705">
              <w:rPr>
                <w:rStyle w:val="ac"/>
                <w:rFonts w:cs="宋体"/>
                <w:webHidden/>
                <w:kern w:val="0"/>
                <w:sz w:val="22"/>
                <w:lang w:bidi="ar"/>
              </w:rPr>
              <w:fldChar w:fldCharType="separate"/>
            </w:r>
            <w:r w:rsidR="002A1705" w:rsidRPr="002A1705">
              <w:rPr>
                <w:rStyle w:val="ac"/>
                <w:rFonts w:cs="宋体"/>
                <w:webHidden/>
                <w:kern w:val="0"/>
                <w:sz w:val="22"/>
                <w:lang w:bidi="ar"/>
              </w:rPr>
              <w:t>640</w:t>
            </w:r>
            <w:r w:rsidR="002A1705" w:rsidRPr="002A1705">
              <w:rPr>
                <w:rStyle w:val="ac"/>
                <w:rFonts w:cs="宋体"/>
                <w:webHidden/>
                <w:kern w:val="0"/>
                <w:sz w:val="22"/>
                <w:lang w:bidi="ar"/>
              </w:rPr>
              <w:fldChar w:fldCharType="end"/>
            </w:r>
          </w:hyperlink>
        </w:p>
        <w:p w14:paraId="10AAD64F" w14:textId="30C010DE" w:rsidR="00A320E6" w:rsidRDefault="00000000" w:rsidP="002A1705">
          <w:pPr>
            <w:spacing w:line="312" w:lineRule="auto"/>
          </w:pPr>
          <w:r w:rsidRPr="002A1705">
            <w:rPr>
              <w:rFonts w:ascii="宋体" w:hAnsi="宋体" w:cs="Times New Roman"/>
              <w:bCs/>
              <w:lang w:val="zh-CN"/>
            </w:rPr>
            <w:fldChar w:fldCharType="end"/>
          </w:r>
        </w:p>
      </w:sdtContent>
    </w:sdt>
    <w:p w14:paraId="04EC5B6F" w14:textId="77777777" w:rsidR="00A320E6" w:rsidRDefault="00A320E6" w:rsidP="00AE0286">
      <w:pPr>
        <w:rPr>
          <w:rFonts w:ascii="宋体" w:hAnsi="宋体"/>
        </w:rPr>
        <w:sectPr w:rsidR="00A320E6" w:rsidSect="005764FC">
          <w:headerReference w:type="even" r:id="rId12"/>
          <w:headerReference w:type="default" r:id="rId13"/>
          <w:footerReference w:type="even" r:id="rId14"/>
          <w:footerReference w:type="default" r:id="rId15"/>
          <w:headerReference w:type="first" r:id="rId16"/>
          <w:pgSz w:w="11906" w:h="16838"/>
          <w:pgMar w:top="1440" w:right="1588" w:bottom="1440" w:left="1588" w:header="851" w:footer="992" w:gutter="0"/>
          <w:pgNumType w:fmt="upperRoman" w:start="1"/>
          <w:cols w:space="425"/>
          <w:docGrid w:type="lines" w:linePitch="312"/>
        </w:sectPr>
      </w:pPr>
    </w:p>
    <w:p w14:paraId="7A7C76C8" w14:textId="77777777" w:rsidR="00A320E6" w:rsidRDefault="00000000" w:rsidP="00AE0286">
      <w:pPr>
        <w:numPr>
          <w:ilvl w:val="0"/>
          <w:numId w:val="1"/>
        </w:numPr>
        <w:jc w:val="left"/>
        <w:outlineLvl w:val="0"/>
        <w:rPr>
          <w:rFonts w:ascii="黑体" w:eastAsia="黑体" w:hAnsi="宋体" w:cs="黑体"/>
          <w:color w:val="000000"/>
          <w:kern w:val="0"/>
          <w:sz w:val="31"/>
          <w:szCs w:val="31"/>
          <w:lang w:bidi="ar"/>
        </w:rPr>
      </w:pPr>
      <w:bookmarkStart w:id="0" w:name="_Toc112227340"/>
      <w:r>
        <w:rPr>
          <w:rFonts w:ascii="黑体" w:eastAsia="黑体" w:hAnsi="宋体" w:cs="黑体" w:hint="eastAsia"/>
          <w:color w:val="000000"/>
          <w:kern w:val="0"/>
          <w:sz w:val="31"/>
          <w:szCs w:val="31"/>
          <w:lang w:bidi="ar"/>
        </w:rPr>
        <w:lastRenderedPageBreak/>
        <w:t>资产评估业务相关法律法规</w:t>
      </w:r>
      <w:bookmarkEnd w:id="0"/>
    </w:p>
    <w:p w14:paraId="13E5BF1C" w14:textId="77777777" w:rsidR="00A320E6"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1" w:name="_Toc112227341"/>
      <w:r>
        <w:rPr>
          <w:rFonts w:ascii="宋体" w:hAnsi="宋体" w:cs="宋体" w:hint="eastAsia"/>
          <w:b/>
          <w:bCs/>
          <w:color w:val="000000"/>
          <w:kern w:val="0"/>
          <w:sz w:val="24"/>
          <w:szCs w:val="24"/>
          <w:lang w:bidi="ar"/>
        </w:rPr>
        <w:t>行政事业性国有资产管理条例（国务院令第738号）</w:t>
      </w:r>
      <w:bookmarkEnd w:id="1"/>
    </w:p>
    <w:p w14:paraId="6FE150BD" w14:textId="77777777" w:rsidR="00A320E6" w:rsidRPr="00C36EF7" w:rsidRDefault="00000000" w:rsidP="00AE0286">
      <w:pPr>
        <w:pStyle w:val="13"/>
        <w:spacing w:before="62" w:after="62"/>
      </w:pPr>
      <w:r w:rsidRPr="00C36EF7">
        <w:rPr>
          <w:rFonts w:hint="eastAsia"/>
        </w:rPr>
        <w:t>第一章　总　　则</w:t>
      </w:r>
    </w:p>
    <w:p w14:paraId="31E34C03" w14:textId="389E2FB3"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为了加强行政事业性国有资产管理与监督，健全国有资产管理体制，推进国家治理体系和治理能力现代化，根据全国人民代表大会常务委员会关于加强国有资产管理情况监督的决定，制定本条例。</w:t>
      </w:r>
    </w:p>
    <w:p w14:paraId="77E7D18C" w14:textId="00E35DA9"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行政事业性国有资产，是指行政单位、事业单位通过以下方式取得或者形成的资产：</w:t>
      </w:r>
    </w:p>
    <w:p w14:paraId="135EEC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（一）使用财政资金形成的资产；</w:t>
      </w:r>
    </w:p>
    <w:p w14:paraId="3BA318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（二）接受调拨或者划转、置换形成的资产；</w:t>
      </w:r>
    </w:p>
    <w:p w14:paraId="7ADCB8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（三）接受捐赠并确认为国有的资产；</w:t>
      </w:r>
    </w:p>
    <w:p w14:paraId="00A793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（四）其他国有资产。</w:t>
      </w:r>
    </w:p>
    <w:p w14:paraId="37D87703" w14:textId="07AD40F5"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行政事业性国有资产属于国家所有，实行政府分级监管、各部门及其所属单位直接支配的管理体制。</w:t>
      </w:r>
    </w:p>
    <w:p w14:paraId="065A85E9" w14:textId="3A6A428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各级人民政府应当建立健全行政事业性国有资产管理机制，加强对本级行政事业性国有资产的管理，审查、批准重大行政事业性国有资产管理事项。</w:t>
      </w:r>
    </w:p>
    <w:p w14:paraId="59CFF616" w14:textId="09E1EB3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国务院财政部门负责制定行政事业单位国有资产管理规章制度并负责组织实施和监督检查，牵头编制行政事业性国有资产管理情况报告。</w:t>
      </w:r>
    </w:p>
    <w:p w14:paraId="1A209D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国务院机关事务管理部门和有关机关事务管理部门会同有关部门依法依规履行相关中央行政事业单位国有资产管理职责，制定中央行政事业单位国有资产管理具体制度和办法并组织实施，接受国务院财政部门的指导和监督检查。</w:t>
      </w:r>
    </w:p>
    <w:p w14:paraId="7056A7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相关部门根据职责规定，按照集中统一、分类分级原则，加强中央行政事业单位国有资产管理，优化管理手段，提高管理效率。</w:t>
      </w:r>
    </w:p>
    <w:p w14:paraId="47534210" w14:textId="20F2AFC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各部门根据职责负责本部门及其所属单位国有资产管理工作，应当明确管理责任，指导、监督所属单位国有资产管理工作。</w:t>
      </w:r>
    </w:p>
    <w:p w14:paraId="601A3D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各部门所属单位负责本单位行政事业性国有资产的具体管理，应当建立和完善内部控制管理制度。</w:t>
      </w:r>
    </w:p>
    <w:p w14:paraId="69B246DF" w14:textId="43642F58"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各部门及其所属单位管理行政事业性国有资产应当遵循安全规范、节约高效、公开透明、权责一致的原则，实现实物管理与价值管理相统一，资产管理与</w:t>
      </w:r>
      <w:r>
        <w:rPr>
          <w:rFonts w:ascii="宋体" w:hAnsi="宋体" w:cs="宋体" w:hint="eastAsia"/>
          <w:sz w:val="24"/>
        </w:rPr>
        <w:lastRenderedPageBreak/>
        <w:t>预算管理、财务管理相结合。</w:t>
      </w:r>
    </w:p>
    <w:p w14:paraId="7755CA86" w14:textId="77777777" w:rsidR="00A320E6" w:rsidRDefault="00000000" w:rsidP="00AE0286">
      <w:pPr>
        <w:pStyle w:val="13"/>
        <w:spacing w:before="62" w:after="62"/>
      </w:pPr>
      <w:r>
        <w:rPr>
          <w:rFonts w:hint="eastAsia"/>
        </w:rPr>
        <w:t>第二章　资产配置、使用和处置</w:t>
      </w:r>
    </w:p>
    <w:p w14:paraId="31477E00" w14:textId="7DBB15F0"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各部门及其所属单位应当根据依法履行职能和事业发展的需要，结合资产存量、资产配置标准、绩效目标和财政承受能力配置资产。</w:t>
      </w:r>
    </w:p>
    <w:p w14:paraId="1EB9A1A4" w14:textId="399B94C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各部门及其所属单位应当合理选择资产配置方式，资产配置重大事项应当经可行性研究和集体决策，资产价值较高的按照国家有关规定进行资产评估，并履行审批程序。</w:t>
      </w:r>
    </w:p>
    <w:p w14:paraId="527AC9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资产配置包括调剂、购置、建设、租用、接受捐赠等方式。</w:t>
      </w:r>
    </w:p>
    <w:p w14:paraId="4B97B50F" w14:textId="3914147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县级以上人民政府应当组织建立、完善资产配置标准体系，明确配置的数量、价值、等级、最低使用年限等标准。</w:t>
      </w:r>
    </w:p>
    <w:p w14:paraId="1609D7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资产配置标准应当按照勤俭节约、讲求绩效和绿色环保的要求，根据国家有关政策、经济社会发展水平、市场价格变化、科学技术进步等因素适时调整。</w:t>
      </w:r>
    </w:p>
    <w:p w14:paraId="12A37F16" w14:textId="01AFEFD1"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各部门及其所属单位应当优先通过调剂方式配置资产。不能调剂的，可以采用购置、建设、租用等方式。</w:t>
      </w:r>
    </w:p>
    <w:p w14:paraId="254F18CE" w14:textId="30307E0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行政单位国有资产应当用于本单位履行职能的需要。</w:t>
      </w:r>
    </w:p>
    <w:p w14:paraId="667757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除法律另有规定外，行政单位不得以任何形式将国有资产用于对外投资或者设立营利性组织。</w:t>
      </w:r>
    </w:p>
    <w:p w14:paraId="0B75D933" w14:textId="77837EB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事业单位国有资产应当用于保障事业发展、提供公共服务。</w:t>
      </w:r>
    </w:p>
    <w:p w14:paraId="431A3DCA" w14:textId="279340A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各部门及其所属单位应当加强对本单位固定资产、在建工程、流动资产、无形资产等各类国有资产的管理，明确管理责任，规范使用流程，加强产权保护，推进相关资产安全有效使用。</w:t>
      </w:r>
    </w:p>
    <w:p w14:paraId="60C13410" w14:textId="21AC6A5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各部门及其所属单位应当明确资产使用人和管理人的岗位责任。</w:t>
      </w:r>
    </w:p>
    <w:p w14:paraId="6EF747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资产使用人、管理人应当履行岗位责任，按照规程合理使用、管理资产，充分发挥资产效能。资产需要维修、保养、调剂、更新、报废的，资产使用人、管理人应当及时提出。</w:t>
      </w:r>
    </w:p>
    <w:p w14:paraId="1F7212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资产使用人、管理人发生变化的，应当及时办理资产交接手续。</w:t>
      </w:r>
    </w:p>
    <w:p w14:paraId="762AE62B" w14:textId="6FAEF37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各部门及其所属单位接受捐赠的资产，应当按照捐赠约定的用途使用。捐赠人意愿不明确或者没有约定用途的，应当统筹安排使用。</w:t>
      </w:r>
    </w:p>
    <w:p w14:paraId="66CCE5F9" w14:textId="62C363F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事业单位利用国有资产对外投资应当有利于事业发展和实现国有资</w:t>
      </w:r>
      <w:r>
        <w:rPr>
          <w:rFonts w:ascii="宋体" w:hAnsi="宋体" w:cs="宋体" w:hint="eastAsia"/>
          <w:sz w:val="24"/>
        </w:rPr>
        <w:lastRenderedPageBreak/>
        <w:t>产保值增值，符合国家有关规定，经可行性研究和集体决策，按照规定权限和程序进行。</w:t>
      </w:r>
    </w:p>
    <w:p w14:paraId="5D9F60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事业单位应当明确对外投资形成的股权及其相关权益管理责任，按照规定将对外投资形成的股权纳入经营性国有资产集中统一监管体系。</w:t>
      </w:r>
    </w:p>
    <w:p w14:paraId="46363C01" w14:textId="532223C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县级以上人民政府及其有关部门应当建立健全国有资产共享共用机制，采取措施引导和鼓励国有资产共享共用，统筹规划有效推进国有资产共享共用工作。</w:t>
      </w:r>
    </w:p>
    <w:p w14:paraId="29A8D0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各部门及其所属单位应当在确保安全使用的前提下，推进本单位大型设备等国有资产共享共用工作，可以对提供方给予合理补偿。</w:t>
      </w:r>
    </w:p>
    <w:p w14:paraId="4C557110" w14:textId="67B0AF0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各部门及其所属单位应当根据履行职能、事业发展需要和资产使用状况，经集体决策和履行审批程序，依据处置事项批复等相关文件及时处置行政事业性国有资产。</w:t>
      </w:r>
    </w:p>
    <w:p w14:paraId="04DF435D" w14:textId="7B231EA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各部门及其所属单位应当将依法罚没的资产按照国家规定公开拍卖或者按照国家有关规定处理，所得款项全部上缴国库。</w:t>
      </w:r>
    </w:p>
    <w:p w14:paraId="04280461" w14:textId="5629318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各部门及其所属单位应当对下列资产及时予以报废、报损：</w:t>
      </w:r>
    </w:p>
    <w:p w14:paraId="0E3CBC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（一）因技术原因确需淘汰或者无法维修、无维修价值的资产；</w:t>
      </w:r>
    </w:p>
    <w:p w14:paraId="4B1A59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（二）涉及盘亏、坏账以及非正常损失的资产；</w:t>
      </w:r>
    </w:p>
    <w:p w14:paraId="4CF0C2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（三）已超过使用年限且无法满足现有工作需要的资产；</w:t>
      </w:r>
    </w:p>
    <w:p w14:paraId="4B5A27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（四）因自然灾害等不可抗力造成毁损、灭失的资产。</w:t>
      </w:r>
    </w:p>
    <w:p w14:paraId="5C9F2166" w14:textId="33C5855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各部门及其所属单位发生分立、合并、改制、撤销、隶属关系改变或者部分职能、业务调整等情形，应当根据国家有关规定办理相关国有资产划转、交接手续。</w:t>
      </w:r>
    </w:p>
    <w:p w14:paraId="5FD13DA3" w14:textId="3F3A5E7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国家设立的研究开发机构、高等院校对其持有的科技成果的使用和处置，依照《中华人民共和国促进科技成果转化法》、《中华人民共和国专利法》和国家有关规定执行。</w:t>
      </w:r>
    </w:p>
    <w:p w14:paraId="79369285" w14:textId="77777777" w:rsidR="00A320E6" w:rsidRDefault="00000000" w:rsidP="00AE0286">
      <w:pPr>
        <w:pStyle w:val="13"/>
        <w:spacing w:before="62" w:after="62"/>
      </w:pPr>
      <w:r>
        <w:rPr>
          <w:rFonts w:hint="eastAsia"/>
        </w:rPr>
        <w:t>第三章　预算管理</w:t>
      </w:r>
    </w:p>
    <w:p w14:paraId="3D9FDF45" w14:textId="37B3CD2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各部门及其所属单位购置、建设、租用资产应当提出资产配置需求，编制资产配置相关支出预算，并严格按照预算管理规定和财政部门批复的预算配置资产。</w:t>
      </w:r>
    </w:p>
    <w:p w14:paraId="394523B9" w14:textId="4A7F9E2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第二十五条</w:t>
      </w:r>
      <w:r w:rsidR="00A45A13">
        <w:rPr>
          <w:rFonts w:ascii="宋体" w:hAnsi="宋体" w:cs="宋体" w:hint="eastAsia"/>
          <w:sz w:val="24"/>
        </w:rPr>
        <w:t xml:space="preserve"> </w:t>
      </w:r>
      <w:r>
        <w:rPr>
          <w:rFonts w:ascii="宋体" w:hAnsi="宋体" w:cs="宋体" w:hint="eastAsia"/>
          <w:sz w:val="24"/>
        </w:rPr>
        <w:t>行政单位国有资产出租和处置等收入，应当按照政府非税收入和国库集中收缴制度的有关规定管理。</w:t>
      </w:r>
    </w:p>
    <w:p w14:paraId="2C7838E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除国家另有规定外，事业单位国有资产的处置收入应当按照政府非税收入和国库集中收缴制度的有关规定管理。</w:t>
      </w:r>
    </w:p>
    <w:p w14:paraId="1B2B3D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事业单位国有资产使用形成的收入，由本级人民政府财政部门规定具体管理办法。</w:t>
      </w:r>
    </w:p>
    <w:p w14:paraId="64E8D355" w14:textId="775FABC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各部门及其所属单位应当及时收取各类资产收入，不得违反国家规定，多收、少收、不收、侵占、私分、截留、占用、挪用、隐匿、坐支。</w:t>
      </w:r>
    </w:p>
    <w:p w14:paraId="53004F66" w14:textId="6093DBD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各部门及其所属单位应当在决算中全面、真实、准确反映其国有资产收入、支出以及国有资产存量情况。</w:t>
      </w:r>
    </w:p>
    <w:p w14:paraId="4DF2EEFF" w14:textId="69ACD55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各部门及其所属单位应当按照国家规定建立国有资产绩效管理制度，建立健全绩效指标和标准，有序开展国有资产绩效管理工作。</w:t>
      </w:r>
    </w:p>
    <w:p w14:paraId="7BC77889" w14:textId="0AFC66B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县级以上人民政府投资建设公共基础设施，应当依法落实资金来源，加强预算约束，防范政府债务风险，并明确公共基础设施的管理维护责任单位。</w:t>
      </w:r>
    </w:p>
    <w:p w14:paraId="2E68200C" w14:textId="77777777" w:rsidR="00A320E6" w:rsidRDefault="00000000" w:rsidP="00AE0286">
      <w:pPr>
        <w:pStyle w:val="13"/>
        <w:spacing w:before="62" w:after="62"/>
      </w:pPr>
      <w:r>
        <w:rPr>
          <w:rFonts w:hint="eastAsia"/>
        </w:rPr>
        <w:t>第四章　基础管理</w:t>
      </w:r>
    </w:p>
    <w:p w14:paraId="6BA244FF" w14:textId="2FCF3D5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各部门及其所属单位应当按照国家规定设置行政事业性国有资产台账，依照国家统一的会计制度进行会计核算，不得形成账外资产。</w:t>
      </w:r>
    </w:p>
    <w:p w14:paraId="4B3DE645" w14:textId="1D503B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各部门及其所属单位采用建设方式配置资产的，应当在建设项目竣工验收合格后及时办理资产交付手续，并在规定期限内办理竣工财务决算，期限最长不得超过1年。</w:t>
      </w:r>
    </w:p>
    <w:p w14:paraId="20B7B3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各部门及其所属单位对已交付但未办理竣工财务决算的建设项目，应当按照国家统一的会计制度确认资产价值。</w:t>
      </w:r>
    </w:p>
    <w:p w14:paraId="427A2F18" w14:textId="127AE7E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各部门及其所属单位对无法进行会计确认入账的资产，可以根据需要组织专家参照资产评估方法进行估价，并作为反映资产状况的依据。</w:t>
      </w:r>
    </w:p>
    <w:p w14:paraId="646D8136" w14:textId="1EB2D1C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第三十三条</w:t>
      </w:r>
      <w:r w:rsidR="00C36EF7">
        <w:rPr>
          <w:rFonts w:ascii="宋体" w:hAnsi="宋体" w:cs="宋体" w:hint="eastAsia"/>
          <w:sz w:val="24"/>
        </w:rPr>
        <w:t xml:space="preserve"> </w:t>
      </w:r>
      <w:r>
        <w:rPr>
          <w:rFonts w:ascii="宋体" w:hAnsi="宋体" w:cs="宋体" w:hint="eastAsia"/>
          <w:sz w:val="24"/>
        </w:rPr>
        <w:t>各部门及其所属单位应当明确资产的维护、保养、维修的岗位责任。因使用不当或者维护、保养、维修不及时造成资产损失的，应当依法承担责任。</w:t>
      </w:r>
    </w:p>
    <w:p w14:paraId="5802D81F" w14:textId="1C77DF7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第三十四条</w:t>
      </w:r>
      <w:r w:rsidR="00A45A13">
        <w:rPr>
          <w:rFonts w:ascii="宋体" w:hAnsi="宋体" w:cs="宋体" w:hint="eastAsia"/>
          <w:sz w:val="24"/>
        </w:rPr>
        <w:t xml:space="preserve"> </w:t>
      </w:r>
      <w:r>
        <w:rPr>
          <w:rFonts w:ascii="宋体" w:hAnsi="宋体" w:cs="宋体" w:hint="eastAsia"/>
          <w:sz w:val="24"/>
        </w:rPr>
        <w:t>各部门及其所属单位应当定期或者不定期对资产进行盘点、对账。出现资产盘盈盘亏的，应当按照财务、会计和资产管理制度有关规定处理，做到账实相符和账账相符。</w:t>
      </w:r>
    </w:p>
    <w:p w14:paraId="0029FF7F" w14:textId="4FBADA1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第三十五条</w:t>
      </w:r>
      <w:r w:rsidR="00A45A13">
        <w:rPr>
          <w:rFonts w:ascii="宋体" w:hAnsi="宋体" w:cs="宋体" w:hint="eastAsia"/>
          <w:sz w:val="24"/>
        </w:rPr>
        <w:t xml:space="preserve"> </w:t>
      </w:r>
      <w:r>
        <w:rPr>
          <w:rFonts w:ascii="宋体" w:hAnsi="宋体" w:cs="宋体" w:hint="eastAsia"/>
          <w:sz w:val="24"/>
        </w:rPr>
        <w:t>各部门及其所属单位处置资产应当及时核销相关资产台账信息，同时进行会计处理。</w:t>
      </w:r>
    </w:p>
    <w:p w14:paraId="663B63A1" w14:textId="23E5A7B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第三十六条</w:t>
      </w:r>
      <w:r w:rsidR="00A45A13">
        <w:rPr>
          <w:rFonts w:ascii="宋体" w:hAnsi="宋体" w:cs="宋体" w:hint="eastAsia"/>
          <w:sz w:val="24"/>
        </w:rPr>
        <w:t xml:space="preserve"> </w:t>
      </w:r>
      <w:r>
        <w:rPr>
          <w:rFonts w:ascii="宋体" w:hAnsi="宋体" w:cs="宋体" w:hint="eastAsia"/>
          <w:sz w:val="24"/>
        </w:rPr>
        <w:t>除国家另有规定外，各部门及其所属单位将行政事业性国有资产进行转让、拍卖、置换、对外投资等，应当按照国家有关规定进行资产评估。</w:t>
      </w:r>
    </w:p>
    <w:p w14:paraId="0F6A16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行政事业性国有资产以市场化方式出售、出租的，依照有关规定可以通过相应公共资源交易平台进行。</w:t>
      </w:r>
    </w:p>
    <w:p w14:paraId="73DC8434" w14:textId="520EE2E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第三十七条</w:t>
      </w:r>
      <w:r w:rsidR="00A45A13">
        <w:rPr>
          <w:rFonts w:ascii="宋体" w:hAnsi="宋体" w:cs="宋体" w:hint="eastAsia"/>
          <w:sz w:val="24"/>
        </w:rPr>
        <w:t xml:space="preserve"> </w:t>
      </w:r>
      <w:r>
        <w:rPr>
          <w:rFonts w:ascii="宋体" w:hAnsi="宋体" w:cs="宋体" w:hint="eastAsia"/>
          <w:sz w:val="24"/>
        </w:rPr>
        <w:t>有下列情形之一的，各部门及其所属单位应当对行政事业性国有资产进行清查：</w:t>
      </w:r>
    </w:p>
    <w:p w14:paraId="6DC8A1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（一）根据本级政府部署要求；</w:t>
      </w:r>
    </w:p>
    <w:p w14:paraId="44E580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（二）发生重大资产调拨、划转以及单位分立、合并、改制、撤销、隶属关系改变等情形；</w:t>
      </w:r>
    </w:p>
    <w:p w14:paraId="338661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（三）因自然灾害等不可抗力造成资产毁损、灭失；</w:t>
      </w:r>
    </w:p>
    <w:p w14:paraId="4568F0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（四）会计信息严重失真；</w:t>
      </w:r>
    </w:p>
    <w:p w14:paraId="65E08D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（五）国家统一的会计制度发生重大变更，涉及资产核算方法发生重要变化；</w:t>
      </w:r>
    </w:p>
    <w:p w14:paraId="729826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（六）其他应当进行资产清查的情形。</w:t>
      </w:r>
    </w:p>
    <w:p w14:paraId="52170EB3" w14:textId="15CEDF5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第三十八条</w:t>
      </w:r>
      <w:r w:rsidR="00A45A13">
        <w:rPr>
          <w:rFonts w:ascii="宋体" w:hAnsi="宋体" w:cs="宋体" w:hint="eastAsia"/>
          <w:sz w:val="24"/>
        </w:rPr>
        <w:t xml:space="preserve"> </w:t>
      </w:r>
      <w:r>
        <w:rPr>
          <w:rFonts w:ascii="宋体" w:hAnsi="宋体" w:cs="宋体" w:hint="eastAsia"/>
          <w:sz w:val="24"/>
        </w:rPr>
        <w:t>各部门及其所属单位资产清查结果和涉及资产核实的事项，应当按照国务院财政部门的规定履行审批程序。</w:t>
      </w:r>
    </w:p>
    <w:p w14:paraId="599BC7F6" w14:textId="7DDDE56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第三十九条</w:t>
      </w:r>
      <w:r w:rsidR="00A45A13">
        <w:rPr>
          <w:rFonts w:ascii="宋体" w:hAnsi="宋体" w:cs="宋体" w:hint="eastAsia"/>
          <w:sz w:val="24"/>
        </w:rPr>
        <w:t xml:space="preserve"> </w:t>
      </w:r>
      <w:r>
        <w:rPr>
          <w:rFonts w:ascii="宋体" w:hAnsi="宋体" w:cs="宋体" w:hint="eastAsia"/>
          <w:sz w:val="24"/>
        </w:rPr>
        <w:t>各部门及其所属单位在资产清查中发现账实不符、账账不符的，应当查明原因予以说明，并随同清查结果一并履行审批程序。各部门及其所属单位应当根据审批结果及时调整资产台账信息，同时进行会计处理。</w:t>
      </w:r>
    </w:p>
    <w:p w14:paraId="485307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由于资产使用人、管理人的原因造成资产毁损、灭失的，应当依法追究相关责任。</w:t>
      </w:r>
    </w:p>
    <w:p w14:paraId="345493BF" w14:textId="69CC67E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第四十条</w:t>
      </w:r>
      <w:r w:rsidR="00A45A13">
        <w:rPr>
          <w:rFonts w:ascii="宋体" w:hAnsi="宋体" w:cs="宋体" w:hint="eastAsia"/>
          <w:sz w:val="24"/>
        </w:rPr>
        <w:t xml:space="preserve"> </w:t>
      </w:r>
      <w:r>
        <w:rPr>
          <w:rFonts w:ascii="宋体" w:hAnsi="宋体" w:cs="宋体" w:hint="eastAsia"/>
          <w:sz w:val="24"/>
        </w:rPr>
        <w:t>各部门及其所属单位对需要办理权属登记的资产应当依法及时办理。对有账簿记录但权证手续不全的行政事业性国有资产，可以向本级政府有关主管部门提出确认资产权属申请，及时办理权属登记。</w:t>
      </w:r>
    </w:p>
    <w:p w14:paraId="2BB4C7BA" w14:textId="0ABD2F0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第四十一条</w:t>
      </w:r>
      <w:r w:rsidR="00C36EF7">
        <w:rPr>
          <w:rFonts w:ascii="宋体" w:hAnsi="宋体" w:cs="宋体" w:hint="eastAsia"/>
          <w:sz w:val="24"/>
        </w:rPr>
        <w:t xml:space="preserve"> </w:t>
      </w:r>
      <w:r>
        <w:rPr>
          <w:rFonts w:ascii="宋体" w:hAnsi="宋体" w:cs="宋体" w:hint="eastAsia"/>
          <w:sz w:val="24"/>
        </w:rPr>
        <w:t>各部门及其所属单位之间，各部门及其所属单位与其他单位和个人之间发生资产纠纷的，应当依照有关法律法规规定采取协商等方式处理。</w:t>
      </w:r>
    </w:p>
    <w:p w14:paraId="515EED08" w14:textId="556B5F8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第四十二条</w:t>
      </w:r>
      <w:r w:rsidR="00C36EF7">
        <w:rPr>
          <w:rFonts w:ascii="宋体" w:hAnsi="宋体" w:cs="宋体" w:hint="eastAsia"/>
          <w:sz w:val="24"/>
        </w:rPr>
        <w:t xml:space="preserve"> </w:t>
      </w:r>
      <w:r>
        <w:rPr>
          <w:rFonts w:ascii="宋体" w:hAnsi="宋体" w:cs="宋体" w:hint="eastAsia"/>
          <w:sz w:val="24"/>
        </w:rPr>
        <w:t>国务院财政部门应当建立全国行政事业性国有资产管理信息系统，推行资产管理网上办理，实现信息共享。</w:t>
      </w:r>
    </w:p>
    <w:p w14:paraId="41B82A2B" w14:textId="77777777" w:rsidR="00A320E6" w:rsidRDefault="00000000" w:rsidP="00AE0286">
      <w:pPr>
        <w:pStyle w:val="13"/>
        <w:spacing w:before="62" w:after="62"/>
      </w:pPr>
      <w:r>
        <w:rPr>
          <w:rFonts w:hint="eastAsia"/>
        </w:rPr>
        <w:lastRenderedPageBreak/>
        <w:t>第五章　资产报告</w:t>
      </w:r>
    </w:p>
    <w:p w14:paraId="51367A6D" w14:textId="0C8E40D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第四十三条</w:t>
      </w:r>
      <w:r w:rsidR="00C36EF7">
        <w:rPr>
          <w:rFonts w:ascii="宋体" w:hAnsi="宋体" w:cs="宋体" w:hint="eastAsia"/>
          <w:sz w:val="24"/>
        </w:rPr>
        <w:t xml:space="preserve"> </w:t>
      </w:r>
      <w:r>
        <w:rPr>
          <w:rFonts w:ascii="宋体" w:hAnsi="宋体" w:cs="宋体" w:hint="eastAsia"/>
          <w:sz w:val="24"/>
        </w:rPr>
        <w:t>国家建立行政事业性国有资产管理情况报告制度。</w:t>
      </w:r>
    </w:p>
    <w:p w14:paraId="32039A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国务院向全国人民代表大会常务委员会报告全国行政事业性国有资产管理情况。</w:t>
      </w:r>
    </w:p>
    <w:p w14:paraId="4F46AC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县级以上地方人民政府按照规定向本级人民代表大会常务委员会报告行政事业性国有资产管理情况。</w:t>
      </w:r>
    </w:p>
    <w:p w14:paraId="654C9B66" w14:textId="47241F8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第四十四条</w:t>
      </w:r>
      <w:r w:rsidR="00A45A13">
        <w:rPr>
          <w:rFonts w:ascii="宋体" w:hAnsi="宋体" w:cs="宋体" w:hint="eastAsia"/>
          <w:sz w:val="24"/>
        </w:rPr>
        <w:t xml:space="preserve"> </w:t>
      </w:r>
      <w:r>
        <w:rPr>
          <w:rFonts w:ascii="宋体" w:hAnsi="宋体" w:cs="宋体" w:hint="eastAsia"/>
          <w:sz w:val="24"/>
        </w:rPr>
        <w:t>行政事业性国有资产管理情况报告，主要包括资产负债总量，相关管理制度建立和实施，资产配置、使用、处置和效益，推进管理体制机制改革等情况。</w:t>
      </w:r>
    </w:p>
    <w:p w14:paraId="46F2964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行政事业性国有资产管理情况按照国家有关规定向社会公开。</w:t>
      </w:r>
    </w:p>
    <w:p w14:paraId="637D3102" w14:textId="2F48E63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第四十五条</w:t>
      </w:r>
      <w:r w:rsidR="00A45A13">
        <w:rPr>
          <w:rFonts w:ascii="宋体" w:hAnsi="宋体" w:cs="宋体" w:hint="eastAsia"/>
          <w:sz w:val="24"/>
        </w:rPr>
        <w:t xml:space="preserve"> </w:t>
      </w:r>
      <w:r>
        <w:rPr>
          <w:rFonts w:ascii="宋体" w:hAnsi="宋体" w:cs="宋体" w:hint="eastAsia"/>
          <w:sz w:val="24"/>
        </w:rPr>
        <w:t>各部门所属单位应当每年编制本单位行政事业性国有资产管理情况报告，逐级报送相关部门。</w:t>
      </w:r>
    </w:p>
    <w:p w14:paraId="54CE11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各部门应当汇总编制本部门行政事业性国有资产管理情况报告，报送本级政府财政部门。</w:t>
      </w:r>
    </w:p>
    <w:p w14:paraId="00839F9F" w14:textId="238247C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第四十六条</w:t>
      </w:r>
      <w:r w:rsidR="00A45A13">
        <w:rPr>
          <w:rFonts w:ascii="宋体" w:hAnsi="宋体" w:cs="宋体" w:hint="eastAsia"/>
          <w:sz w:val="24"/>
        </w:rPr>
        <w:t xml:space="preserve"> </w:t>
      </w:r>
      <w:r>
        <w:rPr>
          <w:rFonts w:ascii="宋体" w:hAnsi="宋体" w:cs="宋体" w:hint="eastAsia"/>
          <w:sz w:val="24"/>
        </w:rPr>
        <w:t>县级以上地方人民政府财政部门应当每年汇总本级和下级行政事业性国有资产管理情况，报送本级政府和上一级政府财政部门。</w:t>
      </w:r>
    </w:p>
    <w:p w14:paraId="548F4AFC" w14:textId="77777777" w:rsidR="00A320E6" w:rsidRDefault="00000000" w:rsidP="00AE0286">
      <w:pPr>
        <w:pStyle w:val="13"/>
        <w:spacing w:before="62" w:after="62"/>
      </w:pPr>
      <w:r>
        <w:rPr>
          <w:rFonts w:hint="eastAsia"/>
        </w:rPr>
        <w:t>第六章　监　　督</w:t>
      </w:r>
    </w:p>
    <w:p w14:paraId="183C968B" w14:textId="39B229E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第四十七条</w:t>
      </w:r>
      <w:r w:rsidR="00A45A13">
        <w:rPr>
          <w:rFonts w:ascii="宋体" w:hAnsi="宋体" w:cs="宋体" w:hint="eastAsia"/>
          <w:sz w:val="24"/>
        </w:rPr>
        <w:t xml:space="preserve"> </w:t>
      </w:r>
      <w:r>
        <w:rPr>
          <w:rFonts w:ascii="宋体" w:hAnsi="宋体" w:cs="宋体" w:hint="eastAsia"/>
          <w:sz w:val="24"/>
        </w:rPr>
        <w:t>县级以上人民政府应当接受本级人民代表大会及其常务委员会对行政事业性国有资产管理情况的监督，组织落实本级人民代表大会及其常务委员会审议提出的整改要求，并向本级人民代表大会及其常务委员会报告整改情况。</w:t>
      </w:r>
    </w:p>
    <w:p w14:paraId="67680E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乡、民族乡、镇人民政府应当接受本级人民代表大会对行政事业性国有资产管理情况的监督。</w:t>
      </w:r>
    </w:p>
    <w:p w14:paraId="1DF34509" w14:textId="1C139AA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第四十八条</w:t>
      </w:r>
      <w:r w:rsidR="00A45A13">
        <w:rPr>
          <w:rFonts w:ascii="宋体" w:hAnsi="宋体" w:cs="宋体" w:hint="eastAsia"/>
          <w:sz w:val="24"/>
        </w:rPr>
        <w:t xml:space="preserve"> </w:t>
      </w:r>
      <w:r>
        <w:rPr>
          <w:rFonts w:ascii="宋体" w:hAnsi="宋体" w:cs="宋体" w:hint="eastAsia"/>
          <w:sz w:val="24"/>
        </w:rPr>
        <w:t>县级以上人民政府对下级政府的行政事业性国有资产管理情况进行监督。下级政府应当组织落实上一级政府提出的监管要求，并向上一级政府报告落实情况。</w:t>
      </w:r>
    </w:p>
    <w:p w14:paraId="18AC2876" w14:textId="0CE88EBC"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第四十九条</w:t>
      </w:r>
      <w:r w:rsidR="00A45A13">
        <w:rPr>
          <w:rFonts w:ascii="宋体" w:hAnsi="宋体" w:cs="宋体" w:hint="eastAsia"/>
          <w:sz w:val="24"/>
        </w:rPr>
        <w:t xml:space="preserve"> </w:t>
      </w:r>
      <w:r>
        <w:rPr>
          <w:rFonts w:ascii="宋体" w:hAnsi="宋体" w:cs="宋体" w:hint="eastAsia"/>
          <w:sz w:val="24"/>
        </w:rPr>
        <w:t>县级以上人民政府财政部门应当对本级各部门及其所属单位行政事业性国有资产管理情况进行监督检查，依法向社会公开检查结果。</w:t>
      </w:r>
    </w:p>
    <w:p w14:paraId="1F990791" w14:textId="32B70C04"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第五十条</w:t>
      </w:r>
      <w:r w:rsidR="00A45A13">
        <w:rPr>
          <w:rFonts w:ascii="宋体" w:hAnsi="宋体" w:cs="宋体" w:hint="eastAsia"/>
          <w:sz w:val="24"/>
        </w:rPr>
        <w:t xml:space="preserve"> </w:t>
      </w:r>
      <w:r>
        <w:rPr>
          <w:rFonts w:ascii="宋体" w:hAnsi="宋体" w:cs="宋体" w:hint="eastAsia"/>
          <w:sz w:val="24"/>
        </w:rPr>
        <w:t>县级以上人民政府审计部门依法对行政事业性国有资产管理情况进行审计监督。</w:t>
      </w:r>
    </w:p>
    <w:p w14:paraId="4CC41134" w14:textId="03A458F7"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lastRenderedPageBreak/>
        <w:t>第五十一条</w:t>
      </w:r>
      <w:r w:rsidR="00C36EF7">
        <w:rPr>
          <w:rFonts w:ascii="宋体" w:hAnsi="宋体" w:cs="宋体" w:hint="eastAsia"/>
          <w:sz w:val="24"/>
        </w:rPr>
        <w:t xml:space="preserve"> </w:t>
      </w:r>
      <w:r>
        <w:rPr>
          <w:rFonts w:ascii="宋体" w:hAnsi="宋体" w:cs="宋体" w:hint="eastAsia"/>
          <w:sz w:val="24"/>
        </w:rPr>
        <w:t>各部门应当建立健全行政事业性国有资产监督管理制度，根据职责对本行业行政事业性国有资产管理依法进行监督。</w:t>
      </w:r>
    </w:p>
    <w:p w14:paraId="18D4D5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各部门所属单位应当制定行政事业性国有资产内部控制制度，防控行政事业性国有资产管理风险。</w:t>
      </w:r>
    </w:p>
    <w:p w14:paraId="3808BE66" w14:textId="540FAB09"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第五十二条</w:t>
      </w:r>
      <w:r w:rsidR="00C36EF7">
        <w:rPr>
          <w:rFonts w:ascii="宋体" w:hAnsi="宋体" w:cs="宋体" w:hint="eastAsia"/>
          <w:sz w:val="24"/>
        </w:rPr>
        <w:t xml:space="preserve"> </w:t>
      </w:r>
      <w:r>
        <w:rPr>
          <w:rFonts w:ascii="宋体" w:hAnsi="宋体" w:cs="宋体" w:hint="eastAsia"/>
          <w:sz w:val="24"/>
        </w:rPr>
        <w:t>公民、法人或者其他组织发现违反本条例的行为，有权向有关部门进行检举、控告。接受检举、控告的有关部门应当依法进行处理，并为检举人、控告人保密。</w:t>
      </w:r>
    </w:p>
    <w:p w14:paraId="427D22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任何单位或者个人不得压制和打击报复检举人、控告人。</w:t>
      </w:r>
    </w:p>
    <w:p w14:paraId="559F75FC" w14:textId="77777777" w:rsidR="00A320E6" w:rsidRDefault="00000000" w:rsidP="00AE0286">
      <w:pPr>
        <w:pStyle w:val="13"/>
        <w:spacing w:before="62" w:after="62"/>
      </w:pPr>
      <w:r>
        <w:rPr>
          <w:rFonts w:hint="eastAsia"/>
        </w:rPr>
        <w:t>第七章　法律责任</w:t>
      </w:r>
    </w:p>
    <w:p w14:paraId="617E2713" w14:textId="15BF228E"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第五十三条</w:t>
      </w:r>
      <w:r w:rsidR="00C36EF7">
        <w:rPr>
          <w:rFonts w:ascii="宋体" w:hAnsi="宋体" w:cs="宋体" w:hint="eastAsia"/>
          <w:sz w:val="24"/>
        </w:rPr>
        <w:t xml:space="preserve"> </w:t>
      </w:r>
      <w:r>
        <w:rPr>
          <w:rFonts w:ascii="宋体" w:hAnsi="宋体" w:cs="宋体" w:hint="eastAsia"/>
          <w:sz w:val="24"/>
        </w:rPr>
        <w:t>各部门及其所属单位有下列行为之一的，责令改正，情节较重的，对负有直接责任的主管人员和其他直接责任人员依法给予处分：</w:t>
      </w:r>
    </w:p>
    <w:p w14:paraId="3FADFE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（一）配置、使用、处置国有资产未按照规定经集体决策或者履行审批程序；</w:t>
      </w:r>
    </w:p>
    <w:p w14:paraId="110E7A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（二）超标准配置国有资产；</w:t>
      </w:r>
    </w:p>
    <w:p w14:paraId="738E83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（三）未按照规定办理国有资产调剂、调拨、划转、交接等手续；</w:t>
      </w:r>
    </w:p>
    <w:p w14:paraId="3D46895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（四）未按照规定履行国有资产拍卖、报告、披露等程序；</w:t>
      </w:r>
    </w:p>
    <w:p w14:paraId="560F1BE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（五）未按照规定期限办理建设项目竣工财务决算；</w:t>
      </w:r>
    </w:p>
    <w:p w14:paraId="1CAD61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（六）未按照规定进行国有资产清查；</w:t>
      </w:r>
    </w:p>
    <w:p w14:paraId="4289FD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（七）未按照规定设置国有资产台账；</w:t>
      </w:r>
    </w:p>
    <w:p w14:paraId="42CED9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（八）未按照规定编制、报送国有资产管理情况报告。</w:t>
      </w:r>
    </w:p>
    <w:p w14:paraId="14787189" w14:textId="46D7E627"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第五十四条</w:t>
      </w:r>
      <w:r w:rsidR="00A45A13">
        <w:rPr>
          <w:rFonts w:ascii="宋体" w:hAnsi="宋体" w:cs="宋体" w:hint="eastAsia"/>
          <w:sz w:val="24"/>
        </w:rPr>
        <w:t xml:space="preserve"> </w:t>
      </w:r>
      <w:r>
        <w:rPr>
          <w:rFonts w:ascii="宋体" w:hAnsi="宋体" w:cs="宋体" w:hint="eastAsia"/>
          <w:sz w:val="24"/>
        </w:rPr>
        <w:t>各部门及其所属单位有下列行为之一的，责令改正，有违法所得的没收违法所得，情节较重的，对负有直接责任的主管人员和其他直接责任人员依法给予处分；构成犯罪的，依法追究刑事责任：</w:t>
      </w:r>
    </w:p>
    <w:p w14:paraId="6BA852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（一）非法占有、使用国有资产或者采用弄虚作假等方式低价处置国有资产；</w:t>
      </w:r>
    </w:p>
    <w:p w14:paraId="3360F9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（二）违反规定将国有资产用于对外投资或者设立营利性组织；</w:t>
      </w:r>
    </w:p>
    <w:p w14:paraId="2A54F9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（三）未按照规定评估国有资产导致国家利益损失；</w:t>
      </w:r>
    </w:p>
    <w:p w14:paraId="18E4C7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（四）其他违反本条例规定造成国有资产损失的行为。</w:t>
      </w:r>
    </w:p>
    <w:p w14:paraId="1BBD425D" w14:textId="063AEF41"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第五十五条</w:t>
      </w:r>
      <w:r w:rsidR="00A45A13">
        <w:rPr>
          <w:rFonts w:ascii="宋体" w:hAnsi="宋体" w:cs="宋体" w:hint="eastAsia"/>
          <w:sz w:val="24"/>
        </w:rPr>
        <w:t xml:space="preserve"> </w:t>
      </w:r>
      <w:r>
        <w:rPr>
          <w:rFonts w:ascii="宋体" w:hAnsi="宋体" w:cs="宋体" w:hint="eastAsia"/>
          <w:sz w:val="24"/>
        </w:rPr>
        <w:t>各部门及其所属单位在国有资产管理工作中有违反预算管理规定行为的，依照《中华人民共和国预算法》及其实施条例、《财政违法行为处罚处分条例》等法律、行政法规追究责任。</w:t>
      </w:r>
    </w:p>
    <w:p w14:paraId="46A7A846" w14:textId="0B5ABD45"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lastRenderedPageBreak/>
        <w:t>第五十六条</w:t>
      </w:r>
      <w:r w:rsidR="00A45A13">
        <w:rPr>
          <w:rFonts w:ascii="宋体" w:hAnsi="宋体" w:cs="宋体" w:hint="eastAsia"/>
          <w:sz w:val="24"/>
        </w:rPr>
        <w:t xml:space="preserve"> </w:t>
      </w:r>
      <w:r>
        <w:rPr>
          <w:rFonts w:ascii="宋体" w:hAnsi="宋体" w:cs="宋体" w:hint="eastAsia"/>
          <w:sz w:val="24"/>
        </w:rPr>
        <w:t>各部门及其所属单位的工作人员在国有资产管理工作中滥用职权、玩忽职守、徇私舞弊或者有浪费国有资产等违法违规行为的，由有关部门依法给予处分；构成犯罪的，依法追究刑事责任。</w:t>
      </w:r>
    </w:p>
    <w:p w14:paraId="28EF7201" w14:textId="77777777" w:rsidR="00A320E6" w:rsidRDefault="00000000" w:rsidP="00AE0286">
      <w:pPr>
        <w:pStyle w:val="13"/>
        <w:spacing w:before="62" w:after="62"/>
      </w:pPr>
      <w:r>
        <w:rPr>
          <w:rFonts w:hint="eastAsia"/>
        </w:rPr>
        <w:t>第八章　附　　则</w:t>
      </w:r>
    </w:p>
    <w:p w14:paraId="04F54B69" w14:textId="1232663B"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第五十七条</w:t>
      </w:r>
      <w:r w:rsidR="00A45A13">
        <w:rPr>
          <w:rFonts w:ascii="宋体" w:hAnsi="宋体" w:cs="宋体" w:hint="eastAsia"/>
          <w:sz w:val="24"/>
        </w:rPr>
        <w:t xml:space="preserve"> </w:t>
      </w:r>
      <w:r>
        <w:rPr>
          <w:rFonts w:ascii="宋体" w:hAnsi="宋体" w:cs="宋体" w:hint="eastAsia"/>
          <w:sz w:val="24"/>
        </w:rPr>
        <w:t>除国家另有规定外，社会组织直接支配的行政事业性国有资产管理，依照本条例执行。</w:t>
      </w:r>
    </w:p>
    <w:p w14:paraId="515AB3B7" w14:textId="1EE6B3B1"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第五十八条</w:t>
      </w:r>
      <w:r w:rsidR="00A45A13">
        <w:rPr>
          <w:rFonts w:ascii="宋体" w:hAnsi="宋体" w:cs="宋体" w:hint="eastAsia"/>
          <w:sz w:val="24"/>
        </w:rPr>
        <w:t xml:space="preserve"> </w:t>
      </w:r>
      <w:r>
        <w:rPr>
          <w:rFonts w:ascii="宋体" w:hAnsi="宋体" w:cs="宋体" w:hint="eastAsia"/>
          <w:sz w:val="24"/>
        </w:rPr>
        <w:t>货币形式的行政事业性国有资产管理，按照预算管理有关规定执行。</w:t>
      </w:r>
    </w:p>
    <w:p w14:paraId="1FAD52A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执行企业财务、会计制度的事业单位以及事业单位对外投资的全资企业或者控股企业的资产管理，不适用本条例。</w:t>
      </w:r>
    </w:p>
    <w:p w14:paraId="57482B47" w14:textId="259D7604"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第五十九条</w:t>
      </w:r>
      <w:r w:rsidR="00A45A13">
        <w:rPr>
          <w:rFonts w:ascii="宋体" w:hAnsi="宋体" w:cs="宋体" w:hint="eastAsia"/>
          <w:sz w:val="24"/>
        </w:rPr>
        <w:t xml:space="preserve"> </w:t>
      </w:r>
      <w:r>
        <w:rPr>
          <w:rFonts w:ascii="宋体" w:hAnsi="宋体" w:cs="宋体" w:hint="eastAsia"/>
          <w:sz w:val="24"/>
        </w:rPr>
        <w:t>公共基础设施、政府储备物资、国有文物文化等行政事业性国有资产管理的具体办法，由国务院财政部门会同有关部门制定。</w:t>
      </w:r>
    </w:p>
    <w:p w14:paraId="06B12A7F" w14:textId="35788B12"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第六十条</w:t>
      </w:r>
      <w:r w:rsidR="00A45A13">
        <w:rPr>
          <w:rFonts w:ascii="宋体" w:hAnsi="宋体" w:cs="宋体" w:hint="eastAsia"/>
          <w:sz w:val="24"/>
        </w:rPr>
        <w:t xml:space="preserve"> </w:t>
      </w:r>
      <w:r>
        <w:rPr>
          <w:rFonts w:ascii="宋体" w:hAnsi="宋体" w:cs="宋体" w:hint="eastAsia"/>
          <w:sz w:val="24"/>
        </w:rPr>
        <w:t>中国人民解放军、中国人民武装警察部队直接支配的行政事业性国有资产管理，依照中央军事委员会有关规定执行。</w:t>
      </w:r>
    </w:p>
    <w:p w14:paraId="55B80C99" w14:textId="52C4339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第六十一条</w:t>
      </w:r>
      <w:r w:rsidR="00C36EF7">
        <w:rPr>
          <w:rFonts w:ascii="宋体" w:hAnsi="宋体" w:cs="宋体" w:hint="eastAsia"/>
          <w:sz w:val="24"/>
        </w:rPr>
        <w:t xml:space="preserve"> </w:t>
      </w:r>
      <w:r>
        <w:rPr>
          <w:rFonts w:ascii="宋体" w:hAnsi="宋体" w:cs="宋体" w:hint="eastAsia"/>
          <w:sz w:val="24"/>
        </w:rPr>
        <w:t>本条例自2021年4月1日起施行。</w:t>
      </w:r>
    </w:p>
    <w:p w14:paraId="10C827D8" w14:textId="77777777" w:rsidR="00A320E6"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2" w:name="_Toc112227342"/>
      <w:r>
        <w:rPr>
          <w:rFonts w:ascii="宋体" w:hAnsi="宋体" w:cs="宋体" w:hint="eastAsia"/>
          <w:b/>
          <w:bCs/>
          <w:color w:val="000000"/>
          <w:kern w:val="0"/>
          <w:sz w:val="24"/>
          <w:szCs w:val="24"/>
          <w:lang w:bidi="ar"/>
        </w:rPr>
        <w:t>最高人民法院关于人民法院民事执行中拍卖、变卖财产的规定</w:t>
      </w:r>
      <w:bookmarkEnd w:id="2"/>
    </w:p>
    <w:p w14:paraId="69AD50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2004年10月26日最高人民法院审判委员会第1330次会议通过，根据2020年12月23日最高人民法院审判委员会第1823次会议通过的《最高人民法院关于修改〈最高人民法院关于人民法院扣押铁路运输货物若干问题的规定〉等十八件执行类司法解释的决定》修正）</w:t>
      </w:r>
    </w:p>
    <w:p w14:paraId="38ED8038"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为了进一步规范民事执行中的拍卖、变卖措施，维护当事人的合法权益，根据《中华人民共和国民事诉讼法》等法律的规定，结合人民法院民事执行工作的实践经验，制定本规定。</w:t>
      </w:r>
    </w:p>
    <w:p w14:paraId="0A5CC8AD" w14:textId="271A1AF2"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A45A13"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在执行程序中，被执行人的财产被查封、扣押、冻结后，人民法院应当及时进行拍卖、变卖或者采取其他执行措施。</w:t>
      </w:r>
    </w:p>
    <w:p w14:paraId="248B50A4" w14:textId="0DADB416"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A45A13"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人民法院对查封、扣押、冻结的财产进行变价处理时，应当首先采取拍卖的方式，但法律、司法解释另有规定的除外。</w:t>
      </w:r>
    </w:p>
    <w:p w14:paraId="0FA17B79" w14:textId="029CF0C5"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A45A13"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人民法院拍卖被执行人财产，应当委托具有相应资质的拍卖机构进行，并对拍卖机构的拍卖进行监督，但法律、司法解释另有规定的除外。</w:t>
      </w:r>
    </w:p>
    <w:p w14:paraId="410A86E8" w14:textId="0AEBF0E0"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lastRenderedPageBreak/>
        <w:t xml:space="preserve">　　</w:t>
      </w:r>
      <w:r w:rsidR="00A45A13" w:rsidRPr="00A45A13">
        <w:rPr>
          <w:rFonts w:ascii="宋体" w:hAnsi="宋体" w:cs="宋体" w:hint="eastAsia"/>
          <w:b/>
          <w:sz w:val="24"/>
        </w:rPr>
        <w:t>第四条</w:t>
      </w:r>
      <w:r w:rsidR="00A45A13">
        <w:rPr>
          <w:rFonts w:ascii="宋体" w:hAnsi="宋体" w:cs="宋体" w:hint="eastAsia"/>
          <w:sz w:val="24"/>
        </w:rPr>
        <w:t xml:space="preserve"> </w:t>
      </w:r>
      <w:r>
        <w:rPr>
          <w:rFonts w:ascii="宋体" w:hAnsi="宋体" w:cs="宋体" w:hint="eastAsia"/>
          <w:sz w:val="24"/>
        </w:rPr>
        <w:t>对拟拍卖的财产，人民法院可以委托具有相应资质的评估机构进行价格评估。对于财产价值较低或者价格依照通常方法容易确定的，可以不进行评估。</w:t>
      </w:r>
    </w:p>
    <w:p w14:paraId="4BE643BA"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当事人双方及其他执行债权人申请不进行评估的，人民法院应当准许。</w:t>
      </w:r>
    </w:p>
    <w:p w14:paraId="5BC1216B"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对被执行人的股权进行评估时，人民法院可以责令有关企业提供会计报表等资料；有关企业拒不提供的，可以强制提取。</w:t>
      </w:r>
    </w:p>
    <w:p w14:paraId="1B2BE076" w14:textId="1ED127C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拍卖应当确定保留价。</w:t>
      </w:r>
    </w:p>
    <w:p w14:paraId="7D4ED97E"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拍卖财产经过评估的，评估价即为第一次拍卖的保留价；未作评估的，保留价由人民法院参照市价确定，并应当征询有关当事人的意见。</w:t>
      </w:r>
    </w:p>
    <w:p w14:paraId="54FAB3AE"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如果出现流拍，再行拍卖时，可以酌情降低保留价，但每次降低的数额不得超过前次保留价的百分之二十。</w:t>
      </w:r>
    </w:p>
    <w:p w14:paraId="30CBEC42" w14:textId="10B28D8F"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保留价确定后，依据本次拍卖保留价计算，拍卖所得价款在清偿优先债权和强制执行费用后无剩余可能的，应当在实施拍卖前将有关情况通知申请执行人。申请执行人于收到通知后五日内申请继续拍卖的，人民法院应当准许，但应当重新确定保留价；重新确定的保留价应当大于该优先债权及强制执行费用的总额。</w:t>
      </w:r>
    </w:p>
    <w:p w14:paraId="1A3375D9"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依照前款规定流拍的，拍卖费用由申请执行人负担。</w:t>
      </w:r>
    </w:p>
    <w:p w14:paraId="433CBF74" w14:textId="415A5E18"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执行人员应当对拍卖财产的权属状况、占有使用情况等进行必要的调查，制作拍卖财产现状的调查笔录或者收集其他有关资料。</w:t>
      </w:r>
    </w:p>
    <w:p w14:paraId="0C8992C5" w14:textId="432A781C"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拍卖应当先期公告。</w:t>
      </w:r>
    </w:p>
    <w:p w14:paraId="14D049F0"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拍卖动产的，应当在拍卖七日前公告；拍卖不动产或者其他财产权的，应当在拍卖十五日前公告。</w:t>
      </w:r>
    </w:p>
    <w:p w14:paraId="15B142C6" w14:textId="5DF6B63D"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拍卖公告的范围及媒体由当事人双方协商确定；协商不成的，由人民法院确定。拍卖财产具有专业属性的，应当同时在专业性报纸上进行公告。</w:t>
      </w:r>
    </w:p>
    <w:p w14:paraId="4C5B5D73"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当事人申请在其他新闻媒体上公告或者要求扩大公告范围的，应当准许，但该部分的公告费用由其自行承担。</w:t>
      </w:r>
    </w:p>
    <w:p w14:paraId="681CF578" w14:textId="3C7BEA1F"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拍卖不动产、其他财产权或者价值较高的动产的，竞买人应当于拍卖前向人民法院预交保证金。申请执行人参加竞买的，可以不预交保证金。保证金的数额由人民法院确定，但不得低于评估价或者市价的百分之五。</w:t>
      </w:r>
    </w:p>
    <w:p w14:paraId="3A01DDA0"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应当预交保证金而未交纳的，不得参加竞买。拍卖成交后，买受人预交的保证金充抵价款，其他竞买人预交的保证金应当在三日内退还；拍卖未成交的，保证金</w:t>
      </w:r>
      <w:r>
        <w:rPr>
          <w:rFonts w:ascii="宋体" w:hAnsi="宋体" w:cs="宋体" w:hint="eastAsia"/>
          <w:sz w:val="24"/>
        </w:rPr>
        <w:lastRenderedPageBreak/>
        <w:t>应当于三日内退还竞买人。</w:t>
      </w:r>
    </w:p>
    <w:p w14:paraId="74A02594" w14:textId="081D93BD"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人民法院应当在拍卖五日前以书面或者其他能够确认收悉的适当方式，通知当事人和已知的担保物权人、优先购买权人或者其他优先权人于拍卖日到场。</w:t>
      </w:r>
    </w:p>
    <w:p w14:paraId="3ECE9288"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优先购买权人经通知未到场的，视为放弃优先购买权。</w:t>
      </w:r>
    </w:p>
    <w:p w14:paraId="15D83750" w14:textId="4A7E2678"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977BD5"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法律、行政法规对买受人的资格或者条件有特殊规定的，竞买人应当具备规定的资格或者条件。</w:t>
      </w:r>
    </w:p>
    <w:p w14:paraId="22CEAB9E"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申请执行人、被执行人可以参加竞买。</w:t>
      </w:r>
    </w:p>
    <w:p w14:paraId="6D9A7EAC" w14:textId="6780BA1B"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拍卖过程中，有最高应价时，优先购买权人可以表示以该最高价买受，如无更高应价，则拍归优先购买权人；如有更高应价，而优先购买权人不作表示的，则拍归该应价最高的竞买人。</w:t>
      </w:r>
    </w:p>
    <w:p w14:paraId="5AFA881D"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顺序相同的多个优先购买权人同时表示买受的，以抽签方式决定买受人。</w:t>
      </w:r>
    </w:p>
    <w:p w14:paraId="5844B5A6" w14:textId="49AB2CF8"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拍卖多项财产时，其中部分财产卖得的价款足以清偿债务和支付被执行人应当负担的费用的，对剩余的财产应当停止拍卖，但被执行人同意全部拍卖的除外。</w:t>
      </w:r>
    </w:p>
    <w:p w14:paraId="5EF97778" w14:textId="179FC8B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拍卖的多项财产在使用上不可分，或者分别拍卖可能严重减损其价值的，应当合并拍卖。</w:t>
      </w:r>
    </w:p>
    <w:p w14:paraId="23693274" w14:textId="1B85288C"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拍卖时无人竞买或者竞买人的最高应价低于保留价，到场的申请执行人或者其他执行债权人申请或者同意以该次拍卖所定的保留价接受拍卖财产的，应当将该财产交其抵债。</w:t>
      </w:r>
    </w:p>
    <w:p w14:paraId="15C14949"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有两个以上执行债权人申请以拍卖财产抵债的，由法定受偿顺位在先的债权人优先承受；受偿顺位相同的，以抽签方式决定承受人。承受人应受清偿的债权额低于抵债财产的价额的，人民法院应当责令其在指定的期间内补交差额。</w:t>
      </w:r>
    </w:p>
    <w:p w14:paraId="33253163" w14:textId="2926E1CF"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在拍卖开始前，有下列情形之一的，人民法院应当撤回拍卖委托：</w:t>
      </w:r>
    </w:p>
    <w:p w14:paraId="34E481D3"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（一）据以执行的生效法律文书被撤销的；</w:t>
      </w:r>
    </w:p>
    <w:p w14:paraId="3D5553D8"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（二）申请执行人及其他执行债权人撤回执行申请的；</w:t>
      </w:r>
    </w:p>
    <w:p w14:paraId="0D7E574B"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（三）被执行人全部履行了法律文书确定的金钱债务的；</w:t>
      </w:r>
    </w:p>
    <w:p w14:paraId="42E79936"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（四）当事人达成了执行和解协议，不需要拍卖财产的；</w:t>
      </w:r>
    </w:p>
    <w:p w14:paraId="49ED729A"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（五）案外人对拍卖财产提出确有理由的异议的；</w:t>
      </w:r>
    </w:p>
    <w:p w14:paraId="35524A73"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lastRenderedPageBreak/>
        <w:t xml:space="preserve">　　（六）拍卖机构与竞买人恶意串通的；</w:t>
      </w:r>
    </w:p>
    <w:p w14:paraId="30FEE2B6"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（七）其他应当撤回拍卖委托的情形。</w:t>
      </w:r>
    </w:p>
    <w:p w14:paraId="3D4C3E27" w14:textId="7091E45A"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人民法院委托拍卖后，遇有依法应当暂缓执行或者中止执行的情形的，应当决定暂缓执行或者裁定中止执行，并及时通知拍卖机构和当事人。拍卖机构收到通知后，应当立即停止拍卖，并通知竞买人。</w:t>
      </w:r>
    </w:p>
    <w:p w14:paraId="30F9366F"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暂缓执行期限届满或者中止执行的事由消失后，需要继续拍卖的，人民法院应当在十五日内通知拍卖机构恢复拍卖。</w:t>
      </w:r>
    </w:p>
    <w:p w14:paraId="63AA191D" w14:textId="4E74019B"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被执行人在拍卖日之前向人民法院提交足额金钱清偿债务，要求停止拍卖的，人民法院应当准许，但被执行人应当负担因拍卖支出的必要费用。</w:t>
      </w:r>
    </w:p>
    <w:p w14:paraId="0F9250BE" w14:textId="063F834E"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拍卖成交或者以流拍的财产抵债的，人民法院应当作出裁定，并于价款或者需要补交的差价全额交付后十日内，送达买受人或者承受人。</w:t>
      </w:r>
    </w:p>
    <w:p w14:paraId="7B304F61" w14:textId="291558EE"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拍卖成交后，买受人应当在拍卖公告确定的期限或者人民法院指定的期限内将价款交付到人民法院或者汇入人民法院指定的账户。</w:t>
      </w:r>
    </w:p>
    <w:p w14:paraId="07622B96" w14:textId="1EB20F31"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拍卖成交或者以流拍的财产抵债后，买受人逾期未支付价款或者承受人逾期未补交差价而使拍卖、抵债的目的难以实现的，人民法院可以裁定重新拍卖。重新拍卖时，原买受人不得参加竞买。</w:t>
      </w:r>
    </w:p>
    <w:p w14:paraId="5C2EC9F8"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重新拍卖的价款低于原拍卖价款造成的差价、费用损失及原拍卖中的佣金，由原买受人承担。人民法院可以直接从其预交的保证金中扣除。扣除后保证金有剩余的，应当退还原买受人；保证金数额不足的，可以责令原买受人补交；拒不补交的，强制执行。</w:t>
      </w:r>
    </w:p>
    <w:p w14:paraId="0A071CF1" w14:textId="435CBF49"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拍卖时无人竞买或者竞买人的最高应价低于保留价，到场的申请执行人或者其他执行债权人不申请以该次拍卖所定的保留价抵债的，应当在六十日内再行拍卖。</w:t>
      </w:r>
    </w:p>
    <w:p w14:paraId="4DEE07F7" w14:textId="78C027C5"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对于第二次拍卖仍流拍的动产，人民法院可以依照本规定</w:t>
      </w:r>
      <w:r w:rsidR="00EC0B72" w:rsidRPr="00AE0286">
        <w:rPr>
          <w:rFonts w:ascii="宋体" w:hAnsi="宋体" w:cs="宋体" w:hint="eastAsia"/>
          <w:bCs/>
          <w:sz w:val="24"/>
        </w:rPr>
        <w:t>第十六条</w:t>
      </w:r>
      <w:r w:rsidRPr="00AE0286">
        <w:rPr>
          <w:rFonts w:ascii="宋体" w:hAnsi="宋体" w:cs="宋体" w:hint="eastAsia"/>
          <w:bCs/>
          <w:sz w:val="24"/>
        </w:rPr>
        <w:t>的规定</w:t>
      </w:r>
      <w:r>
        <w:rPr>
          <w:rFonts w:ascii="宋体" w:hAnsi="宋体" w:cs="宋体" w:hint="eastAsia"/>
          <w:sz w:val="24"/>
        </w:rPr>
        <w:t>将其作价交申请执行人或者其他执行债权人抵债。申请执行人或者其他执行债权人拒绝接受或者依法不能交付其抵债的，人民法院应当解除查封、扣押，并将该动产退还被执行人。</w:t>
      </w:r>
    </w:p>
    <w:p w14:paraId="3FB47455" w14:textId="7EC2ACA5"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对于第二次拍卖仍流拍的不动产或者其他财产权，人民法院可以依照本规</w:t>
      </w:r>
      <w:r w:rsidRPr="00AE0286">
        <w:rPr>
          <w:rFonts w:ascii="宋体" w:hAnsi="宋体" w:cs="宋体" w:hint="eastAsia"/>
          <w:sz w:val="24"/>
        </w:rPr>
        <w:t>定</w:t>
      </w:r>
      <w:r w:rsidR="00EC0B72" w:rsidRPr="00AE0286">
        <w:rPr>
          <w:rFonts w:ascii="宋体" w:hAnsi="宋体" w:cs="宋体" w:hint="eastAsia"/>
          <w:sz w:val="24"/>
        </w:rPr>
        <w:t>第十六条</w:t>
      </w:r>
      <w:r w:rsidRPr="00AE0286">
        <w:rPr>
          <w:rFonts w:ascii="宋体" w:hAnsi="宋体" w:cs="宋体" w:hint="eastAsia"/>
          <w:sz w:val="24"/>
        </w:rPr>
        <w:t>的</w:t>
      </w:r>
      <w:r>
        <w:rPr>
          <w:rFonts w:ascii="宋体" w:hAnsi="宋体" w:cs="宋体" w:hint="eastAsia"/>
          <w:sz w:val="24"/>
        </w:rPr>
        <w:t>规定将其作价交申请执行人或者其他执行债权人抵债。申请执</w:t>
      </w:r>
      <w:r>
        <w:rPr>
          <w:rFonts w:ascii="宋体" w:hAnsi="宋体" w:cs="宋体" w:hint="eastAsia"/>
          <w:sz w:val="24"/>
        </w:rPr>
        <w:lastRenderedPageBreak/>
        <w:t>行人或者其他执行债权人拒绝接受或者依法不能交付其抵债的，应当在六十日内进行第三次拍卖。</w:t>
      </w:r>
    </w:p>
    <w:p w14:paraId="08DFC669"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第三次拍卖流拍且申请执行人或者其他执行债权人拒绝接受或者依法不能接受该不动产或者其他财产权抵债的，人民法院应当于第三次拍卖终结之日起七日内发出变卖公告。自公告之日起六十日内没有买受人愿意以第三次拍卖的保留价买受该财产，且申请执行人、其他执行债权人仍不表示接受该财产抵债的，应当解除查封、冻结，将该财产退还被执行人，但对该财产可以采取其他执行措施的除外。</w:t>
      </w:r>
    </w:p>
    <w:p w14:paraId="0BCB6258" w14:textId="28AB6FA2"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不动产、动产或者其他财产权拍卖成交或者抵债后，该不动产、动产的所有权、其他财产权自拍卖成交或者抵债裁定送达买受人或者承受人时起转移。</w:t>
      </w:r>
    </w:p>
    <w:p w14:paraId="1488864A" w14:textId="2DA89BD4"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人民法院裁定拍卖成交或者以流拍的财产抵债后，除有依法不能移交的情形外，应当于裁定送达后十五日内，将拍卖的财产移交买受人或者承受人。被执行人或者第三人占有拍卖财产应当移交而拒不移交的，强制执行。</w:t>
      </w:r>
    </w:p>
    <w:p w14:paraId="549480D3" w14:textId="6A0BF4E8"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拍卖财产上原有的担保物权及其他优先受偿权，因拍卖而消灭，拍卖所得价款，应当优先清偿担保物权人及其他优先受偿权人的债权，但当事人另有约定的除外。</w:t>
      </w:r>
    </w:p>
    <w:p w14:paraId="601F047A"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拍卖财产上原有的租赁权及其他用益物权，不因拍卖而消灭，但该权利继续存在于拍卖财产上，对在先的担保物权或者其他优先受偿权的实现有影响的，人民法院应当依法将其除去后进行拍卖。</w:t>
      </w:r>
    </w:p>
    <w:p w14:paraId="20FBB6C1" w14:textId="2D582A24"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拍卖成交的，拍卖机构可以按照下列比例向买受人收取佣金：</w:t>
      </w:r>
    </w:p>
    <w:p w14:paraId="739EDC4F"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拍卖成交价200万元以下的，收取佣金的比例不得超过5%；超过200万元至1000万元的部分，不得超过3%；超过1000万元至5000万元的部分，不得超过2%；超过5000万元至1亿元的部分，不得超过1%；超过1亿元的部分，不得超过0.5%。</w:t>
      </w:r>
    </w:p>
    <w:p w14:paraId="3076A681"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采取公开招标方式确定拍卖机构的，按照中标方案确定的数额收取佣金。</w:t>
      </w:r>
    </w:p>
    <w:p w14:paraId="52DE7A9A"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拍卖未成交或者非因拍卖机构的原因撤回拍卖委托的，拍卖机构为本次拍卖已经支出的合理费用，应当由被执行人负担。</w:t>
      </w:r>
    </w:p>
    <w:p w14:paraId="3C125AAF" w14:textId="3F9F5B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在执行程序中拍卖上市公司国有股和社会法人股的，适用最高人民法院《关于冻结、拍卖上市公司国有股和社会法人股若干问题的规定》。</w:t>
      </w:r>
    </w:p>
    <w:p w14:paraId="272DC544" w14:textId="7F9F3B3D"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对查封、扣押、冻结的财产，当事人双方及有关权利人同意变卖的，可以变卖。</w:t>
      </w:r>
    </w:p>
    <w:p w14:paraId="21F58571"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lastRenderedPageBreak/>
        <w:t xml:space="preserve">　　金银及其制品、当地市场有公开交易价格的动产、易腐烂变质的物品、季节性商品、保管困难或者保管费用过高的物品，人民法院可以决定变卖。</w:t>
      </w:r>
    </w:p>
    <w:p w14:paraId="630CFB51" w14:textId="0FD72E09"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w:t>
      </w:r>
      <w:r w:rsidR="00EC0B72"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当事人双方及有关权利人对变卖财产的价格有约定的，按照其约定价格变卖；无约定价格但有市价的，变卖价格不得低于市价；无市价但价值较大、价格不易确定的，应当委托评估机构进行评估，并按照评估价格进行变卖。</w:t>
      </w:r>
    </w:p>
    <w:p w14:paraId="04124645"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按照评估价格变卖不成的，可以降低价格变卖，但最低的变卖价不得低于评估价的二分之一。</w:t>
      </w:r>
    </w:p>
    <w:p w14:paraId="4C1E7180" w14:textId="0D662E5B"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 xml:space="preserve">　　变卖的财产无人应买的，适用本规定</w:t>
      </w:r>
      <w:r w:rsidR="00EC0B72" w:rsidRPr="00AE0286">
        <w:rPr>
          <w:rFonts w:ascii="宋体" w:hAnsi="宋体" w:cs="宋体" w:hint="eastAsia"/>
          <w:bCs/>
          <w:sz w:val="24"/>
        </w:rPr>
        <w:t>第十六条</w:t>
      </w:r>
      <w:r>
        <w:rPr>
          <w:rFonts w:ascii="宋体" w:hAnsi="宋体" w:cs="宋体" w:hint="eastAsia"/>
          <w:sz w:val="24"/>
        </w:rPr>
        <w:t>的规定将该财产交申请执行人或者其他执行债权人抵债；申请执行人或者其他执行债权人拒绝接受或者依法不能交付其抵债的，人民法院应当解除查封、扣押，并将该财产退还被执行人。</w:t>
      </w:r>
    </w:p>
    <w:p w14:paraId="46F50A53" w14:textId="4A26F5D5" w:rsidR="00A320E6" w:rsidRDefault="00EC0B72" w:rsidP="00AE0286">
      <w:pPr>
        <w:pStyle w:val="a3"/>
        <w:spacing w:line="360" w:lineRule="auto"/>
        <w:ind w:firstLineChars="0" w:firstLine="480"/>
        <w:rPr>
          <w:rFonts w:ascii="宋体" w:hAnsi="宋体" w:cs="宋体"/>
          <w:sz w:val="24"/>
        </w:rPr>
      </w:pPr>
      <w:r w:rsidRPr="00EC0B72">
        <w:rPr>
          <w:rFonts w:ascii="宋体" w:hAnsi="宋体" w:cs="宋体" w:hint="eastAsia"/>
          <w:b/>
          <w:sz w:val="24"/>
        </w:rPr>
        <w:t>第三十三条</w:t>
      </w:r>
      <w:r w:rsidR="00C36EF7">
        <w:rPr>
          <w:rFonts w:ascii="宋体" w:hAnsi="宋体" w:cs="宋体" w:hint="eastAsia"/>
          <w:sz w:val="24"/>
        </w:rPr>
        <w:t xml:space="preserve"> </w:t>
      </w:r>
      <w:r>
        <w:rPr>
          <w:rFonts w:ascii="宋体" w:hAnsi="宋体" w:cs="宋体" w:hint="eastAsia"/>
          <w:sz w:val="24"/>
        </w:rPr>
        <w:t>本规定自2005年1月1日起施行。施行前本院公布的司法解释与本规定不一致的，以本规定为准。</w:t>
      </w:r>
    </w:p>
    <w:p w14:paraId="4199EF4A" w14:textId="77777777" w:rsidR="00A320E6" w:rsidRPr="00B40F35"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3" w:name="_Toc112227343"/>
      <w:r w:rsidRPr="00B40F35">
        <w:rPr>
          <w:rFonts w:ascii="宋体" w:hAnsi="宋体" w:cs="宋体" w:hint="eastAsia"/>
          <w:b/>
          <w:bCs/>
          <w:color w:val="000000"/>
          <w:kern w:val="0"/>
          <w:sz w:val="24"/>
          <w:szCs w:val="24"/>
          <w:lang w:bidi="ar"/>
        </w:rPr>
        <w:t>关于破产企业国有划拨土地使用权应否列入破产财产等问题的批复</w:t>
      </w:r>
      <w:bookmarkEnd w:id="3"/>
    </w:p>
    <w:p w14:paraId="497DBB41" w14:textId="77777777" w:rsidR="00A320E6" w:rsidRDefault="00000000" w:rsidP="00AE0286">
      <w:pPr>
        <w:pStyle w:val="a3"/>
        <w:spacing w:line="360" w:lineRule="auto"/>
        <w:ind w:firstLineChars="328" w:firstLine="787"/>
        <w:jc w:val="center"/>
        <w:rPr>
          <w:rFonts w:ascii="宋体" w:hAnsi="宋体" w:cs="宋体"/>
          <w:sz w:val="24"/>
        </w:rPr>
      </w:pPr>
      <w:r>
        <w:rPr>
          <w:rFonts w:ascii="宋体" w:hAnsi="宋体" w:cs="宋体" w:hint="eastAsia"/>
          <w:sz w:val="24"/>
        </w:rPr>
        <w:t>最高人民法院法释〔2020〕18号</w:t>
      </w:r>
    </w:p>
    <w:p w14:paraId="778590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2002年10月11日最高人民法院审判委员会第1245次会议通过，根据2020年12月23日最高人民法院审判委员会第1823次会议通过的《最高人民法院关于修改〈最高人民法院关于破产企业国有划拨土地使用权应否列入破产财产等问题的批复〉等二十九件商事类司法解释的决定》修正）</w:t>
      </w:r>
    </w:p>
    <w:p w14:paraId="5A05107B" w14:textId="5FC316B6" w:rsidR="00AE0286" w:rsidRDefault="00000000" w:rsidP="00AE0286">
      <w:pPr>
        <w:spacing w:line="360" w:lineRule="auto"/>
        <w:rPr>
          <w:rFonts w:ascii="宋体" w:hAnsi="宋体" w:cs="宋体"/>
          <w:sz w:val="24"/>
          <w:szCs w:val="24"/>
        </w:rPr>
      </w:pPr>
      <w:r>
        <w:rPr>
          <w:rFonts w:ascii="宋体" w:hAnsi="宋体" w:cs="宋体" w:hint="eastAsia"/>
          <w:sz w:val="24"/>
          <w:szCs w:val="24"/>
        </w:rPr>
        <w:t>湖北省高级人民法院：</w:t>
      </w:r>
      <w:r>
        <w:rPr>
          <w:rFonts w:ascii="宋体" w:hAnsi="宋体" w:cs="宋体" w:hint="eastAsia"/>
          <w:sz w:val="24"/>
          <w:szCs w:val="24"/>
        </w:rPr>
        <w:br/>
        <w:t xml:space="preserve">　　你院鄂高法[2002]158号《关于破产企业国有划拨土地使用权应否列入破产财产以及有关抵押效力认定等问题的请示》收悉。经研究，答复如下：</w:t>
      </w:r>
      <w:r>
        <w:rPr>
          <w:rFonts w:ascii="宋体" w:hAnsi="宋体" w:cs="宋体" w:hint="eastAsia"/>
          <w:sz w:val="24"/>
          <w:szCs w:val="24"/>
        </w:rPr>
        <w:br/>
        <w:t xml:space="preserve">　　一、根据《中华人民共和国土地管理法》</w:t>
      </w:r>
      <w:r w:rsidR="00B74663" w:rsidRPr="00AE0286">
        <w:rPr>
          <w:rFonts w:ascii="宋体" w:hAnsi="宋体" w:cs="宋体" w:hint="eastAsia"/>
          <w:bCs/>
          <w:sz w:val="24"/>
          <w:szCs w:val="24"/>
        </w:rPr>
        <w:t>第五十八条</w:t>
      </w:r>
      <w:r w:rsidRPr="00AE0286">
        <w:rPr>
          <w:rFonts w:ascii="宋体" w:hAnsi="宋体" w:cs="宋体" w:hint="eastAsia"/>
          <w:bCs/>
          <w:sz w:val="24"/>
          <w:szCs w:val="24"/>
        </w:rPr>
        <w:t>第一款第（三）项及《城镇国有土地使用权出让和转让暂行条例》</w:t>
      </w:r>
      <w:r w:rsidR="00EC0B72" w:rsidRPr="00AE0286">
        <w:rPr>
          <w:rFonts w:ascii="宋体" w:hAnsi="宋体" w:cs="宋体" w:hint="eastAsia"/>
          <w:bCs/>
          <w:sz w:val="24"/>
          <w:szCs w:val="24"/>
        </w:rPr>
        <w:t>第四十七条</w:t>
      </w:r>
      <w:r w:rsidRPr="00AE0286">
        <w:rPr>
          <w:rFonts w:ascii="宋体" w:hAnsi="宋体" w:cs="宋体" w:hint="eastAsia"/>
          <w:bCs/>
          <w:sz w:val="24"/>
          <w:szCs w:val="24"/>
        </w:rPr>
        <w:t>的规定，破产企业以划拨方式取得的国有土地使用权不属于破产财产，在企业破产时，有关人民政府可以予以收回，并依法处置。纳入国家兼并破产计划的国有企业，其依法取得的国有土地使用权，应依据国务院有关文件规定办理。</w:t>
      </w:r>
      <w:r w:rsidRPr="00AE0286">
        <w:rPr>
          <w:rFonts w:ascii="宋体" w:hAnsi="宋体" w:cs="宋体" w:hint="eastAsia"/>
          <w:bCs/>
          <w:sz w:val="24"/>
          <w:szCs w:val="24"/>
        </w:rPr>
        <w:br/>
        <w:t xml:space="preserve">　　二、企业对其以划拨方式取得的国有土地使用权无处分权，以该土地使用权设定抵押，未经有审批权限的人民政府或土地行政管理部门批准的，不影响抵押合同效力；履行了法定的审批手续，并依法办理抵押登记的，抵押权自登记时设立。根</w:t>
      </w:r>
      <w:r w:rsidRPr="00AE0286">
        <w:rPr>
          <w:rFonts w:ascii="宋体" w:hAnsi="宋体" w:cs="宋体" w:hint="eastAsia"/>
          <w:bCs/>
          <w:sz w:val="24"/>
          <w:szCs w:val="24"/>
        </w:rPr>
        <w:lastRenderedPageBreak/>
        <w:t>据《中华人民共和国城市房地产管理法》</w:t>
      </w:r>
      <w:r w:rsidR="00B74663" w:rsidRPr="00AE0286">
        <w:rPr>
          <w:rFonts w:ascii="宋体" w:hAnsi="宋体" w:cs="宋体" w:hint="eastAsia"/>
          <w:bCs/>
          <w:sz w:val="24"/>
          <w:szCs w:val="24"/>
        </w:rPr>
        <w:t>第五十一条</w:t>
      </w:r>
      <w:r w:rsidRPr="00AE0286">
        <w:rPr>
          <w:rFonts w:ascii="宋体" w:hAnsi="宋体" w:cs="宋体" w:hint="eastAsia"/>
          <w:bCs/>
          <w:sz w:val="24"/>
          <w:szCs w:val="24"/>
        </w:rPr>
        <w:t>的规</w:t>
      </w:r>
      <w:r>
        <w:rPr>
          <w:rFonts w:ascii="宋体" w:hAnsi="宋体" w:cs="宋体" w:hint="eastAsia"/>
          <w:sz w:val="24"/>
          <w:szCs w:val="24"/>
        </w:rPr>
        <w:t>定，抵押权人只有在以抵押标的物折价或拍卖、变卖所得价款缴纳相当于土地使用权出让金的款项后，对剩余部分方可享有优先受偿权。但纳入国家兼并破产计划的国有企业，其用以划拨方式取得的国有土地使用权设定抵押的，应依据国务院有关文件规定办理。</w:t>
      </w:r>
      <w:r>
        <w:rPr>
          <w:rFonts w:ascii="宋体" w:hAnsi="宋体" w:cs="宋体" w:hint="eastAsia"/>
          <w:sz w:val="24"/>
          <w:szCs w:val="24"/>
        </w:rPr>
        <w:br/>
        <w:t xml:space="preserve">　　三、国有企业以关键设备、成套设备、建筑物设定抵押的，如无其他法定的无效情形，不应当仅以未经政府主管部门批准为由认定抵押合同无效。</w:t>
      </w:r>
      <w:r>
        <w:rPr>
          <w:rFonts w:ascii="宋体" w:hAnsi="宋体" w:cs="宋体" w:hint="eastAsia"/>
          <w:sz w:val="24"/>
          <w:szCs w:val="24"/>
        </w:rPr>
        <w:br/>
        <w:t xml:space="preserve">　　本批复自公布之日起施行，正在审理或者尚未审理的案件，适用本批复，但对提起再审的判决、裁定已经发生法律效力的案件除外。</w:t>
      </w:r>
      <w:r>
        <w:rPr>
          <w:rFonts w:ascii="宋体" w:hAnsi="宋体" w:cs="宋体" w:hint="eastAsia"/>
          <w:sz w:val="24"/>
          <w:szCs w:val="24"/>
        </w:rPr>
        <w:br/>
        <w:t xml:space="preserve">　　此复。</w:t>
      </w:r>
    </w:p>
    <w:p w14:paraId="5A4B30E9" w14:textId="77777777" w:rsidR="00AE0286" w:rsidRDefault="00AE0286" w:rsidP="00AE0286">
      <w:pPr>
        <w:pStyle w:val="2"/>
      </w:pPr>
      <w:r>
        <w:br w:type="page"/>
      </w:r>
    </w:p>
    <w:p w14:paraId="0F562F4E" w14:textId="77777777" w:rsidR="00A320E6" w:rsidRDefault="00000000" w:rsidP="00AE0286">
      <w:pPr>
        <w:numPr>
          <w:ilvl w:val="0"/>
          <w:numId w:val="1"/>
        </w:numPr>
        <w:jc w:val="left"/>
        <w:outlineLvl w:val="0"/>
        <w:rPr>
          <w:rFonts w:ascii="黑体" w:eastAsia="黑体" w:hAnsi="宋体" w:cs="黑体"/>
          <w:color w:val="000000"/>
          <w:kern w:val="0"/>
          <w:sz w:val="31"/>
          <w:szCs w:val="31"/>
          <w:lang w:bidi="ar"/>
        </w:rPr>
      </w:pPr>
      <w:bookmarkStart w:id="4" w:name="_Toc112227344"/>
      <w:r>
        <w:rPr>
          <w:rFonts w:ascii="黑体" w:eastAsia="黑体" w:hAnsi="宋体" w:cs="黑体"/>
          <w:color w:val="000000"/>
          <w:kern w:val="0"/>
          <w:sz w:val="31"/>
          <w:szCs w:val="31"/>
          <w:lang w:bidi="ar"/>
        </w:rPr>
        <w:lastRenderedPageBreak/>
        <w:t>资产评估执业规范类</w:t>
      </w:r>
      <w:bookmarkEnd w:id="4"/>
    </w:p>
    <w:p w14:paraId="78617709" w14:textId="77777777" w:rsidR="00A320E6" w:rsidRPr="00EC761E" w:rsidRDefault="00000000" w:rsidP="001E602B">
      <w:pPr>
        <w:pStyle w:val="27"/>
        <w:rPr>
          <w:lang w:bidi="ar"/>
        </w:rPr>
      </w:pPr>
      <w:bookmarkStart w:id="5" w:name="_Toc112227345"/>
      <w:r w:rsidRPr="00EC761E">
        <w:rPr>
          <w:lang w:bidi="ar"/>
        </w:rPr>
        <w:t>实体性具体准则</w:t>
      </w:r>
      <w:bookmarkEnd w:id="5"/>
    </w:p>
    <w:p w14:paraId="4E207AD9" w14:textId="77777777" w:rsidR="00A320E6" w:rsidRPr="00B40F35"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6" w:name="_Toc112227346"/>
      <w:r>
        <w:rPr>
          <w:rFonts w:ascii="宋体" w:hAnsi="宋体" w:cs="宋体" w:hint="eastAsia"/>
          <w:b/>
          <w:bCs/>
          <w:color w:val="000000"/>
          <w:kern w:val="0"/>
          <w:sz w:val="24"/>
          <w:szCs w:val="24"/>
          <w:lang w:bidi="ar"/>
        </w:rPr>
        <w:t>体育无形资产评估指导意见</w:t>
      </w:r>
      <w:bookmarkEnd w:id="6"/>
    </w:p>
    <w:p w14:paraId="4F15A3EF" w14:textId="77475B7E" w:rsidR="00A320E6" w:rsidRDefault="00000000" w:rsidP="00AE0286">
      <w:pPr>
        <w:pStyle w:val="13"/>
        <w:spacing w:before="62" w:after="62"/>
      </w:pPr>
      <w:r>
        <w:rPr>
          <w:rFonts w:hint="eastAsia"/>
          <w:lang w:bidi="ar"/>
        </w:rPr>
        <w:t>第一章</w:t>
      </w:r>
      <w:r w:rsidR="00AE0286">
        <w:rPr>
          <w:rFonts w:hint="eastAsia"/>
          <w:lang w:bidi="ar"/>
        </w:rPr>
        <w:t xml:space="preserve"> </w:t>
      </w:r>
      <w:r>
        <w:rPr>
          <w:rFonts w:hint="eastAsia"/>
          <w:lang w:bidi="ar"/>
        </w:rPr>
        <w:t>总则</w:t>
      </w:r>
    </w:p>
    <w:p w14:paraId="0C3EDE25" w14:textId="2486F638"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color w:val="000000"/>
          <w:kern w:val="0"/>
          <w:sz w:val="24"/>
          <w:szCs w:val="24"/>
          <w:lang w:bidi="ar"/>
        </w:rPr>
        <w:t>第一条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为规范体育无形资产评估业务行为，保护资产评估当事人合法权益和公共利益，根据《资产评估执业准则——无形资产》制定本指导意见。</w:t>
      </w:r>
    </w:p>
    <w:p w14:paraId="62DCEE82" w14:textId="16B71836" w:rsidR="00A320E6" w:rsidRDefault="00A45A13" w:rsidP="00AE0286">
      <w:pPr>
        <w:spacing w:line="360" w:lineRule="auto"/>
        <w:ind w:firstLineChars="200" w:firstLine="482"/>
        <w:jc w:val="left"/>
        <w:rPr>
          <w:rFonts w:ascii="宋体" w:hAnsi="宋体" w:cs="宋体"/>
          <w:sz w:val="24"/>
          <w:szCs w:val="24"/>
        </w:rPr>
      </w:pPr>
      <w:r w:rsidRPr="00A45A13">
        <w:rPr>
          <w:rFonts w:ascii="宋体" w:hAnsi="宋体" w:cs="宋体" w:hint="eastAsia"/>
          <w:b/>
          <w:color w:val="000000"/>
          <w:kern w:val="0"/>
          <w:sz w:val="24"/>
          <w:szCs w:val="24"/>
          <w:lang w:bidi="ar"/>
        </w:rPr>
        <w:t>第二条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本指导意见所称体育无形资产，是指特定主体拥有或者控制的，不具有实物形态，能持续发挥作用并且能带来经济利益的体育资源。</w:t>
      </w:r>
    </w:p>
    <w:p w14:paraId="50B6CC7D" w14:textId="3A714395" w:rsidR="00A320E6" w:rsidRDefault="00A45A13" w:rsidP="00AE0286">
      <w:pPr>
        <w:spacing w:line="360" w:lineRule="auto"/>
        <w:ind w:firstLineChars="200" w:firstLine="482"/>
        <w:jc w:val="left"/>
        <w:rPr>
          <w:rFonts w:ascii="宋体" w:hAnsi="宋体" w:cs="宋体"/>
          <w:sz w:val="24"/>
          <w:szCs w:val="24"/>
        </w:rPr>
      </w:pPr>
      <w:r w:rsidRPr="00A45A13">
        <w:rPr>
          <w:rFonts w:ascii="宋体" w:hAnsi="宋体" w:cs="宋体" w:hint="eastAsia"/>
          <w:b/>
          <w:color w:val="000000"/>
          <w:kern w:val="0"/>
          <w:sz w:val="24"/>
          <w:szCs w:val="24"/>
          <w:lang w:bidi="ar"/>
        </w:rPr>
        <w:t>第三条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指导意见所称体育无形资产评估，是指资产评估机构及其资产评估专业人员遵守法律、行政法规和资产评估准则，根据委托对评估基准日特定目的下的体育无形资产价值进行评定和估算，并出具资产评估报告的专业服务行为。</w:t>
      </w:r>
    </w:p>
    <w:p w14:paraId="0FCFBA65" w14:textId="2B80EC82" w:rsidR="00A320E6" w:rsidRDefault="00A45A13" w:rsidP="00AE0286">
      <w:pPr>
        <w:spacing w:line="360" w:lineRule="auto"/>
        <w:ind w:firstLineChars="200" w:firstLine="482"/>
        <w:jc w:val="left"/>
        <w:rPr>
          <w:rFonts w:ascii="宋体" w:hAnsi="宋体" w:cs="宋体"/>
          <w:sz w:val="24"/>
          <w:szCs w:val="24"/>
        </w:rPr>
      </w:pPr>
      <w:r w:rsidRPr="00A45A13">
        <w:rPr>
          <w:rFonts w:ascii="宋体" w:hAnsi="宋体" w:cs="宋体" w:hint="eastAsia"/>
          <w:b/>
          <w:color w:val="000000"/>
          <w:kern w:val="0"/>
          <w:sz w:val="24"/>
          <w:szCs w:val="24"/>
          <w:lang w:bidi="ar"/>
        </w:rPr>
        <w:t>第四条</w:t>
      </w:r>
      <w:r>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涉及土地使用权、水域使用权等无形资产的评估另行规范。</w:t>
      </w:r>
    </w:p>
    <w:p w14:paraId="2F2E6625" w14:textId="7F1DDE92"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执行体育无形资产评估业务，应当遵守本指导意见。</w:t>
      </w:r>
    </w:p>
    <w:p w14:paraId="22116EC9" w14:textId="078DF566" w:rsidR="00A320E6" w:rsidRDefault="00000000" w:rsidP="00AE0286">
      <w:pPr>
        <w:spacing w:line="360" w:lineRule="auto"/>
        <w:ind w:firstLineChars="200" w:firstLine="482"/>
        <w:jc w:val="center"/>
        <w:rPr>
          <w:rFonts w:ascii="宋体" w:hAnsi="宋体" w:cs="宋体"/>
          <w:b/>
          <w:bCs/>
          <w:sz w:val="24"/>
          <w:szCs w:val="24"/>
        </w:rPr>
      </w:pPr>
      <w:r>
        <w:rPr>
          <w:rFonts w:ascii="宋体" w:hAnsi="宋体" w:cs="宋体" w:hint="eastAsia"/>
          <w:b/>
          <w:bCs/>
          <w:color w:val="000000"/>
          <w:kern w:val="0"/>
          <w:sz w:val="24"/>
          <w:szCs w:val="24"/>
          <w:lang w:bidi="ar"/>
        </w:rPr>
        <w:t>第二章</w:t>
      </w:r>
      <w:r w:rsidR="00AE0286">
        <w:rPr>
          <w:rFonts w:ascii="宋体" w:hAnsi="宋体" w:cs="宋体" w:hint="eastAsia"/>
          <w:b/>
          <w:bCs/>
          <w:color w:val="000000"/>
          <w:kern w:val="0"/>
          <w:sz w:val="24"/>
          <w:szCs w:val="24"/>
          <w:lang w:bidi="ar"/>
        </w:rPr>
        <w:t xml:space="preserve"> </w:t>
      </w:r>
      <w:r>
        <w:rPr>
          <w:rFonts w:ascii="宋体" w:hAnsi="宋体" w:cs="宋体" w:hint="eastAsia"/>
          <w:b/>
          <w:bCs/>
          <w:color w:val="000000"/>
          <w:kern w:val="0"/>
          <w:sz w:val="24"/>
          <w:szCs w:val="24"/>
          <w:lang w:bidi="ar"/>
        </w:rPr>
        <w:t>基本遵循</w:t>
      </w:r>
    </w:p>
    <w:p w14:paraId="11D3EA97" w14:textId="2A7904D6"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执行体育无形资产评估业务，应当遵守法律、行政法规的规定，遵守职业道德规范，坚持独立、客观、公正的原则，诚实守信，勤勉尽责，谨慎从业，不得从事损害职业形象的活动。</w:t>
      </w:r>
    </w:p>
    <w:p w14:paraId="09DB66F8" w14:textId="0C895ECB"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执行体育无形资产评估业务，应当独立进行分析和估算并形成专业意见，拒绝委托人或者其他相关当事人的干预，不得直接以预先设定的价值作为评估结论。</w:t>
      </w:r>
    </w:p>
    <w:p w14:paraId="4109EFD7" w14:textId="147B9558"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执行体育无形资产评估业务，应当具备体育无形资产评估的专业知识和实践经验，能够胜任所执行的体育无形资产评估业务。</w:t>
      </w:r>
    </w:p>
    <w:p w14:paraId="3542EA57"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执行某项特定业务缺乏特定的专业知识和经验时，应当采取弥补措施，包括利用专家工作及相关报告等。</w:t>
      </w:r>
    </w:p>
    <w:p w14:paraId="6324E046" w14:textId="6DD63AE1"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关注单项资产评估业务和企业价值评估业务中的体育无形资产评估的区别。在对持续经营前提下的企业价值进行评估时，体育无形资产作为企业资产组成部分的价值可能有别于作为单项资产的价值，其价值取决于该资产对企业价值的贡献程度。</w:t>
      </w:r>
    </w:p>
    <w:p w14:paraId="18BCC103" w14:textId="6C0C1102" w:rsidR="00A320E6" w:rsidRDefault="00000000" w:rsidP="00AE0286">
      <w:pPr>
        <w:spacing w:line="360" w:lineRule="auto"/>
        <w:ind w:firstLineChars="200" w:firstLine="482"/>
        <w:jc w:val="center"/>
        <w:rPr>
          <w:rFonts w:ascii="宋体" w:hAnsi="宋体" w:cs="宋体"/>
          <w:b/>
          <w:bCs/>
          <w:sz w:val="24"/>
          <w:szCs w:val="24"/>
        </w:rPr>
      </w:pPr>
      <w:r>
        <w:rPr>
          <w:rFonts w:ascii="宋体" w:hAnsi="宋体" w:cs="宋体" w:hint="eastAsia"/>
          <w:b/>
          <w:bCs/>
          <w:color w:val="000000"/>
          <w:kern w:val="0"/>
          <w:sz w:val="24"/>
          <w:szCs w:val="24"/>
          <w:lang w:bidi="ar"/>
        </w:rPr>
        <w:lastRenderedPageBreak/>
        <w:t>第三章</w:t>
      </w:r>
      <w:r w:rsidR="00AE0286">
        <w:rPr>
          <w:rFonts w:ascii="宋体" w:hAnsi="宋体" w:cs="宋体" w:hint="eastAsia"/>
          <w:b/>
          <w:bCs/>
          <w:color w:val="000000"/>
          <w:kern w:val="0"/>
          <w:sz w:val="24"/>
          <w:szCs w:val="24"/>
          <w:lang w:bidi="ar"/>
        </w:rPr>
        <w:t xml:space="preserve"> </w:t>
      </w:r>
      <w:r>
        <w:rPr>
          <w:rFonts w:ascii="宋体" w:hAnsi="宋体" w:cs="宋体" w:hint="eastAsia"/>
          <w:b/>
          <w:bCs/>
          <w:color w:val="000000"/>
          <w:kern w:val="0"/>
          <w:sz w:val="24"/>
          <w:szCs w:val="24"/>
          <w:lang w:bidi="ar"/>
        </w:rPr>
        <w:t>评估对象和范围</w:t>
      </w:r>
    </w:p>
    <w:p w14:paraId="1C4552EE" w14:textId="14C07D3F"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执行体育无形资产评估业务，应当要求委托人明确评估对象。体育无形资产评估对象，是指体育无形资产的财产权益，或者特定体育无形资产组合的财产权益。</w:t>
      </w:r>
    </w:p>
    <w:p w14:paraId="2A8B28D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体育无形资产不局限于无形资产会计科目核算的资产。符合资产评估准则关于体育无形资产定义的，均可以构成体育无形资产评估对象。</w:t>
      </w:r>
    </w:p>
    <w:p w14:paraId="37AA724F" w14:textId="6FFBDC23"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执行体育无形资产评估业务，应当谨慎区分可辨认体育无形资产和不可辨认体育无形资产。</w:t>
      </w:r>
    </w:p>
    <w:p w14:paraId="20F00F00"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可辨认体育无形资产包括著作权资产、商标资产、特殊标志资产、域名资产、专利资产、商业秘密资产、合同权益资产、客户关系资产、特许经营权资产和受到专门法律保护的其他体育无形资产等。</w:t>
      </w:r>
    </w:p>
    <w:p w14:paraId="347C45B9"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不可辨认体育无形资产属于商誉，通常源自体育组织优越的地理位置、默契的团队配合、独特的组织文化等与同行相比具备的优势。</w:t>
      </w:r>
    </w:p>
    <w:p w14:paraId="1E8B9211" w14:textId="04F12981" w:rsidR="00A320E6" w:rsidRDefault="00977BD5" w:rsidP="00AE0286">
      <w:pPr>
        <w:spacing w:line="360" w:lineRule="auto"/>
        <w:ind w:firstLineChars="200" w:firstLine="482"/>
        <w:jc w:val="left"/>
        <w:rPr>
          <w:rFonts w:ascii="宋体" w:hAnsi="宋体" w:cs="宋体"/>
          <w:sz w:val="24"/>
          <w:szCs w:val="24"/>
        </w:rPr>
      </w:pPr>
      <w:r w:rsidRPr="00977BD5">
        <w:rPr>
          <w:rFonts w:ascii="宋体" w:hAnsi="宋体" w:cs="宋体" w:hint="eastAsia"/>
          <w:b/>
          <w:color w:val="000000"/>
          <w:kern w:val="0"/>
          <w:sz w:val="24"/>
          <w:szCs w:val="24"/>
          <w:lang w:bidi="ar"/>
        </w:rPr>
        <w:t>第十二条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执行体育无形资产评估业务，应当结合体育产业特征，合理识别各项可辨认体育无形资产。</w:t>
      </w:r>
    </w:p>
    <w:p w14:paraId="6B6F5111"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体育无形资产中的著作权资产，是指与体育有关的著作权的财产权益和与著作权有关权利的财产权益形成的资产。与体育有关的著作权通常包括体育赛事的电台广播权、电视转播权和信息网络传播权，体育活动使用的会徽、吉祥物著作权，体育组织开发或者购买的计算机软件等。</w:t>
      </w:r>
    </w:p>
    <w:p w14:paraId="2885F08A"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（二）体育无形资产中的商标资产，是指与体育有关的注册商标权益形成的资产。与体育有关的商标通常包括体育组织的注册商标，体育活动使用的名称、会徽、吉祥物的注册商标等。</w:t>
      </w:r>
    </w:p>
    <w:p w14:paraId="35699F3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（三）体育无形资产中的特殊标志资产，是指依法核准登记的体育类特殊标志专用权益形成的资产。体育类特殊标志通常包括体育活动使用的名称、会徽、吉祥物等。</w:t>
      </w:r>
    </w:p>
    <w:p w14:paraId="300F07C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（四）体育无形资产中的域名资产，是指与体育有关的互联网域名专用权益形成的资产。与体育有关的互联网域名通常包括体育组织的域名、体育活动的域名等。</w:t>
      </w:r>
    </w:p>
    <w:p w14:paraId="4BAB5475"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（五）体育无形资产中的专利资产，是指与体育有关的专利权益形成的资产。与体育有关的专利通常包括体育活动使用的标贴、标牌、吉祥物等的外观设计专利，</w:t>
      </w:r>
      <w:r>
        <w:rPr>
          <w:rFonts w:ascii="宋体" w:hAnsi="宋体" w:cs="宋体" w:hint="eastAsia"/>
          <w:color w:val="000000"/>
          <w:kern w:val="0"/>
          <w:sz w:val="24"/>
          <w:szCs w:val="24"/>
          <w:lang w:bidi="ar"/>
        </w:rPr>
        <w:lastRenderedPageBreak/>
        <w:t>体育产品生产或者开发的专利等。</w:t>
      </w:r>
    </w:p>
    <w:p w14:paraId="06D3F88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六）体育无形资产中的商业秘密资产，是指与体育有关的商业秘密权益形成的资产。与体育有关的商业秘密通常包括体育组织拥有的会员名单、体育运动数据、体育训练和运动的技术诀窍，体育产品生产或者开发的专有技术等。</w:t>
      </w:r>
    </w:p>
    <w:p w14:paraId="0CF3103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七）体育无形资产中的合同权益资产，是指与体育有关的、依法成立的合同受益权益形成的资产。与体育有关的典型合同通常包括体育赛事活动合作合同，运动员、教练员入队协议，体育无形资产市场开发合同等。</w:t>
      </w:r>
    </w:p>
    <w:p w14:paraId="63C1E36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（八）体育无形资产中的客户关系资产，是指与体育有关的客户关系受益权益形成的资产。与体育有关的客户关系通常包括体育赛事的赞助商资源、体育组织与会员或者供应商建立的客户关系等。</w:t>
      </w:r>
    </w:p>
    <w:p w14:paraId="203D9C9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（九）体育无形资产中的特许经营权资产，是指与体育有关的特许经营权益形成的资产。与体育有关的特许经营通常包括体育产品的特许经营、体育赛事特许商品开发与销售、体育健身俱乐部加盟等。</w:t>
      </w:r>
    </w:p>
    <w:p w14:paraId="76AD3334"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受到专门法律保护的其他体育无形资产，例如奥林匹克标志权利人拥有的专用权益形成的奥林匹克标志资产。《奥林匹克标志保护条例》规定的奥林匹克标志权利人包括国际奥林匹克委员会、中国奥林匹克委员会和中国境内申请承办奥林匹克运动会的机构、在中国境内举办的奥林匹克运动会的组织机构。</w:t>
      </w:r>
    </w:p>
    <w:p w14:paraId="6D9256BC" w14:textId="099BDF96"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执行体育无形资产评估业务，涉及多项无形资产的，应当要求委托人根据无形资产的具体情况和评估目的，对无形资产进行合理的分离或者组合。</w:t>
      </w:r>
    </w:p>
    <w:p w14:paraId="22166C73" w14:textId="75AC0E9A"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执行体育无形资产评估业务，应当关注无形资产的法律权属和财产权利形式。</w:t>
      </w:r>
    </w:p>
    <w:p w14:paraId="514B3EE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的财产权利通常受到相关法律、行政法规、章程或者合同的保护。对于权属关系复杂、权属资料不完备的评估对象，应当要求委托人和其他相关当事人提供承诺函或者说明函予以充分说明，并根据法律权属状况可能对评估结论和评估目的对应经济行为造成的影响，考虑是否承接资产评估业务。</w:t>
      </w:r>
    </w:p>
    <w:p w14:paraId="4EB84C67"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的财产权利形式通常包括所有权和使用权。其中，专利使用权包括专利权独占许可、独家许可、普通许可和其他许可等，著作权许可使用的权利分为专有使用权和非专有使用权。资产评估机构及其资产评估专业人员应当考虑体育无形资产财产权利形式对其价值的影响。</w:t>
      </w:r>
    </w:p>
    <w:p w14:paraId="0F57DF44" w14:textId="2AAE3A54"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lastRenderedPageBreak/>
        <w:t>第十五条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执行体育无形资产评估业务，应当结合体育产业特点，关注体育无形资产的法律、经济、技术等特征。</w:t>
      </w:r>
    </w:p>
    <w:p w14:paraId="391CF0F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关于著作权资产，应当关注评估对象涉及的作品在著作权法中所属的作品类别、作品的发表状况与登记情况、使用方式与状态、财产权利类型与范围等。对体育赛事著作权资产，应当特别关注评估对象涉及的体育赛事类型、商业运营模式，评估对象在时间、地域等方面的限制条件，以及是否存在法律纠纷与诉讼。</w:t>
      </w:r>
    </w:p>
    <w:p w14:paraId="26563071"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（二）关于商标资产，应当关注评估对象涉及的注册商标的基本特征与说明、注册商标的注册期限与续展情况、核准的注册类别、注册商标的权利人与许可使用情况、相关商品或者服务的经营情况等。</w:t>
      </w:r>
    </w:p>
    <w:p w14:paraId="538D35AB"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关于特殊标志和奥林匹克标志资产，应当关注评估对象涉及的相关标志的基本特征与说明、国家有关部门核准登记或者公告情况、有效期限与延期或者续展情况、权利人与许可使用情况、相关商品或者服务的经营情况、国际体育组织权益返还情况等。</w:t>
      </w:r>
    </w:p>
    <w:p w14:paraId="6B50BA0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（四）关于域名资产，应当关注评估对象涉及域名的组成结构和主体词汇等基本特征、取得情况、权属状况和使用情况等。</w:t>
      </w:r>
    </w:p>
    <w:p w14:paraId="12FEC29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五）关于专利资产和专有技术资产，应当关注评估对象涉及技术的先进性、实用性、具体实施情况和盈利水平等。对专利资产，应当特别关注专利权人及其变更情况、权利范围、年费缴纳情况，以及是否存在法律纠纷与诉讼、质押等现象。对专有技术资产，应当特别关注其保密状况及其采取的保护措施与效果。</w:t>
      </w:r>
    </w:p>
    <w:p w14:paraId="527BFF7C"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六）关于合同权益资产，应当关注合同约定的权利与义务情况、合同执行期限与范围、履约风险等。对体育赛事活动合作合同权益资产，应当特别关注相关赛事活动的类型、知名度、美誉度和获利能力。对运动员、教练员入队协议对应的合同权益资产，应当特别关注签约人身份或者地位，在相关领域或者市场中的竞争力、影响力与声誉。对体育无形资产市场开发合同权益资产，应当特别关注相关无形资产的类型、适用领域、影响力或者重要性、商业开发模式，以及相关产品或者服务的获利能力。</w:t>
      </w:r>
    </w:p>
    <w:p w14:paraId="7A050FB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（七）关于客户关系资产，应当关注客户构成情况、客户维护状况、客户忠诚度和贡献度等。</w:t>
      </w:r>
    </w:p>
    <w:p w14:paraId="2F38A6E3"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（八）关于特许经营权资产，应当关注特许经营权的许可方式、许可范围、许</w:t>
      </w:r>
      <w:r>
        <w:rPr>
          <w:rFonts w:ascii="宋体" w:hAnsi="宋体" w:cs="宋体" w:hint="eastAsia"/>
          <w:color w:val="000000"/>
          <w:kern w:val="0"/>
          <w:sz w:val="24"/>
          <w:szCs w:val="24"/>
          <w:lang w:bidi="ar"/>
        </w:rPr>
        <w:lastRenderedPageBreak/>
        <w:t>可期限、相关权利与义务的约定情况、相关产品或者服务的经营情况、发展前景等。对体育赛事特许商品开发与销售形成的特许经营权资产，应当重点关注体育赛事品牌的影响力、特许权人的开发设计能力、特许商品的销售情况和获利能力。</w:t>
      </w:r>
    </w:p>
    <w:p w14:paraId="2B67305A" w14:textId="0ABF63D1"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执行体育无形资产评估业务，应当明确评估范围。评估范围应当由委托人根据评估目的和评估对象的具体情况合理确定。资产评估机构及其资产评估专业人员应当根据专业经验提出合理建议。</w:t>
      </w:r>
    </w:p>
    <w:p w14:paraId="30B6B707" w14:textId="5EBF08AF"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执行企业价值评估业务中的体育无形资产评估，</w:t>
      </w:r>
    </w:p>
    <w:p w14:paraId="6C98423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应当根据会计政策、企业经营等情况，对被评估企业资产负债表表内以及表外的体育无形资产进行识别。</w:t>
      </w:r>
    </w:p>
    <w:p w14:paraId="2830F413" w14:textId="0A2AD6BE" w:rsidR="00A320E6" w:rsidRDefault="00000000" w:rsidP="00AE0286">
      <w:pPr>
        <w:spacing w:line="360" w:lineRule="auto"/>
        <w:ind w:firstLineChars="200" w:firstLine="482"/>
        <w:jc w:val="center"/>
        <w:rPr>
          <w:rFonts w:ascii="宋体" w:hAnsi="宋体" w:cs="宋体"/>
          <w:b/>
          <w:bCs/>
          <w:sz w:val="24"/>
          <w:szCs w:val="24"/>
        </w:rPr>
      </w:pPr>
      <w:r>
        <w:rPr>
          <w:rFonts w:ascii="宋体" w:hAnsi="宋体" w:cs="宋体" w:hint="eastAsia"/>
          <w:b/>
          <w:bCs/>
          <w:color w:val="000000"/>
          <w:kern w:val="0"/>
          <w:sz w:val="24"/>
          <w:szCs w:val="24"/>
          <w:lang w:bidi="ar"/>
        </w:rPr>
        <w:t>第四章</w:t>
      </w:r>
      <w:r w:rsidR="00AE0286">
        <w:rPr>
          <w:rFonts w:ascii="宋体" w:hAnsi="宋体" w:cs="宋体" w:hint="eastAsia"/>
          <w:b/>
          <w:bCs/>
          <w:color w:val="000000"/>
          <w:kern w:val="0"/>
          <w:sz w:val="24"/>
          <w:szCs w:val="24"/>
          <w:lang w:bidi="ar"/>
        </w:rPr>
        <w:t xml:space="preserve"> </w:t>
      </w:r>
      <w:r>
        <w:rPr>
          <w:rFonts w:ascii="宋体" w:hAnsi="宋体" w:cs="宋体" w:hint="eastAsia"/>
          <w:b/>
          <w:bCs/>
          <w:color w:val="000000"/>
          <w:kern w:val="0"/>
          <w:sz w:val="24"/>
          <w:szCs w:val="24"/>
          <w:lang w:bidi="ar"/>
        </w:rPr>
        <w:t>操作要求</w:t>
      </w:r>
    </w:p>
    <w:p w14:paraId="79104A73" w14:textId="12D4BECF"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执行体育无形资产评估业务，应当明确资产评估业务基本事项，履行适当的资产评估程序。</w:t>
      </w:r>
    </w:p>
    <w:p w14:paraId="01051DE9" w14:textId="5022916A"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执行体育无形资产评估业务，评估目的应当根据委托人的经济行为合理确定。</w:t>
      </w:r>
    </w:p>
    <w:p w14:paraId="3C591823"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体育无形资产评估业务涉及的经济行为主要包括出资、质押、转让、许可使用、财务报告、税收和诉讼等。</w:t>
      </w:r>
    </w:p>
    <w:p w14:paraId="40FFBBCD" w14:textId="1AECE820"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执行体育无形资产评估业务，应当在考虑评估目的、市场条件、评估对象自身条件等因素的基础上，恰当选择价值类型。</w:t>
      </w:r>
    </w:p>
    <w:p w14:paraId="2DD4788C"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（一）涉及出资、质押、税收和诉讼的，按照法律、行政法规或者合同的规定选择价值类型，法律、行政法规或者合同没有规定的，通常选择市场价值。</w:t>
      </w:r>
    </w:p>
    <w:p w14:paraId="4B215ADD"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（二）涉及转让、许可使用的，通常选择市场价值或者投资价值。</w:t>
      </w:r>
    </w:p>
    <w:p w14:paraId="59A7BF7A"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（三）涉及财务报告的，根据会计准则要求选择相应的会计计量属性作为评估价值类型。</w:t>
      </w:r>
    </w:p>
    <w:p w14:paraId="13699A71" w14:textId="59E814B5"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了解体育具有为经济建设、国防建设和社会发展服务的功能，体育无形资产可能同时产生经济效益和社会效益。对竞技体育、群众体育等无形资产进行评估时，应当在切实可行的情况下关注其社会效益对价值的影响。</w:t>
      </w:r>
    </w:p>
    <w:p w14:paraId="5556A2D6" w14:textId="2FBEE378"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执行体育无形资产评估业务，应当根据评估业务具体情况，对评估对象进行现场调查，收集权属证明、财务会计信息和其他资料，并依法对资产评估</w:t>
      </w:r>
      <w:r>
        <w:rPr>
          <w:rFonts w:ascii="宋体" w:hAnsi="宋体" w:cs="宋体" w:hint="eastAsia"/>
          <w:color w:val="000000"/>
          <w:kern w:val="0"/>
          <w:sz w:val="24"/>
          <w:szCs w:val="24"/>
          <w:lang w:bidi="ar"/>
        </w:rPr>
        <w:lastRenderedPageBreak/>
        <w:t>活动中使用的资料进行核查验证。</w:t>
      </w:r>
    </w:p>
    <w:p w14:paraId="77B1D803" w14:textId="5B251659"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执行体育无形资产评估业务，应当收集的资料通常包括：</w:t>
      </w:r>
    </w:p>
    <w:p w14:paraId="7CB8D6FC"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（一）无形资产评估明细表；</w:t>
      </w:r>
    </w:p>
    <w:p w14:paraId="5A1C70F7"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（二）无形资产权利的法律文件、权属有效性文件或者其他证明资料；</w:t>
      </w:r>
    </w:p>
    <w:p w14:paraId="1026917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（三）无形资产权利人基本情况；</w:t>
      </w:r>
    </w:p>
    <w:p w14:paraId="32A764FD"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（四）无形资产开发、使用方式；</w:t>
      </w:r>
    </w:p>
    <w:p w14:paraId="5ADA00D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（五）无形资产保护措施及保护状况；</w:t>
      </w:r>
    </w:p>
    <w:p w14:paraId="785E59F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（六）无形资产实施过程中受到的法律、行政法规或者其他限制；</w:t>
      </w:r>
    </w:p>
    <w:p w14:paraId="56AF6014"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（七）无形资产取得方式、取得成本和历史收益情况；</w:t>
      </w:r>
    </w:p>
    <w:p w14:paraId="2105D461"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（八）无形资产以往的交易、质押、出资及其评估情况；</w:t>
      </w:r>
    </w:p>
    <w:p w14:paraId="77B16367"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（九）类似无形资产的市场价格信息；</w:t>
      </w:r>
    </w:p>
    <w:p w14:paraId="6B3F624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（十）宏观经济环境情况；</w:t>
      </w:r>
    </w:p>
    <w:p w14:paraId="79A9FB0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（十一）相关体育产业发展状况及发展前景；</w:t>
      </w:r>
    </w:p>
    <w:p w14:paraId="090F6501"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（十二）无形资产实施主体或者拟实施主体基本情况及发展前景；</w:t>
      </w:r>
    </w:p>
    <w:p w14:paraId="2EA292C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（十三）无形资产经济寿命期限、收益期和预期收益情况；</w:t>
      </w:r>
    </w:p>
    <w:p w14:paraId="2DE5DE1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（十四）其他相关信息。</w:t>
      </w:r>
    </w:p>
    <w:p w14:paraId="66852317" w14:textId="15ADBD57"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执行体育无形资产评估业务，应当结合无形资产实施或者拟实施主体对相关业务的经营状况进行评估。对于尚未实施的无形资产，可以利用专业机构出具的专业意见或者专业报告。</w:t>
      </w:r>
    </w:p>
    <w:p w14:paraId="1CA01F4C" w14:textId="3B33C530"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引用体育市场上相关咨询机构发布的体育明星商业价值评估报告、体育赛事影响力评估报告、体育赛事赞助价值评估报告等咨询意见时，应当知晓上述以市场营销为目的的体育资源价值评估或者评价业务与本指导意见所指体育无形资产评估业务的区别，审慎引用相关结论。</w:t>
      </w:r>
    </w:p>
    <w:p w14:paraId="45DD5657" w14:textId="468D318A"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执行体育无形资产评估业务，应当尽可能获取与已实施体育无形资产相关的财务数据或者经审计的财务报表，并对相关财务数据进行必要的分析。</w:t>
      </w:r>
    </w:p>
    <w:p w14:paraId="57461621" w14:textId="0E1B909C"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执行体育无形资产法律诉讼评估业务，应当关注相关案情基本情况、经过质证的资料，以及体育无形资产的历史诉讼情况。</w:t>
      </w:r>
    </w:p>
    <w:p w14:paraId="36CBD79D" w14:textId="347FD593"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执行体育无形资产评估业务，应当结合体育无形资产开发模式和体育产业链发展状况，关注有关宏观和微观因素对无形资产效能发挥的制约和激励作</w:t>
      </w:r>
      <w:r>
        <w:rPr>
          <w:rFonts w:ascii="宋体" w:hAnsi="宋体" w:cs="宋体" w:hint="eastAsia"/>
          <w:color w:val="000000"/>
          <w:kern w:val="0"/>
          <w:sz w:val="24"/>
          <w:szCs w:val="24"/>
          <w:lang w:bidi="ar"/>
        </w:rPr>
        <w:lastRenderedPageBreak/>
        <w:t>用，及其对无形资产价值产生的影响。</w:t>
      </w:r>
    </w:p>
    <w:p w14:paraId="451B83E4" w14:textId="2862E10B"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第二十九条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分析判断影响体育无形资产价值的宏观因素，应当关注国家或者地区的经济发展水平、当地居民的生活方式和体育消费观念、体育传媒与信息服务技术发展状况、政府政策的支持力度和法律保护状况等。</w:t>
      </w:r>
    </w:p>
    <w:p w14:paraId="4B9FA435" w14:textId="01CA523C"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分析判断影响体育无形资产价值的微观因素，应当结合评估对象所属体育资源类别、体育专业领域和开发利用情况，关注其权属、品质、影响力和使用效应等价值影响因素。</w:t>
      </w:r>
    </w:p>
    <w:p w14:paraId="466B720D"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（一）对与体育赛事相关的无形资产，重点关注运动项目类型、赛事举办地点、赛事级别与规模、赛事运作理念与组织水平、赛事知名度与影响力、目标参与人群和赛事赞助情况等。</w:t>
      </w:r>
    </w:p>
    <w:p w14:paraId="23032CAC"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（二）对与体育专业人员相关的无形资产，重点关注体育专业人员的知名度与美誉度、专业类别、转会费水平、专业技术水平、身体素质与竞技状态、年龄与服役期限等。</w:t>
      </w:r>
    </w:p>
    <w:p w14:paraId="4BD5950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（三）对与体育组织相关的无形资产，重点关注体育组织的知名度、专业类别、体育人力资源和运营水平等，体育企业的主营业务类型、拥有的资质与资格、比赛成绩与排名、知名度等。</w:t>
      </w:r>
    </w:p>
    <w:p w14:paraId="5BC41A5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（四）对与体育场馆相关的无形资产，重点关注体育场馆的类型、知名度、地理位置、规模、新旧程度、运营水平等。</w:t>
      </w:r>
    </w:p>
    <w:p w14:paraId="0D3471A7" w14:textId="004C2868"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执行体育无形资产评估业务，应当合理使用评估假设和限制条件。</w:t>
      </w:r>
    </w:p>
    <w:p w14:paraId="2FF8BD8E" w14:textId="246DA5A1" w:rsidR="00A320E6" w:rsidRDefault="00EC0B72" w:rsidP="00AE0286">
      <w:pPr>
        <w:spacing w:line="360" w:lineRule="auto"/>
        <w:ind w:firstLineChars="200" w:firstLine="482"/>
        <w:jc w:val="left"/>
        <w:rPr>
          <w:rFonts w:ascii="宋体" w:hAnsi="宋体" w:cs="宋体"/>
          <w:color w:val="000000"/>
          <w:kern w:val="0"/>
          <w:sz w:val="24"/>
          <w:szCs w:val="24"/>
          <w:lang w:bidi="ar"/>
        </w:rPr>
      </w:pPr>
      <w:r w:rsidRPr="00EC0B72">
        <w:rPr>
          <w:rFonts w:ascii="宋体" w:hAnsi="宋体" w:cs="宋体" w:hint="eastAsia"/>
          <w:b/>
          <w:color w:val="000000"/>
          <w:kern w:val="0"/>
          <w:sz w:val="24"/>
          <w:szCs w:val="24"/>
          <w:lang w:bidi="ar"/>
        </w:rPr>
        <w:t>第三十二条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执行体育无形资产评估业务，应当分析判断评估对象是否与其他资产共同发挥作用。</w:t>
      </w:r>
    </w:p>
    <w:p w14:paraId="748CB8AA"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评估对象与其他资产共同发挥作用的，应当分析其他资产对整体收益的贡献及其对评估对象价值的影响。</w:t>
      </w:r>
    </w:p>
    <w:p w14:paraId="559547EB" w14:textId="287CF451" w:rsidR="00A320E6" w:rsidRDefault="00000000" w:rsidP="00AE0286">
      <w:pPr>
        <w:pStyle w:val="13"/>
        <w:spacing w:before="62" w:after="62"/>
      </w:pPr>
      <w:r>
        <w:rPr>
          <w:rFonts w:hint="eastAsia"/>
          <w:lang w:bidi="ar"/>
        </w:rPr>
        <w:t>第五章</w:t>
      </w:r>
      <w:r w:rsidR="00AE0286">
        <w:rPr>
          <w:rFonts w:hint="eastAsia"/>
          <w:lang w:bidi="ar"/>
        </w:rPr>
        <w:t xml:space="preserve"> </w:t>
      </w:r>
      <w:r>
        <w:rPr>
          <w:rFonts w:hint="eastAsia"/>
          <w:lang w:bidi="ar"/>
        </w:rPr>
        <w:t>评估方法</w:t>
      </w:r>
    </w:p>
    <w:p w14:paraId="5AF4ED71" w14:textId="68726878"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确定体育无形资产价值的评估方法包括收益法、市场法和成本法三种基本方法及其衍生方法。执行体育无形资产评估业务，应当根据评估目的、评估对象、价值类型、资料收集等情况，分析上述三种基本方法的适用性，选择评估方法。</w:t>
      </w:r>
    </w:p>
    <w:p w14:paraId="0145F78C" w14:textId="5C8EED8A" w:rsidR="00A320E6" w:rsidRDefault="00EC0B72" w:rsidP="00AE0286">
      <w:pPr>
        <w:spacing w:line="360" w:lineRule="auto"/>
        <w:ind w:firstLineChars="200" w:firstLine="482"/>
        <w:jc w:val="left"/>
        <w:rPr>
          <w:rFonts w:ascii="宋体" w:hAnsi="宋体" w:cs="宋体"/>
          <w:color w:val="000000"/>
          <w:kern w:val="0"/>
          <w:sz w:val="24"/>
          <w:szCs w:val="24"/>
          <w:lang w:bidi="ar"/>
        </w:rPr>
      </w:pPr>
      <w:r w:rsidRPr="00EC0B72">
        <w:rPr>
          <w:rFonts w:ascii="宋体" w:hAnsi="宋体" w:cs="宋体" w:hint="eastAsia"/>
          <w:b/>
          <w:color w:val="000000"/>
          <w:kern w:val="0"/>
          <w:sz w:val="24"/>
          <w:szCs w:val="24"/>
          <w:lang w:bidi="ar"/>
        </w:rPr>
        <w:t>第三十四条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采用收益法评估体育无形资产，应当根据无形资产的商业运营模</w:t>
      </w:r>
      <w:r>
        <w:rPr>
          <w:rFonts w:ascii="宋体" w:hAnsi="宋体" w:cs="宋体" w:hint="eastAsia"/>
          <w:color w:val="000000"/>
          <w:kern w:val="0"/>
          <w:sz w:val="24"/>
          <w:szCs w:val="24"/>
          <w:lang w:bidi="ar"/>
        </w:rPr>
        <w:lastRenderedPageBreak/>
        <w:t>式，考虑体育无形资产相关产品或者服务的运营主体资质、体育基础设施投入和管理水平、公众参与规模和参与度等因素，合理确定体育无形资产相关产品和服务的收益水平。</w:t>
      </w:r>
    </w:p>
    <w:p w14:paraId="7436741F" w14:textId="37FEF162"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体育无形资产未来收益可以通过分析计算节省许可费、增量收益或者超额收益等方式进行预测，对应的具体方法分别为节省许可费折现法、增量收益折现法和多期超额收益折现法。</w:t>
      </w:r>
    </w:p>
    <w:p w14:paraId="6811C74A" w14:textId="3397B058"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体育无形资产评估的节省许可费折现法，是指基于拥有被评估体育无形资产未来可以节省许可费的预期，并对所节省许可费采用适当的折现率折现后累加，从而确定评估对象价值的一种评估方法。</w:t>
      </w:r>
    </w:p>
    <w:p w14:paraId="0D175B3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体育无形资产的许可使用费可以参考评估对象已有许可使用合同约定的收费方式和收费水平，或者市场上相同或者类似无形资产的许可使用费率，结合评估对象未来发展情况进行分析预测。</w:t>
      </w:r>
    </w:p>
    <w:p w14:paraId="54124390"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预测体育无形资产许可使用费，应当关注无形资产许可使用方式、条件、范围、期限，以及无形资产相关商业活动的收入和成本分配机制、各方的权利和义务等合同约定事项对评估对象价值的影响。</w:t>
      </w:r>
    </w:p>
    <w:p w14:paraId="5BB6C034" w14:textId="7532C152"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体育无形资产评估的增量收益折现法，是指基于使用被评估体育无形资产可以获得未来增量收益的预期，并对增量收益采用适当的折现率折现，从而确定评估对象价值的一种评估方法。增量收益通常是指使用被评估体育无形资产与不使用该资产相比增加的收益。</w:t>
      </w:r>
    </w:p>
    <w:p w14:paraId="0CF88361"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预测体育无形资产的增量收益，应当分析判断体育无形资产的增量收益来自于收入增长，还是成本费用节约，或者两者兼而有之。</w:t>
      </w:r>
    </w:p>
    <w:p w14:paraId="34D4D6B6"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预测体育无形资产的增量收益，应当了解体育无形资产的商业运营模式，合理分析在假设拥有和不拥有评估对象的前提下相关体育产品的知名度、影响力等运营效果。</w:t>
      </w:r>
    </w:p>
    <w:p w14:paraId="643DDFFA" w14:textId="6B9C883C"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第三十八条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体育无形资产评估的多期超额收益折现法，是指将被评估体育无形资产实施主体未来预期收益中归属于被评估体育无形资产的预期超额收益进行折现累加，从而确定评估对象价值的一种评估方法。超额收益，通常是指从被评估体育无形资产与其他资产共同创造的各期整体收益中扣减其他资产贡献的收益后的余额。</w:t>
      </w:r>
    </w:p>
    <w:p w14:paraId="34C66E2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lastRenderedPageBreak/>
        <w:t>与被评估体育无形资产共同发挥作用的其他相关资产通常包括营运资金、固定资产和其他无形资产等。预测超额收益，应当对被评估体育无形资产权利主体的未来盈利预测进行分析，合理区分被评估体育无形资产与其他相关资产的收益贡献。</w:t>
      </w:r>
    </w:p>
    <w:p w14:paraId="3B7DDE49"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采用多期超额收益折现法评估体育无形资产，应当关注体育无形资产的时效性和生命周期特征，超过一定时限，未来收益水平将产生较大变化。</w:t>
      </w:r>
    </w:p>
    <w:p w14:paraId="66C56EDC" w14:textId="596348FF" w:rsidR="00A320E6" w:rsidRDefault="00EC0B72" w:rsidP="00AE0286">
      <w:pPr>
        <w:spacing w:line="360" w:lineRule="auto"/>
        <w:ind w:firstLineChars="200" w:firstLine="482"/>
        <w:jc w:val="left"/>
        <w:rPr>
          <w:rFonts w:ascii="宋体" w:hAnsi="宋体" w:cs="宋体"/>
          <w:color w:val="000000"/>
          <w:kern w:val="0"/>
          <w:sz w:val="24"/>
          <w:szCs w:val="24"/>
          <w:lang w:bidi="ar"/>
        </w:rPr>
      </w:pPr>
      <w:r w:rsidRPr="00EC0B72">
        <w:rPr>
          <w:rFonts w:ascii="宋体" w:hAnsi="宋体" w:cs="宋体" w:hint="eastAsia"/>
          <w:b/>
          <w:color w:val="000000"/>
          <w:kern w:val="0"/>
          <w:sz w:val="24"/>
          <w:szCs w:val="24"/>
          <w:lang w:bidi="ar"/>
        </w:rPr>
        <w:t>第三十九条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采用收益法评估体育无形资产，应当合理确定评估对象的收益期限。</w:t>
      </w:r>
    </w:p>
    <w:p w14:paraId="3F3ACDA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评估对象的收益期限取决于相关资产产生收益的时间。确定体育无形资产的收益期限，应当综合考虑相关体育产品的经济寿命期限、相关体育无形资产法律保护期限、合同有效期限、技术寿命期限和经济寿命期限等影响因素，按照孰短原则确定。</w:t>
      </w:r>
    </w:p>
    <w:p w14:paraId="4DF16B4B" w14:textId="606DAF84"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采用收益法评估体育无形资产，应当根据评估对象具体情况和收益预测具体方法的需要，恰当选择评估对象的收益口径。</w:t>
      </w:r>
    </w:p>
    <w:p w14:paraId="41AE0958"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体育无形资产评估一般采用税前收益，具体收益指标主要包括收入、利润和现金流量等。</w:t>
      </w:r>
    </w:p>
    <w:p w14:paraId="4CA93A6D" w14:textId="48CBB9BD"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采用收益法评估体育无形资产，应当考虑与评估对象相关的法律风险、市场风险、经营风险、技术风险和财务风险等，合理确定折现率，并与收益口径保持一致。</w:t>
      </w:r>
    </w:p>
    <w:p w14:paraId="1333500D"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估算体育无形资产折现率，可以采用风险累加、企业加权平均资本成本途径等方式。</w:t>
      </w:r>
    </w:p>
    <w:p w14:paraId="3292BE24" w14:textId="03AD24D2"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采用市场法评估体育无形资产，应当根据所获取交易案例与评估对象的相似程度、交易案例相关数据的充分性和可靠性等因素，恰当选择可比交易案例。</w:t>
      </w:r>
    </w:p>
    <w:p w14:paraId="4295467E" w14:textId="303662ED"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采用市场法评估体育无形资产，可以根据各类评估对象的特点，分析判断交易价格修正法和价值比率修正法的适用性。</w:t>
      </w:r>
    </w:p>
    <w:p w14:paraId="73BE1A53"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采用价值比率修正法评估体育无形资产，价值比率通常表现为交易价格或者价值与财务指标或者非财务指标之比。</w:t>
      </w:r>
    </w:p>
    <w:p w14:paraId="5F04D817" w14:textId="0F6E82EE"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采用市场法评估体育无形资产，应当分析评估对象与可比交易案例在交易时间、交易背景、交易标的及其相关体育产品的法律特征、经济特征和技术</w:t>
      </w:r>
      <w:r>
        <w:rPr>
          <w:rFonts w:ascii="宋体" w:hAnsi="宋体" w:cs="宋体" w:hint="eastAsia"/>
          <w:color w:val="000000"/>
          <w:kern w:val="0"/>
          <w:sz w:val="24"/>
          <w:szCs w:val="24"/>
          <w:lang w:bidi="ar"/>
        </w:rPr>
        <w:lastRenderedPageBreak/>
        <w:t>特征等方面的差异，并考虑该差异因素对无形资产价值的影响。</w:t>
      </w:r>
    </w:p>
    <w:p w14:paraId="57E2C099"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（一）对与体育赛事相关的无形资产，个体特征差异因素主要包括赛事知名度与影响力、赛事盈利能力和赛事组织管理水平等。</w:t>
      </w:r>
    </w:p>
    <w:p w14:paraId="31038A0B"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（二）对与体育专业人员相关的无形资产，个体特征差异因素主要包括体育专业人员的知名度与美誉度、专业技术水平与竞技状态、年龄与服役期限等。</w:t>
      </w:r>
    </w:p>
    <w:p w14:paraId="6FD3A761" w14:textId="1B424964"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采用成本法评估体育无形资产，应当分析无形资产投入成本与价值的相关程度，恰当考虑成本法的适用性。</w:t>
      </w:r>
    </w:p>
    <w:p w14:paraId="25C916D9" w14:textId="60354449"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采用成本法评估体育无形资产，应当结合评估对象和范围合理确定评估对象的重置成本。</w:t>
      </w:r>
    </w:p>
    <w:p w14:paraId="2E7E37CF"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重置成本包括合理的成本、税费及利润。资产评估专业人员应当结合形成无形资产所需的人员、材料、设备、场地等投入要素，合理确定评估对象的重置成本。</w:t>
      </w:r>
    </w:p>
    <w:p w14:paraId="3B2FC3C9" w14:textId="4EE6CE18"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采用成本法评估体育无形资产，应当综合分析评估对象的价值变化规律，在量化分析的基础上，合理确定评估对象的贬值。</w:t>
      </w:r>
    </w:p>
    <w:p w14:paraId="3276C9B7" w14:textId="7D5323C5" w:rsidR="00A320E6" w:rsidRDefault="00EC0B72" w:rsidP="00AE0286">
      <w:pPr>
        <w:spacing w:line="360" w:lineRule="auto"/>
        <w:ind w:firstLineChars="200" w:firstLine="482"/>
        <w:jc w:val="left"/>
        <w:rPr>
          <w:rFonts w:ascii="宋体" w:hAnsi="宋体" w:cs="宋体"/>
          <w:sz w:val="24"/>
          <w:szCs w:val="24"/>
        </w:rPr>
      </w:pPr>
      <w:r w:rsidRPr="00EC0B72">
        <w:rPr>
          <w:rFonts w:ascii="宋体" w:hAnsi="宋体" w:cs="宋体" w:hint="eastAsia"/>
          <w:b/>
          <w:color w:val="000000"/>
          <w:kern w:val="0"/>
          <w:sz w:val="24"/>
          <w:szCs w:val="24"/>
          <w:lang w:bidi="ar"/>
        </w:rPr>
        <w:t>第四十八条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对同一无形资产采用多种评估方法时，应当对所获得的各种测算结果进行分析比较，形成合理评估结论。</w:t>
      </w:r>
    </w:p>
    <w:p w14:paraId="12254734" w14:textId="5CB5913B" w:rsidR="00A320E6" w:rsidRDefault="00000000" w:rsidP="00AE0286">
      <w:pPr>
        <w:pStyle w:val="13"/>
        <w:spacing w:before="62" w:after="62"/>
      </w:pPr>
      <w:r>
        <w:rPr>
          <w:rFonts w:hint="eastAsia"/>
          <w:lang w:bidi="ar"/>
        </w:rPr>
        <w:t>第六章</w:t>
      </w:r>
      <w:r w:rsidR="00AE0286">
        <w:rPr>
          <w:rFonts w:hint="eastAsia"/>
          <w:lang w:bidi="ar"/>
        </w:rPr>
        <w:t xml:space="preserve"> </w:t>
      </w:r>
      <w:r>
        <w:rPr>
          <w:rFonts w:hint="eastAsia"/>
          <w:lang w:bidi="ar"/>
        </w:rPr>
        <w:t>披露要求</w:t>
      </w:r>
    </w:p>
    <w:p w14:paraId="3B294193" w14:textId="502357BF" w:rsidR="00A320E6" w:rsidRDefault="00B74663" w:rsidP="00AE0286">
      <w:pPr>
        <w:spacing w:line="360" w:lineRule="auto"/>
        <w:ind w:firstLineChars="200" w:firstLine="482"/>
        <w:jc w:val="left"/>
        <w:rPr>
          <w:rFonts w:ascii="宋体" w:hAnsi="宋体" w:cs="宋体"/>
          <w:sz w:val="24"/>
          <w:szCs w:val="24"/>
        </w:rPr>
      </w:pPr>
      <w:r w:rsidRPr="00B74663">
        <w:rPr>
          <w:rFonts w:ascii="宋体" w:hAnsi="宋体" w:cs="宋体" w:hint="eastAsia"/>
          <w:b/>
          <w:color w:val="000000"/>
          <w:kern w:val="0"/>
          <w:sz w:val="24"/>
          <w:szCs w:val="24"/>
          <w:lang w:bidi="ar"/>
        </w:rPr>
        <w:t>第四十九条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执行体育无形资产评估业务，应当在资产评估报告中披露必要信息，使资产评估报告使用人能够正确理解评估结论。</w:t>
      </w:r>
    </w:p>
    <w:p w14:paraId="38C57A45" w14:textId="568D4E55" w:rsidR="00A320E6" w:rsidRDefault="00B74663" w:rsidP="00AE0286">
      <w:pPr>
        <w:spacing w:line="360" w:lineRule="auto"/>
        <w:ind w:firstLineChars="200" w:firstLine="482"/>
        <w:jc w:val="left"/>
        <w:rPr>
          <w:rFonts w:ascii="宋体" w:hAnsi="宋体" w:cs="宋体"/>
          <w:sz w:val="24"/>
          <w:szCs w:val="24"/>
        </w:rPr>
      </w:pPr>
      <w:r w:rsidRPr="00B74663">
        <w:rPr>
          <w:rFonts w:ascii="宋体" w:hAnsi="宋体" w:cs="宋体" w:hint="eastAsia"/>
          <w:b/>
          <w:color w:val="000000"/>
          <w:kern w:val="0"/>
          <w:sz w:val="24"/>
          <w:szCs w:val="24"/>
          <w:lang w:bidi="ar"/>
        </w:rPr>
        <w:t>第五十条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体育无形资产评估报告应当反映体育无形资产特点，重点披露以下内容：</w:t>
      </w:r>
    </w:p>
    <w:p w14:paraId="0AF0890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（一）体育无形资产的类型、构成等基本内容及其法律、经济和技术特征；</w:t>
      </w:r>
    </w:p>
    <w:p w14:paraId="48C68559"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（二）体育无形资产权利人和使用人的基本情况；</w:t>
      </w:r>
    </w:p>
    <w:p w14:paraId="02F6881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（三）体育无形资产相关产业发展现状和前景；</w:t>
      </w:r>
    </w:p>
    <w:p w14:paraId="46CEBAC2"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（四）体育无形资产开发利用条件、实施状况和未来发展规划；</w:t>
      </w:r>
    </w:p>
    <w:p w14:paraId="03DF825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（五）体育无形资产评估价值类型及价值影响因素；</w:t>
      </w:r>
    </w:p>
    <w:p w14:paraId="30990B1E"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（六）体育无形资产评估依据；</w:t>
      </w:r>
    </w:p>
    <w:p w14:paraId="7A4C55DC"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（七）体育无形资产评估方法及重要参数的测算过程；</w:t>
      </w:r>
    </w:p>
    <w:p w14:paraId="5D86E290"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（八）体育无形资产评估结论成立的假设前提和限制条件；</w:t>
      </w:r>
    </w:p>
    <w:p w14:paraId="1AAEA214"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color w:val="000000"/>
          <w:kern w:val="0"/>
          <w:sz w:val="24"/>
          <w:szCs w:val="24"/>
          <w:lang w:bidi="ar"/>
        </w:rPr>
        <w:t>（九）体育无形资产评估结论及分析；</w:t>
      </w:r>
    </w:p>
    <w:p w14:paraId="388CA518" w14:textId="77777777" w:rsidR="00A320E6" w:rsidRDefault="00000000" w:rsidP="00AE0286">
      <w:pPr>
        <w:spacing w:line="360" w:lineRule="auto"/>
        <w:ind w:firstLineChars="200" w:firstLine="480"/>
        <w:jc w:val="left"/>
        <w:rPr>
          <w:sz w:val="24"/>
          <w:szCs w:val="24"/>
        </w:rPr>
      </w:pPr>
      <w:r>
        <w:rPr>
          <w:rFonts w:ascii="宋体" w:hAnsi="宋体" w:cs="宋体" w:hint="eastAsia"/>
          <w:color w:val="000000"/>
          <w:kern w:val="0"/>
          <w:sz w:val="24"/>
          <w:szCs w:val="24"/>
          <w:lang w:bidi="ar"/>
        </w:rPr>
        <w:lastRenderedPageBreak/>
        <w:t>（十）其他对体育无形资产评估报告使用具有重要影响的信息。</w:t>
      </w:r>
    </w:p>
    <w:p w14:paraId="06A65CAB" w14:textId="3C915B0D" w:rsidR="00A320E6" w:rsidRDefault="00000000" w:rsidP="00AE0286">
      <w:pPr>
        <w:jc w:val="center"/>
        <w:rPr>
          <w:rFonts w:ascii="宋体" w:hAnsi="宋体" w:cs="宋体"/>
          <w:b/>
          <w:bCs/>
          <w:sz w:val="24"/>
          <w:szCs w:val="24"/>
        </w:rPr>
      </w:pPr>
      <w:r>
        <w:rPr>
          <w:rFonts w:ascii="宋体" w:hAnsi="宋体" w:cs="宋体" w:hint="eastAsia"/>
          <w:b/>
          <w:bCs/>
          <w:color w:val="000000"/>
          <w:kern w:val="0"/>
          <w:sz w:val="24"/>
          <w:szCs w:val="24"/>
          <w:lang w:bidi="ar"/>
        </w:rPr>
        <w:t>第七章</w:t>
      </w:r>
      <w:r w:rsidR="00AE0286">
        <w:rPr>
          <w:rFonts w:ascii="宋体" w:hAnsi="宋体" w:cs="宋体" w:hint="eastAsia"/>
          <w:b/>
          <w:bCs/>
          <w:color w:val="000000"/>
          <w:kern w:val="0"/>
          <w:sz w:val="24"/>
          <w:szCs w:val="24"/>
          <w:lang w:bidi="ar"/>
        </w:rPr>
        <w:t xml:space="preserve"> </w:t>
      </w:r>
      <w:r>
        <w:rPr>
          <w:rFonts w:ascii="宋体" w:hAnsi="宋体" w:cs="宋体" w:hint="eastAsia"/>
          <w:b/>
          <w:bCs/>
          <w:color w:val="000000"/>
          <w:kern w:val="0"/>
          <w:sz w:val="24"/>
          <w:szCs w:val="24"/>
          <w:lang w:bidi="ar"/>
        </w:rPr>
        <w:t>附则</w:t>
      </w:r>
    </w:p>
    <w:p w14:paraId="373DC285" w14:textId="37352DAA" w:rsidR="00A320E6" w:rsidRDefault="00B74663" w:rsidP="00AE0286">
      <w:pPr>
        <w:spacing w:line="360" w:lineRule="auto"/>
        <w:ind w:firstLineChars="200" w:firstLine="482"/>
        <w:jc w:val="left"/>
        <w:rPr>
          <w:rFonts w:ascii="宋体" w:hAnsi="宋体" w:cs="宋体"/>
          <w:bCs/>
          <w:color w:val="000000"/>
          <w:kern w:val="0"/>
          <w:sz w:val="24"/>
          <w:szCs w:val="24"/>
          <w:lang w:bidi="ar"/>
        </w:rPr>
      </w:pPr>
      <w:r w:rsidRPr="00B74663">
        <w:rPr>
          <w:rFonts w:ascii="宋体" w:hAnsi="宋体" w:cs="宋体" w:hint="eastAsia"/>
          <w:b/>
          <w:color w:val="000000"/>
          <w:kern w:val="0"/>
          <w:sz w:val="24"/>
          <w:szCs w:val="24"/>
          <w:lang w:bidi="ar"/>
        </w:rPr>
        <w:t>第五十一条</w:t>
      </w:r>
      <w:r w:rsidR="00C36EF7">
        <w:rPr>
          <w:rFonts w:ascii="宋体" w:hAnsi="宋体" w:cs="宋体" w:hint="eastAsia"/>
          <w:b/>
          <w:color w:val="000000"/>
          <w:kern w:val="0"/>
          <w:sz w:val="24"/>
          <w:szCs w:val="24"/>
          <w:lang w:bidi="ar"/>
        </w:rPr>
        <w:t xml:space="preserve"> </w:t>
      </w:r>
      <w:r>
        <w:rPr>
          <w:rFonts w:ascii="宋体" w:hAnsi="宋体" w:cs="宋体" w:hint="eastAsia"/>
          <w:bCs/>
          <w:color w:val="000000"/>
          <w:kern w:val="0"/>
          <w:sz w:val="24"/>
          <w:szCs w:val="24"/>
          <w:lang w:bidi="ar"/>
        </w:rPr>
        <w:t>本指导意见自2022年3月1日起施行。</w:t>
      </w:r>
    </w:p>
    <w:p w14:paraId="575C3D36" w14:textId="77777777" w:rsidR="00A320E6" w:rsidRPr="00EC761E" w:rsidRDefault="00000000" w:rsidP="001E602B">
      <w:pPr>
        <w:pStyle w:val="27"/>
        <w:rPr>
          <w:lang w:bidi="ar"/>
        </w:rPr>
      </w:pPr>
      <w:bookmarkStart w:id="7" w:name="_Toc112227347"/>
      <w:r w:rsidRPr="00EC761E">
        <w:rPr>
          <w:rFonts w:hint="eastAsia"/>
          <w:lang w:bidi="ar"/>
        </w:rPr>
        <w:t>资产评估操作专家指引</w:t>
      </w:r>
      <w:bookmarkEnd w:id="7"/>
    </w:p>
    <w:p w14:paraId="08A512BE" w14:textId="77777777" w:rsidR="00A320E6" w:rsidRPr="00B40F35"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8" w:name="_Toc112227348"/>
      <w:r w:rsidRPr="00B40F35">
        <w:rPr>
          <w:rFonts w:ascii="宋体" w:hAnsi="宋体" w:cs="宋体" w:hint="eastAsia"/>
          <w:b/>
          <w:bCs/>
          <w:color w:val="000000"/>
          <w:kern w:val="0"/>
          <w:sz w:val="24"/>
          <w:szCs w:val="24"/>
          <w:lang w:bidi="ar"/>
        </w:rPr>
        <w:t>资产评估专家指引第</w:t>
      </w:r>
      <w:r w:rsidRPr="00944A38">
        <w:rPr>
          <w:rFonts w:ascii="宋体" w:hAnsi="宋体" w:cs="宋体" w:hint="eastAsia"/>
          <w:b/>
          <w:bCs/>
          <w:color w:val="000000"/>
          <w:kern w:val="0"/>
          <w:sz w:val="24"/>
          <w:szCs w:val="24"/>
          <w:lang w:bidi="ar"/>
        </w:rPr>
        <w:t>13</w:t>
      </w:r>
      <w:r w:rsidRPr="00B40F35">
        <w:rPr>
          <w:rFonts w:ascii="宋体" w:hAnsi="宋体" w:cs="宋体" w:hint="eastAsia"/>
          <w:b/>
          <w:bCs/>
          <w:color w:val="000000"/>
          <w:kern w:val="0"/>
          <w:sz w:val="24"/>
          <w:szCs w:val="24"/>
          <w:lang w:bidi="ar"/>
        </w:rPr>
        <w:t>号——境外并购资产评估</w:t>
      </w:r>
      <w:bookmarkEnd w:id="8"/>
    </w:p>
    <w:p w14:paraId="3FCCB9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本专家指引是一种专家建议。资产评估机构执行资产评估业务，可以参照本专家指引。中国资产评估协会将根据业务发展，对本专家指引进行更新。</w:t>
      </w:r>
    </w:p>
    <w:p w14:paraId="2BF51900" w14:textId="2F5EDAAA" w:rsidR="00A320E6" w:rsidRDefault="00000000" w:rsidP="00AE0286">
      <w:pPr>
        <w:pStyle w:val="13"/>
        <w:spacing w:before="62" w:after="62"/>
      </w:pPr>
      <w:r>
        <w:rPr>
          <w:rFonts w:hint="eastAsia"/>
        </w:rPr>
        <w:t>第一章</w:t>
      </w:r>
      <w:r w:rsidR="00AE0286">
        <w:rPr>
          <w:rFonts w:hint="eastAsia"/>
        </w:rPr>
        <w:t xml:space="preserve"> </w:t>
      </w:r>
      <w:r>
        <w:rPr>
          <w:rFonts w:hint="eastAsia"/>
        </w:rPr>
        <w:t>引言</w:t>
      </w:r>
    </w:p>
    <w:p w14:paraId="74CCE2FF" w14:textId="71B4A9DA"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第一条</w:t>
      </w:r>
      <w:r w:rsidR="00C36EF7">
        <w:rPr>
          <w:rFonts w:ascii="宋体" w:hAnsi="宋体" w:cs="宋体" w:hint="eastAsia"/>
          <w:sz w:val="24"/>
          <w:szCs w:val="24"/>
        </w:rPr>
        <w:t xml:space="preserve"> </w:t>
      </w:r>
      <w:r>
        <w:rPr>
          <w:rFonts w:ascii="宋体" w:hAnsi="宋体" w:cs="宋体" w:hint="eastAsia"/>
          <w:sz w:val="24"/>
          <w:szCs w:val="24"/>
        </w:rPr>
        <w:t>为指导资产评估机构及其资产评估专业人员执行境外并购资产评估业务，中国资产评估协会总结资产评估行业境外并购资产评估实践经验，制定了本专家指引。</w:t>
      </w:r>
    </w:p>
    <w:p w14:paraId="732D5435" w14:textId="769DEED2"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第二条</w:t>
      </w:r>
      <w:r w:rsidR="00C36EF7">
        <w:rPr>
          <w:rFonts w:ascii="宋体" w:hAnsi="宋体" w:cs="宋体" w:hint="eastAsia"/>
          <w:sz w:val="24"/>
          <w:szCs w:val="24"/>
        </w:rPr>
        <w:t xml:space="preserve"> </w:t>
      </w:r>
      <w:r>
        <w:rPr>
          <w:rFonts w:ascii="宋体" w:hAnsi="宋体" w:cs="宋体" w:hint="eastAsia"/>
          <w:sz w:val="24"/>
          <w:szCs w:val="24"/>
        </w:rPr>
        <w:t>本专家指引所称境外并购，是指境内企业合并和收购境外企业股权或者资产的简称。合并是指两家或者两家以上的独立企业通过股权合并形成一家企业。合并方式分为吸收合并和新设合并。收购是指一家企业通过现金、股份支付等方式，取得另一家企业的股权或者资产。</w:t>
      </w:r>
    </w:p>
    <w:p w14:paraId="2D0473F6" w14:textId="2C992073"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第三条</w:t>
      </w:r>
      <w:r w:rsidR="00C36EF7">
        <w:rPr>
          <w:rFonts w:ascii="宋体" w:hAnsi="宋体" w:cs="宋体" w:hint="eastAsia"/>
          <w:sz w:val="24"/>
          <w:szCs w:val="24"/>
        </w:rPr>
        <w:t xml:space="preserve"> </w:t>
      </w:r>
      <w:r>
        <w:rPr>
          <w:rFonts w:ascii="宋体" w:hAnsi="宋体" w:cs="宋体" w:hint="eastAsia"/>
          <w:sz w:val="24"/>
          <w:szCs w:val="24"/>
        </w:rPr>
        <w:t>本专家指引所称境外并购资产评估，是指资产评估机构及其资产评估专业人员遵守中国相关法律、行政法规和资产评估准则，根据委托对评估基准日特定目的下的境外并购标的资产价值进行评定、估算，并出具资产评估报告的专业服务行为。</w:t>
      </w:r>
    </w:p>
    <w:p w14:paraId="1EE15DD7" w14:textId="2AE7A19C"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第四条</w:t>
      </w:r>
      <w:r>
        <w:rPr>
          <w:rFonts w:ascii="宋体" w:hAnsi="宋体" w:cs="宋体" w:hint="eastAsia"/>
          <w:sz w:val="24"/>
          <w:szCs w:val="24"/>
        </w:rPr>
        <w:t xml:space="preserve"> 本专家指引适用于资产评估机构及其资产评估专业人员执行境外并购资产评估业务，按照《资产评估执业准则——资产评估报告》编制出具资产评估报告的情形。</w:t>
      </w:r>
    </w:p>
    <w:p w14:paraId="46D9C0CB" w14:textId="0F7BB3A9" w:rsidR="00A320E6" w:rsidRDefault="00000000" w:rsidP="00AE0286">
      <w:pPr>
        <w:pStyle w:val="13"/>
        <w:spacing w:before="62" w:after="62"/>
      </w:pPr>
      <w:r>
        <w:rPr>
          <w:rFonts w:hint="eastAsia"/>
        </w:rPr>
        <w:t>第二章</w:t>
      </w:r>
      <w:r w:rsidR="00AE0286">
        <w:rPr>
          <w:rFonts w:hint="eastAsia"/>
        </w:rPr>
        <w:t xml:space="preserve"> </w:t>
      </w:r>
      <w:r>
        <w:rPr>
          <w:rFonts w:hint="eastAsia"/>
        </w:rPr>
        <w:t>基本遵循</w:t>
      </w:r>
    </w:p>
    <w:p w14:paraId="2AC614B9" w14:textId="204D9509"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第五条</w:t>
      </w:r>
      <w:r w:rsidR="00A45A13">
        <w:rPr>
          <w:rFonts w:ascii="宋体" w:hAnsi="宋体" w:cs="宋体" w:hint="eastAsia"/>
          <w:sz w:val="24"/>
          <w:szCs w:val="24"/>
        </w:rPr>
        <w:t xml:space="preserve"> </w:t>
      </w:r>
      <w:r>
        <w:rPr>
          <w:rFonts w:ascii="宋体" w:hAnsi="宋体" w:cs="宋体" w:hint="eastAsia"/>
          <w:sz w:val="24"/>
          <w:szCs w:val="24"/>
        </w:rPr>
        <w:t>资产评估机构及其资产评估专业人员执行境外并购资产评估业务，应当遵守中国和标的资产所在国家或者地区相关法律、行政法规，了解与境外并购经济行为相关的境内外相关法律、行政法规的鼓励、限制和禁止情况，特别关注国有资产、证券、反垄断、国家安全等境内外监管审查要求。</w:t>
      </w:r>
    </w:p>
    <w:p w14:paraId="0C15C30B" w14:textId="5265A7C4"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第六条</w:t>
      </w:r>
      <w:r w:rsidR="00A45A13">
        <w:rPr>
          <w:rFonts w:ascii="宋体" w:hAnsi="宋体" w:cs="宋体" w:hint="eastAsia"/>
          <w:sz w:val="24"/>
          <w:szCs w:val="24"/>
        </w:rPr>
        <w:t xml:space="preserve"> </w:t>
      </w:r>
      <w:r>
        <w:rPr>
          <w:rFonts w:ascii="宋体" w:hAnsi="宋体" w:cs="宋体" w:hint="eastAsia"/>
          <w:sz w:val="24"/>
          <w:szCs w:val="24"/>
        </w:rPr>
        <w:t>资产评估机构及其资产评估专业人员执行境外并购资产评估业务，应当勤勉尽责、保持应有的职业谨慎，恪守独立、客观、公正的原则，同时应当遵守保</w:t>
      </w:r>
      <w:r>
        <w:rPr>
          <w:rFonts w:ascii="宋体" w:hAnsi="宋体" w:cs="宋体" w:hint="eastAsia"/>
          <w:sz w:val="24"/>
          <w:szCs w:val="24"/>
        </w:rPr>
        <w:lastRenderedPageBreak/>
        <w:t>密原则，对评估活动中知悉的国家秘密、工作信息、商业秘密、个人隐私和个人信息予以保密，不得在保密期限内向委托人以外的第三方提供保密信息，除非得到委托人的同意或者属于法律、行政法规允许的范围。境外并购经济行为涉及国家秘密的，资产评估机构及其资产评估专业人员应当严格遵守《中华人民共和国保守国家秘密法》，保守国家秘密，维护国家安全和利益。</w:t>
      </w:r>
    </w:p>
    <w:p w14:paraId="39E83B90" w14:textId="15B9C2E0"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第七条</w:t>
      </w:r>
      <w:r w:rsidR="00A45A13">
        <w:rPr>
          <w:rFonts w:ascii="宋体" w:hAnsi="宋体" w:cs="宋体" w:hint="eastAsia"/>
          <w:sz w:val="24"/>
          <w:szCs w:val="24"/>
        </w:rPr>
        <w:t xml:space="preserve"> </w:t>
      </w:r>
      <w:r>
        <w:rPr>
          <w:rFonts w:ascii="宋体" w:hAnsi="宋体" w:cs="宋体" w:hint="eastAsia"/>
          <w:sz w:val="24"/>
          <w:szCs w:val="24"/>
        </w:rPr>
        <w:t>资产评估专业人员应当具备境外并购资产评估的专业知识和实践经验，能够胜任所执行的境外并购资产评估业务。</w:t>
      </w:r>
    </w:p>
    <w:p w14:paraId="1D41D07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资产评估专业人员缺乏标的资产所在国家或者地区的某项特定专业知识和经验时，应当采取弥补措施，包括利用专家工作及相关报告等。</w:t>
      </w:r>
    </w:p>
    <w:p w14:paraId="00E828B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资产评估专业人员通常需要具备必要的外语能力，也可以聘请外语翻译人员协助开展境外并购资产评估业务。聘请外语翻译人员时，资产评估专业人员需要对外语翻译人员的外语能力、专业知识水平、保密意识等进行综合分析评判，必要时应当对外语翻译人员就资产评估专业知识、保密意识进行适当培训，以保证其能够胜任资产评估相关外语翻译工作，符合保密要求。资产评估专业人员查阅外文资产评估资料时，可以借助外语翻译软件获取信息，对于外文资产评估资料中的重要内容，可以向委托人或者其他相关当事人进行确认。</w:t>
      </w:r>
    </w:p>
    <w:p w14:paraId="656E13F9" w14:textId="46B11553"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第八条</w:t>
      </w:r>
      <w:r w:rsidR="00A45A13">
        <w:rPr>
          <w:rFonts w:ascii="宋体" w:hAnsi="宋体" w:cs="宋体" w:hint="eastAsia"/>
          <w:sz w:val="24"/>
          <w:szCs w:val="24"/>
        </w:rPr>
        <w:t xml:space="preserve"> </w:t>
      </w:r>
      <w:r>
        <w:rPr>
          <w:rFonts w:ascii="宋体" w:hAnsi="宋体" w:cs="宋体" w:hint="eastAsia"/>
          <w:sz w:val="24"/>
          <w:szCs w:val="24"/>
        </w:rPr>
        <w:t>资产评估机构及其资产评估专业人员执行境外并购资产评估业务，应当根据评估目的，明确评估对象，合理使用评估假设，选择适当的价值类型，恰当运用评估方法，履行必要评估程序，形成评估结论。</w:t>
      </w:r>
    </w:p>
    <w:p w14:paraId="4B011318" w14:textId="4C708AD9"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第九条</w:t>
      </w:r>
      <w:r w:rsidR="00A45A13">
        <w:rPr>
          <w:rFonts w:ascii="宋体" w:hAnsi="宋体" w:cs="宋体" w:hint="eastAsia"/>
          <w:sz w:val="24"/>
          <w:szCs w:val="24"/>
        </w:rPr>
        <w:t xml:space="preserve"> </w:t>
      </w:r>
      <w:r>
        <w:rPr>
          <w:rFonts w:ascii="宋体" w:hAnsi="宋体" w:cs="宋体" w:hint="eastAsia"/>
          <w:sz w:val="24"/>
          <w:szCs w:val="24"/>
        </w:rPr>
        <w:t>资产评估专业人员应当依法对境外并购资产评估业务活动中使用的资料进行核查验证。</w:t>
      </w:r>
    </w:p>
    <w:p w14:paraId="03466AA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核查验证对象可以是委托人或者其他相关当事人提供的资料，也可以是资产评估专业人员独立收集的资料。委托人或者其他相关当事人应当对其提供资料的真实性、完整性、合法性进行确认。资产评估专业人员独立收集的资料通常包括：相关国家或者地区政府部门、国际组织发布的经济和行业政策；金融机构、投资机构、交易市场、院校学者和专业机构发布的研究资料；行业协会和同行企业发布的行业信息、经营资料。</w:t>
      </w:r>
    </w:p>
    <w:p w14:paraId="3F75F723" w14:textId="5E698C87" w:rsidR="00A320E6" w:rsidRDefault="00000000" w:rsidP="0058001D">
      <w:pPr>
        <w:pStyle w:val="13"/>
        <w:spacing w:before="62" w:after="62"/>
      </w:pPr>
      <w:r>
        <w:rPr>
          <w:rFonts w:hint="eastAsia"/>
        </w:rPr>
        <w:t>第三章</w:t>
      </w:r>
      <w:r w:rsidR="0058001D">
        <w:rPr>
          <w:rFonts w:hint="eastAsia"/>
        </w:rPr>
        <w:t xml:space="preserve"> </w:t>
      </w:r>
      <w:r>
        <w:rPr>
          <w:rFonts w:hint="eastAsia"/>
        </w:rPr>
        <w:t>操作要求</w:t>
      </w:r>
    </w:p>
    <w:p w14:paraId="2B96C03A" w14:textId="16E00E4C"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第十条</w:t>
      </w:r>
      <w:r w:rsidR="00A45A13">
        <w:rPr>
          <w:rFonts w:ascii="宋体" w:hAnsi="宋体" w:cs="宋体" w:hint="eastAsia"/>
          <w:sz w:val="24"/>
          <w:szCs w:val="24"/>
        </w:rPr>
        <w:t xml:space="preserve"> </w:t>
      </w:r>
      <w:r>
        <w:rPr>
          <w:rFonts w:ascii="宋体" w:hAnsi="宋体" w:cs="宋体" w:hint="eastAsia"/>
          <w:sz w:val="24"/>
          <w:szCs w:val="24"/>
        </w:rPr>
        <w:t>资产评估机构及其资产评估专业人员执行境外并购资产评估业务，应当</w:t>
      </w:r>
      <w:r>
        <w:rPr>
          <w:rFonts w:ascii="宋体" w:hAnsi="宋体" w:cs="宋体" w:hint="eastAsia"/>
          <w:sz w:val="24"/>
          <w:szCs w:val="24"/>
        </w:rPr>
        <w:lastRenderedPageBreak/>
        <w:t>关注境外并购的主要风险。主要风险包括政治风险、法律风险、财务风险、金融风险和整合风险等。</w:t>
      </w:r>
    </w:p>
    <w:p w14:paraId="515938A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（一）政治风险，是指因并购方与被并购方所在国家或者地区政治环境发生变化、政局不稳定、政策法规发生变化，给并购方带来经济损失的风险。</w:t>
      </w:r>
    </w:p>
    <w:p w14:paraId="66DE3DD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（二）法律风险，是指由于各国家或者地区法律制度的不同导致并购失败的风险，包括来自并购方所在国家或者地区的风险、被并购方所在国家或者地区的风险和国际方面的风险。</w:t>
      </w:r>
    </w:p>
    <w:p w14:paraId="76F8757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（三）财务风险，是指境外并购过程中，由于信息不对称、估值、支付、融资等引起的财务状况变化，进而可能导致所并购的资产实际价值低于预期价值的风险。</w:t>
      </w:r>
    </w:p>
    <w:p w14:paraId="34C048A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（四）金融风险，是指境外并购过程中，汇率变动和通货膨胀引起的风险。</w:t>
      </w:r>
    </w:p>
    <w:p w14:paraId="4FB0EFE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整合风险，是指并购方在取得被并购方的控制权之后，不能很好地对被并购方进行整合，导致预期的经济效益不能实现甚至给并购方带来损失的风险。投资价值类型评估中通常需要考虑整合风险。关注整合风险时，需要对一般市场参与者和特定并购方存在的不同整合风险进行合理区分。</w:t>
      </w:r>
    </w:p>
    <w:p w14:paraId="51EFA58A" w14:textId="66C370A0"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第十一条</w:t>
      </w:r>
      <w:r w:rsidR="00C36EF7">
        <w:rPr>
          <w:rFonts w:ascii="宋体" w:hAnsi="宋体" w:cs="宋体" w:hint="eastAsia"/>
          <w:sz w:val="24"/>
          <w:szCs w:val="24"/>
        </w:rPr>
        <w:t xml:space="preserve"> </w:t>
      </w:r>
      <w:r>
        <w:rPr>
          <w:rFonts w:ascii="宋体" w:hAnsi="宋体" w:cs="宋体" w:hint="eastAsia"/>
          <w:sz w:val="24"/>
          <w:szCs w:val="24"/>
        </w:rPr>
        <w:t>资产评估机构承接境外并购资产评估业务前，除明确《资产评估执业准则——资产评估程序》所列明的资产评估基本事项外，对于下列事项可以进行了解和关注：</w:t>
      </w:r>
    </w:p>
    <w:p w14:paraId="71AE834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（一）境外并购经济行为是否属于相关法律、行政法规规定的鼓励、限制和禁止的情况，特别是涉及敏感行业、敏感技术以及敏感地域的并购经济行为。</w:t>
      </w:r>
    </w:p>
    <w:p w14:paraId="4EF0684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（二）境外并购经济行为的境内外监管审查要求。境内外监管审查通常涉及国有资产、证券、反垄断、国家安全等内容。</w:t>
      </w:r>
    </w:p>
    <w:p w14:paraId="77DD72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（三）标的资产及其各组织成员所在国家或者地区的政治、经济、技术、社会文化等环境因素。</w:t>
      </w:r>
    </w:p>
    <w:p w14:paraId="05765C7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（四）与标的资产经营情况、商业模式、行业及市场状况、资产及其权属状况等信息相关的境外并购方案、尽职调查报告、可行性研究报告等资料。</w:t>
      </w:r>
    </w:p>
    <w:p w14:paraId="28C55A0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（五）标的资产的组织架构、核心组织成员、核心资产、核心业务、分工协作方式、国际税收筹划方案等情况。</w:t>
      </w:r>
    </w:p>
    <w:p w14:paraId="361CA05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（六）资产评估专业人员和外语翻译人员的专业胜任能力。</w:t>
      </w:r>
    </w:p>
    <w:p w14:paraId="034091A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（七）专家工作范围及工作内容。</w:t>
      </w:r>
    </w:p>
    <w:p w14:paraId="5F20C8A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（八）参与境外并购的其他中介机构的工作范围、工作内容和协作方式。</w:t>
      </w:r>
    </w:p>
    <w:p w14:paraId="07BD7FDE" w14:textId="25B227D5"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第十二条</w:t>
      </w:r>
      <w:r w:rsidR="00C36EF7">
        <w:rPr>
          <w:rFonts w:ascii="宋体" w:hAnsi="宋体" w:cs="宋体" w:hint="eastAsia"/>
          <w:sz w:val="24"/>
          <w:szCs w:val="24"/>
        </w:rPr>
        <w:t xml:space="preserve"> </w:t>
      </w:r>
      <w:r>
        <w:rPr>
          <w:rFonts w:ascii="宋体" w:hAnsi="宋体" w:cs="宋体" w:hint="eastAsia"/>
          <w:sz w:val="24"/>
          <w:szCs w:val="24"/>
        </w:rPr>
        <w:t>资产评估机构受理境外并购资产评估业务，依法订立资产评估委托合同时，除应当遵守《资产评估执业准则——资产评估委托合同》外，也可以就下列事项在资产评估委托合同中予以明确：</w:t>
      </w:r>
    </w:p>
    <w:p w14:paraId="0BDF14A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（一）订立资产评估委托合同应当遵守中国相关法律、行政法规。</w:t>
      </w:r>
    </w:p>
    <w:p w14:paraId="0829376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（二）资产评估工作语言和资产评估报告语言。</w:t>
      </w:r>
    </w:p>
    <w:p w14:paraId="303FE66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（三）中国相关法律、行政法规规定的资产评估报告使用范围。</w:t>
      </w:r>
    </w:p>
    <w:p w14:paraId="1E76D1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委托人或者其他相关当事人提供资产评估资料的形式，例如纸质文件、电子邮件、网络数据库等，以及资产评估专业人员的核查权限和保密事项。其中，核查权限通常可以就资产评估资料的核查人员、核查时限、复制等权限事项进行明确。</w:t>
      </w:r>
    </w:p>
    <w:p w14:paraId="4F5AFA1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明确委托人或者其他相关当事人确认其提供的资产评估资料和其他重要资料的真实性、完整性、合法性的确认人和确认方式。确认人通常包括依照法律、管理制度确定的有权或者被授权的个人或者部门，确认方式通常包括签字、盖章或者其他具有法律效力的方式。</w:t>
      </w:r>
    </w:p>
    <w:p w14:paraId="703917AC" w14:textId="668AAF0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第十三条</w:t>
      </w:r>
      <w:r w:rsidR="00C36EF7">
        <w:rPr>
          <w:rFonts w:ascii="宋体" w:hAnsi="宋体" w:cs="宋体" w:hint="eastAsia"/>
          <w:sz w:val="24"/>
          <w:szCs w:val="24"/>
        </w:rPr>
        <w:t xml:space="preserve"> </w:t>
      </w:r>
      <w:r>
        <w:rPr>
          <w:rFonts w:ascii="宋体" w:hAnsi="宋体" w:cs="宋体" w:hint="eastAsia"/>
          <w:sz w:val="24"/>
          <w:szCs w:val="24"/>
        </w:rPr>
        <w:t>境外并购资产评估业务实施通常分为三个阶段，分别为境内前期准备阶段、境外现场核查阶段和境内后期工作阶段。</w:t>
      </w:r>
    </w:p>
    <w:p w14:paraId="594E2116" w14:textId="314D390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第十四条</w:t>
      </w:r>
      <w:r w:rsidR="00A45A13">
        <w:rPr>
          <w:rFonts w:ascii="宋体" w:hAnsi="宋体" w:cs="宋体" w:hint="eastAsia"/>
          <w:sz w:val="24"/>
          <w:szCs w:val="24"/>
        </w:rPr>
        <w:t xml:space="preserve"> </w:t>
      </w:r>
      <w:r>
        <w:rPr>
          <w:rFonts w:ascii="宋体" w:hAnsi="宋体" w:cs="宋体" w:hint="eastAsia"/>
          <w:sz w:val="24"/>
          <w:szCs w:val="24"/>
        </w:rPr>
        <w:t>资产评估专业人员在境内前期准备阶段涉及的工作通常包括：</w:t>
      </w:r>
    </w:p>
    <w:p w14:paraId="25582FB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（一）组建资产评估业务团队，资产评估业务团队可以分为境外团队和境内团队。在境外团队实施境外现场核查时，境内团队主要协助境外团队整理、分析资产评估资料。</w:t>
      </w:r>
    </w:p>
    <w:p w14:paraId="432B80C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与委托人或者其他相关当事人协商办理签证事宜。委托人或者其他相关当事人应当协助资产评估专业人员办理标的资产所在国家或者地区的合法有效签证，通常是指商务签证或者工作签证等。资产评估专业人员应当提醒委托人或者其他相关当事人如果未能办理合法有效签证，可能会导致无法或者不能完全实施核查验证程序。</w:t>
      </w:r>
    </w:p>
    <w:p w14:paraId="76F94C4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与委托人或者其他相关当事人充分沟通后，编制详细、可行的资产评估计划。资产评估计划中的境外现场核查阶段需要委托人或者相关当事人配合的事项可以分别采用中文和外文编写。编制资产评估计划需要合理考虑标的资产管理制度</w:t>
      </w:r>
      <w:r>
        <w:rPr>
          <w:rFonts w:ascii="宋体" w:hAnsi="宋体" w:cs="宋体" w:hint="eastAsia"/>
          <w:sz w:val="24"/>
          <w:szCs w:val="24"/>
        </w:rPr>
        <w:lastRenderedPageBreak/>
        <w:t>和工作制度，以及所在国家或者地区的社会文化环境。</w:t>
      </w:r>
    </w:p>
    <w:p w14:paraId="54F134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（四）收集整理标的资产所在国家或者地区、行业和市场的资产评估相关资料。例如，可以通过商务部编制的《对外投资合作国别（地区）指南》、各国家或者地区政府门户网站等渠道收集整理相关资料。</w:t>
      </w:r>
    </w:p>
    <w:p w14:paraId="447D250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分析整理委托人或者其他相关当事人提供的标的资产相关资料，特别关注尽职调查报告中标的资产的法律、资产、业务、财务、税务、人力和技术等信息。资产评估专业人员可以基于已经获取的资料，初步构建评估模型。</w:t>
      </w:r>
    </w:p>
    <w:p w14:paraId="1003941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（六）分别用中文和外文编制资产评估资料清单、访谈提纲、现场重点核查事宜清单等，其中访谈通常包括面谈、电话、视频、问卷或者电子邮件等方式。</w:t>
      </w:r>
    </w:p>
    <w:p w14:paraId="7455999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（七）如果资产评估工作涉及利用专家工作及相关报告，需要明确专家工作范围和工作内容。</w:t>
      </w:r>
    </w:p>
    <w:p w14:paraId="12F2F2A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（八）与参与境外并购的其他中介机构商议协作方式。</w:t>
      </w:r>
    </w:p>
    <w:p w14:paraId="0D53C99C" w14:textId="2E6D674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第十五条</w:t>
      </w:r>
      <w:r w:rsidR="00A45A13">
        <w:rPr>
          <w:rFonts w:ascii="宋体" w:hAnsi="宋体" w:cs="宋体" w:hint="eastAsia"/>
          <w:sz w:val="24"/>
          <w:szCs w:val="24"/>
        </w:rPr>
        <w:t xml:space="preserve"> </w:t>
      </w:r>
      <w:r>
        <w:rPr>
          <w:rFonts w:ascii="宋体" w:hAnsi="宋体" w:cs="宋体" w:hint="eastAsia"/>
          <w:sz w:val="24"/>
          <w:szCs w:val="24"/>
        </w:rPr>
        <w:t>资产评估专业人员在境外现场核查阶段涉及的工作通常包括：</w:t>
      </w:r>
    </w:p>
    <w:p w14:paraId="626A307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（一）与委托人或者其他相关当事人明确并落实资产评估计划，以及明确日常汇报、协调、反馈等工作沟通机制，落实责任人和责任部门。</w:t>
      </w:r>
    </w:p>
    <w:p w14:paraId="1ED1904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（二）核实标的资产相关情况、获取并收集资产评估相关资料、执行资产评估核查验证程序。</w:t>
      </w:r>
    </w:p>
    <w:p w14:paraId="6897FD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（三）实施并完善访谈工作，因口语沟通、思维文化差异导致面谈、电话、视频等访谈方式无法有效进行时，可以采用问卷或者电子邮件等访谈方式。</w:t>
      </w:r>
    </w:p>
    <w:p w14:paraId="29ECD86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（四）与专家就其工作及相关报告进行充分沟通，并核实其工作的合理性、有效性、独立性和保密性。</w:t>
      </w:r>
    </w:p>
    <w:p w14:paraId="7E36C47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（五）在不影响独立性的前提下，与其他中介机构协作开展境外现场核查验证工作，并就涉及资产评估相关事项与其他中介机构进行充分沟通核实。</w:t>
      </w:r>
    </w:p>
    <w:p w14:paraId="161C6D1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与委托人或者其他相关当事人就资产评估资料和其他重要资料的真实性、完整性、合法性进行确认。如果资产评估资料是以电子邮件或者网络数据库方式提供的，可以采用对电子邮件收发存记录文档或者网络数据库资料检索目录文档以签字或者盖章的方式进行确认。</w:t>
      </w:r>
    </w:p>
    <w:p w14:paraId="5B91CD1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（七）与委托人和其他相关当事人明确后续资产评估工作事项和工作沟通机制，落实责任人和责任部门。</w:t>
      </w:r>
    </w:p>
    <w:p w14:paraId="0374EA7C" w14:textId="2333F321"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lastRenderedPageBreak/>
        <w:t>第十六条</w:t>
      </w:r>
      <w:r w:rsidR="00A45A13">
        <w:rPr>
          <w:rFonts w:ascii="宋体" w:hAnsi="宋体" w:cs="宋体" w:hint="eastAsia"/>
          <w:sz w:val="24"/>
          <w:szCs w:val="24"/>
        </w:rPr>
        <w:t xml:space="preserve"> </w:t>
      </w:r>
      <w:r>
        <w:rPr>
          <w:rFonts w:ascii="宋体" w:hAnsi="宋体" w:cs="宋体" w:hint="eastAsia"/>
          <w:sz w:val="24"/>
          <w:szCs w:val="24"/>
        </w:rPr>
        <w:t>资产评估专业人员在境内后期工作阶段涉及的工作通常包括：</w:t>
      </w:r>
    </w:p>
    <w:p w14:paraId="37543A5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（一）与委托人和其他相关当事人落实需要补充的资产评估资料、待明确的重要事项等资产评估工作事项。</w:t>
      </w:r>
    </w:p>
    <w:p w14:paraId="354EE4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（二）合理分析专家工作及相关报告。</w:t>
      </w:r>
    </w:p>
    <w:p w14:paraId="2E98A5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（三）在委托人或者其他相关当事人的协调下，与其他中介机构分享专业意见和初步工作成果。</w:t>
      </w:r>
    </w:p>
    <w:p w14:paraId="3119B46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（四）合理使用评估假设，评定、估算形成评估结论，编制资产评估报告。</w:t>
      </w:r>
    </w:p>
    <w:p w14:paraId="422B586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（五）与委托人或者委托人同意的其他相关当事人就资产评估报告有关内容进行沟通。</w:t>
      </w:r>
    </w:p>
    <w:p w14:paraId="13EAE745" w14:textId="1E6FD35B"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第十七条</w:t>
      </w:r>
      <w:r w:rsidR="00A45A13">
        <w:rPr>
          <w:rFonts w:ascii="宋体" w:hAnsi="宋体" w:cs="宋体" w:hint="eastAsia"/>
          <w:sz w:val="24"/>
          <w:szCs w:val="24"/>
        </w:rPr>
        <w:t xml:space="preserve"> </w:t>
      </w:r>
      <w:r>
        <w:rPr>
          <w:rFonts w:ascii="宋体" w:hAnsi="宋体" w:cs="宋体" w:hint="eastAsia"/>
          <w:sz w:val="24"/>
          <w:szCs w:val="24"/>
        </w:rPr>
        <w:t>资产评估专业人员利用境外资产评估专业机构或者资产评估专业人员工作及相关报告时，除应当遵守《资产评估执业准则——利用专家工作及相关报告》外，还可以关注下列事项：</w:t>
      </w:r>
    </w:p>
    <w:p w14:paraId="35B70DF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（一）境外资产评估专业机构或者资产评估专业人员出具的专业报告通常包括油气矿资产、不动产、特殊专业设备、船舶、航空器、农牧林资产、无形资产、特许经营权等单项资产评估报告。</w:t>
      </w:r>
    </w:p>
    <w:p w14:paraId="4A9FBD0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（二）境外资产评估专业机构及其资产评估专业人员所属行业管理机构，行业会员构成、管理方式、行业准则、行业声望等。</w:t>
      </w:r>
    </w:p>
    <w:p w14:paraId="6D22CE5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（三）资产评估专业人员与境外资产评估专业机构及其资产评估专业人员进行沟通，在充分核实其专业工作及专业报告的基础上，可以采用适当的复核程序对其专业报告结论进行复核。</w:t>
      </w:r>
    </w:p>
    <w:p w14:paraId="6B53C16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拟引用境外资产评估专业机构及其资产评估专业人员出具的单项资产评估报告时，资产评估专业人员应当关注单项资产评估报告的性质、评估目的、评估基准日、评估对象、评估范围、价值类型、评估依据、评估方法、评估程序实施过程、参数选取、假设前提、特别事项说明、使用限制、评估结论和使用有效期等是否满足资产评估报告的引用要求，并同时关注上述事项与资产评估准则的差异，判断其对评估结论的影响。</w:t>
      </w:r>
    </w:p>
    <w:p w14:paraId="072FF4A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如果拟引用的单项资产评估报告部分事项与引用要求不完全一致，例如，评估目的、评估对象、评估范围、价值类型、评估基准日等事项存在不完全一致情形，资产评估专业人员需要在合理分析或者调整基础上，判断其是否满足引用要求</w:t>
      </w:r>
      <w:r>
        <w:rPr>
          <w:rFonts w:ascii="宋体" w:hAnsi="宋体" w:cs="宋体" w:hint="eastAsia"/>
          <w:sz w:val="24"/>
          <w:szCs w:val="24"/>
        </w:rPr>
        <w:lastRenderedPageBreak/>
        <w:t>及其对评估结论的影响。</w:t>
      </w:r>
    </w:p>
    <w:p w14:paraId="55C84E01" w14:textId="2C8F85F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第十八条</w:t>
      </w:r>
      <w:r w:rsidR="00A45A13">
        <w:rPr>
          <w:rFonts w:ascii="宋体" w:hAnsi="宋体" w:cs="宋体" w:hint="eastAsia"/>
          <w:sz w:val="24"/>
          <w:szCs w:val="24"/>
        </w:rPr>
        <w:t xml:space="preserve"> </w:t>
      </w:r>
      <w:r>
        <w:rPr>
          <w:rFonts w:ascii="宋体" w:hAnsi="宋体" w:cs="宋体" w:hint="eastAsia"/>
          <w:sz w:val="24"/>
          <w:szCs w:val="24"/>
        </w:rPr>
        <w:t>资产评估专业人员利用委托人或者其他相关当事人提供的财务尽职调查报告、审计报告和会计准则差异鉴证报告时，通常关注标的资产采用的会计准则与审计采用的会计准则的差异，以及会计准则转换对评估结论的影响。在委托人或者其他相关当事人的协调下，做好与审计机构及其审计专业人员的沟通，协作完成核查验证工作，合理利用审计专业报告。</w:t>
      </w:r>
    </w:p>
    <w:p w14:paraId="006558D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委托人或者其他相关当事人无法提供评估基准日的前述专业报告时，资产评估专业人员可以利用标的资产未经审计的评估基准日财务报告、历年审计报告或者财务报告等，但是应当关注上述报告的财务核算口径及其差异等，必要时可以利用专家协助判断，并在资产评估报告中进行信息披露和风险提示。</w:t>
      </w:r>
    </w:p>
    <w:p w14:paraId="4B0D7609" w14:textId="14820F2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第十九条</w:t>
      </w:r>
      <w:r w:rsidR="00A45A13">
        <w:rPr>
          <w:rFonts w:ascii="宋体" w:hAnsi="宋体" w:cs="宋体" w:hint="eastAsia"/>
          <w:sz w:val="24"/>
          <w:szCs w:val="24"/>
        </w:rPr>
        <w:t xml:space="preserve"> </w:t>
      </w:r>
      <w:r>
        <w:rPr>
          <w:rFonts w:ascii="宋体" w:hAnsi="宋体" w:cs="宋体" w:hint="eastAsia"/>
          <w:sz w:val="24"/>
          <w:szCs w:val="24"/>
        </w:rPr>
        <w:t>资产评估专业人员对委托人和其他相关当事人提供的资产评估对象法律权属证明资料进行核查验证时，除应当遵守《资产评估对象法律权属指导意见》外，还可以关注下列事项：</w:t>
      </w:r>
    </w:p>
    <w:p w14:paraId="5E7619E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（一）标的资产所在国家或者地区相关法律、行政法规对资产评估对象法律权属认定的通常形式，包括产权证书、购买合同及凭证、不动产登记资料、契据登记资料、律师专业意见书等。</w:t>
      </w:r>
    </w:p>
    <w:p w14:paraId="73CB901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（二）境外资产评估对象法律权属证明资料的核查验证方式通常包括核对原件与复印件的一致性、查询相关政府部门等发布的公开信息资料、查询资产评估对象历史交易记录资料、查询资产评估对象税务资料等。</w:t>
      </w:r>
    </w:p>
    <w:p w14:paraId="6363F43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（三）对于境外资产评估对象法律权属事项，通常可以在委托人或者其他相关当事人的协调下，向律师事务所等相关机构咨询并且获取专业意见，专业意见通常包括法律尽职调查报告、法律意见书等。</w:t>
      </w:r>
    </w:p>
    <w:p w14:paraId="0C9D840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（四）对于因受所在国家或者地区相关法律、行政法规限制导致资产评估对象存在法律权属限制的情况，资产评估专业人员应当予以关注，并分析其对评估结论的影响。</w:t>
      </w:r>
    </w:p>
    <w:p w14:paraId="11DEDF68" w14:textId="55DD217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第二十条</w:t>
      </w:r>
      <w:r w:rsidR="00A45A13">
        <w:rPr>
          <w:rFonts w:ascii="宋体" w:hAnsi="宋体" w:cs="宋体" w:hint="eastAsia"/>
          <w:sz w:val="24"/>
          <w:szCs w:val="24"/>
        </w:rPr>
        <w:t xml:space="preserve"> </w:t>
      </w:r>
      <w:r>
        <w:rPr>
          <w:rFonts w:ascii="宋体" w:hAnsi="宋体" w:cs="宋体" w:hint="eastAsia"/>
          <w:sz w:val="24"/>
          <w:szCs w:val="24"/>
        </w:rPr>
        <w:t>资产评估专业人员因境外法律法规规定、客观条件限制，无法或者不能完全履行资产评估基本程序，经采取弥补措施，未对评估结论产生重大影响时，资产评估专业人员可以继续开展业务，但是应当在工作底稿中进行说明，分析其对评估结论的影响程度，并在资产评估报告中进行披露。执行境外并购资产评估业务</w:t>
      </w:r>
      <w:r>
        <w:rPr>
          <w:rFonts w:ascii="宋体" w:hAnsi="宋体" w:cs="宋体" w:hint="eastAsia"/>
          <w:sz w:val="24"/>
          <w:szCs w:val="24"/>
        </w:rPr>
        <w:lastRenderedPageBreak/>
        <w:t>主要难点在于境外现场核查验证程序受到较大限制，资产评估专业人员通常可以采取的弥补措施包括：</w:t>
      </w:r>
    </w:p>
    <w:p w14:paraId="2E2D4A9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（一）加强各中介机构沟通协作，充分发挥各中介机构境外分支、合作机构的跨境布局优势，在不影响独立性的前提下，合理利用其他各中介机构的核查验证工作成果。</w:t>
      </w:r>
    </w:p>
    <w:p w14:paraId="1A9414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（二）了解并客观评价标的资产内控制度及其执行情况，并通过标的资产的信息化管理、规范化管理、生产运营管理和维修保养管理等信息资料进行间接性核查验证。</w:t>
      </w:r>
    </w:p>
    <w:p w14:paraId="3DE30D1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（三）明确标的资产的核心组织成员、核心资产和核心业务，根据重要程度确定抽样核查验证范围，制定切实可行的境外现场核查计划。</w:t>
      </w:r>
    </w:p>
    <w:p w14:paraId="4A7A646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（四）利用电子邮件、网络视频、远程技术等方式替代现场核查验证。例如，利用电子邮件进行问询、利用网络视频进行盘点和访谈、利用卫星定位核查船舶和航空器、利用远程监控软件核查机器设备状况等。</w:t>
      </w:r>
    </w:p>
    <w:p w14:paraId="546B9C7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利用政府部门、行业或者第三方机构等出具的信息资料进行核查验证。例如，利用政府不动产登记资料和契据登记资料核查不动产相关信息，利用行业监管机构或者第三方检验机构出具的近期或者定期检验报告核查船舶、航空器、车辆和机器设备状况等。</w:t>
      </w:r>
    </w:p>
    <w:p w14:paraId="3F5E462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（六）其他合理、有效的弥补措施。</w:t>
      </w:r>
    </w:p>
    <w:p w14:paraId="1EB6974C" w14:textId="2D05DCD1"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第二十一条</w:t>
      </w:r>
      <w:r w:rsidR="00C36EF7">
        <w:rPr>
          <w:rFonts w:ascii="宋体" w:hAnsi="宋体" w:cs="宋体" w:hint="eastAsia"/>
          <w:sz w:val="24"/>
          <w:szCs w:val="24"/>
        </w:rPr>
        <w:t xml:space="preserve"> </w:t>
      </w:r>
      <w:r>
        <w:rPr>
          <w:rFonts w:ascii="宋体" w:hAnsi="宋体" w:cs="宋体" w:hint="eastAsia"/>
          <w:sz w:val="24"/>
          <w:szCs w:val="24"/>
        </w:rPr>
        <w:t>资产评估专业人员应当在评定、估算形成评估结论后，编制初步资产评估报告，并且对初步资产评估报告进行内部审核。资产评估专业人员可以与委托人或者委托人同意的其他相关当事人就资产评估报告有关内容进行沟通，对沟通情况进行独立分析，决定是否对资产评估报告进行调整。资产评估报告应当以文字和数字形式表述评估结论，并明确评估结论的使用有效期。评估结论通常是确定的数值。经与委托人沟通，评估结论可以是区间值或者其他形式的专业意见。境外并购资产评估业务涉及企业国有资产评估行为，评估结论为区间值的，应当在区间之内确定一个最大可能值，并说明确定依据。</w:t>
      </w:r>
    </w:p>
    <w:p w14:paraId="5DD6F08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评估结论以外币为计量币种时，还应当列示以人民币为计量币种的评估结论，并注明外币在评估基准日与人民币的汇率。汇率通常采用外币与人民币汇率的中间价。</w:t>
      </w:r>
    </w:p>
    <w:p w14:paraId="19D5AA62" w14:textId="40AC2CA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lastRenderedPageBreak/>
        <w:t>第二十二条</w:t>
      </w:r>
      <w:r w:rsidR="00C36EF7">
        <w:rPr>
          <w:rFonts w:ascii="宋体" w:hAnsi="宋体" w:cs="宋体" w:hint="eastAsia"/>
          <w:sz w:val="24"/>
          <w:szCs w:val="24"/>
        </w:rPr>
        <w:t xml:space="preserve"> </w:t>
      </w:r>
      <w:r>
        <w:rPr>
          <w:rFonts w:ascii="宋体" w:hAnsi="宋体" w:cs="宋体" w:hint="eastAsia"/>
          <w:sz w:val="24"/>
          <w:szCs w:val="24"/>
        </w:rPr>
        <w:t>资产评估专业人员编制工作底稿时，除应当遵守《资产评估执业准则——资产评估档案》外，还可以执行下列工作：</w:t>
      </w:r>
    </w:p>
    <w:p w14:paraId="34F62E7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（一）外文资产评估资料中重要内容需要以中文翻译内容记录在工作底稿内的，资产评估专业人员可以要求委托人或者其他相关当事人对该重要内容的中文翻译内容进行确认，并保证其准确性。</w:t>
      </w:r>
    </w:p>
    <w:p w14:paraId="636091C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（二）外语翻译人员协助翻译的外文资料，资产评估专业人员需要在工作底稿中记录外语翻译人员协助工作情况。</w:t>
      </w:r>
    </w:p>
    <w:p w14:paraId="0AC521E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委托人或者其他相关当事人以电子文档形式提供的资产评估资料存在使用期限、使用权限等限制情况的，资产评估专业人员需要及时将重要电子文档转换成纸质文档，可以要求委托人或者其他相关当事人对资料使用限制情况进行相关说明。</w:t>
      </w:r>
    </w:p>
    <w:p w14:paraId="47B2BE5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（四）委托人或者其他相关当事人以电子邮件或者网络数据库方式提供资产评估相关资料的，资产评估专业人员可以编制电子邮件收发存记录文档和网络数据库资料检索目录文档。</w:t>
      </w:r>
    </w:p>
    <w:p w14:paraId="2F3CC92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（五）以视频、语音、图像等方式取得的电子数据类底稿，资产评估机构及其资产评估专业人员应当加强保存管理工作，保证工作底稿安全、可追溯。</w:t>
      </w:r>
    </w:p>
    <w:p w14:paraId="49FDA3D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第四章评估方法</w:t>
      </w:r>
    </w:p>
    <w:p w14:paraId="2282BA82" w14:textId="4D60D2C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第二十三条</w:t>
      </w:r>
      <w:r w:rsidR="00C36EF7">
        <w:rPr>
          <w:rFonts w:ascii="宋体" w:hAnsi="宋体" w:cs="宋体" w:hint="eastAsia"/>
          <w:sz w:val="24"/>
          <w:szCs w:val="24"/>
        </w:rPr>
        <w:t xml:space="preserve"> </w:t>
      </w:r>
      <w:r>
        <w:rPr>
          <w:rFonts w:ascii="宋体" w:hAnsi="宋体" w:cs="宋体" w:hint="eastAsia"/>
          <w:sz w:val="24"/>
          <w:szCs w:val="24"/>
        </w:rPr>
        <w:t>资产评估专业人员应当根据评估目的、评估对象、价值类型、资料收集情况，以及境外并购监管审查要求、标的资产所处行业特点、标的资产及其各组织成员所在国家或者地区的市场经济状况、评估资料和数据的充分性和可靠性等情况，分析收益法、市场法、成本法三种基本方法的适用性。</w:t>
      </w:r>
    </w:p>
    <w:p w14:paraId="0C39D370" w14:textId="33B10D0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第二十四条</w:t>
      </w:r>
      <w:r w:rsidR="00A45A13">
        <w:rPr>
          <w:rFonts w:ascii="宋体" w:hAnsi="宋体" w:cs="宋体" w:hint="eastAsia"/>
          <w:sz w:val="24"/>
          <w:szCs w:val="24"/>
        </w:rPr>
        <w:t xml:space="preserve"> </w:t>
      </w:r>
      <w:r>
        <w:rPr>
          <w:rFonts w:ascii="宋体" w:hAnsi="宋体" w:cs="宋体" w:hint="eastAsia"/>
          <w:sz w:val="24"/>
          <w:szCs w:val="24"/>
        </w:rPr>
        <w:t>对于适合采用不同评估方法进行境外并购资产评估的，资产评估专业人员应当采用两种以上评估方法进行评估。</w:t>
      </w:r>
    </w:p>
    <w:p w14:paraId="21712AB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未采用两种以上评估方法进行评估的，资产评估报告应当披露其他基本评估方法不适用的原因或者所受的操作限制。</w:t>
      </w:r>
    </w:p>
    <w:p w14:paraId="0D8126DF" w14:textId="114A923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第二十五条</w:t>
      </w:r>
      <w:r w:rsidR="00A45A13">
        <w:rPr>
          <w:rFonts w:ascii="宋体" w:hAnsi="宋体" w:cs="宋体" w:hint="eastAsia"/>
          <w:sz w:val="24"/>
          <w:szCs w:val="24"/>
        </w:rPr>
        <w:t xml:space="preserve"> </w:t>
      </w:r>
      <w:r>
        <w:rPr>
          <w:rFonts w:ascii="宋体" w:hAnsi="宋体" w:cs="宋体" w:hint="eastAsia"/>
          <w:sz w:val="24"/>
          <w:szCs w:val="24"/>
        </w:rPr>
        <w:t>资产评估专业人员通常需要结合境外并购标的资产的历史经营情况、未来收益可预测情况、所在国家或者地区的市场经济状况、获取评估资料和数据的充分性和可靠性等情况，恰当考虑收益法的适用性。</w:t>
      </w:r>
    </w:p>
    <w:p w14:paraId="2EBCF1CF" w14:textId="198E27A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第二十六条</w:t>
      </w:r>
      <w:r w:rsidR="00A45A13">
        <w:rPr>
          <w:rFonts w:ascii="宋体" w:hAnsi="宋体" w:cs="宋体" w:hint="eastAsia"/>
          <w:sz w:val="24"/>
          <w:szCs w:val="24"/>
        </w:rPr>
        <w:t xml:space="preserve"> </w:t>
      </w:r>
      <w:r>
        <w:rPr>
          <w:rFonts w:ascii="宋体" w:hAnsi="宋体" w:cs="宋体" w:hint="eastAsia"/>
          <w:sz w:val="24"/>
          <w:szCs w:val="24"/>
        </w:rPr>
        <w:t>采用收益法进行境外并购资产评估时，除应当遵守《资产评估执业</w:t>
      </w:r>
      <w:r>
        <w:rPr>
          <w:rFonts w:ascii="宋体" w:hAnsi="宋体" w:cs="宋体" w:hint="eastAsia"/>
          <w:sz w:val="24"/>
          <w:szCs w:val="24"/>
        </w:rPr>
        <w:lastRenderedPageBreak/>
        <w:t>准则——企业价值》等相关资产评估执业准则外，可以重点关注下列事项：</w:t>
      </w:r>
    </w:p>
    <w:p w14:paraId="21955FE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（一）确定收益期限时，关注标的资产及其组织成员所在国家或者地区相关法律、行政法规对企业经营期限的限制情况，以及并购方案中对经营期限的相关约定情况等。</w:t>
      </w:r>
    </w:p>
    <w:p w14:paraId="7A8CE24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（二）不同会计准则对收益预测的影响，包括收入确认政策、存货和成本核算政策、折旧摊销政策、资产减值政策、税务会计政策等。</w:t>
      </w:r>
    </w:p>
    <w:p w14:paraId="09D0C07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对标的资产及其组织成员可以采用单体报表口径进行收益预测，也可以采用合并报表口径进行收益预测。如果采用合并报表口径进行收益预测，标的资产及其组织成员采用不同会计准则时，通常需要按照同一会计准则进行调整。</w:t>
      </w:r>
    </w:p>
    <w:p w14:paraId="2873670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（四）标的资产为跨国企业时，关注标的资产及其组织成员之间的组织架构、分工协作、转移定价和国际税收筹划等事项的现状和可持续性，必要时可以利用专业税务师或者税务机构的工作及相关报告。</w:t>
      </w:r>
    </w:p>
    <w:p w14:paraId="6E441EF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（五）预测人工成本及相关费用时，关注标的资产及其组织成员所在国家或者地区相关法律、行政法规、劳工政策、社会保障制度、工会制度、管理制度、股权激励政策等对收益预测的影响。</w:t>
      </w:r>
    </w:p>
    <w:p w14:paraId="4664654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预测各项税务费用时，关注标的资产及其组织成员所在国家或者地区的税率、纳税调整事项、减免税政策、税费计缴方式等情况的影响，结合税务尽职调查报告及其他中介机构专业工作，合理识别标的资产各项税赋，必要时可以利用专业税务师或者税务机构的工作及相关报告。</w:t>
      </w:r>
    </w:p>
    <w:p w14:paraId="148F6C7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标的资产及其组织成员适用不同所得税政策时，既可以采用单体口径预测所得税费用，也可以采用合并口径预测所得税费用。采用合并口径进行预测时，需要综合分析及判断税收政策、转移定价、国际税收筹划的影响及其可持续性。经合理分析后，可以采用与收益预测口径一致的历史综合所得税税率预测所得税费用，也可以按照各组织成员的收入、息税前利润或者现金流比重等指标进行合理加权后确定综合所得税税率，预测所得税费用。</w:t>
      </w:r>
    </w:p>
    <w:p w14:paraId="5D4169E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八）折现率通常可以采用资本资产定价模型（CAPM）、加权平均资本成本（WACC）或者风险累加法等方法计算确定。采用资本资产定价模型（CAPM）和加权平均资本成本（WACC）计算折现率时，所涉及的相关参数可以通过下列几种途径确定：</w:t>
      </w:r>
    </w:p>
    <w:p w14:paraId="3189684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1.确定折现率中的无风险利率、市场风险溢价时，如果标的资产及其组织成员</w:t>
      </w:r>
      <w:r>
        <w:rPr>
          <w:rFonts w:ascii="宋体" w:hAnsi="宋体" w:cs="宋体" w:hint="eastAsia"/>
          <w:sz w:val="24"/>
          <w:szCs w:val="24"/>
        </w:rPr>
        <w:lastRenderedPageBreak/>
        <w:t>分布在不同国家或者地区，经合理分析后，可以采用标的资产注册地或者总部、核心组织成员、核心资产、核心业务所在国家或者地区的相关参数，或者按照各组织成员的收入、息税前利润或者现金流比重等指标进行合理加权后确定。</w:t>
      </w:r>
    </w:p>
    <w:p w14:paraId="7F71B0E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2.市场风险溢价的确定途径通常包括利用标的资产所在国家或者地区证券市场指数的历史风险溢价数据计算、采用其他成熟资本市场风险溢价调整方法、以及引用相关专家学者或者专业机构研究发布的数据。</w:t>
      </w:r>
    </w:p>
    <w:p w14:paraId="479C4A3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确定折现率中的贝塔系数、目标资本结构等相关参数时，可比上市公司可以选择与标的资产或者其核心组织成员、核心资产和核心业务所在国家或者地区资本市场发展状况相同或者相近的资本市场中的可比上市公司，并关注其与市场风险溢价的匹配性。</w:t>
      </w:r>
    </w:p>
    <w:p w14:paraId="51D8C22D" w14:textId="216446C7"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第二十七条</w:t>
      </w:r>
      <w:r w:rsidR="00A45A13">
        <w:rPr>
          <w:rFonts w:ascii="宋体" w:hAnsi="宋体" w:cs="宋体" w:hint="eastAsia"/>
          <w:sz w:val="24"/>
          <w:szCs w:val="24"/>
        </w:rPr>
        <w:t xml:space="preserve"> </w:t>
      </w:r>
      <w:r>
        <w:rPr>
          <w:rFonts w:ascii="宋体" w:hAnsi="宋体" w:cs="宋体" w:hint="eastAsia"/>
          <w:sz w:val="24"/>
          <w:szCs w:val="24"/>
        </w:rPr>
        <w:t>资产评估专业人员通常需要根据所获取可比企业经营和财务数据的充分性和可靠性，以及可收集到的可比上市公司或者可比交易案例数量，结合境外并购标的资产所在国家或者地区的市场经济状况，恰当考虑市场法的适用性。</w:t>
      </w:r>
    </w:p>
    <w:p w14:paraId="039E2526" w14:textId="31F116C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第二十八条</w:t>
      </w:r>
      <w:r w:rsidR="00A45A13">
        <w:rPr>
          <w:rFonts w:ascii="宋体" w:hAnsi="宋体" w:cs="宋体" w:hint="eastAsia"/>
          <w:sz w:val="24"/>
          <w:szCs w:val="24"/>
        </w:rPr>
        <w:t xml:space="preserve"> </w:t>
      </w:r>
      <w:r>
        <w:rPr>
          <w:rFonts w:ascii="宋体" w:hAnsi="宋体" w:cs="宋体" w:hint="eastAsia"/>
          <w:sz w:val="24"/>
          <w:szCs w:val="24"/>
        </w:rPr>
        <w:t>采用市场法进行境外并购资产评估时，可以重点关注下列事项：</w:t>
      </w:r>
    </w:p>
    <w:p w14:paraId="6503CC6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（一）可以选择与标的资产或者其核心组织成员、核心资产和核心业务所在国家或者地区资本市场发展状况相同或者相近的资本市场中的可比上市公司或者可比交易案例。</w:t>
      </w:r>
    </w:p>
    <w:p w14:paraId="5DC4EAE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（二）可比上市公司或者可比交易案例所在国家或者地区的政治、经济、技术、社会文化等环境差异对市场法评估测算结果的影响。例如，可以采用主权信用评级对不同国家或者地区的环境差异进行调整。</w:t>
      </w:r>
    </w:p>
    <w:p w14:paraId="667459D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（三）不同会计准则对市场法评估测算结果的影响，必要时可以将标的资产、可比上市公司或者可比交易案例的财务数据按照同一会计准则进行适当调整。</w:t>
      </w:r>
    </w:p>
    <w:p w14:paraId="18A7503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（四）可比上市公司或者可比交易案例的记账本位币汇率波动、会计期间差异等对市场法评估测算结果的影响。</w:t>
      </w:r>
    </w:p>
    <w:p w14:paraId="65BE2AC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（五）确定缺乏流动性折扣、控制权溢价和缺乏控制权折价时，尽可能地采用标的资产或者其核心组织成员、核心资产和核心业务所在国家或者地区资本市场相关数据。</w:t>
      </w:r>
    </w:p>
    <w:p w14:paraId="4B7BB603" w14:textId="25F28B47"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第二十九条</w:t>
      </w:r>
      <w:r w:rsidR="00A45A13">
        <w:rPr>
          <w:rFonts w:ascii="宋体" w:hAnsi="宋体" w:cs="宋体" w:hint="eastAsia"/>
          <w:sz w:val="24"/>
          <w:szCs w:val="24"/>
        </w:rPr>
        <w:t xml:space="preserve"> </w:t>
      </w:r>
      <w:r>
        <w:rPr>
          <w:rFonts w:ascii="宋体" w:hAnsi="宋体" w:cs="宋体" w:hint="eastAsia"/>
          <w:sz w:val="24"/>
          <w:szCs w:val="24"/>
        </w:rPr>
        <w:t>资产评估专业人员采用成本法对境外并购标的—20—资产进行评估时，通常需要根据会计政策、企业经营等情况，要求标的资产对资产负债表表内</w:t>
      </w:r>
      <w:r>
        <w:rPr>
          <w:rFonts w:ascii="宋体" w:hAnsi="宋体" w:cs="宋体" w:hint="eastAsia"/>
          <w:sz w:val="24"/>
          <w:szCs w:val="24"/>
        </w:rPr>
        <w:lastRenderedPageBreak/>
        <w:t>及表外的各项资产、负债进行识别。</w:t>
      </w:r>
    </w:p>
    <w:p w14:paraId="640260E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资产评估专业人员应当知晓并非每项资产和负债都可以被识别并单独评估。识别出的表外资产与负债应当纳入评估申报文件，并要求委托人或者其指定的相关当事人确认评估范围。当存在对评估对象价值有重大影响且难以识别和评估的资产或者负债时，应当考虑成本法的适用性。</w:t>
      </w:r>
    </w:p>
    <w:p w14:paraId="4A4BCF76" w14:textId="282DB06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第三十条</w:t>
      </w:r>
      <w:r w:rsidR="00A45A13">
        <w:rPr>
          <w:rFonts w:ascii="宋体" w:hAnsi="宋体" w:cs="宋体" w:hint="eastAsia"/>
          <w:sz w:val="24"/>
          <w:szCs w:val="24"/>
        </w:rPr>
        <w:t xml:space="preserve"> </w:t>
      </w:r>
      <w:r>
        <w:rPr>
          <w:rFonts w:ascii="宋体" w:hAnsi="宋体" w:cs="宋体" w:hint="eastAsia"/>
          <w:sz w:val="24"/>
          <w:szCs w:val="24"/>
        </w:rPr>
        <w:t>采用成本法进行境外并购资产评估时，可以重点关注下列事项：</w:t>
      </w:r>
    </w:p>
    <w:p w14:paraId="5962CA6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根据标的资产及其各组织成员所在国家或者地区的市场经济状况、评估资料和市场信息数据的充分性和可靠性等情况，采用恰当、合理、有效的具体评估方法对各项资产和负债进行评估。例如，对无法直接获取重置成本的资产采用价格指数调整方式进行评估，对缺乏房地产交易信息的不动产采用收益法进行评估等。</w:t>
      </w:r>
    </w:p>
    <w:p w14:paraId="3DFB471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（二）当资产评估专业人员不熟悉或者无法有效获取相关资产的市场信息资料或者渠道时，在不影响独立性的情况下，可以要求委托人或者其他相关当事人提供相应协助。</w:t>
      </w:r>
    </w:p>
    <w:p w14:paraId="6BE2A1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（三）会计准则差异导致资产和负债账面价值出现差异时，关注各项资产和负债账面价值的合理性。</w:t>
      </w:r>
    </w:p>
    <w:p w14:paraId="705CB5E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（四）如果标的资产所在国家或者地区存在较高通货膨胀风险或者其记账本位币存在较大汇率波动时，关注采用历史成本计量的各项资产和负债账面价值的公允性。</w:t>
      </w:r>
    </w:p>
    <w:p w14:paraId="2FBA44C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不同国家或者地区采用的行业标准差异对相关资产评估价值的影响。例如，油气矿资源储量标准、不动产测量规范、建筑物及设备耐用年限标准、建筑物及设备设计建造标准、机动车报废标准、行业环保安全标准、废弃物回收处置标准等。</w:t>
      </w:r>
    </w:p>
    <w:p w14:paraId="17EDE1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第五章资产评估报告及披露要求</w:t>
      </w:r>
    </w:p>
    <w:p w14:paraId="1BE96B11" w14:textId="1C9D956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第三十一条</w:t>
      </w:r>
      <w:r w:rsidR="00C36EF7">
        <w:rPr>
          <w:rFonts w:ascii="宋体" w:hAnsi="宋体" w:cs="宋体" w:hint="eastAsia"/>
          <w:sz w:val="24"/>
          <w:szCs w:val="24"/>
        </w:rPr>
        <w:t xml:space="preserve"> </w:t>
      </w:r>
      <w:r>
        <w:rPr>
          <w:rFonts w:ascii="宋体" w:hAnsi="宋体" w:cs="宋体" w:hint="eastAsia"/>
          <w:sz w:val="24"/>
          <w:szCs w:val="24"/>
        </w:rPr>
        <w:t>资产评估专业人员应当在履行必要的资产评估程序后，编制出具资产评估报告，并进行恰当披露，使委托人或者其他资产评估报告使用人能够正确理解资产评估报告内容，正确使用资产评估报告的评估结论。</w:t>
      </w:r>
    </w:p>
    <w:p w14:paraId="64BD3D12" w14:textId="71C6625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第三十二条</w:t>
      </w:r>
      <w:r w:rsidR="00C36EF7">
        <w:rPr>
          <w:rFonts w:ascii="宋体" w:hAnsi="宋体" w:cs="宋体" w:hint="eastAsia"/>
          <w:sz w:val="24"/>
          <w:szCs w:val="24"/>
        </w:rPr>
        <w:t xml:space="preserve"> </w:t>
      </w:r>
      <w:r>
        <w:rPr>
          <w:rFonts w:ascii="宋体" w:hAnsi="宋体" w:cs="宋体" w:hint="eastAsia"/>
          <w:sz w:val="24"/>
          <w:szCs w:val="24"/>
        </w:rPr>
        <w:t>境外并购资产评估报告应当使用中文撰写。同时出具中外文资产评估报告的，中外文资产评估报告存在不一致时，以中文资产评估报告为准。</w:t>
      </w:r>
    </w:p>
    <w:p w14:paraId="4ADCC9D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境外并购资产评估报告中的数字表达方式可以采用标的资产所在国家或者地区</w:t>
      </w:r>
      <w:r>
        <w:rPr>
          <w:rFonts w:ascii="宋体" w:hAnsi="宋体" w:cs="宋体" w:hint="eastAsia"/>
          <w:sz w:val="24"/>
          <w:szCs w:val="24"/>
        </w:rPr>
        <w:lastRenderedPageBreak/>
        <w:t>通常的数字表达习惯。例如，元、千元、百万元等单位。</w:t>
      </w:r>
    </w:p>
    <w:p w14:paraId="1337D8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境外并购资产评估报告中相关计量单位为标的资产所在国家或者地区特有的、非标准的、非通用的计量单位的，资产评估报告应当以标准的、通用的计量单位确定相关数据，并注明计量单位换算方式。如果计量单位为特定行业的专用计量单位，还应当注明专用计量单位的名词释义。</w:t>
      </w:r>
    </w:p>
    <w:p w14:paraId="607D7F2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境外并购资产评估报告中相关日期为标的资产所在国家或者地区特有纪年方式的，应当转换成公历纪年方式。</w:t>
      </w:r>
    </w:p>
    <w:p w14:paraId="498515DA" w14:textId="198969D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第三十三条</w:t>
      </w:r>
      <w:r w:rsidR="00C36EF7">
        <w:rPr>
          <w:rFonts w:ascii="宋体" w:hAnsi="宋体" w:cs="宋体" w:hint="eastAsia"/>
          <w:sz w:val="24"/>
          <w:szCs w:val="24"/>
        </w:rPr>
        <w:t xml:space="preserve"> </w:t>
      </w:r>
      <w:r>
        <w:rPr>
          <w:rFonts w:ascii="宋体" w:hAnsi="宋体" w:cs="宋体" w:hint="eastAsia"/>
          <w:sz w:val="24"/>
          <w:szCs w:val="24"/>
        </w:rPr>
        <w:t>资产评估专业人员通常在评定估算阶段，对资产评估的前提和基础进行假设，在编写资产评估报告披露评估假设时，除应当遵守《资产评估执业准则——资产评估报告》等相关资产评估执业准则外，需要结合境外并购资产评估业务实际情况，合理考虑并披露下列假设：</w:t>
      </w:r>
    </w:p>
    <w:p w14:paraId="11A415A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（一）假设标的资产及其各组织成员所在国家或者地区现行的政治、经济、社会文化等环境不发生重大变化。</w:t>
      </w:r>
    </w:p>
    <w:p w14:paraId="5EDE754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（二）假设标的资产及其各组织成员所在国家或者地区现行的财政政策、金融政策、税收政策、产业政策、劳工政策、社会福利政策等不发生重大变化。</w:t>
      </w:r>
    </w:p>
    <w:p w14:paraId="174578E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（三）如果标的资产及其各组织成员使用的外币的汇率稳定、汇率风险管理充分且具有可持续性，可以假设标的资产及其各组织成员使用的各外币汇率保持不变。</w:t>
      </w:r>
    </w:p>
    <w:p w14:paraId="5F3B655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（四）如果标的资产及其各组织成员之间的分工协作方式稳定且具有可持续性，可以假设标的资产及其各组织成员之间的分工协作方式不发生重大变化。</w:t>
      </w:r>
    </w:p>
    <w:p w14:paraId="04ACBD3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（五）如果境外并购资产评估的价值类型为投资价值，资产评估专业人员需要根据投资并购方案确定相应合理的评估假设。</w:t>
      </w:r>
    </w:p>
    <w:p w14:paraId="71E48AD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（六）其他需要假设的重要事项。</w:t>
      </w:r>
    </w:p>
    <w:p w14:paraId="67AEAD4C" w14:textId="1A2895E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第三十四条</w:t>
      </w:r>
      <w:r w:rsidR="00A45A13">
        <w:rPr>
          <w:rFonts w:ascii="宋体" w:hAnsi="宋体" w:cs="宋体" w:hint="eastAsia"/>
          <w:sz w:val="24"/>
          <w:szCs w:val="24"/>
        </w:rPr>
        <w:t xml:space="preserve"> </w:t>
      </w:r>
      <w:r>
        <w:rPr>
          <w:rFonts w:ascii="宋体" w:hAnsi="宋体" w:cs="宋体" w:hint="eastAsia"/>
          <w:sz w:val="24"/>
          <w:szCs w:val="24"/>
        </w:rPr>
        <w:t>资产评估专业人员编写境外并购资产评估报告时，除应当遵守《资产评估执业准则——资产评估报告》等相关资产评估执业准则外，需要结合境外并购资产评估业务实际情况，并结合对评估结论的影响程度，合理考虑下列披露事项：</w:t>
      </w:r>
    </w:p>
    <w:p w14:paraId="333B25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（一）标的资产及其各组织成员所在国家或者地区特殊的国际及国内政治形势、财政政策、金融政策、税收政策、产业政策、劳工政策、社会保障制度、社会文化差异、突发公共安全事件等重要事项。</w:t>
      </w:r>
    </w:p>
    <w:p w14:paraId="7F0C721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（二）标的资产及其各组织成员的组织架构、核心组织成员、核心资产、核心</w:t>
      </w:r>
      <w:r>
        <w:rPr>
          <w:rFonts w:ascii="宋体" w:hAnsi="宋体" w:cs="宋体" w:hint="eastAsia"/>
          <w:sz w:val="24"/>
          <w:szCs w:val="24"/>
        </w:rPr>
        <w:lastRenderedPageBreak/>
        <w:t>业务、分工协作方式、国际税收筹划方案等。</w:t>
      </w:r>
    </w:p>
    <w:p w14:paraId="1B8226B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（三）标的资产及其各组织成员所采用的会计准则，以及评估测算所采用的会计准则。</w:t>
      </w:r>
    </w:p>
    <w:p w14:paraId="6B14EBA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（四）律师事务所等相关机构出具的资产评估对象法律权属专业意见。</w:t>
      </w:r>
    </w:p>
    <w:p w14:paraId="1CA1ABC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（五）因受所在国家或者地区相关法律、行政法规限制导致资产评估对象存在法律权属限制的情况。</w:t>
      </w:r>
    </w:p>
    <w:p w14:paraId="0147D50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（六）资产评估程序受限情况，采取的弥补措施以及对评估结论影响的情况。</w:t>
      </w:r>
    </w:p>
    <w:p w14:paraId="3BC417F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利用专家工作及相关报告情况，特别是引用境外资产评估专业机构及其资产评估专业人员出具的单项资产评估报告的情况。引用的单项资产评估报告相关事项与资产评估准则存在差异或者部分事项与引用要求不完全一致时，需要披露对差异或者不一致事项的相关分析或者调整过程。</w:t>
      </w:r>
    </w:p>
    <w:p w14:paraId="6CD7BE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八）标的资产及其各组织成员所在国家或者地区处于较高的、不稳定的政治风险、金融风险，可能导致标的资产及其各组织成员的经营环境发生重大变化，且其无法采取有效措施规避风险时，资产评估报告中需要进行风险提示。</w:t>
      </w:r>
    </w:p>
    <w:p w14:paraId="2BA629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九）如果标的资产及其各组织成员使用的外币存在汇率波动较大、汇率风险管理不充分的情况，资产评估专业人员需要对汇率风险进行合理分析，必要时可以利用专业外汇分析师或者外汇分析机构的工作及相关报告。资产评估报告中需要进行汇率风险提示，必要时就汇率波动进行敏感性分析说明。</w:t>
      </w:r>
    </w:p>
    <w:p w14:paraId="2092AC7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（十）其他需要披露的重要事项。</w:t>
      </w:r>
    </w:p>
    <w:p w14:paraId="35EEA446" w14:textId="74E31EE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第三十五条</w:t>
      </w:r>
      <w:r w:rsidR="00A45A13">
        <w:rPr>
          <w:rFonts w:ascii="宋体" w:hAnsi="宋体" w:cs="宋体" w:hint="eastAsia"/>
          <w:sz w:val="24"/>
          <w:szCs w:val="24"/>
        </w:rPr>
        <w:t xml:space="preserve"> </w:t>
      </w:r>
      <w:r>
        <w:rPr>
          <w:rFonts w:ascii="宋体" w:hAnsi="宋体" w:cs="宋体" w:hint="eastAsia"/>
          <w:sz w:val="24"/>
          <w:szCs w:val="24"/>
        </w:rPr>
        <w:t>资产评估专业人员编写境外并购资产评估报告时，除应当遵守《资产评估执业准则——资产评估报告》外，境外并购资产评估报告的使用限制可以增加下列内容：</w:t>
      </w:r>
    </w:p>
    <w:p w14:paraId="1F20EBD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（一）委托人或者其他资产评估报告使用人应当依据中国相关法律、行政法规规定和资产评估报告载明的使用范围使用资产评估报告。</w:t>
      </w:r>
    </w:p>
    <w:p w14:paraId="4D0586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（二）其他需要限制的重要事项。</w:t>
      </w:r>
    </w:p>
    <w:p w14:paraId="680D862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附：1.境外并购涉及的中国相关法规和文件</w:t>
      </w:r>
    </w:p>
    <w:p w14:paraId="69E13D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2.境外并购涉及的部分国家相关投资主管部门、法规和文件</w:t>
      </w:r>
    </w:p>
    <w:p w14:paraId="0103DFF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3.境外并购资产评估资料相关查询网站</w:t>
      </w:r>
    </w:p>
    <w:p w14:paraId="0CB487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附1</w:t>
      </w:r>
    </w:p>
    <w:p w14:paraId="04B1133A" w14:textId="77777777" w:rsidR="00A320E6" w:rsidRDefault="00000000" w:rsidP="00AE0286">
      <w:pPr>
        <w:spacing w:line="360" w:lineRule="auto"/>
        <w:ind w:firstLineChars="200" w:firstLine="480"/>
        <w:jc w:val="center"/>
        <w:rPr>
          <w:rFonts w:ascii="宋体" w:hAnsi="宋体" w:cs="宋体"/>
          <w:sz w:val="24"/>
          <w:szCs w:val="24"/>
        </w:rPr>
      </w:pPr>
      <w:r>
        <w:rPr>
          <w:rFonts w:ascii="宋体" w:hAnsi="宋体" w:cs="宋体" w:hint="eastAsia"/>
          <w:sz w:val="24"/>
          <w:szCs w:val="24"/>
        </w:rPr>
        <w:lastRenderedPageBreak/>
        <w:t>境外并购涉及的中国相关法规和文件</w:t>
      </w:r>
    </w:p>
    <w:tbl>
      <w:tblPr>
        <w:tblW w:w="4997" w:type="pct"/>
        <w:tblCellMar>
          <w:top w:w="15" w:type="dxa"/>
          <w:left w:w="15" w:type="dxa"/>
          <w:bottom w:w="15" w:type="dxa"/>
          <w:right w:w="15" w:type="dxa"/>
        </w:tblCellMar>
        <w:tblLook w:val="04A0" w:firstRow="1" w:lastRow="0" w:firstColumn="1" w:lastColumn="0" w:noHBand="0" w:noVBand="1"/>
      </w:tblPr>
      <w:tblGrid>
        <w:gridCol w:w="1597"/>
        <w:gridCol w:w="3812"/>
        <w:gridCol w:w="3346"/>
      </w:tblGrid>
      <w:tr w:rsidR="00A320E6" w14:paraId="584B284F"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B37F4" w14:textId="77777777" w:rsidR="00A320E6" w:rsidRDefault="00000000" w:rsidP="00AE0286">
            <w:pPr>
              <w:jc w:val="left"/>
              <w:textAlignment w:val="center"/>
              <w:rPr>
                <w:rFonts w:ascii="宋体" w:hAnsi="宋体" w:cs="宋体"/>
                <w:b/>
                <w:color w:val="000000"/>
                <w:szCs w:val="21"/>
              </w:rPr>
            </w:pPr>
            <w:r>
              <w:rPr>
                <w:rFonts w:ascii="宋体" w:hAnsi="宋体" w:cs="宋体" w:hint="eastAsia"/>
                <w:b/>
                <w:color w:val="000000"/>
                <w:kern w:val="0"/>
                <w:szCs w:val="21"/>
                <w:lang w:bidi="ar"/>
              </w:rPr>
              <w:t>发文单位</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E5D5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法规和文件</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0F6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发布文号及时间</w:t>
            </w:r>
          </w:p>
        </w:tc>
      </w:tr>
      <w:tr w:rsidR="00A320E6" w14:paraId="31773B8E"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6510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国务院</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E5D8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《中华人民共和国外汇管理条例》</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7709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国务院令第532号（2008年）</w:t>
            </w:r>
          </w:p>
        </w:tc>
      </w:tr>
      <w:tr w:rsidR="00A320E6" w14:paraId="2769120B"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4833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发展改革委</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B8E0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《企业境外投资管理办法》</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49EB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国家发展和改革委员会令第11号（2017年）</w:t>
            </w:r>
          </w:p>
        </w:tc>
      </w:tr>
      <w:tr w:rsidR="00A320E6" w14:paraId="658AC6E1"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601B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发展改革委</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DB66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《境外投资敏感行业目录（2018年版）》</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A97B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发改外资〔2018〕251号</w:t>
            </w:r>
          </w:p>
        </w:tc>
      </w:tr>
      <w:tr w:rsidR="00A320E6" w14:paraId="02AC0EB4"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C949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财政部</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C153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《国有企业境外投资财务管理办法》</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745C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财资〔2017〕24号</w:t>
            </w:r>
          </w:p>
        </w:tc>
      </w:tr>
      <w:tr w:rsidR="00A320E6" w14:paraId="717F5ACE"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CC01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商务部、外交部</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2351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《对外投资国别产业导向目录（一）》</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C3C3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商合发〔2004〕294号</w:t>
            </w:r>
          </w:p>
        </w:tc>
      </w:tr>
      <w:tr w:rsidR="00A320E6" w14:paraId="641A94E3"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B739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商务部、外交部</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E514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《对外投资国别产业导向目录（二）》</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1007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商合发〔2005〕151号</w:t>
            </w:r>
          </w:p>
        </w:tc>
      </w:tr>
      <w:tr w:rsidR="00A320E6" w14:paraId="178112A1"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EBE4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商务部、外交部、发展改革委</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58BC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《对外投资国别产业导向目录（三）》</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FDB6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商合发〔2007〕29号</w:t>
            </w:r>
          </w:p>
        </w:tc>
      </w:tr>
      <w:tr w:rsidR="00A320E6" w14:paraId="2C36C708"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468E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商务部、外交部、发展改革委</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94B8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《对外投资国别产业指引（2011版）》</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312D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商合函〔2011〕767号</w:t>
            </w:r>
          </w:p>
        </w:tc>
      </w:tr>
      <w:tr w:rsidR="00A320E6" w14:paraId="3C2BBA71"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E3A3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C7F0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《境外投资管理办法》</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17BE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商务部令第3号（2014年）</w:t>
            </w:r>
          </w:p>
        </w:tc>
      </w:tr>
      <w:tr w:rsidR="00A320E6" w14:paraId="0DC12D60"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C533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国资委</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27BB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《中央企业境外投资监督管理办法》</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00D0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国资委令第35号（2017年）</w:t>
            </w:r>
          </w:p>
        </w:tc>
      </w:tr>
      <w:tr w:rsidR="00A320E6" w14:paraId="38911807" w14:textId="77777777">
        <w:trPr>
          <w:trHeight w:val="285"/>
        </w:trPr>
        <w:tc>
          <w:tcPr>
            <w:tcW w:w="9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66F3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外汇局</w:t>
            </w:r>
          </w:p>
        </w:tc>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4E19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《境内机构境外直接投资外汇管理规定》</w:t>
            </w:r>
          </w:p>
        </w:tc>
        <w:tc>
          <w:tcPr>
            <w:tcW w:w="1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98C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汇发〔2009〕30号</w:t>
            </w:r>
          </w:p>
        </w:tc>
      </w:tr>
    </w:tbl>
    <w:p w14:paraId="31539E6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附2</w:t>
      </w:r>
    </w:p>
    <w:p w14:paraId="6FEFE74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境外并购涉及的部分国家相关投资主管部门、法规和文件</w:t>
      </w:r>
    </w:p>
    <w:tbl>
      <w:tblPr>
        <w:tblW w:w="4998" w:type="pct"/>
        <w:tblCellMar>
          <w:top w:w="15" w:type="dxa"/>
          <w:left w:w="15" w:type="dxa"/>
          <w:bottom w:w="15" w:type="dxa"/>
          <w:right w:w="15" w:type="dxa"/>
        </w:tblCellMar>
        <w:tblLook w:val="04A0" w:firstRow="1" w:lastRow="0" w:firstColumn="1" w:lastColumn="0" w:noHBand="0" w:noVBand="1"/>
      </w:tblPr>
      <w:tblGrid>
        <w:gridCol w:w="1280"/>
        <w:gridCol w:w="2907"/>
        <w:gridCol w:w="4569"/>
      </w:tblGrid>
      <w:tr w:rsidR="00A320E6" w14:paraId="66F7F79F"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841D1" w14:textId="77777777" w:rsidR="00A320E6" w:rsidRDefault="00000000" w:rsidP="00AE0286">
            <w:pPr>
              <w:jc w:val="left"/>
              <w:textAlignment w:val="center"/>
              <w:rPr>
                <w:rFonts w:ascii="宋体" w:hAnsi="宋体" w:cs="宋体"/>
                <w:b/>
                <w:color w:val="000000"/>
                <w:szCs w:val="21"/>
              </w:rPr>
            </w:pPr>
            <w:r>
              <w:rPr>
                <w:rFonts w:ascii="宋体" w:hAnsi="宋体" w:cs="宋体" w:hint="eastAsia"/>
                <w:b/>
                <w:color w:val="000000"/>
                <w:kern w:val="0"/>
                <w:szCs w:val="21"/>
                <w:lang w:bidi="ar"/>
              </w:rPr>
              <w:t xml:space="preserve">国家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1E39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相关投资主管部门 </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4EA9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法规和文件</w:t>
            </w:r>
          </w:p>
        </w:tc>
      </w:tr>
      <w:tr w:rsidR="00A320E6" w14:paraId="4EC79AAE"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3700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美国</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D40D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商务部、外国投资委员会 （CFIUS）</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C52F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《哈特斯科特罗迪诺反垄断改进法》（1976 年）、《综合贸易与竞争法案》（1988 年）、《外国投资与国家安全法案》（2007 年）、《外国投资风险审查现代化法案》（2018 年）</w:t>
            </w:r>
          </w:p>
        </w:tc>
      </w:tr>
      <w:tr w:rsidR="00A320E6" w14:paraId="3CEF276D"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5F3F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加拿大</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CC35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全球事务部、创新科学与经济发展部、遗产部、投资署</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DAE9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《加拿大投资法》（1985 年）、《加拿大商标和反不正当竞争法》（1985 年）、《关于投资的国家安全审查条例》（2000 年）</w:t>
            </w:r>
          </w:p>
        </w:tc>
      </w:tr>
      <w:tr w:rsidR="00A320E6" w14:paraId="0055F206"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85B4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英国</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1EAF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国际贸易部贸易投资总司、竞争与市场管理局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ECB9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《企业法》（2002 年）及相关修正案、《收购守则》（2002 年）、《国家安全与投资白皮书》(2018 年）</w:t>
            </w:r>
          </w:p>
        </w:tc>
      </w:tr>
      <w:tr w:rsidR="00A320E6" w14:paraId="231F5DCA"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2753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德国</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6CEA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联邦经济与技术部、联邦经济和能源部</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32D5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《对外经济法》（1961 年）及相关修正案、《对外经济条例》（2020 年）</w:t>
            </w:r>
          </w:p>
        </w:tc>
      </w:tr>
      <w:tr w:rsidR="00A320E6" w14:paraId="5AFCE50B" w14:textId="77777777" w:rsidTr="0058001D">
        <w:trPr>
          <w:trHeight w:val="27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DD98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法国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F3DB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商务投资署</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FE40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《66-1008 号法令》（1966 年）、《96-117 号法令》（1996 年）、《2000-1223 号法令》（2000 年）</w:t>
            </w:r>
          </w:p>
        </w:tc>
      </w:tr>
      <w:tr w:rsidR="00A320E6" w14:paraId="116E4387"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BCFC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俄罗斯</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FE0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联邦政府外国投资者监管委员会、联邦反垄断署</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337B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《俄罗斯联邦外国投资法》（2011 年）、《战略领域外国投资法》（2008 年）、《俄罗斯联邦反垄断法》（1990 年）</w:t>
            </w:r>
          </w:p>
        </w:tc>
      </w:tr>
      <w:tr w:rsidR="00A320E6" w14:paraId="0C21B25B"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13AC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意大利</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9C37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经济发展部、投资发展署、竞争和市场局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D2CF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《竞争和公平交易法》（2013 年）、《意大利目的地法令》（2014 年）</w:t>
            </w:r>
          </w:p>
        </w:tc>
      </w:tr>
      <w:tr w:rsidR="00A320E6" w14:paraId="361F030D" w14:textId="77777777" w:rsidTr="0058001D">
        <w:trPr>
          <w:trHeight w:val="70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4054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巴西</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A714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经济部下属投资伙伴计划秘书处、出口与投资促进局、外贸委</w:t>
            </w:r>
            <w:r>
              <w:rPr>
                <w:rFonts w:ascii="宋体" w:hAnsi="宋体" w:cs="宋体" w:hint="eastAsia"/>
                <w:color w:val="000000"/>
                <w:kern w:val="0"/>
                <w:szCs w:val="21"/>
                <w:lang w:bidi="ar"/>
              </w:rPr>
              <w:lastRenderedPageBreak/>
              <w:t>员会执行秘书处下属直接投资服务机构</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92C8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lastRenderedPageBreak/>
              <w:t>《外国资本法》（1962 年）及相关修正案、《外资管理法施行细则》（1965 年）、《反垄断法》</w:t>
            </w:r>
            <w:r>
              <w:rPr>
                <w:rFonts w:ascii="宋体" w:hAnsi="宋体" w:cs="宋体" w:hint="eastAsia"/>
                <w:color w:val="000000"/>
                <w:kern w:val="0"/>
                <w:szCs w:val="21"/>
                <w:lang w:bidi="ar"/>
              </w:rPr>
              <w:lastRenderedPageBreak/>
              <w:t>（2011 年）、《促进公私合营法案-投资伙伴计划》（2016 年）</w:t>
            </w:r>
          </w:p>
        </w:tc>
      </w:tr>
      <w:tr w:rsidR="00A320E6" w14:paraId="538A0DCC" w14:textId="77777777" w:rsidTr="0058001D">
        <w:trPr>
          <w:trHeight w:val="94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4DDC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lastRenderedPageBreak/>
              <w:t xml:space="preserve">澳大利亚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D86F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外国投资审查委员会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EAF5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《外国收购与接管法》（1975 年）及相关修正案、《金融产业（持股）法》（1998 年）、《农业领域外国投资政策声明》（2012 年）、《外国收购与接管条例》（2015 年）、《外国收购与接管费用征收法》（2015年）、《外国收购与接管费用征收条例》（2015 年）</w:t>
            </w:r>
          </w:p>
        </w:tc>
      </w:tr>
      <w:tr w:rsidR="00A320E6" w14:paraId="269C2503"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03FD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新西兰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E418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贸发局、海外投资办公室</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4757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《收购法典》（2000 年）、《收购法典批准规则》（2000年）、《海外投资法案》（2005 年）及相关修正案</w:t>
            </w:r>
          </w:p>
        </w:tc>
      </w:tr>
      <w:tr w:rsidR="00A320E6" w14:paraId="747BF4A3"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4AD7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日本</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EC19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大藏省、经济产业省、日本贸易振兴机构、外资审议会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562C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《外汇及外贸管理法》（1980 年）及相关修正案</w:t>
            </w:r>
          </w:p>
        </w:tc>
      </w:tr>
      <w:tr w:rsidR="00A320E6" w14:paraId="12FE02BE"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50AD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韩国</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D130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产业通商资源部、大韩贸易投资振兴公社、外国人投资事务委员会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B26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《外国人投资促进法》（2007 年）及其施行令、《外国人投资综合公告》（2020 年）</w:t>
            </w:r>
          </w:p>
        </w:tc>
      </w:tr>
      <w:tr w:rsidR="00A320E6" w14:paraId="52CBEF1B"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BDBC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新加坡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B80A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经济发展局 </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3E10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《合同法》（1965 年）及相关修正案、《公司法》（1994年）及其附属法规</w:t>
            </w:r>
          </w:p>
        </w:tc>
      </w:tr>
      <w:tr w:rsidR="00A320E6" w14:paraId="0543EBE6"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C66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印度</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9722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商工部下属工业和内贸促进局、投资署、中央银行、财政部、竞争委员会、内阁经济委员会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E313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《竞争法》（2002 年）及相关修正案、《印度竞争法委员会（关于合并的交易步骤）实施细则》（2019 年）</w:t>
            </w:r>
          </w:p>
        </w:tc>
      </w:tr>
      <w:tr w:rsidR="00A320E6" w14:paraId="712B5CAF"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D77E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越南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D85E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计划投资部 </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5BB9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《投资法》（2020 年）</w:t>
            </w:r>
          </w:p>
        </w:tc>
      </w:tr>
      <w:tr w:rsidR="00A320E6" w14:paraId="3989EA90"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F9FE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柬埔寨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75F2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发展理事会、内阁办公厅</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93D8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《投资法》（1994 年）及相关修正案、《投资法修正法实施细则》（2005 年）、《矿产勘探和工业开采执照管理条例》（2016 年）</w:t>
            </w:r>
          </w:p>
        </w:tc>
      </w:tr>
      <w:tr w:rsidR="00A320E6" w14:paraId="4F014FD3" w14:textId="77777777" w:rsidTr="0058001D">
        <w:trPr>
          <w:trHeight w:val="94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868A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印度尼西亚</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3E6C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投资协调委员会、财政部、能矿部</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099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《投资法》（2007 年）、《关于有条件的封闭式和开放式投资行业的标准与条件的第 76 号总统决定》（2007年）、《关于有条件的封闭式和开放式行业名单的第77 号总统决定》（2007 年）、《矿产和煤炭法》（2009年）、《禁止类、限制类投资产业目录》（2016 年）</w:t>
            </w:r>
          </w:p>
        </w:tc>
      </w:tr>
      <w:tr w:rsidR="00A320E6" w14:paraId="2C1A717C" w14:textId="77777777" w:rsidTr="0058001D">
        <w:trPr>
          <w:trHeight w:val="94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0426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巴基斯坦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0EAE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投资委员会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F4B5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《外汇管制法》（1947 年）、《外国私人投资（促进与保护）法案》（1976 年）、《经济改革促进和保护法案》（1992 年）、《投资委员会法令》（2001 年）、《竞争（并购控制）条例》（2007 年）、《竞争法》（2010 年）、《公司法案》（2017 年）</w:t>
            </w:r>
          </w:p>
        </w:tc>
      </w:tr>
      <w:tr w:rsidR="00A320E6" w14:paraId="5B8D210F"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7CA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沙特阿拉伯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A43D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最高经济委员会、商业投资 部、货币局、资本市场局、</w:t>
            </w:r>
            <w:r>
              <w:rPr>
                <w:rFonts w:ascii="宋体" w:hAnsi="宋体" w:cs="宋体" w:hint="eastAsia"/>
                <w:color w:val="000000"/>
                <w:kern w:val="0"/>
                <w:szCs w:val="21"/>
                <w:lang w:bidi="ar"/>
              </w:rPr>
              <w:br/>
              <w:t>竞争监管局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98C0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《并购规则》（2007 年）、《公司法》（2016 年）、《竞争与政府采购法》（2019 年）</w:t>
            </w:r>
          </w:p>
        </w:tc>
      </w:tr>
      <w:tr w:rsidR="00A320E6" w14:paraId="5D6AC5A9" w14:textId="77777777" w:rsidTr="0058001D">
        <w:trPr>
          <w:trHeight w:val="70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A31D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 xml:space="preserve">土耳其 </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7B6F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贸易部</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2E6B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《外国直接投资法》（第 4875 号）、《鼓励投资和就业法》（第 5084 号）、《新土耳其商法典》（第 6102号）、《土耳其商法典的效力与实施法》</w:t>
            </w:r>
            <w:r>
              <w:rPr>
                <w:rFonts w:ascii="宋体" w:hAnsi="宋体" w:cs="宋体" w:hint="eastAsia"/>
                <w:color w:val="000000"/>
                <w:kern w:val="0"/>
                <w:szCs w:val="21"/>
                <w:lang w:bidi="ar"/>
              </w:rPr>
              <w:lastRenderedPageBreak/>
              <w:t>（第 6103 号）</w:t>
            </w:r>
          </w:p>
        </w:tc>
      </w:tr>
      <w:tr w:rsidR="00A320E6" w14:paraId="411D6B2E" w14:textId="77777777" w:rsidTr="0058001D">
        <w:trPr>
          <w:trHeight w:val="70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DDEE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lastRenderedPageBreak/>
              <w:t>哈萨克斯坦</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D1D1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阿斯塔纳国际金融中心管理局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18E5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《投资法》（2003 年）、《矿产法》（2005 年）、《反垄断法》（2008 年）、《哈萨克斯坦地下资源及地下资源利用法》（2010 年）、《企业经营法典》（2015年）</w:t>
            </w:r>
          </w:p>
        </w:tc>
      </w:tr>
      <w:tr w:rsidR="00A320E6" w14:paraId="4017CECD"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58E9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蒙古</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B15C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外国投资局、公平竞争与消费者权益保护局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E9F7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《竞争法》（2010 年）、《投资法》（2013 年）</w:t>
            </w:r>
          </w:p>
        </w:tc>
      </w:tr>
      <w:tr w:rsidR="00A320E6" w14:paraId="5A6B4417" w14:textId="77777777" w:rsidTr="0058001D">
        <w:trPr>
          <w:trHeight w:val="28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680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以色列</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4174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经济部、投资促进中心、外商投资咨询委员会、反垄断局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CDC4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《贸易实践限制法》（1988 年）、《公司条令》（2000年）</w:t>
            </w:r>
          </w:p>
        </w:tc>
      </w:tr>
      <w:tr w:rsidR="00A320E6" w14:paraId="6C98DE7E" w14:textId="77777777" w:rsidTr="0058001D">
        <w:trPr>
          <w:trHeight w:val="705"/>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01E7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肯尼亚</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D9B9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贸易部下属投资促进局、国家投资委员会、竞争管理局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6B9F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《外国投资保护法》（1964 年）及相关修正案、《投资促进法》（2005 年）、《竞争法》（2010 年）、《矿业法》（2016 年）、《矿业（国家参与）条例》（2017年）</w:t>
            </w:r>
          </w:p>
        </w:tc>
      </w:tr>
      <w:tr w:rsidR="00A320E6" w14:paraId="1AA2EE7C" w14:textId="77777777" w:rsidTr="0058001D">
        <w:trPr>
          <w:trHeight w:val="48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C769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南非</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E719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贸易工业和竞争部、省级投资促进局</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7CB6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《竞争法》（1998 年）及相关修正案、《投资促进与保护法案》（2013 年）</w:t>
            </w:r>
          </w:p>
        </w:tc>
      </w:tr>
      <w:tr w:rsidR="00A320E6" w14:paraId="68E21384" w14:textId="77777777" w:rsidTr="0058001D">
        <w:trPr>
          <w:trHeight w:val="1170"/>
        </w:trPr>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3CA2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埃及</w:t>
            </w:r>
          </w:p>
        </w:tc>
        <w:tc>
          <w:tcPr>
            <w:tcW w:w="1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E784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投资最高委员会、投资与自由区管理总局、工业发展局、苏伊士运河经济区管理局、保护竞争和防止垄断行为局、东南非共同市场竞争委员会</w:t>
            </w:r>
          </w:p>
        </w:tc>
        <w:tc>
          <w:tcPr>
            <w:tcW w:w="2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A2F3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《公司法》（1981 年）及实施细则和相关修正案、《资本市场法》（1995 年）及实施细则、《经济特区法》（2002 年）及实施细则和相关修正案、《保护竞争和防止垄断行为法》（2005 年）、《投资法》（2017 年）、《工业许可法》（2017 年）、《苏伊士运河特别经济区法律框架》（2016 年）</w:t>
            </w:r>
          </w:p>
        </w:tc>
      </w:tr>
    </w:tbl>
    <w:p w14:paraId="4413942E" w14:textId="77777777" w:rsidR="00A320E6" w:rsidRDefault="00A320E6" w:rsidP="00AE0286">
      <w:pPr>
        <w:spacing w:line="360" w:lineRule="auto"/>
        <w:ind w:firstLineChars="200" w:firstLine="480"/>
        <w:rPr>
          <w:rFonts w:ascii="宋体" w:hAnsi="宋体" w:cs="宋体"/>
          <w:sz w:val="24"/>
          <w:szCs w:val="24"/>
        </w:rPr>
      </w:pPr>
    </w:p>
    <w:p w14:paraId="3E2891C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附3</w:t>
      </w:r>
    </w:p>
    <w:p w14:paraId="356CB2A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境外并购资产评估资料相关查询网站</w:t>
      </w:r>
    </w:p>
    <w:p w14:paraId="260E1E6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政府部门商务部“走出去”公共服务网络平台http://fec.mofcom.gov.cn/</w:t>
      </w:r>
    </w:p>
    <w:p w14:paraId="06B0898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政府部门商务部对外投资合作国别（地区）指南网站</w:t>
      </w:r>
    </w:p>
    <w:p w14:paraId="3D9866B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http://fec.mofcom.gov.cn/article/gbdqzn/</w:t>
      </w:r>
    </w:p>
    <w:p w14:paraId="1AA96B8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政府部门国家统计局网站提供的各国家及地区的统计经济部门网站链接</w:t>
      </w:r>
    </w:p>
    <w:p w14:paraId="708FB75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http://www.stats.gov.cn/tjgz/wzlj/gwtjw/</w:t>
      </w:r>
    </w:p>
    <w:p w14:paraId="547A855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政府部门美国政府门户网站https://www.usa.gov/</w:t>
      </w:r>
    </w:p>
    <w:p w14:paraId="7B5B102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政府部门加拿大政府门户网站https://www.canada.ca/</w:t>
      </w:r>
    </w:p>
    <w:p w14:paraId="6F86CFE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政府部门英国政府门户网站https://www.gov.uk/</w:t>
      </w:r>
    </w:p>
    <w:p w14:paraId="21E2ABF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政府部门德国政府门户网站https://www.bundesregierung.de/</w:t>
      </w:r>
    </w:p>
    <w:p w14:paraId="0FEBA42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政府部门法国政府门户网站https://www.service-public.fr/</w:t>
      </w:r>
    </w:p>
    <w:p w14:paraId="5E0557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政府部门俄罗斯政府门户网站http://www.gov.ru/</w:t>
      </w:r>
    </w:p>
    <w:p w14:paraId="0DF38E8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政府部门意大利政府门户网站http://www.governo.it/</w:t>
      </w:r>
    </w:p>
    <w:p w14:paraId="53AF8B3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政府部门巴西政府门户网站http://www.brazil.gov.br/</w:t>
      </w:r>
    </w:p>
    <w:p w14:paraId="107B887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政府部门澳大利亚政府门户网站http://www.gov.au/</w:t>
      </w:r>
    </w:p>
    <w:p w14:paraId="6E2F9A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政府部门新西兰政府门户网站http://www.govt.nz/</w:t>
      </w:r>
    </w:p>
    <w:p w14:paraId="33499C3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政府部门日本政府门户网站https://www.japan.go.jp/</w:t>
      </w:r>
    </w:p>
    <w:p w14:paraId="29FBE23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政府部门韩国政府门户网站http://www.service.go.kr/</w:t>
      </w:r>
    </w:p>
    <w:p w14:paraId="3F2172A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政府部门新加坡政府门户网站https://www.gov.sg/</w:t>
      </w:r>
    </w:p>
    <w:p w14:paraId="013940E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政府部门印度政府门户网站https://www.india.gov.in/</w:t>
      </w:r>
    </w:p>
    <w:p w14:paraId="0C7A85A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政府部门越南政府门户网站https://baochinhphu.vn/</w:t>
      </w:r>
    </w:p>
    <w:p w14:paraId="53670F7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政府部门柬埔寨政府门户网站https://www.mfaic.gov.kh/</w:t>
      </w:r>
    </w:p>
    <w:p w14:paraId="33C8665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政府部门印度尼西亚政府门户网站https://www.indonesia.go.id/</w:t>
      </w:r>
    </w:p>
    <w:p w14:paraId="2A0AD23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政府部门巴基斯坦政府门户网站https://pakistan.gov.pk/</w:t>
      </w:r>
    </w:p>
    <w:p w14:paraId="7C2ECA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政府部门沙特阿拉伯政府门户网站https://www.saudi.gov.sa/</w:t>
      </w:r>
    </w:p>
    <w:p w14:paraId="2A08CCF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政府部门土耳其政府门户网站https://www.tccb.gov.tr/</w:t>
      </w:r>
    </w:p>
    <w:p w14:paraId="2EAC5E4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政府部门哈萨克斯坦政府门户网站http://www.goverment.kz/</w:t>
      </w:r>
    </w:p>
    <w:p w14:paraId="25A979E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政府部门蒙古政府门户网站https://zasag.mn/</w:t>
      </w:r>
    </w:p>
    <w:p w14:paraId="71B637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政府部门以色列政府门户网站https://www.gov.il/</w:t>
      </w:r>
    </w:p>
    <w:p w14:paraId="767E3BF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政府部门肯尼亚政府门户网站https://www.mygov.go.ke/</w:t>
      </w:r>
    </w:p>
    <w:p w14:paraId="63CF7CD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政府部门南非政府门户网站https://www.gov.za/</w:t>
      </w:r>
    </w:p>
    <w:p w14:paraId="29F47B8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政府部门埃及政府门户网站https://www.egypt.gov.eg/</w:t>
      </w:r>
    </w:p>
    <w:p w14:paraId="2332B6F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国际组织联合国门户网站https://www.un.org/</w:t>
      </w:r>
    </w:p>
    <w:p w14:paraId="6BA1F6E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国际组织联合国经济及社会理事会http://www.un.org/zh/ecosoc/</w:t>
      </w:r>
    </w:p>
    <w:p w14:paraId="3F8AA9B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国际组织联合国贸易和发展会议https://unctad.org/</w:t>
      </w:r>
    </w:p>
    <w:p w14:paraId="459E37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国际组织世界贸易组织http://www.wto.org/</w:t>
      </w:r>
    </w:p>
    <w:p w14:paraId="61BBC8E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国际组织国际货币基金组织https://www.imf.org/</w:t>
      </w:r>
    </w:p>
    <w:p w14:paraId="7C1646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国际组织经济合作与发展组织http://www.oecdchina.org/</w:t>
      </w:r>
    </w:p>
    <w:p w14:paraId="7D88DEF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国际组织欧洲联盟门户网站http://europa.eu/</w:t>
      </w:r>
    </w:p>
    <w:p w14:paraId="06DEAFE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国际组织欧洲联盟统计数据库https://ec.europa.eu/eurostat/</w:t>
      </w:r>
    </w:p>
    <w:p w14:paraId="280FFD3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国际组织东南亚国家联盟门户网站https://asean.org/</w:t>
      </w:r>
    </w:p>
    <w:p w14:paraId="087263A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国际组织阿拉伯国家联盟门户网站http://www.arableagueonline.org/</w:t>
      </w:r>
    </w:p>
    <w:p w14:paraId="2765BF6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国际组织非洲联盟门户网站https://au.int/</w:t>
      </w:r>
    </w:p>
    <w:p w14:paraId="056BD18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国际组织美洲国家组织门户网站http://www.oas.org/</w:t>
      </w:r>
    </w:p>
    <w:p w14:paraId="14528B2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国际组织世界银行http://www.worldbank.org.cn/</w:t>
      </w:r>
    </w:p>
    <w:p w14:paraId="3DB11FD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国际组织亚洲开发银行http://www.adb.org/zh/main</w:t>
      </w:r>
    </w:p>
    <w:p w14:paraId="4F1FA9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国际组织亚洲基础设施投资银行https://www.aiib.org/</w:t>
      </w:r>
    </w:p>
    <w:p w14:paraId="0CA3C87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国际组织非洲开发银行http://www.afdb.org/</w:t>
      </w:r>
    </w:p>
    <w:p w14:paraId="024F023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国际组织国际清算银行http://www.bis.org/</w:t>
      </w:r>
    </w:p>
    <w:p w14:paraId="2C1477D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国际组织欧洲中央银行http://www.ecb.europa.eu/</w:t>
      </w:r>
    </w:p>
    <w:p w14:paraId="2845F2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金融机构美国联邦储备系统https://www.federalreserve.gov/</w:t>
      </w:r>
    </w:p>
    <w:p w14:paraId="1E6CA51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金融机构英格兰银行http://www.bankofengland.co.uk/</w:t>
      </w:r>
    </w:p>
    <w:p w14:paraId="4905997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金融机构德意志银行https://www.db.com/</w:t>
      </w:r>
    </w:p>
    <w:p w14:paraId="76DDB36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金融机构法兰西银行http://www.banque-france.fr/</w:t>
      </w:r>
    </w:p>
    <w:p w14:paraId="3238B80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金融机构瑞银集团http://www.ubs.com/</w:t>
      </w:r>
    </w:p>
    <w:p w14:paraId="44F8F28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金融机构日本银行https://www.boj.or.jp/</w:t>
      </w:r>
    </w:p>
    <w:p w14:paraId="1D7D2D4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金融机构澳新银行http://www.anz.com/</w:t>
      </w:r>
    </w:p>
    <w:p w14:paraId="663E45B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投资机构高盛https://www.goldmansachs.com/</w:t>
      </w:r>
    </w:p>
    <w:p w14:paraId="7E0590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投资机构摩根士丹利http://www.morganstanley.com/</w:t>
      </w:r>
    </w:p>
    <w:p w14:paraId="368AB38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投资机构摩根大通https://www.jpmorganchase.com/</w:t>
      </w:r>
    </w:p>
    <w:p w14:paraId="021614B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投资机构美林证券https://www.ml.com/</w:t>
      </w:r>
    </w:p>
    <w:p w14:paraId="24248B3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交易市场纽约证券交易所https://www.nyse.com/</w:t>
      </w:r>
    </w:p>
    <w:p w14:paraId="28FC95D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交易市场纳斯达克https://www.nasdaq.com/</w:t>
      </w:r>
    </w:p>
    <w:p w14:paraId="7D0C5A8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交易市场伦敦证券交易所https://www.londonstockexchange.com/</w:t>
      </w:r>
    </w:p>
    <w:p w14:paraId="5DFAB51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交易市场法兰克福证券交易所https://www.boerse-frankfurt.de/</w:t>
      </w:r>
    </w:p>
    <w:p w14:paraId="7601A2C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交易市场东京证券交易所https://www.jpx.co.jp/</w:t>
      </w:r>
    </w:p>
    <w:p w14:paraId="37CF407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交易市场中国国际船舶交易网https://www.eshiptrading.com.cn/</w:t>
      </w:r>
    </w:p>
    <w:p w14:paraId="24E9768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交易市场全球船舶估值网https://www.vesselsvalue.com/</w:t>
      </w:r>
    </w:p>
    <w:p w14:paraId="2B756D6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交易市场Aircraft24飞机交易网https://www.aircraft24.com/</w:t>
      </w:r>
    </w:p>
    <w:p w14:paraId="52F2665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交易市场Controller飞机交易网https://www.controller.com/</w:t>
      </w:r>
    </w:p>
    <w:p w14:paraId="384C65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交易市场Whatcar英国汽车市场信息网https://www.whatcar.com/</w:t>
      </w:r>
    </w:p>
    <w:p w14:paraId="65E0C58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交易市场Cars美国汽车市场信息网https://www.cars.com/</w:t>
      </w:r>
    </w:p>
    <w:p w14:paraId="7B07078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交易市场AutoTrader美国汽车市场信息网http://www.autotrader.com/</w:t>
      </w:r>
    </w:p>
    <w:p w14:paraId="57B8184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交易市场Mobile德国汽车市场信息网https://www.mobile.de/</w:t>
      </w:r>
    </w:p>
    <w:p w14:paraId="2930ED23" w14:textId="77777777" w:rsidR="0058001D"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交易市场Autoscout24欧洲汽车市场信息网</w:t>
      </w:r>
    </w:p>
    <w:p w14:paraId="4C879CED" w14:textId="755A6DBD"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https://www.autoscout24.com/</w:t>
      </w:r>
    </w:p>
    <w:p w14:paraId="099C211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交易市场Goo-net日本汽车市场信息网http://goo-net.com</w:t>
      </w:r>
    </w:p>
    <w:p w14:paraId="45AE45E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交易市场雅虎汽车市场信息网https://autos.yahoo.com/</w:t>
      </w:r>
    </w:p>
    <w:p w14:paraId="49BC5A8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交易市场Kakaku日本商品价格信息网https://kakaku.com/</w:t>
      </w:r>
    </w:p>
    <w:p w14:paraId="59E9BBF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交易市场Zillow美国不动产信息网https://www.zillow.com/</w:t>
      </w:r>
    </w:p>
    <w:p w14:paraId="76DBF0A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交易市场Trulia美国不动产信息网https://www.trulia.com/</w:t>
      </w:r>
    </w:p>
    <w:p w14:paraId="6EAC2A4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交易市场日本房地产导航网https://www.misawa-mrd.com/</w:t>
      </w:r>
    </w:p>
    <w:p w14:paraId="5DDEF07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交易市场Naver韩国不动产信息网https://new.land.naver.com</w:t>
      </w:r>
    </w:p>
    <w:p w14:paraId="4CBCA74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院校学者牛津经济研究数据库https://www.oxfordeconomics.com/</w:t>
      </w:r>
    </w:p>
    <w:p w14:paraId="68EFEE88" w14:textId="77777777" w:rsidR="0058001D"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院校学者美国加州大学经济研究数据库</w:t>
      </w:r>
    </w:p>
    <w:p w14:paraId="7C6A2DA6" w14:textId="55062CC2"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https://escholarship.org/uc/cega</w:t>
      </w:r>
    </w:p>
    <w:p w14:paraId="106637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院校学者沃顿学院经济研究数据库：</w:t>
      </w:r>
    </w:p>
    <w:p w14:paraId="3C79C4D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https://bepp.wharton.upenn.edu/research/research-listing/</w:t>
      </w:r>
    </w:p>
    <w:p w14:paraId="2680743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院校学者哈佛商学院宏观经济学资源网</w:t>
      </w:r>
    </w:p>
    <w:p w14:paraId="28F7709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https://www.hbs.edu./units/bgie/internet/</w:t>
      </w:r>
    </w:p>
    <w:p w14:paraId="37A65DE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院校学者达摩达兰研究数据库http://pages.stern.nyu.edu/~adamodar/</w:t>
      </w:r>
    </w:p>
    <w:p w14:paraId="046DC1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专业机构全球经济指标数据库</w:t>
      </w:r>
    </w:p>
    <w:p w14:paraId="01B0057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http://www.principalglobalindicators.org/</w:t>
      </w:r>
    </w:p>
    <w:p w14:paraId="58CDE6E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专业机构全球统计信息数据库http://data.un.org/</w:t>
      </w:r>
    </w:p>
    <w:p w14:paraId="6E208C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专业机构全球商业经济数据库https://www.statista.com/</w:t>
      </w:r>
    </w:p>
    <w:p w14:paraId="71BD037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专业机构美国经济杂志https://www.aeaweb.org/journals/mac</w:t>
      </w:r>
    </w:p>
    <w:p w14:paraId="7B3BE5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专业机构英为财情信息网https://cn.investing.com/</w:t>
      </w:r>
    </w:p>
    <w:p w14:paraId="43EB81A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专业机构彭博资讯信息网http://www.bloomberg.com/</w:t>
      </w:r>
    </w:p>
    <w:p w14:paraId="3CDA971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专业机构财经聚焦信息网https://www.focus-economics.com/</w:t>
      </w:r>
    </w:p>
    <w:p w14:paraId="28E37E5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专业机构S&amp;P核心金融数据库https://www.capitaliq.com/</w:t>
      </w:r>
    </w:p>
    <w:p w14:paraId="3A72846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专业机构并购市场资讯有限公司(Mergermarket)并购交易数据库</w:t>
      </w:r>
    </w:p>
    <w:p w14:paraId="564F4BF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https://www.mergermarket.com/</w:t>
      </w:r>
    </w:p>
    <w:p w14:paraId="3B226B6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专业机构全球新兴市场商业资讯数据库https://www.emis.com/</w:t>
      </w:r>
    </w:p>
    <w:p w14:paraId="327ED6A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专业机构道琼斯全球性新闻及商业数据库https://www.factiva.com/</w:t>
      </w:r>
    </w:p>
    <w:p w14:paraId="46FDEA7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专业机构邓白氏全球商业资料库https://www.dnbchina.com/</w:t>
      </w:r>
    </w:p>
    <w:p w14:paraId="16196FC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专业机构Ideas经济文献数据库https://ideas.repec.org/</w:t>
      </w:r>
    </w:p>
    <w:p w14:paraId="68E1681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专业机构IBIS全球行业市场研究报告https://www.ibisworld.com/</w:t>
      </w:r>
    </w:p>
    <w:p w14:paraId="2A6291B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专业机构普华永道研究报告https://www.pwc.com/</w:t>
      </w:r>
    </w:p>
    <w:p w14:paraId="227E14F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专业机构德勤研究报告https://www2.deloitte.com/</w:t>
      </w:r>
    </w:p>
    <w:p w14:paraId="59F82E7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专业机构安永研究报告https://www.ey.com/</w:t>
      </w:r>
    </w:p>
    <w:p w14:paraId="211C3F9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专业机构毕马威研究报告https://home.kpmg/</w:t>
      </w:r>
    </w:p>
    <w:p w14:paraId="53BF3C1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专业机构惠誉国际研究报告https://www.fitchratings.com/</w:t>
      </w:r>
    </w:p>
    <w:p w14:paraId="6A715B2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专业机构标准普尔研究报告https://www.standardandpoors.com/</w:t>
      </w:r>
    </w:p>
    <w:p w14:paraId="19C3D43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专业机构穆迪研究报告https://www.moodys.com/</w:t>
      </w:r>
    </w:p>
    <w:p w14:paraId="08B1406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专业机构世界知识产权查询系统https://www.wipo.int/</w:t>
      </w:r>
    </w:p>
    <w:p w14:paraId="12FFD9D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专业机构美国知识产权查询系统https://www.uspto.gov/</w:t>
      </w:r>
    </w:p>
    <w:p w14:paraId="7C55496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专业机构欧盟知识产权查询系统</w:t>
      </w:r>
    </w:p>
    <w:p w14:paraId="6EEDB9A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https://euipo.europa.eu/ohimportal/en/</w:t>
      </w:r>
    </w:p>
    <w:p w14:paraId="30F80F3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行业协会国际设施管理协会https://www.ifma.org/</w:t>
      </w:r>
    </w:p>
    <w:p w14:paraId="376C78D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行业协会美国全国期货协会https://www.nfa.futures.org/</w:t>
      </w:r>
    </w:p>
    <w:p w14:paraId="57648AF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行业协会美国土木工程师协会https://ascelibrary.org/</w:t>
      </w:r>
    </w:p>
    <w:p w14:paraId="47354FF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行业协会美国机械工程师协会https://www.asme.org/</w:t>
      </w:r>
    </w:p>
    <w:p w14:paraId="634AD10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行业协会美国谷物协会https://grains.org/</w:t>
      </w:r>
    </w:p>
    <w:p w14:paraId="4842399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行业协会美国船级社https://ww2.eagle.org/</w:t>
      </w:r>
    </w:p>
    <w:p w14:paraId="2FA7F7E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行业协会英国劳氏船级社https://www.lr.org/</w:t>
      </w:r>
    </w:p>
    <w:p w14:paraId="59DD11A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行业协会德国标准化协会https://www.din.de/</w:t>
      </w:r>
    </w:p>
    <w:p w14:paraId="10FC411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行业协会澳大利亚矿业协会https://minerals.org.au/</w:t>
      </w:r>
    </w:p>
    <w:p w14:paraId="3859D30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行业协会澳大利亚国家农民联合会https://nff.org.au/</w:t>
      </w:r>
    </w:p>
    <w:p w14:paraId="69011B1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行业协会新西兰农场林业协会https://www.nzffa.org.nz/</w:t>
      </w:r>
    </w:p>
    <w:p w14:paraId="6A7A1F7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行业协会日本产业协会http://www.nissankyo.or.jp/</w:t>
      </w:r>
    </w:p>
    <w:p w14:paraId="6A171D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行业协会韩国鉴定研究院</w:t>
      </w:r>
    </w:p>
    <w:p w14:paraId="13D5C94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http://www.reb.or.kr/kab/home/main/main.jsp</w:t>
      </w:r>
    </w:p>
    <w:p w14:paraId="0B9833FE" w14:textId="77777777" w:rsidR="00A320E6" w:rsidRDefault="00000000" w:rsidP="00B40F35">
      <w:pPr>
        <w:spacing w:beforeLines="50" w:before="156" w:afterLines="20" w:after="62" w:line="360" w:lineRule="auto"/>
        <w:jc w:val="center"/>
        <w:outlineLvl w:val="2"/>
        <w:rPr>
          <w:rFonts w:ascii="宋体" w:hAnsi="宋体" w:cs="宋体"/>
          <w:b/>
          <w:bCs/>
          <w:sz w:val="24"/>
          <w:szCs w:val="24"/>
        </w:rPr>
      </w:pPr>
      <w:bookmarkStart w:id="9" w:name="_Toc112227349"/>
      <w:r>
        <w:rPr>
          <w:rFonts w:ascii="宋体" w:hAnsi="宋体" w:cs="宋体" w:hint="eastAsia"/>
          <w:b/>
          <w:bCs/>
          <w:color w:val="000000"/>
          <w:kern w:val="0"/>
          <w:sz w:val="24"/>
          <w:szCs w:val="24"/>
          <w:lang w:bidi="ar"/>
        </w:rPr>
        <w:t>资产评估专家指引第14号——科创企业资产评估</w:t>
      </w:r>
      <w:bookmarkEnd w:id="9"/>
    </w:p>
    <w:p w14:paraId="690F406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本专家指引是一种专家建议。资产评估机构执行资产评估业务，可以参照本专家指引。中国资产评估协会将根据业务发展，对本专家指引进行更新。</w:t>
      </w:r>
    </w:p>
    <w:p w14:paraId="0926CB46" w14:textId="192E24B1" w:rsidR="00A320E6" w:rsidRDefault="00000000" w:rsidP="0058001D">
      <w:pPr>
        <w:pStyle w:val="13"/>
        <w:spacing w:before="62" w:after="62"/>
      </w:pPr>
      <w:r>
        <w:rPr>
          <w:rFonts w:hint="eastAsia"/>
          <w:lang w:bidi="ar"/>
        </w:rPr>
        <w:t>第一章</w:t>
      </w:r>
      <w:r w:rsidR="0058001D">
        <w:rPr>
          <w:rFonts w:hint="eastAsia"/>
          <w:lang w:bidi="ar"/>
        </w:rPr>
        <w:t xml:space="preserve"> </w:t>
      </w:r>
      <w:r>
        <w:rPr>
          <w:rFonts w:hint="eastAsia"/>
          <w:lang w:bidi="ar"/>
        </w:rPr>
        <w:t>引言</w:t>
      </w:r>
    </w:p>
    <w:p w14:paraId="3050E8B7" w14:textId="7DC1CCAE"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color w:val="000000"/>
          <w:kern w:val="0"/>
          <w:sz w:val="24"/>
          <w:szCs w:val="24"/>
          <w:lang w:bidi="ar"/>
        </w:rPr>
        <w:t>第一条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为指导资产评估机构及其资产评估专业人员执行科创企业资产评估业务，中国资产评估协会组织制定了本专家指引。</w:t>
      </w:r>
    </w:p>
    <w:p w14:paraId="2AFC755F" w14:textId="60B90A59"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color w:val="000000"/>
          <w:kern w:val="0"/>
          <w:sz w:val="24"/>
          <w:szCs w:val="24"/>
          <w:lang w:bidi="ar"/>
        </w:rPr>
        <w:t>第二条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专家指引所称科创企业，是指研究方向面向世界科技前沿、面向经济主战场、面向国家重大需求、面向人民生命健康，主要服务于国家科技创新战略、突破关键核心技术，科技创新能力突出、科技成果转化能力突出、行业地位突出、市场认可度高的科技创新企业。行业范围主要包括新一代信息技术、生物医药、高端装备、新材料、新能源、节能环保等高新技术产业和战略性新兴产业。</w:t>
      </w:r>
    </w:p>
    <w:p w14:paraId="322F7C87" w14:textId="5C272A49"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color w:val="000000"/>
          <w:kern w:val="0"/>
          <w:sz w:val="24"/>
          <w:szCs w:val="24"/>
          <w:lang w:bidi="ar"/>
        </w:rPr>
        <w:t>第三条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专家指引所称科创企业资产评估，是指资产评估机构及其资产评估专业人员遵守相关法律、行政法规和资产评估准则，根据委托对评估基准日特定目的下的科创企业整体价值、科创企业股东全部权益价值或者部分权益价值，或者科创企业持有现金流量产生单元或者资产组（资产组组合）价值等进行评定和估算，并出具资产评估报告的专业服务行为。</w:t>
      </w:r>
    </w:p>
    <w:p w14:paraId="62C917AA" w14:textId="2804B53F"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color w:val="000000"/>
          <w:kern w:val="0"/>
          <w:sz w:val="24"/>
          <w:szCs w:val="24"/>
          <w:lang w:bidi="ar"/>
        </w:rPr>
        <w:t>第四条</w:t>
      </w:r>
      <w:r>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本专家指引适用于资产评估机接受委托，为科创企业股权融资、股东权益出售、公司股份制改造、预计市值估算、财务报告目的涉及的资产评估业务，以及其他事项提供资产评估服务的情形。</w:t>
      </w:r>
    </w:p>
    <w:p w14:paraId="579DBFAE" w14:textId="0ADFA7E6"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本专家指引也可以作为资产评估机构接受委托，针对</w:t>
      </w:r>
      <w:r w:rsidR="00A45A13" w:rsidRPr="00A45A13">
        <w:rPr>
          <w:rFonts w:ascii="宋体" w:hAnsi="宋体" w:cs="宋体" w:hint="eastAsia"/>
          <w:b/>
          <w:color w:val="000000"/>
          <w:kern w:val="0"/>
          <w:sz w:val="24"/>
          <w:szCs w:val="24"/>
          <w:lang w:bidi="ar"/>
        </w:rPr>
        <w:t>第四条</w:t>
      </w:r>
      <w:r w:rsidR="00A45A13">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所述的经济行为出具咨询类报告等其他形式的专业文件，或者提供其他专业服务的参考。</w:t>
      </w:r>
    </w:p>
    <w:p w14:paraId="59CF57C4" w14:textId="4ADCCA57" w:rsidR="00A320E6" w:rsidRDefault="00000000" w:rsidP="0058001D">
      <w:pPr>
        <w:pStyle w:val="13"/>
        <w:spacing w:before="62" w:after="62"/>
      </w:pPr>
      <w:r>
        <w:rPr>
          <w:rFonts w:hint="eastAsia"/>
          <w:lang w:bidi="ar"/>
        </w:rPr>
        <w:t>第二章</w:t>
      </w:r>
      <w:r w:rsidR="0058001D">
        <w:rPr>
          <w:rFonts w:hint="eastAsia"/>
          <w:lang w:bidi="ar"/>
        </w:rPr>
        <w:t xml:space="preserve"> </w:t>
      </w:r>
      <w:r>
        <w:rPr>
          <w:rFonts w:hint="eastAsia"/>
          <w:lang w:bidi="ar"/>
        </w:rPr>
        <w:t>评估目的、评估对象和价值类型</w:t>
      </w:r>
    </w:p>
    <w:p w14:paraId="0266E714" w14:textId="56BCCA1D"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资产评估机构受理科创企业资产评估业务前，需要与委托人充分沟通资产评估委托事项和资产评估报告使用需求，明确评估业务基本事项，并在业务委托合同中予以反映。</w:t>
      </w:r>
    </w:p>
    <w:p w14:paraId="40BB9AD2" w14:textId="4E15959A"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lastRenderedPageBreak/>
        <w:t>第七条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常见的资产评估委托事项、资产评估报告使用需求及其对应的评估目的和评估对象通常包括：</w:t>
      </w:r>
    </w:p>
    <w:p w14:paraId="782F38BD" w14:textId="77777777" w:rsidR="00A320E6" w:rsidRDefault="00000000" w:rsidP="00AE0286">
      <w:pPr>
        <w:spacing w:line="360" w:lineRule="auto"/>
        <w:ind w:firstLineChars="200" w:firstLine="480"/>
        <w:rPr>
          <w:rFonts w:ascii="宋体" w:hAnsi="宋体" w:cs="宋体"/>
          <w:color w:val="000000"/>
          <w:kern w:val="0"/>
          <w:sz w:val="24"/>
          <w:szCs w:val="24"/>
          <w:lang w:bidi="ar"/>
        </w:rPr>
      </w:pPr>
      <w:r>
        <w:rPr>
          <w:rFonts w:ascii="宋体" w:hAnsi="宋体" w:cs="宋体" w:hint="eastAsia"/>
          <w:color w:val="000000"/>
          <w:kern w:val="0"/>
          <w:sz w:val="24"/>
          <w:szCs w:val="24"/>
          <w:lang w:bidi="ar"/>
        </w:rPr>
        <w:t>（一）非上市类权益融资以及权益出售。</w:t>
      </w:r>
    </w:p>
    <w:p w14:paraId="46A0A25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在非公开市场通过权益增发、权益出售等方式引入投资者，资产评估机构接受委托，提供科创企业权益价值的专业意见，评估对象通常为科创企业股东全部权益价值或者股东部分权益价值。股东权益通常为优先股、普通股或者受限股等。</w:t>
      </w:r>
    </w:p>
    <w:p w14:paraId="1B8000C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（二）公司股份制改造。</w:t>
      </w:r>
    </w:p>
    <w:p w14:paraId="18AA95B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进行股份制改造，整体变更为股份有限公司，资产评估机构接受委托，以科创企业评估基准日资产负债表为基础，评估科创企业表内以及可识别的表外各项资产、负债价值，评估对象通常为企业股东全部权益价值。</w:t>
      </w:r>
    </w:p>
    <w:p w14:paraId="633EECB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（三）预计市值估算。</w:t>
      </w:r>
    </w:p>
    <w:p w14:paraId="000B204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在科创板上市时需要估算预计市值，资产评估机构可以接受委托，提供科创企业预计市值的专业意见。评估对象通常为科创企业股票公开发行后按照总股本乘以发行价格计算出来的发行人股票名义总价值。</w:t>
      </w:r>
    </w:p>
    <w:p w14:paraId="45E17B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（四）财务报告需求。</w:t>
      </w:r>
    </w:p>
    <w:p w14:paraId="7650F92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结合企业会计准则相关规定，常见的科创企业财务报告相关资产评估需求包括：企业持有的科创企业权益，按照《企业会计准则第22号——金融工具确认和计量》，被分类为以公允价值计量且其变动计入当期损益的金融资产，或者被指定为以公允价值计量且其变动计入其他综合收益的金融资产，需要在资产负债表日进行公允价值估算和计量。资产评估机构接受委托，提供公允价值专业意见，评估对象通常为科创企业股东部分权益价值。</w:t>
      </w:r>
    </w:p>
    <w:p w14:paraId="1B723118" w14:textId="77777777" w:rsidR="00A320E6" w:rsidRDefault="00000000" w:rsidP="00AE0286">
      <w:pPr>
        <w:spacing w:line="360" w:lineRule="auto"/>
        <w:ind w:firstLineChars="200" w:firstLine="480"/>
        <w:rPr>
          <w:rFonts w:ascii="宋体" w:hAnsi="宋体" w:cs="宋体"/>
          <w:color w:val="000000"/>
          <w:kern w:val="0"/>
          <w:sz w:val="24"/>
          <w:szCs w:val="24"/>
          <w:lang w:bidi="ar"/>
        </w:rPr>
      </w:pPr>
      <w:r>
        <w:rPr>
          <w:rFonts w:ascii="宋体" w:hAnsi="宋体" w:cs="宋体" w:hint="eastAsia"/>
          <w:color w:val="000000"/>
          <w:kern w:val="0"/>
          <w:sz w:val="24"/>
          <w:szCs w:val="24"/>
          <w:lang w:bidi="ar"/>
        </w:rPr>
        <w:t>企业通过非同一控制下并购取得的科创企业资产、负债或者权益，按照《企业会计准则第20号——企业合并》相关要求需要对被购买方各项可辨认资产、负债以及或有负债的公允价值进行估算。资产评估机构接受委托，提供与被购买方在并购中可辨认资产、负债以及或有负债公允价值的专业意见，评估对象通常为科创企业持有的可辨认资产、负债以及或有负债。</w:t>
      </w:r>
    </w:p>
    <w:p w14:paraId="06D231ED" w14:textId="77777777" w:rsidR="00A320E6" w:rsidRDefault="00000000" w:rsidP="00AE0286">
      <w:pPr>
        <w:spacing w:line="360" w:lineRule="auto"/>
        <w:ind w:firstLineChars="200" w:firstLine="480"/>
        <w:rPr>
          <w:rFonts w:ascii="宋体" w:hAnsi="宋体" w:cs="宋体"/>
          <w:color w:val="000000"/>
          <w:kern w:val="0"/>
          <w:sz w:val="24"/>
          <w:szCs w:val="24"/>
          <w:lang w:bidi="ar"/>
        </w:rPr>
      </w:pPr>
      <w:r>
        <w:rPr>
          <w:rFonts w:ascii="宋体" w:hAnsi="宋体" w:cs="宋体" w:hint="eastAsia"/>
          <w:color w:val="000000"/>
          <w:kern w:val="0"/>
          <w:sz w:val="24"/>
          <w:szCs w:val="24"/>
          <w:lang w:bidi="ar"/>
        </w:rPr>
        <w:t>企业通过并购取得的科创企业股权按照《企业会计准则第2号——长期股权投资》被确认为长期股权投资的，以及企业通过并购取得科创企业股权并按照《企业</w:t>
      </w:r>
      <w:r>
        <w:rPr>
          <w:rFonts w:ascii="宋体" w:hAnsi="宋体" w:cs="宋体" w:hint="eastAsia"/>
          <w:color w:val="000000"/>
          <w:kern w:val="0"/>
          <w:sz w:val="24"/>
          <w:szCs w:val="24"/>
          <w:lang w:bidi="ar"/>
        </w:rPr>
        <w:lastRenderedPageBreak/>
        <w:t>会计准则第20号——企业合并》确认了合并报表商誉的，应当按照《企业会计准则第8号——资产减值》要求，在存在减值迹象时对长期股权投资进行减值测试，至少每年对商誉进行减值测试。资产评估机构接受委托，提供与资产减值测试相关的可收回金额的专业意见，评估对象通常为被投资的科创企业或者被购买的持有的现金流量产生单元或者资产组或者资产组组合价值。</w:t>
      </w:r>
    </w:p>
    <w:p w14:paraId="48D1FA2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通过对管理层或者核心员工进行股权激励，按照《企业会计准则第11号——股份支付》，属于以权益结算的股份支付的，需要确定授予日相应权益工具的公允价值；属于以现金结算的股份支付的，需要确定授予日以及在等待期内的每个资产负债表日承担的以权益工具为基础的负债的公允价值。资产评估机构接受委托，提供与股份支付相关的权益工具公允价值的专业意见，评估对象通常为科创企业股东全部权益价值或者股东部分权益价值等。</w:t>
      </w:r>
    </w:p>
    <w:p w14:paraId="3A76BF0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（五）其他委托事项或者需求。</w:t>
      </w:r>
    </w:p>
    <w:p w14:paraId="788C2C7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科创企业股东以其持有的科创企业股权进行质押融资、抵债，以及科创企业债转股等其他评估需求，评估对象通常为科创企业的股东全部权益价值或者股东部分权益价值。</w:t>
      </w:r>
    </w:p>
    <w:p w14:paraId="34939E4A" w14:textId="1CCE636E"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资产评估专业人员应当结合资产评估委托事项或者资产评估报告使用需求对应的评估目的和评估对象，确定相应的价值类型。常见的价值类型包括市场价值和市场价值以外的其他价值类型。</w:t>
      </w:r>
    </w:p>
    <w:p w14:paraId="1E2C3F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科创企业资产评估适用的市场价值以外的其他价值类型通常包括投资价值、在用价值、清算价值、残余价值、公允价值、可收回金额等。</w:t>
      </w:r>
    </w:p>
    <w:p w14:paraId="228CB0F9" w14:textId="465E3D75"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本专家指引针对科创企业涉及非上市类股东权益融资、股东权益出售、公司股份制改造、预计市值估算、财务报告等评估目的，并且评估对象为股东权益价值的情形进行具体阐述。</w:t>
      </w:r>
    </w:p>
    <w:p w14:paraId="0A6DFF0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对于其他评估目的，或者评估对象不是股东权益的情形，也可以结合具体情况，在适用的前提下参考本专家指引开展资产评估。</w:t>
      </w:r>
    </w:p>
    <w:p w14:paraId="38DD565B" w14:textId="134B3664" w:rsidR="00A320E6" w:rsidRDefault="00000000" w:rsidP="0058001D">
      <w:pPr>
        <w:pStyle w:val="13"/>
        <w:spacing w:before="62" w:after="62"/>
      </w:pPr>
      <w:r>
        <w:rPr>
          <w:rFonts w:hint="eastAsia"/>
          <w:lang w:bidi="ar"/>
        </w:rPr>
        <w:t>第三章</w:t>
      </w:r>
      <w:r w:rsidR="0058001D">
        <w:rPr>
          <w:rFonts w:hint="eastAsia"/>
          <w:lang w:bidi="ar"/>
        </w:rPr>
        <w:t xml:space="preserve"> </w:t>
      </w:r>
      <w:r>
        <w:rPr>
          <w:rFonts w:hint="eastAsia"/>
          <w:lang w:bidi="ar"/>
        </w:rPr>
        <w:t>评估方法和关注要点</w:t>
      </w:r>
    </w:p>
    <w:p w14:paraId="1E46BE59" w14:textId="5A39029E"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科创企业资产评估的方法通常包括市场法、收益法、成本法（资产基础法）三种基本方法及其衍生方法。</w:t>
      </w:r>
    </w:p>
    <w:p w14:paraId="1B011548" w14:textId="7CC475D3" w:rsidR="00A320E6" w:rsidRDefault="00977BD5" w:rsidP="00AE0286">
      <w:pPr>
        <w:spacing w:line="360" w:lineRule="auto"/>
        <w:ind w:firstLineChars="200" w:firstLine="482"/>
        <w:rPr>
          <w:rFonts w:ascii="宋体" w:hAnsi="宋体" w:cs="宋体"/>
          <w:color w:val="000000"/>
          <w:kern w:val="0"/>
          <w:sz w:val="24"/>
          <w:szCs w:val="24"/>
          <w:lang w:bidi="ar"/>
        </w:rPr>
      </w:pPr>
      <w:r w:rsidRPr="00977BD5">
        <w:rPr>
          <w:rFonts w:ascii="宋体" w:hAnsi="宋体" w:cs="宋体" w:hint="eastAsia"/>
          <w:b/>
          <w:color w:val="000000"/>
          <w:kern w:val="0"/>
          <w:sz w:val="24"/>
          <w:szCs w:val="24"/>
          <w:lang w:bidi="ar"/>
        </w:rPr>
        <w:t>第十一条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执行科创企业资产评估业务，资产评估专业人员需要根据评估对象、</w:t>
      </w:r>
      <w:r>
        <w:rPr>
          <w:rFonts w:ascii="宋体" w:hAnsi="宋体" w:cs="宋体" w:hint="eastAsia"/>
          <w:color w:val="000000"/>
          <w:kern w:val="0"/>
          <w:sz w:val="24"/>
          <w:szCs w:val="24"/>
          <w:lang w:bidi="ar"/>
        </w:rPr>
        <w:lastRenderedPageBreak/>
        <w:t>评估目的、价值类型、评估假设、资料收集情况、数据来源以及科创企业所处的发展阶段、科创企业所处行业等，分析上述三种基本方法的适用性，选择评估方法。</w:t>
      </w:r>
    </w:p>
    <w:p w14:paraId="139A20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满足采用不同评估方法的条件时，资产评估专业人员应当选择两种或者两种以上评估方法，通过综合分析形成合理评估结论。</w:t>
      </w:r>
    </w:p>
    <w:p w14:paraId="1ADAFB6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当评估对象仅满足一种评估方法的适用条件时，可以只采用一种评估方法进行评估。</w:t>
      </w:r>
    </w:p>
    <w:p w14:paraId="5DEC217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资产评估专业人员在执业过程中可以结合评估对象特点，合理、灵活采用本专家指引所述或者其他适用的评估方法。</w:t>
      </w:r>
    </w:p>
    <w:p w14:paraId="46CBE9A1" w14:textId="529C8711"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kern w:val="0"/>
          <w:sz w:val="24"/>
          <w:szCs w:val="24"/>
          <w:lang w:bidi="ar"/>
        </w:rPr>
        <w:t>第十二条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市场法对科创企业价值进行评估，资产评估专业人员应当结合科创企业特点，关注所处细分行业、业务结构、经营模式、企业规模、资产配置和使用情况、企业所处经营阶段、成长性、经营风险、财务风险等因素，充分分析评估方法的适用性，恰当选择可比企业。</w:t>
      </w:r>
    </w:p>
    <w:p w14:paraId="17CEAFD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可比企业通常包括公开市场上正常交易的上市公司以及非公开市场上正常交易的非上市公司。在采用某些特定方法的情形下，例如，采用估值扩张倍数法（VM指数法），即参考评估对象前次股权融资的投后估值，以及评估基准日与前次股权融资之间的间隔月数、融资背景、规模以及股权性质，确定评估对象于评估基准日价值的方法，被评估单位自身也可以作为可比企业。</w:t>
      </w:r>
    </w:p>
    <w:p w14:paraId="6F3B8EBC" w14:textId="5C4D02B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市场法对科创企业价值进行评估，资产评估专业人员应当结合科创企业所处的发展阶段、市场参与者普遍认同的评估考量因素、相关参数的可获得性和准确性，充分分析评估方法的适用性，恰当选用价值比率。</w:t>
      </w:r>
    </w:p>
    <w:p w14:paraId="5ADFA9C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价值比率通常包括盈利比率、资产比率、收入比率和其他特定比率。如果财务指标确实难以准确反映被评估单位价值，在切实可行的情况下，可以采用非财务指标作为价值比率的估算基础。例如，互联网信息技术企业涉及的累计注册用户数、新增注册用户数、月均活跃用户数、充值消费数据；生物医药企业涉及的已实现产业化的药品数量、已上市药品新适应症的拓展、已上市药品国际化注册进度等。资产评估专业人员应当关注采用非财务指标作为价值比率的适用条件以及假设前提，判断非财务指标的使用是否会导致对评估结论产生重大影响，分析该价值比率评估结论的可靠性。</w:t>
      </w:r>
    </w:p>
    <w:p w14:paraId="5180E4EC" w14:textId="2A625DD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估算和采用价值比率，资产评估专业人员应当分别关注价值比率采用</w:t>
      </w:r>
      <w:r>
        <w:rPr>
          <w:rFonts w:ascii="宋体" w:hAnsi="宋体" w:cs="宋体" w:hint="eastAsia"/>
          <w:color w:val="000000"/>
          <w:kern w:val="0"/>
          <w:sz w:val="24"/>
          <w:szCs w:val="24"/>
          <w:lang w:bidi="ar"/>
        </w:rPr>
        <w:lastRenderedPageBreak/>
        <w:t>时被评估单位与可比企业或者可比案例中各自的总资产、总负债、净资产、市值、总收入、净利润或者其他非财务指标等各项参数在其反映的企业规模、资本结构、业务结构、财务信息口径、企业会计期间等方面的一致性。</w:t>
      </w:r>
    </w:p>
    <w:p w14:paraId="58DB2353" w14:textId="2DB77F7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市盈率（PE），即股东权益价值与净利润的比率，或者每股市价与每股收益的比率，通常适用于周期性波动较小或者盈利较为稳定的企业。</w:t>
      </w:r>
    </w:p>
    <w:p w14:paraId="69E70F1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对周期性波动大或者利润为负值的企业进行评估，资产评估专业人员应当关注采用市盈率作为价值比率的适用性。在切实可行的情况下，可以考虑采用周期调整市盈率（CAPE）。</w:t>
      </w:r>
    </w:p>
    <w:p w14:paraId="603A49A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选择的各可比企业在资本结构、税收政策、会计准则、会计政策或者会计估计等方面存在差异，资产评估专业人员应当关注采用市盈率作为价值比率的合理性，是否会导致对测算结果产生重大影响，分析该价值比率的适用性或者测算结果的可靠性。</w:t>
      </w:r>
    </w:p>
    <w:p w14:paraId="37279DC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如果仍须采用该价值比率，则应当采用适当方式进行价值比率调整或者降低采用该价值比率得到的测算结果在评估结论中的权重。</w:t>
      </w:r>
    </w:p>
    <w:p w14:paraId="05DB96AF" w14:textId="5DE5387B"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企业价值与息税折旧及摊销前利润比率（EV/EBITDA），通常适用于因资本结构、税收政策、会计准则、会计政策以及会计估计差异变化导致净利润波动明显或者净利润较低，但是具备相对可观且稳定的息税及折旧与摊销前利润的企业。</w:t>
      </w:r>
    </w:p>
    <w:p w14:paraId="543079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对息税折旧及摊销前利润较低或者周期性波动较大的企业进行资产评估，资产评估专业人员应当关注采用企业价值与息税折旧及摊销前利润比率作为价值比率的适用性。</w:t>
      </w:r>
    </w:p>
    <w:p w14:paraId="62AF8A9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如果被评估单位与可比企业在税收政策等方面存在差异，资产评估专业人员应当在评估权益价值时采用适当方式进行调整或者降低采用该价值比率得到的测算结果在评估结论中的权重。</w:t>
      </w:r>
    </w:p>
    <w:p w14:paraId="03639E18" w14:textId="4190D9D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市净率（PB），即每股市价与每股净资产的比率，通常适用于固定资产规模较大或者金融资产占比较高的企业，对于周期性波动明显或者盈利较低的企业也具有一定的适用性。</w:t>
      </w:r>
    </w:p>
    <w:p w14:paraId="1FB4A1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如果选择的各可比企业在资本结构、税收政策、会计准则、会计政策或者会计估计等方面存在差异，资产评估专业人员应当关注采用市净率作为价值比率是否会</w:t>
      </w:r>
      <w:r>
        <w:rPr>
          <w:rFonts w:ascii="宋体" w:hAnsi="宋体" w:cs="宋体" w:hint="eastAsia"/>
          <w:color w:val="000000"/>
          <w:kern w:val="0"/>
          <w:sz w:val="24"/>
          <w:szCs w:val="24"/>
          <w:lang w:bidi="ar"/>
        </w:rPr>
        <w:lastRenderedPageBreak/>
        <w:t>对测算结果产生重大影响，分析该价值比率的适用性或者测算结果的可靠性。如果仍须采用该价值比率，则应当采用适当方式进行调整或者降低采用该价值比率得到的测算结果在评估结论中的权重。</w:t>
      </w:r>
    </w:p>
    <w:p w14:paraId="6FAF762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如果被评估单位与可比企业存在较为明显的规模差异，资产评估专业人员应当在评估权益价值时采用适当方式进行调整或者降低采用该价值比率得到的测算结果在评估结论中的权重。</w:t>
      </w:r>
    </w:p>
    <w:p w14:paraId="3954CA14" w14:textId="7D05C27E"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市销率（PS），即股东权益价值与营业收入的比率，或者每股市价与每股营业收入的比率，通常适用于已经实现营业收入但是利润较低或者利润为负值的企业。</w:t>
      </w:r>
    </w:p>
    <w:p w14:paraId="04D92A5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被评估单位与可比企业存在较为明显的资本结构等方面的差异，资产评估专业人员可以在评估权益价值时采用企业价值与营业收入比率（EV/S），以降低可比企业与被评估单位因资本结构等方面存在差异而产生的影响，或者降低采用市销率（PS）得到的测算结果在评估结论中的权重。</w:t>
      </w:r>
    </w:p>
    <w:p w14:paraId="1A396974" w14:textId="3136CE7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市盈率相对盈利增长比率（PEG），即市盈率除以净利润增长率后的比率，通常适用于具备一定盈利基础且成长较快的企业。对周期性波动明显、利润为负值以及短期盈利增速较高或者盈利增速波动较为明显的科创企业价值进行评估，资产评估专业人员应当关注采用市盈率相对盈利增长比率（PEG）作为价值比率的适用性。</w:t>
      </w:r>
    </w:p>
    <w:p w14:paraId="278F3C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如果选择的各可比企业在资本结构、税收政策、会计准则、会计政策或者会计估计等方面差异较为明显，资产评估专业人员应当关注采用市盈率相对盈利增长比率作为价值比率是否会对测算结果产生重大影响，分析该价值比率的适用性或者测算结果的可靠性。如果仍须采用该价值比率，则应当采用适当方式进行调整或者降低采用该价值比率得到的测算结果在评估结论中的权重。</w:t>
      </w:r>
    </w:p>
    <w:p w14:paraId="3D134DB5" w14:textId="25B3524E"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盈利比率、资产比率、收入比率之外的其他特定比率时，应当采用能够准确、恰当反映被评估单位价值的关键性财务指标或者非财务指标。在采用非财务指标进行资产评估时，需要关注科创企业所处细分行业、业务结构、经营模式、企业规模、资产配置和使用情况、企业所处经营阶段、成长性、经营风险、财务风险、市场风险、研发人员、研发能力、研发效率、研发成功率、企业技术储备等影响企业价值的关键因素。</w:t>
      </w:r>
    </w:p>
    <w:p w14:paraId="2898FA16" w14:textId="5739476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lastRenderedPageBreak/>
        <w:t>第二十一条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采用收益法对科创企业价值进行评估，资产评估专业人员应当结合科创企业特点，关注企业所处经营阶段、企业历史经营业绩、经营成长性以及不确定性等因素，充分分析评估方法的适用性，恰当选择具体方法。</w:t>
      </w:r>
    </w:p>
    <w:p w14:paraId="0FBEF5F6" w14:textId="77777777" w:rsidR="00A320E6" w:rsidRDefault="00000000" w:rsidP="00AE0286">
      <w:pPr>
        <w:spacing w:line="360" w:lineRule="auto"/>
        <w:ind w:firstLineChars="200" w:firstLine="480"/>
        <w:rPr>
          <w:rFonts w:ascii="宋体" w:hAnsi="宋体" w:cs="宋体"/>
          <w:color w:val="000000"/>
          <w:kern w:val="0"/>
          <w:sz w:val="24"/>
          <w:szCs w:val="24"/>
          <w:lang w:bidi="ar"/>
        </w:rPr>
      </w:pPr>
      <w:r>
        <w:rPr>
          <w:rFonts w:ascii="宋体" w:hAnsi="宋体" w:cs="宋体" w:hint="eastAsia"/>
          <w:color w:val="000000"/>
          <w:kern w:val="0"/>
          <w:sz w:val="24"/>
          <w:szCs w:val="24"/>
          <w:lang w:bidi="ar"/>
        </w:rPr>
        <w:t>收益法评估中常用的具体方法包括股利折现法、现金流量折现法、情景分析法、风险调整现金流量折现法等。</w:t>
      </w:r>
    </w:p>
    <w:p w14:paraId="2BEE9B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在确定科创企业收益法折现率时，应当对所处细分行业、经营阶段、业务成长性、经营风险、财务风险、市场风险、研发风险等影响折现率的关键参数进行分析，合理调整折现率。资产评估专业人员采用情景分析法和风险调整现金流量折现法进行评估时，应当注意同一风险不应当在折现率和现金流量中重复考虑。</w:t>
      </w:r>
    </w:p>
    <w:p w14:paraId="7BC80CD8" w14:textId="26022EBE"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结合科创企业所处经营阶段，分析其能否实现相对确定的稳定现金流量，达到实现稳定现金流量状态所需要的时间以及其他投入情况，合理确定实现稳定现金流量的期间、规模以及不确定性，恰当使用现金流量折现法。</w:t>
      </w:r>
    </w:p>
    <w:p w14:paraId="44A1A5B1" w14:textId="43FF2B39" w:rsidR="00A320E6" w:rsidRDefault="00EC0B72" w:rsidP="00AE0286">
      <w:pPr>
        <w:spacing w:line="360" w:lineRule="auto"/>
        <w:ind w:firstLineChars="200" w:firstLine="482"/>
        <w:rPr>
          <w:rFonts w:ascii="宋体" w:hAnsi="宋体" w:cs="宋体"/>
          <w:color w:val="000000"/>
          <w:kern w:val="0"/>
          <w:sz w:val="24"/>
          <w:szCs w:val="24"/>
          <w:lang w:bidi="ar"/>
        </w:rPr>
      </w:pPr>
      <w:r w:rsidRPr="00EC0B72">
        <w:rPr>
          <w:rFonts w:ascii="宋体" w:hAnsi="宋体" w:cs="宋体" w:hint="eastAsia"/>
          <w:b/>
          <w:color w:val="000000"/>
          <w:kern w:val="0"/>
          <w:sz w:val="24"/>
          <w:szCs w:val="24"/>
          <w:lang w:bidi="ar"/>
        </w:rPr>
        <w:t>第二十三条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尚不能确定单一稳定现金流量的科创企业，资产评估专业人员需要要求科创企业结合其所处经营阶段，选取影响其未来经营的若干关键因素，合理构建未来经营情景并赋予相应的情景概率，根据获得的多种情景下的现金流量，结合相应的不确定性，恰当使用情景分析法。</w:t>
      </w:r>
    </w:p>
    <w:p w14:paraId="085E4E7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采用情景分析法时应当关注所分析的情景是否涵盖了所有可以观察并且可以量化的情景，情景分析法通常包含对基础情景的评估、对新情景的评估，在采用情景分析法时资产评估专业人员需要对两个以上的情景加以分析，包括市场需求现状和增长情况、竞争状况、行业发展趋势等对市场供求产生影响的因素。根据分析结论对各个情景分配不同的概率，计算各个情景下的加权平均价值。</w:t>
      </w:r>
    </w:p>
    <w:p w14:paraId="24F42868" w14:textId="07A49FA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尚不能确定单一稳定现金流量的科创企业，如果在其不同阶段的风险特征存在差异，资产评估专业人员可以要求科创企业结合其所处经营阶段，合理构建处于不同时间节点或者发展阶段的业务的未来经营情景并赋予相应的情景概率，获得风险调整后现金流量，结合相应的不确定性，恰当使用风险调整现金流量折现法。</w:t>
      </w:r>
    </w:p>
    <w:p w14:paraId="45BEF213" w14:textId="3DC84DB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采用资产基础法对科创企业价值进行评估，资产评估专业人员应当</w:t>
      </w:r>
      <w:r>
        <w:rPr>
          <w:rFonts w:ascii="宋体" w:hAnsi="宋体" w:cs="宋体" w:hint="eastAsia"/>
          <w:color w:val="000000"/>
          <w:kern w:val="0"/>
          <w:sz w:val="24"/>
          <w:szCs w:val="24"/>
          <w:lang w:bidi="ar"/>
        </w:rPr>
        <w:lastRenderedPageBreak/>
        <w:t>结合科创企业特点，根据会计政策、企业经营等情况，考虑资产基础法的适用性，并且合理关注被评估单位资产、负债情况，对资产负债表内以及表外资产、负债进行充分识别。</w:t>
      </w:r>
    </w:p>
    <w:p w14:paraId="4959AA0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应当知晓，并非每项资产和负债都可以识别并用适当的方法单独评估。当存在对评估对象价值有重大影响且难以识别和评估的资产或者负债时，应当在评估报告中予以披露，并考虑采用该方法得出结果作为评估结论的合理性。</w:t>
      </w:r>
    </w:p>
    <w:p w14:paraId="0FDBBFCF" w14:textId="511DB741"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对科创企业的无形资产评估应当谨慎采用资产基础法。在特殊情况下需要采用资产基础法时，应当合理关注科创企业的无形资产，特别是表外无形资产，充分分析无形资产的作用，合理确定无形资产的价值，同时应当关注宏观经济政策、行业政策、经营条件、生产能力、市场状况、产品生命周期等各项因素对无形资产效能发挥的制约，关注其对无形资产价值产生的影响。</w:t>
      </w:r>
    </w:p>
    <w:p w14:paraId="7C5A1AB3" w14:textId="45C8DB7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结合科创企业的经营特点和发展阶段特征，资产评估专业人员可以考虑采用实物期权定价法、分部加总法（SOTP）等其他衍生方法进行评估。</w:t>
      </w:r>
    </w:p>
    <w:p w14:paraId="27BF2F34" w14:textId="4ECD23A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采用实物期权定价法对科创企业价值进行评估，应当履行识别期权类别、判断条件、估计参数、估算价值四个基本步骤，目前常用于评估实物期权的方法主要包括布莱克-舒尔斯模型（Black-ScholesModel）和二叉树模型（BinomialTreeModel）。</w:t>
      </w:r>
    </w:p>
    <w:p w14:paraId="6C82A033" w14:textId="7D66E5C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第二十九条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对于多元化经营的科创企业，其业务包括不同的行业类型、商业模式、发展阶段，资产评估专业人员可以采用分部加总法（SOTP）对各个业务单元分别进行评估。</w:t>
      </w:r>
    </w:p>
    <w:p w14:paraId="6A48BB3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应当对各个业务单元形成的测算结果进行综合分析，形成合理评估结论。当采用多种评估方法对业务单元进行测算时，应当对采用各种方法评估形成的测算结果进行分析比较，形成合理评估结论。</w:t>
      </w:r>
    </w:p>
    <w:p w14:paraId="0342FC09" w14:textId="2EF697F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结合所采用评估方法、相关评估假设以及评估参数的设定，分析得到的测算结果与评估目的下的评估对象是否存在定价时间、定价环境、定价基准等方面的差异，恰当考虑控制权调整、流动性调整、交易时间调整、大宗交易调整等调整事项，合理确定测算结果。</w:t>
      </w:r>
    </w:p>
    <w:p w14:paraId="3BCB8A9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资产评估专业人员应当知悉，对科创企业预计市值进行评估时，评估对象价值是模拟科创企业股票发行上市后的价值，应当对假设上市后的股权流动性溢价进行</w:t>
      </w:r>
      <w:r>
        <w:rPr>
          <w:rFonts w:ascii="宋体" w:hAnsi="宋体" w:cs="宋体" w:hint="eastAsia"/>
          <w:color w:val="000000"/>
          <w:kern w:val="0"/>
          <w:sz w:val="24"/>
          <w:szCs w:val="24"/>
          <w:lang w:bidi="ar"/>
        </w:rPr>
        <w:lastRenderedPageBreak/>
        <w:t>恰当考虑，合理确定测算结果。</w:t>
      </w:r>
    </w:p>
    <w:p w14:paraId="0A906182" w14:textId="03BF67C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资产评估专业人员对科创企业普通股权益价值进行评估时，需要关注被评估单位是否存在优先股、永续债、员工期权、可转换债券等其他权益工具，并合理考虑上述权益工具的价值对普通股权益价值的影响。</w:t>
      </w:r>
    </w:p>
    <w:p w14:paraId="5FF9678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优先股价值的评估，资产评估专业人员需要关注优先股的种类，通常包括累计优先股和非累计优先股、参加分配优先股和不参加分配优先股、可转换优先股和不可转换优先股、可赎回优先股和不可赎回优先股等，还应当关注优先股股息支付政策、投资回报方式、价值回收途径以及期限限制等因素。</w:t>
      </w:r>
    </w:p>
    <w:p w14:paraId="7E04B14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永续债价值的评估，资产评估专业人员需要关注永续债发行企业的主体资质、债券期限、税收政策等，还应当关注首个重新定价周期、利率调升幅度、利息递延、提前赎回等条款因素以及永续债发行企业提前赎回或者续期带来的再投资风险和利率波动风险等。</w:t>
      </w:r>
    </w:p>
    <w:p w14:paraId="1512D75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对于可转债价值的评估，由于可转债所包含的期权特性，可以采用期权定价模型进行估算。通常，可转换债的价值等于普通债权的价值加转换为股权的期权价值减赎回期权的价值。</w:t>
      </w:r>
    </w:p>
    <w:p w14:paraId="0EDB6AD7" w14:textId="2CBF7D8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资产评估专业人员对科创企业普通股权益价值进行评估时，需要关注被评估单位普通股是否包含表决权差异安排，并合理考虑表决权差异导致的控制权溢价对股东权益价值的影响。</w:t>
      </w:r>
    </w:p>
    <w:p w14:paraId="129E6BDC" w14:textId="0BB67DE7"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资产评估专业人员需要关注科创企业是否存在显著影响其价值的或有事项，例如科创企业在历史交易等事项中形成的预计负债、或有负债、或有资产等，并合理考虑或有事项对评估对象价值的影响。</w:t>
      </w:r>
    </w:p>
    <w:p w14:paraId="629CA1C6" w14:textId="7F982050" w:rsidR="00A320E6" w:rsidRDefault="00000000" w:rsidP="0058001D">
      <w:pPr>
        <w:pStyle w:val="13"/>
        <w:spacing w:before="62" w:after="62"/>
      </w:pPr>
      <w:r>
        <w:rPr>
          <w:rFonts w:hint="eastAsia"/>
          <w:lang w:bidi="ar"/>
        </w:rPr>
        <w:t>第四章</w:t>
      </w:r>
      <w:r w:rsidR="0058001D">
        <w:rPr>
          <w:rFonts w:hint="eastAsia"/>
          <w:lang w:bidi="ar"/>
        </w:rPr>
        <w:t xml:space="preserve"> </w:t>
      </w:r>
      <w:r>
        <w:rPr>
          <w:rFonts w:hint="eastAsia"/>
          <w:lang w:bidi="ar"/>
        </w:rPr>
        <w:t>科创企业核查验证关注要点</w:t>
      </w:r>
    </w:p>
    <w:p w14:paraId="2DF71461" w14:textId="15A741E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资产评估专业人员需要关注科创企业高研发投入、高增长性、高经营风险的特性，在评估现场调查和收集整理评估资料时，需要对企业与科创属性相关的资产、业务、项目以及人员情况重点核查。</w:t>
      </w:r>
    </w:p>
    <w:p w14:paraId="7AD592D8" w14:textId="52CB9D7A"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科创企业研发能力的核查，资产评估专业人员需要关注企业近年来研发投入规模、研发投入占收入比重、国家有关部门对特定行业研发投入要求、研发人员占企业总员工数比重、核心研发人员的科研和工作履历，以及劳动合同签订情况、历史研发成果、所获奖励情况、持有专利等知识产权情况，同时需要关注</w:t>
      </w:r>
      <w:r>
        <w:rPr>
          <w:rFonts w:ascii="宋体" w:hAnsi="宋体" w:cs="宋体" w:hint="eastAsia"/>
          <w:color w:val="000000"/>
          <w:kern w:val="0"/>
          <w:sz w:val="24"/>
          <w:szCs w:val="24"/>
          <w:lang w:bidi="ar"/>
        </w:rPr>
        <w:lastRenderedPageBreak/>
        <w:t>企业内部研发体系、研发流程以及研发管理制度，分析判断企业研发项目与企业产品规划契合度。</w:t>
      </w:r>
    </w:p>
    <w:p w14:paraId="6E6F5EDA" w14:textId="062B5A2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资产评估专业人员对拥有知识产权类无形资产的科创企业价值进行评估时，需要关注科创企业无形资产性质、取得和使用状态、权属等法律文件、无形资产与企业主营业务收入贡献程度之间的比重等事项。</w:t>
      </w:r>
    </w:p>
    <w:p w14:paraId="4196D119" w14:textId="1DAD46A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超出资产评估专业人员胜任能力的核查验证事项，例如，对科创企业技术先进性、技术成熟度以及未来技术成果所具备的经济效益的核查。资产评估机构可以委托或者要求委托人委托专业机构出具专业报告作为评估依据。</w:t>
      </w:r>
    </w:p>
    <w:p w14:paraId="51E08851" w14:textId="5937A2E8" w:rsidR="00A320E6" w:rsidRDefault="00000000" w:rsidP="0058001D">
      <w:pPr>
        <w:pStyle w:val="13"/>
        <w:spacing w:before="62" w:after="62"/>
      </w:pPr>
      <w:r>
        <w:rPr>
          <w:rFonts w:hint="eastAsia"/>
          <w:lang w:bidi="ar"/>
        </w:rPr>
        <w:t>第五章</w:t>
      </w:r>
      <w:r w:rsidR="0058001D">
        <w:rPr>
          <w:rFonts w:hint="eastAsia"/>
          <w:lang w:bidi="ar"/>
        </w:rPr>
        <w:t xml:space="preserve"> </w:t>
      </w:r>
      <w:r>
        <w:rPr>
          <w:rFonts w:hint="eastAsia"/>
          <w:lang w:bidi="ar"/>
        </w:rPr>
        <w:t>科创企业发展阶段和关注要点</w:t>
      </w:r>
    </w:p>
    <w:p w14:paraId="2DDA7C45" w14:textId="2E83C78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企业的完整生命周期通常包括初创阶段、成长阶段、成熟阶段以及衰退阶段。资产评估专业人员需要关注科创企业所处的发展阶段，采用与其发展阶段特征相匹配的评估方法、评估假设以及评估参数。</w:t>
      </w:r>
    </w:p>
    <w:p w14:paraId="31DE2BAC" w14:textId="36F6BA6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第三十九条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知晓，处于初创阶段的科创企业，经营历史有限，收入较低甚至未实现收入，业绩波动频繁而且可能处于亏损状态，尚未形成清晰的盈利模式，财务指标无法客观反映企业的价值，通常可以采用用户数量、市场空间、市场占有率、流量、研发投入等非财务指标衡量企业价值，可以采用历史交易法、可比交易法、实物期权法等进行评估。</w:t>
      </w:r>
    </w:p>
    <w:p w14:paraId="333E3FB3" w14:textId="48ADDDE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知晓，处于成长阶段的科创企业随着其研发的产品或者技术逐渐得到市场认可，快速成长并扭亏为盈，经营逐渐稳定，盈利模式逐渐清晰，可以利用相对稳定、可以预测的财务指标进行评估，存在较多可比企业或者可比交易案例时，评估方法通常为市场法。当科创企业尚未达到盈亏平衡点时，可以采用收入比率（PS、EV/S）、现金流比率（P/FCF、EV/FCF、EV/EBITDA）等，当科创企业跨越盈亏平衡线，并仍保持较高的增速时，除了可以采用前述价值比率外，还可以采用市盈率相对盈利增长比率（PEG）。</w:t>
      </w:r>
    </w:p>
    <w:p w14:paraId="761E842D" w14:textId="131FB4A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知晓，当科创企业进入成熟阶段，其资产规模已经趋于稳定，形成了完整的产品结构并稳定地进入市场销售，有一定的市场占有率，市场竞争能力提升，拥有长期、稳定的经营历史。这一阶段企业面临的主要风险为市场竞争以及技术风险，相对于成长阶段，通常抵抗风险能力有所增强。成熟期科创企业的产品营收、现金流量和利润趋于稳定，相对于成长阶段，通常具有</w:t>
      </w:r>
      <w:r>
        <w:rPr>
          <w:rFonts w:ascii="宋体" w:hAnsi="宋体" w:cs="宋体" w:hint="eastAsia"/>
          <w:color w:val="000000"/>
          <w:kern w:val="0"/>
          <w:sz w:val="24"/>
          <w:szCs w:val="24"/>
          <w:lang w:bidi="ar"/>
        </w:rPr>
        <w:lastRenderedPageBreak/>
        <w:t>更为稳定的指标可以与同行业进行对比，市盈率成为市场法中最常用的价值比率。此外，现金流折现模型也同样适用于成熟期的科创企业。长期稳定分红的科创企业还可以采用股利贴现模型（DDM）。</w:t>
      </w:r>
    </w:p>
    <w:p w14:paraId="0BC19D8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对于存在多种业务板块的科创企业，还可以采用分部加总法（SOTP）对不同业务板块分别评估并加总得到企业整体测算结果。</w:t>
      </w:r>
    </w:p>
    <w:p w14:paraId="1DC3E163" w14:textId="2EF1FCF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对于处于衰退阶段的科创企业通常采用成本法进行评估。</w:t>
      </w:r>
    </w:p>
    <w:p w14:paraId="7EAA5B0B" w14:textId="349CB5E9" w:rsidR="00A320E6" w:rsidRDefault="00000000" w:rsidP="0058001D">
      <w:pPr>
        <w:pStyle w:val="13"/>
        <w:spacing w:before="62" w:after="62"/>
      </w:pPr>
      <w:r>
        <w:rPr>
          <w:rFonts w:hint="eastAsia"/>
          <w:lang w:bidi="ar"/>
        </w:rPr>
        <w:t>第六章</w:t>
      </w:r>
      <w:r w:rsidR="0058001D">
        <w:rPr>
          <w:rFonts w:hint="eastAsia"/>
          <w:lang w:bidi="ar"/>
        </w:rPr>
        <w:t xml:space="preserve"> </w:t>
      </w:r>
      <w:r>
        <w:rPr>
          <w:rFonts w:hint="eastAsia"/>
          <w:lang w:bidi="ar"/>
        </w:rPr>
        <w:t>科创企业行业特征和关注要点</w:t>
      </w:r>
    </w:p>
    <w:p w14:paraId="6873AB28" w14:textId="1BB28D27"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资产评估专业人员需要关注科创企业所属的行业领域，采用与行业特征相匹配的评估方法、评估假设以及评估参数。</w:t>
      </w:r>
    </w:p>
    <w:p w14:paraId="387A089B" w14:textId="4907DF13" w:rsidR="00A320E6" w:rsidRDefault="00EC0B72" w:rsidP="00AE0286">
      <w:pPr>
        <w:spacing w:line="360" w:lineRule="auto"/>
        <w:ind w:firstLineChars="200" w:firstLine="482"/>
        <w:rPr>
          <w:rFonts w:ascii="宋体" w:hAnsi="宋体" w:cs="宋体"/>
          <w:color w:val="000000"/>
          <w:kern w:val="0"/>
          <w:sz w:val="24"/>
          <w:szCs w:val="24"/>
          <w:lang w:bidi="ar"/>
        </w:rPr>
      </w:pPr>
      <w:r w:rsidRPr="00EC0B72">
        <w:rPr>
          <w:rFonts w:ascii="宋体" w:hAnsi="宋体" w:cs="宋体" w:hint="eastAsia"/>
          <w:b/>
          <w:color w:val="000000"/>
          <w:kern w:val="0"/>
          <w:sz w:val="24"/>
          <w:szCs w:val="24"/>
          <w:lang w:bidi="ar"/>
        </w:rPr>
        <w:t>第四十四条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新一代信息技术行业，主要包括半导体和集成电路、电子信息、下一代信息网络、人工智能、大数据、云计算、新兴软件、互联网、物联网和智能硬件等领域。</w:t>
      </w:r>
    </w:p>
    <w:p w14:paraId="3CA8EB7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新一代信息技术行业在初创期重组事项频繁、投入较高而且通常处于亏损状态，可以采用修正经济增加值模型（REVA）进行评估，也可以结合行业和企业特点，使用其他适用的价值比率，采用市场法进行评估。</w:t>
      </w:r>
    </w:p>
    <w:p w14:paraId="375D0C5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随着企业研发的产品或者技术逐渐得到市场认可，经营状况逐步进入稳定阶段，盈利模式逐渐清晰，可以使用收入比率（PS、EV/S）、现金流比率（P/FCF、EV/FCF、EV/EBITDA）等价值比率，采用市场法进行评估。</w:t>
      </w:r>
    </w:p>
    <w:p w14:paraId="07AE5718" w14:textId="77777777" w:rsidR="00A320E6" w:rsidRDefault="00000000" w:rsidP="00AE0286">
      <w:pPr>
        <w:spacing w:line="360" w:lineRule="auto"/>
        <w:ind w:firstLineChars="200" w:firstLine="480"/>
        <w:rPr>
          <w:rFonts w:ascii="宋体" w:hAnsi="宋体" w:cs="宋体"/>
          <w:color w:val="000000"/>
          <w:kern w:val="0"/>
          <w:sz w:val="24"/>
          <w:szCs w:val="24"/>
          <w:lang w:bidi="ar"/>
        </w:rPr>
      </w:pPr>
      <w:r>
        <w:rPr>
          <w:rFonts w:ascii="宋体" w:hAnsi="宋体" w:cs="宋体" w:hint="eastAsia"/>
          <w:color w:val="000000"/>
          <w:kern w:val="0"/>
          <w:sz w:val="24"/>
          <w:szCs w:val="24"/>
          <w:lang w:bidi="ar"/>
        </w:rPr>
        <w:t>企业进入成熟期后，可以结合企业经营状况、成长性以及风险特征，采用成熟期科创企业适用的方法进行评估。</w:t>
      </w:r>
    </w:p>
    <w:p w14:paraId="464FFB2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新一代信息技术行业，在选择评估方法时，除需要关注科创企业所处发展阶段外，还需要关注评估对象的资产状况和经营特点。例如，在新一代信息技术行业中存在集成电路制造等固定资产占比较高的企业，特别是在公司经营状况出现明显波动时，也可以考虑采用市净率作为市场法的价值比率进行评估。</w:t>
      </w:r>
    </w:p>
    <w:p w14:paraId="0561D870" w14:textId="59BF15D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生物医药行业，主要包括高端化学药、生物制品以及委托研发高端医疗设备与器械以及相关服务等细分领域。其中，医疗器械行业涉及到医药、机械、电子、塑料等多个行业，是一个多学科交叉、知识密集、资金密集的高技术产业，其产品技术含量较高，利润较高，进入门槛较高，行业壁垒较高。化学药是缓解、预防和诊断疾病，并且具有调节机体功能的化合物的统称。生物药是指运用生物学、</w:t>
      </w:r>
      <w:r>
        <w:rPr>
          <w:rFonts w:ascii="宋体" w:hAnsi="宋体" w:cs="宋体" w:hint="eastAsia"/>
          <w:color w:val="000000"/>
          <w:kern w:val="0"/>
          <w:sz w:val="24"/>
          <w:szCs w:val="24"/>
          <w:lang w:bidi="ar"/>
        </w:rPr>
        <w:lastRenderedPageBreak/>
        <w:t>医学、生物化学等学科的研究成果，综合利用物理学、化学、生物化学、生物技术和药学等学科的原理和方法，利用生物体、生物组织、细胞、体液等制造的一类用于预防、治疗和诊断的制品。委托研发（CRO）是接受药厂或者生物科技公司委托进行研究服务，提供新药以及医疗器械开发时所需要的非临床与临床试验、数据分析、法规咨询等专业服务。</w:t>
      </w:r>
    </w:p>
    <w:p w14:paraId="15B9040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医疗器械行业，需要根据企业的不同发展阶段采用不同的评估方法，通常采用收益法以及市场法进行评估。对于发展初期的公司通常采用收益法，或者以收入、市场份额为价值比率的市场法进行评估，对于发展中后期的公司可采用成熟期科创企业适用的方法进行评估。</w:t>
      </w:r>
    </w:p>
    <w:p w14:paraId="75DD258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化学药、生物药业态中处于早期阶段的企业，由于其产品大多并未上市销售，利润通常为负数，但是预期销售额会根据其研发管线进入上市阶段而进入快速增长阶段，可以采用针对其研发管线的风险调整现金流折现法（rNPV）以及概率调整的情景假设分析法（probability-adjustedscenarioanalysis）进行评估。其中，风险调整现金流折现法考虑的因素通常包含临床成功率、可以治疗患者数、药品渗透率、治疗费用以及依从性等。当企业进入成熟阶段具有稳定的收入、利润后，可以采用成熟期科创企业适用的方法进行评估。</w:t>
      </w:r>
    </w:p>
    <w:p w14:paraId="3FF4F4A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委托研发行业，需要根据不同的业务模式确定相应的评估方法。传统模式的委托研发企业现金流量较为稳定，主要收入为服务费，可以采用收益法、市场法进行评估；具备项目计划的委托研发企业，其收入与项目成功率关联度高，可以采用风险调整现金流折现法（rNPV）进行评估；风险共担模式的委托研发企业，即通过自身技术换取对应产品上市后销售分成的模式，在获取较高收益的同时也承担了较高风险，其收入与药品上市后的销售收入关联度高，可以采用风险调整现金流折现法（rNPV）进行评估。</w:t>
      </w:r>
    </w:p>
    <w:p w14:paraId="335B3B7C" w14:textId="61520FE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高端装备制造业，包括电子产业设备及终端和机械设备制造两个主要细分产业，除此之外还包括智能制造、航空航天、先进轨道交通、海洋工程装备以及相关服务等细分领域。</w:t>
      </w:r>
    </w:p>
    <w:p w14:paraId="4E05C51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电子产业设备及终端可以分为重资产型和非重资产型零组件企业。重资产型零组件企业的重要特征是持续高投入且采用先进生产线以保持技术领先，其资产量大、资金投入金额高、年折旧摊销金额高，可以采用以市净率（PB）、市盈率（PE）、</w:t>
      </w:r>
      <w:r>
        <w:rPr>
          <w:rFonts w:ascii="宋体" w:hAnsi="宋体" w:cs="宋体" w:hint="eastAsia"/>
          <w:color w:val="000000"/>
          <w:kern w:val="0"/>
          <w:sz w:val="24"/>
          <w:szCs w:val="24"/>
          <w:lang w:bidi="ar"/>
        </w:rPr>
        <w:lastRenderedPageBreak/>
        <w:t>企业价值与息税折旧及摊销前利润比率（EV/EBITDA）等作为价值比率的市场法进行评估。非重资产零组件企业的重要特征是企业价值受市场或者外部环境驱动因素较多，资产评估专业人员应当关注该类企业所处细分行业的行业政策、技术更新情况，可以采用以市盈率等作为价值比率的市场法进行评估。</w:t>
      </w:r>
    </w:p>
    <w:p w14:paraId="4E66A9F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机械设备制造业企业可以分为“成长性”企业与“周期性”企业两类。机械设备因其使用周期较长，在下游市场需求稳定的情况下机械设备制造企业业绩随着下游市场设备的更新需求产生周期性波动。机械设备制造企业的成长性主要体现为下游行业处于高速发展阶段或者设备技术具有较高的迭代率，下游产业对于设备技术更新的需求催生机械设备制造企业呈现快速成长的特点。</w:t>
      </w:r>
    </w:p>
    <w:p w14:paraId="5392714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机械设备制造企业的评估，资产评估专业人员需要关注企业所具备的上述特征，处于成长期的企业可以采用以市盈率相对盈利增长比率（PEG）、市销率（PS）、企业价值与营业收入比率（EV/S）等作为价值比率的市场法或者现金流折现法进行评估。</w:t>
      </w:r>
    </w:p>
    <w:p w14:paraId="341135E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对于业务具备周期性的机械设备制造企业可以采用以市净率（PB）作为价值比率的市场法或者重置成本法进行评估。</w:t>
      </w:r>
    </w:p>
    <w:p w14:paraId="134E52E3" w14:textId="176A76F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新材料行业，主要定位于研制具有传统材料不具备的优异性能或者某种特殊功能的新型材料企业，主要包括先进钢铁材料、先进有色金属材料、先进石化化工新材料、先进无机非金属材料、高性能复合材料、前沿新材料以及相关服务等领域。</w:t>
      </w:r>
    </w:p>
    <w:p w14:paraId="3ECE922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新材料科创企业多处于高速成长期，业务尚未形成规模，净利润波动较为明显，而销售收入增长趋势相对稳定，可以采用以收入比率（PS、EV/S）作为价值比率的市场法进行评估。对于处于稳定阶段的新材料科创企业，其规模、收入和利润均处于一个相对稳定的状态，可以采用成熟期科创企业适用方法进行评估。</w:t>
      </w:r>
    </w:p>
    <w:p w14:paraId="15C8B04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新材料行业通常存在较高额度的折旧摊销，在选取市场法价值比率时，企业价值与息税折旧及摊销前利润比率因为可以避免折旧摊销的影响而更为适用，市净率也可以从成本角度出发体现企业价值。</w:t>
      </w:r>
    </w:p>
    <w:p w14:paraId="4F1FD87B" w14:textId="6B91F06A"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color w:val="000000"/>
          <w:kern w:val="0"/>
          <w:sz w:val="24"/>
          <w:szCs w:val="24"/>
          <w:lang w:bidi="ar"/>
        </w:rPr>
        <w:t>第四十八条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新能源行业，主要包括新能源供给行业以及新能源应用行业。新能源供应行业主要包括先进核电、大型风电、高效光电光热、高效储能等企业；新能源应用行业目前主要包括新能源汽车关键零部件生产、动力电池生产以及相关技术</w:t>
      </w:r>
      <w:r>
        <w:rPr>
          <w:rFonts w:ascii="宋体" w:hAnsi="宋体" w:cs="宋体" w:hint="eastAsia"/>
          <w:color w:val="000000"/>
          <w:kern w:val="0"/>
          <w:sz w:val="24"/>
          <w:szCs w:val="24"/>
          <w:lang w:bidi="ar"/>
        </w:rPr>
        <w:lastRenderedPageBreak/>
        <w:t>服务等企业。</w:t>
      </w:r>
    </w:p>
    <w:p w14:paraId="13C0B91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光热发电、储能设备以及海上风电等领域中处于初创期的企业，通常在研发和基础设施方面具有较高的投入，业绩存在波动风险而且可能处于亏损状态，财务指标难以客观反映企业价值，可以采用风险调整现金流折现法（rNPV）、估值扩张倍数法（VM指数）或者修正经济增加值模型（REVA）等方法进行评估。</w:t>
      </w:r>
    </w:p>
    <w:p w14:paraId="638A132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处于初创期的新能源汽车行业，市场规模增长较快，但是对应的企业可能尚未实现盈利，经营和投资现金流量为负值，可以采用以市销率（PS）或者股价比销量（PSV）作为价值比率的市场法进行评估。对于未来发展过程中现金流量改善预期较为可靠的企业，也可以采用收益法进行评估。处于成长期的新能源汽车企业，资本投入已具备规模，市场规模增长较为稳定的，可以采用以市盈率（PE）、市净率（PB）、市销率（PS）、市盈率相对盈利增长比率（PEG）等作为价值比率的市场法或者收益法等进行评估。</w:t>
      </w:r>
    </w:p>
    <w:p w14:paraId="430DB0E9" w14:textId="0EC8D338"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第四十九条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节能环保行业，主要包括高效节能产品以及设备，先进环保技术装备，先进环保产品，资源循环利用关键技术装备、产品和服务产业等细分行业。</w:t>
      </w:r>
    </w:p>
    <w:p w14:paraId="7F48AA2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节能环保型企业可以采用收益法、市场法进行评估。采用收益法时，资产评估专业人员应当关注并核查验证企业现金流量产生的合理性以及可持续性。采用以企业价值与息税折旧及摊销前利润比率（EV/EBITDA）、市盈率（PE）、市销率（PS）、市净率（PB）等作为价值比率的市场法时，资产评估专业人员应当关注可比公司与被评估单位在会计政策、财务指标等方面计算口径的一致性，企业规模、主营业务的可比性。</w:t>
      </w:r>
    </w:p>
    <w:p w14:paraId="21B41C91" w14:textId="3AFACC9A"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对于属于其他行业的科创企业，资产评估专业人员需要根据企业所处的细分行业、产业链以及其他因素，恰当选择评估方法。</w:t>
      </w:r>
    </w:p>
    <w:p w14:paraId="15B8B953" w14:textId="72EFF008" w:rsidR="00A320E6" w:rsidRDefault="00000000" w:rsidP="0058001D">
      <w:pPr>
        <w:pStyle w:val="13"/>
        <w:spacing w:before="62" w:after="62"/>
      </w:pPr>
      <w:r>
        <w:rPr>
          <w:rFonts w:hint="eastAsia"/>
          <w:lang w:bidi="ar"/>
        </w:rPr>
        <w:t>第七章</w:t>
      </w:r>
      <w:r w:rsidR="0058001D">
        <w:rPr>
          <w:rFonts w:hint="eastAsia"/>
          <w:lang w:bidi="ar"/>
        </w:rPr>
        <w:t xml:space="preserve"> </w:t>
      </w:r>
      <w:r>
        <w:rPr>
          <w:rFonts w:hint="eastAsia"/>
          <w:lang w:bidi="ar"/>
        </w:rPr>
        <w:t>报告披露</w:t>
      </w:r>
    </w:p>
    <w:p w14:paraId="6AAA660A" w14:textId="552D68D5"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第五十一条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应当知悉，科创企业价值评估结论建立在特定评估假设和前提条件的基础上，由于科创企业的研发成效、商业模式、市场进入、盈利能力、持续成长等方面通常存在较大的不确定性，评估结论在很大程度上建立在特定的评估假设和前提条件的基础上，核查验证程序通常也难以充分、全面、精准地消除导致评估结论存在不确定性的全部因素，因此，需要在资产评估报告中对特殊评估假设和前提条件、评估程序履行和评估资料核查验证的局限性、评估结论的</w:t>
      </w:r>
      <w:r>
        <w:rPr>
          <w:rFonts w:ascii="宋体" w:hAnsi="宋体" w:cs="宋体" w:hint="eastAsia"/>
          <w:color w:val="000000"/>
          <w:kern w:val="0"/>
          <w:sz w:val="24"/>
          <w:szCs w:val="24"/>
          <w:lang w:bidi="ar"/>
        </w:rPr>
        <w:lastRenderedPageBreak/>
        <w:t>表现形式以及相应量化分析、评估结论有效期、评估结论的使用前提和使用风险等内容进行充分披露，并且保持多个披露期间信息披露标准的一致性。</w:t>
      </w:r>
    </w:p>
    <w:p w14:paraId="26197303" w14:textId="3257A256"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第五十二条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资产评估报告应当充分披露对评估结论构成重大影响的信息，通常包括：</w:t>
      </w:r>
    </w:p>
    <w:p w14:paraId="395E0AB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（一）重要评估假设以及前提；</w:t>
      </w:r>
    </w:p>
    <w:p w14:paraId="67CDD30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（二）权属瑕疵事项；</w:t>
      </w:r>
    </w:p>
    <w:p w14:paraId="5E26083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（三）资产评估程序履行，特别是评估资料核查验证的受限事项；</w:t>
      </w:r>
    </w:p>
    <w:p w14:paraId="7415064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（四）科创企业的核心技术能力，关键评估参数测算依据，逻辑计算过程、重要评估数据获取来源；</w:t>
      </w:r>
    </w:p>
    <w:p w14:paraId="659FDB9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（五）评估结论涉及的压力测试以及敏感性分析信息；</w:t>
      </w:r>
    </w:p>
    <w:p w14:paraId="40B90AD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（六）对科创企业评估结论有重要影响的或有事项以及期后事项；</w:t>
      </w:r>
    </w:p>
    <w:p w14:paraId="15E2077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（七）科创企业业务经营不确定性相关内外部因素分析；</w:t>
      </w:r>
    </w:p>
    <w:p w14:paraId="1B462C6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kern w:val="0"/>
          <w:sz w:val="24"/>
          <w:szCs w:val="24"/>
          <w:lang w:bidi="ar"/>
        </w:rPr>
        <w:t>（八）资产评估机构、资产评估专业人员责任边界的划分或者资产评估报告使用限制的声明。</w:t>
      </w:r>
    </w:p>
    <w:p w14:paraId="6E21B3F8" w14:textId="122DB1F3"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第五十三条</w:t>
      </w:r>
      <w:r w:rsidR="00C36EF7">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根据科创企业所属细分行业、所处发展阶段的不同，评估结论可以是确定的数值，也可以是区间值，或者其他形式的专业意见。</w:t>
      </w:r>
    </w:p>
    <w:p w14:paraId="1E02216A" w14:textId="575CF9DD"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第五十四条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根据委托人、报告使用人要求，对于可能对评估结论构成重大影响的因素，资产评估专业人员可以采用压力测试、敏感性分析方法进行分析，在评估报告中予以披露并作出必要的风险提示，帮助委托人以及评估报告使用人正确理解评估结论。</w:t>
      </w:r>
    </w:p>
    <w:p w14:paraId="52C89DC6" w14:textId="7D7CA61F"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第五十五条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执行科创企业资产评估业务，除了需要考虑传统的常规假设外，还需要考虑情景假设、参数假设等，例如具体的市场前景假设、产品价格假设、上市流通假设等，并在资产评估报告中进行充分披露。</w:t>
      </w:r>
    </w:p>
    <w:p w14:paraId="75598C98" w14:textId="46E682A3"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第五十六条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资产评估专业人员需要在资产评估报告中充分披露评估工作的范围，必要时明确不属于评估工作范围的事项。</w:t>
      </w:r>
    </w:p>
    <w:p w14:paraId="077390FE" w14:textId="40221481"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第五十七条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资产评估专业人员应当结合科创企业风险特征，充分披露评估结论的使用前提以及可能存在的风险。</w:t>
      </w:r>
    </w:p>
    <w:p w14:paraId="778E17CB" w14:textId="1EE9D25E"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t>第五十八条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资产评估专业人员应当结合科创企业的发展阶段特征、技术前沿属性，合理分析评估结论的时效性，客观确定评估结论使用有效期。</w:t>
      </w:r>
    </w:p>
    <w:p w14:paraId="2133B771" w14:textId="3DCFDE52"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color w:val="000000"/>
          <w:kern w:val="0"/>
          <w:sz w:val="24"/>
          <w:szCs w:val="24"/>
          <w:lang w:bidi="ar"/>
        </w:rPr>
        <w:lastRenderedPageBreak/>
        <w:t>第五十九条</w:t>
      </w:r>
      <w:r w:rsidR="00A45A13">
        <w:rPr>
          <w:rFonts w:ascii="宋体" w:hAnsi="宋体" w:cs="宋体" w:hint="eastAsia"/>
          <w:b/>
          <w:color w:val="000000"/>
          <w:kern w:val="0"/>
          <w:sz w:val="24"/>
          <w:szCs w:val="24"/>
          <w:lang w:bidi="ar"/>
        </w:rPr>
        <w:t xml:space="preserve"> </w:t>
      </w:r>
      <w:r>
        <w:rPr>
          <w:rFonts w:ascii="宋体" w:hAnsi="宋体" w:cs="宋体" w:hint="eastAsia"/>
          <w:color w:val="000000"/>
          <w:kern w:val="0"/>
          <w:sz w:val="24"/>
          <w:szCs w:val="24"/>
          <w:lang w:bidi="ar"/>
        </w:rPr>
        <w:t>资产评估专业人员需要知晓，由于科创企业的技术迭代较快、企业经营成果变动频繁，不同评估基准日下评估结论可能存在明显差异，应当考虑评估结论与评估基准日的对应性，充分识别和分析期后事项。</w:t>
      </w:r>
    </w:p>
    <w:p w14:paraId="581124B8"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10" w:name="_Toc19172"/>
      <w:bookmarkStart w:id="11" w:name="_Toc30006"/>
      <w:bookmarkStart w:id="12" w:name="_Toc5057"/>
      <w:bookmarkStart w:id="13" w:name="_Toc112227350"/>
      <w:r>
        <w:rPr>
          <w:rFonts w:ascii="宋体" w:hAnsi="宋体" w:cs="宋体" w:hint="eastAsia"/>
          <w:b/>
          <w:bCs/>
          <w:sz w:val="24"/>
        </w:rPr>
        <w:t>资产评估专家指引</w:t>
      </w:r>
      <w:bookmarkStart w:id="14" w:name="_Toc7473"/>
      <w:bookmarkStart w:id="15" w:name="_Toc15798"/>
      <w:bookmarkStart w:id="16" w:name="_Toc28964"/>
      <w:bookmarkEnd w:id="10"/>
      <w:bookmarkEnd w:id="11"/>
      <w:bookmarkEnd w:id="12"/>
      <w:r>
        <w:rPr>
          <w:rFonts w:ascii="宋体" w:hAnsi="宋体" w:cs="宋体" w:hint="eastAsia"/>
          <w:b/>
          <w:bCs/>
          <w:sz w:val="24"/>
        </w:rPr>
        <w:t>——</w:t>
      </w:r>
      <w:r w:rsidRPr="00944A38">
        <w:rPr>
          <w:rFonts w:ascii="宋体" w:hAnsi="宋体" w:cs="宋体" w:hint="eastAsia"/>
          <w:b/>
          <w:bCs/>
          <w:color w:val="000000"/>
          <w:kern w:val="0"/>
          <w:sz w:val="24"/>
          <w:szCs w:val="24"/>
          <w:lang w:bidi="ar"/>
        </w:rPr>
        <w:t>知识产权</w:t>
      </w:r>
      <w:r>
        <w:rPr>
          <w:rFonts w:ascii="宋体" w:hAnsi="宋体" w:cs="宋体" w:hint="eastAsia"/>
          <w:b/>
          <w:bCs/>
          <w:sz w:val="24"/>
        </w:rPr>
        <w:t>侵权损害评估</w:t>
      </w:r>
      <w:bookmarkEnd w:id="14"/>
      <w:bookmarkEnd w:id="15"/>
      <w:bookmarkEnd w:id="16"/>
      <w:r>
        <w:rPr>
          <w:rFonts w:ascii="宋体" w:hAnsi="宋体" w:cs="宋体" w:hint="eastAsia"/>
          <w:b/>
          <w:bCs/>
          <w:sz w:val="24"/>
        </w:rPr>
        <w:t>（征求意见稿）</w:t>
      </w:r>
      <w:bookmarkEnd w:id="13"/>
    </w:p>
    <w:p w14:paraId="24BA89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本专家指引是一种专家建议。资产评估机构执行资产评估业务，可以参照本专家指引。中国资产评估协会将根据业务发展，对本专家指引进行更新。</w:t>
      </w:r>
    </w:p>
    <w:p w14:paraId="23321C60" w14:textId="0D3B53C3" w:rsidR="00A320E6" w:rsidRDefault="00000000" w:rsidP="0058001D">
      <w:pPr>
        <w:pStyle w:val="13"/>
        <w:spacing w:before="62" w:after="62"/>
      </w:pPr>
      <w:r>
        <w:rPr>
          <w:rFonts w:hint="eastAsia"/>
        </w:rPr>
        <w:t>第一章</w:t>
      </w:r>
      <w:r w:rsidR="0058001D">
        <w:rPr>
          <w:rFonts w:hint="eastAsia"/>
        </w:rPr>
        <w:t xml:space="preserve"> </w:t>
      </w:r>
      <w:r>
        <w:rPr>
          <w:rFonts w:hint="eastAsia"/>
        </w:rPr>
        <w:t>引言</w:t>
      </w:r>
    </w:p>
    <w:p w14:paraId="54775AB4" w14:textId="4BB4925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为指导资产评估机构及其资产评估专业人员执行知识产权侵权损害评估业务，中国资产评估协会组织制定了本专家指引。</w:t>
      </w:r>
    </w:p>
    <w:p w14:paraId="01DF7E57" w14:textId="5EA322A4"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本专家指引所称知识产权侵权损害，是指侵权人非法侵害或使用权利人合法拥有的知识产权，对权利人造成的经济利益的损失。其中，知识产权包括商标、专利、著作权、商业秘密、地理标志、集成电路布图设计和植物新品种等。</w:t>
      </w:r>
    </w:p>
    <w:p w14:paraId="75FE8600" w14:textId="183777A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本专家指引所称知识产权侵权损害评估，是指资产评估机构及其资产评估专业人员遵守国家法律法规、参考知识产权相关评估准则，根据法院委托对知识产权侵权损害进行评定、估算，并出具资产评估报告的专业服务行为。</w:t>
      </w:r>
    </w:p>
    <w:p w14:paraId="4067A942" w14:textId="63C4F055"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资产评估机构及其资产评估专业人员执行非法院委托的知识产权侵权损害评估业务，可以参照本专家指引。</w:t>
      </w:r>
    </w:p>
    <w:p w14:paraId="63D53219" w14:textId="4F08D7A6" w:rsidR="00A320E6" w:rsidRDefault="00000000" w:rsidP="0058001D">
      <w:pPr>
        <w:pStyle w:val="13"/>
        <w:spacing w:before="62" w:after="62"/>
      </w:pPr>
      <w:r>
        <w:rPr>
          <w:rFonts w:hint="eastAsia"/>
        </w:rPr>
        <w:t>第二章</w:t>
      </w:r>
      <w:r w:rsidR="0058001D">
        <w:rPr>
          <w:rFonts w:hint="eastAsia"/>
        </w:rPr>
        <w:t xml:space="preserve"> </w:t>
      </w:r>
      <w:r>
        <w:rPr>
          <w:rFonts w:hint="eastAsia"/>
        </w:rPr>
        <w:t>基本遵循</w:t>
      </w:r>
    </w:p>
    <w:p w14:paraId="04EFE338" w14:textId="3DD672CD"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资产评估机构及其资产评估专业人员开展知识产权侵权损害评估业务，应当遵守知识产权相关法律、行政法规和资产评估准则规定，坚持独立、客观、公正的原则，诚实守信，勤勉尽责，谨慎从业，遵守职业道德规范，自觉维护职业形象，不得从事损害职业形象的活动。</w:t>
      </w:r>
    </w:p>
    <w:p w14:paraId="01EC91AC" w14:textId="31C0BA6A"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资产评估机构及其资产评估专业人员开展知识产权侵权损害评估业务，应当独立进行分析和估算并形成专业意见，拒绝委托人或者相关当事人的干预，不得直接以预先设定的金额作为评估结论。</w:t>
      </w:r>
    </w:p>
    <w:p w14:paraId="6B9D1B0B" w14:textId="3797ECD4"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执行知识产权侵权损害评估业务，应当具备知识产权侵权损害评估的专业知识和实践经验，能够胜任所执行的知识产权侵权损害评估业务。</w:t>
      </w:r>
    </w:p>
    <w:p w14:paraId="052371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（一）应当关注知识产权侵权损害评估业务的复杂性，根据自身的资产评估专业人员配备、专业知识和经验，审慎考虑是否有能力受理知识产权侵权损害评估业</w:t>
      </w:r>
      <w:r>
        <w:rPr>
          <w:rFonts w:ascii="宋体" w:hAnsi="宋体" w:cs="宋体" w:hint="eastAsia"/>
          <w:sz w:val="24"/>
        </w:rPr>
        <w:lastRenderedPageBreak/>
        <w:t>务。</w:t>
      </w:r>
    </w:p>
    <w:p w14:paraId="3BCA14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（二）执行某项特定业务缺乏特定的专业知识和实践经验时，应当采取弥补措施，包括利用专家工作及相关报告等。</w:t>
      </w:r>
    </w:p>
    <w:p w14:paraId="527DD676" w14:textId="1D0B6967" w:rsidR="00A320E6" w:rsidRDefault="00000000" w:rsidP="0058001D">
      <w:pPr>
        <w:pStyle w:val="13"/>
        <w:spacing w:before="62" w:after="62"/>
      </w:pPr>
      <w:r>
        <w:rPr>
          <w:rFonts w:hint="eastAsia"/>
        </w:rPr>
        <w:t>第三章</w:t>
      </w:r>
      <w:r w:rsidR="0058001D">
        <w:rPr>
          <w:rFonts w:hint="eastAsia"/>
        </w:rPr>
        <w:t xml:space="preserve"> </w:t>
      </w:r>
      <w:r>
        <w:rPr>
          <w:rFonts w:hint="eastAsia"/>
        </w:rPr>
        <w:t>操作要求</w:t>
      </w:r>
    </w:p>
    <w:p w14:paraId="4099504C" w14:textId="270A8360"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执行知识产权侵权损害评估业务，需要明确评估目的、评估对象、损害行为、损害期间、损害范围、评估方法等评估基本事项。</w:t>
      </w:r>
    </w:p>
    <w:p w14:paraId="54AA4EDF" w14:textId="4FF846A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知识产权侵权损害的评估目的是确定权利人在遭受侵权后所损失的经济利益，为法院判决提供参考。</w:t>
      </w:r>
    </w:p>
    <w:p w14:paraId="24A0A3FE" w14:textId="5092DC7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执行知识产权侵权损害评估业务，资产评估专业人员需要与委托人和相关当事人进行充分沟通，在了解案件基本情况的基础上重点关注评估对象、损害行为、损害期间和损害范围等。</w:t>
      </w:r>
    </w:p>
    <w:p w14:paraId="41C01F17" w14:textId="637DFD11"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根据法律法规和司法解释的相关规定，增量收益（或费用减少）途径是确定知识产权侵权损害的主要途径，将资产评估技术应用于知识产权侵权损害评估，结合司法判例，主要方法包括侵权损失法、侵权获利法及合理许可费法。根据案件基本情况，资产评估机构及其资产评估专业人员也可以选择法院以及当事人认可的其他方法。</w:t>
      </w:r>
    </w:p>
    <w:p w14:paraId="02758AB4" w14:textId="5E7A16B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执行知识产权侵权损害评估业务，需要关注涉案知识产权资产的基本情况：</w:t>
      </w:r>
    </w:p>
    <w:p w14:paraId="7256CA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（一）知识产权资产权利的法律文件、权属有效性文件或其他证明文件；</w:t>
      </w:r>
    </w:p>
    <w:p w14:paraId="06A713B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（二）知识产权资产特征、资产组合情况、使用状况或实施状态、历史沿革以及以往的评估和交易情况；</w:t>
      </w:r>
    </w:p>
    <w:p w14:paraId="52AB62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（三）知识产权资产实施的地域范围、领域范围、获利能力和收益模式；</w:t>
      </w:r>
    </w:p>
    <w:p w14:paraId="13EB52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（四）知识产权资产是否能给权利人带来持续的可辨识经济利益；</w:t>
      </w:r>
    </w:p>
    <w:p w14:paraId="45CF8C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（五）知识产权资产的法定寿命和剩余经济寿命，知识产权资产的保护措施；</w:t>
      </w:r>
    </w:p>
    <w:p w14:paraId="4647C9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（六）知识产权资产在实施过程中所受到的法律、行政法规或其他限制；</w:t>
      </w:r>
    </w:p>
    <w:p w14:paraId="4AFB19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（七）类似知识产权资产的许可费率及类似知识产权资产自身市场交易价格信息；</w:t>
      </w:r>
    </w:p>
    <w:p w14:paraId="1E0A63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（八）知识产权资产遭受侵权的起始时间、期限，以及侵权对权利人造成的经济利益损害情况、侵权人非法获利情况等；</w:t>
      </w:r>
    </w:p>
    <w:p w14:paraId="0F8F72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（九）其他相关信息。</w:t>
      </w:r>
    </w:p>
    <w:p w14:paraId="0D3AFF5F" w14:textId="2A5E435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执行知识产权侵权损害评估业务，需要尽可能要求委托人和相关当事人提供相关资料并对资料的真实性、完整性、合法性进行确认，并通过市场调查、专家访谈等方式收集权利人遭受侵权而损失的经济利益以及侵权人因侵权所获得的经济利益等评估资料，必要时可以利用专家工作及相关报告。</w:t>
      </w:r>
    </w:p>
    <w:p w14:paraId="2B63A07A" w14:textId="7B972FE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执行知识产权侵权损害评估业务，需要尽可能在委托人和相关当事人的配合下进行现场调查，保留必要的文字、语音、照片、影像等资料，以书面形式记录调查的时间、地点、过程、结果等，并与委托人和相关当事人等共同确认。对于委托人或相关当事人不在场或不予配合的情况，需要详细记录现场情况，收集必要的证据资料，并在资产评估报告中予以披露。</w:t>
      </w:r>
    </w:p>
    <w:p w14:paraId="28102E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第四章评估方法</w:t>
      </w:r>
    </w:p>
    <w:p w14:paraId="0FCD32D7" w14:textId="43A02B2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根据当前法律法规及司法解释规定，知识产权侵权损害评估方法选择的先后次序为侵权损失法、侵权获利法、合理许可费法，即知识产权侵权损害数额首先要根据权利人因被侵权所遭受的实际损失确定，实际损失难以确定的，可以按照侵权人因侵权所获得的利益确定，权利人损失或侵权人获利均难以确定的，可参照该知识产权许可费的倍数合理确定。执行知识产权侵权损害评估业务，需要根据资产评估程序的可执行情况、评估资料的可获取情况等，按照优先次序选择一种合适的方法进行评估。当存在特殊情形需要用到两种或两种以上评估方法的，应当与法院及相关当事人进行充分沟通，并在评估报告中进行披露说明。</w:t>
      </w:r>
    </w:p>
    <w:p w14:paraId="4E24270A" w14:textId="59D4946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侵权损失法是以权利人知识产权在侵权损害期间收益的减少总额确定侵权损害金额的方法，用公式可以表示为：</w:t>
      </w:r>
    </w:p>
    <w:p w14:paraId="5BFA88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当侵权时间较长，知识产权侵权损害评估需要考虑时间价值的影响。</w:t>
      </w:r>
    </w:p>
    <w:p w14:paraId="3559E063" w14:textId="730196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侵权损失法中的损失收益是指权利人被侵权后的收益水平与未遭受侵权时可获得的收益水平的差额，用公式表示如下：</w:t>
      </w:r>
    </w:p>
    <w:p w14:paraId="54020E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资产评估专业人员对损失收益的测算要充分考虑侵权行为对权利人产品销量、产品销售价格以及成本费用的影响。</w:t>
      </w:r>
    </w:p>
    <w:p w14:paraId="6DFCE551" w14:textId="58459F1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侵权对权利人产品销量的影响可以用替代法、趋势法、比较法等方法对权利人的销量损失进行度量。</w:t>
      </w:r>
    </w:p>
    <w:p w14:paraId="19F641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替代法是用侵权人销量作为权利人销量损失的一种简便方法，适用于市场上仅</w:t>
      </w:r>
      <w:r>
        <w:rPr>
          <w:rFonts w:ascii="宋体" w:hAnsi="宋体" w:cs="宋体" w:hint="eastAsia"/>
          <w:sz w:val="24"/>
        </w:rPr>
        <w:lastRenderedPageBreak/>
        <w:t>有权利人产品与侵权产品两种，二者在功能特性、用途和价格没有明显差异，权利人产品销量与侵权产品销量存在较强的此消彼长关系的情形。</w:t>
      </w:r>
    </w:p>
    <w:p w14:paraId="172E17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趋势法是以权利人未遭受侵权时的历史销量水平为基础，采用回归或外推技术预测权利人在未遭受侵权假设前提下的理论销量水平，通过与遭受侵权后的实际销量水平进行比较得到侵权造成的销量损失的一种方法，适用于知识产权产品在遭受侵权之前具有稳定（增长）的情形。</w:t>
      </w:r>
    </w:p>
    <w:p w14:paraId="5E5630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比较法是以与被评估知识产权相近的产品为参照，通过比较权利人知识产权产品在其遭受侵权前后与同类可比产品销量差异的变化，反推得到权利人销量损失的一种方法，适用范围较广。</w:t>
      </w:r>
    </w:p>
    <w:p w14:paraId="2B929FEB" w14:textId="241AA6B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无论采用哪种方法估算权利人销量损失，均需通过以下几个方面的论证检验：一是有适当的证据能够表明知识产权产品在未遭受侵权假设情形下能够实现预计的市场需求，如产品历史订单保持稳定增长，产品市场规模不断扩大等；二是权利人具有满足其产品市场需求的产出能力、营销能力和融资能力，如产品线数量和产能充足，生产人员和营销人员具备足够的专业胜任能力，信用评级良好能够及时获得所需贷款等；三是权利人销量损失确因侵权行为所致，而非宏观经济、行业环境变化等系统性因素的影响。</w:t>
      </w:r>
    </w:p>
    <w:p w14:paraId="330DC167" w14:textId="3DD88D2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侵权对权利人产品价格的影响表现为市场上同类产品供给量增加所导致的产品价格下降，可以通过市场调研、专家访谈估测权利人产品在未遭受侵权情形下的合理价格水平。</w:t>
      </w:r>
    </w:p>
    <w:p w14:paraId="31C16DC0" w14:textId="0195173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侵权对权利人成本费用的影响主要是指与产品收益直接相关的涉案知识产权产品营业成本、管理费用、销售费用、研发费用等在侵权前后的变化，可以通过涉案知识产权产品在未遭受侵权时的收益占销售收入的比例或市场同类或相似产品的收益占销售收入的比例推算出权利人在侵权期间未遭受侵权假设情形下的预计成本费用金额。</w:t>
      </w:r>
    </w:p>
    <w:p w14:paraId="649C36B7" w14:textId="5CBBE97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侵权获利法是以侵权人因侵权所获得的利益总额确定侵权损害金额的方法，用公式可以表示为：</w:t>
      </w:r>
    </w:p>
    <w:p w14:paraId="57EBED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同样地，当侵权时间较长，公式中的侵权获利还需要考虑时间价值的影响。</w:t>
      </w:r>
    </w:p>
    <w:p w14:paraId="110D1F2B" w14:textId="7BB6EDE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若侵权人在侵权之前没有涉案知识产权相关产品，则侵权人从侵权行为中获得的利益可以用侵权产品总销量乘以每件侵权产品的合理利润所得之积计</w:t>
      </w:r>
      <w:r>
        <w:rPr>
          <w:rFonts w:ascii="宋体" w:hAnsi="宋体" w:cs="宋体" w:hint="eastAsia"/>
          <w:sz w:val="24"/>
        </w:rPr>
        <w:lastRenderedPageBreak/>
        <w:t>算，但需要考虑涉案知识产权在侵权获利中所贡献的比例；若侵权人在侵权之前已有相关产品销售，侵权人从侵权行为中获得的利益应是侵权人在侵权前后的收益变化，可以参照侵权损失法分析侵权行为对侵权人产品销量、价格以及成本费用的影响。</w:t>
      </w:r>
    </w:p>
    <w:p w14:paraId="3F71797B" w14:textId="49E7A64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合理许可费法是以知识产权许可费的合理倍数确定侵权损害数额的方法。采用合理许可费法确定侵权损害时，需要重点关注对许可费合理性的判断，合理许可费的常见确定方法有可比参照法、假想协商法和分析法等。</w:t>
      </w:r>
    </w:p>
    <w:p w14:paraId="7F4E3ABF" w14:textId="64E6BFC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可比参照法是以可比参照物的许可费确定权利人的知识产权合理许可费的一种方法。采用可比参照法确定合理许可费有两种途径，一种是权利人与他人签订许可使用协议中约定的许可费，另一种是同类知识产权的许可费。无论采取哪种途径，都需要对所参照许可费的合理性进行恰当分析，并结合许可使用与侵权使用在时间、地域等方面的差异性，合理确定侵权损害数额。</w:t>
      </w:r>
    </w:p>
    <w:p w14:paraId="7730B422" w14:textId="76663B3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假想协商法是假定在一个虚拟的谈判环境下，有意愿的权利人与有意愿的侵权人经过协商之后得出合理许可费的一种方法。采用假想协商法确定合理许可费，需要充分考虑假设谈判日期及双方的谈判能力、知识产权获利能力、许可性质、有效期与许可期限、侵权程度等因素对确定合理许可费的影响。</w:t>
      </w:r>
    </w:p>
    <w:p w14:paraId="227B7B35" w14:textId="661A2CF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分析法是通过比较侵权产品的预计毛利润水平与行业平均毛利润水平之间的差异，以此确定合理许可费率的一种方法。采用分析法确定合理许可费，关键在于确定合理的行业平均利润率，可以选择算术平均或行业总利润除以行业总销售额的方法进行合理测算，也可以利用相关政府部门或行业协会公布的数据、独立第三方机构发布的研究数据等进行综合分析后确定。</w:t>
      </w:r>
    </w:p>
    <w:p w14:paraId="763267A8" w14:textId="1C885F56" w:rsidR="00A320E6" w:rsidRDefault="00000000" w:rsidP="0058001D">
      <w:pPr>
        <w:pStyle w:val="13"/>
        <w:spacing w:before="62" w:after="62"/>
      </w:pPr>
      <w:r>
        <w:rPr>
          <w:rFonts w:hint="eastAsia"/>
        </w:rPr>
        <w:t>第五章</w:t>
      </w:r>
      <w:r w:rsidR="0058001D">
        <w:rPr>
          <w:rFonts w:hint="eastAsia"/>
        </w:rPr>
        <w:t xml:space="preserve"> </w:t>
      </w:r>
      <w:r>
        <w:rPr>
          <w:rFonts w:hint="eastAsia"/>
        </w:rPr>
        <w:t>披露要求</w:t>
      </w:r>
    </w:p>
    <w:p w14:paraId="06BF9C35" w14:textId="7723B38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编制知识产权侵权损害资产评估报告需要披露形成评估结论的相关内容，通常包括：</w:t>
      </w:r>
    </w:p>
    <w:p w14:paraId="7FD860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（一）涉案知识产权资产及侵权案件的基本信息；</w:t>
      </w:r>
    </w:p>
    <w:p w14:paraId="2AFF4C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（二）委托人与相关当事人对侵权损害期间、损害范围的确定过程；</w:t>
      </w:r>
    </w:p>
    <w:p w14:paraId="1F1AAF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（三）侵权损害评估方法的选择及其理由；</w:t>
      </w:r>
    </w:p>
    <w:p w14:paraId="5DD211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（四）评估所用财务数据的来源，以及侵权损害测算的过程；</w:t>
      </w:r>
    </w:p>
    <w:p w14:paraId="5F08A2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（五）对测算结果进行分析，形成评估结论的过程；</w:t>
      </w:r>
    </w:p>
    <w:p w14:paraId="694A0E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（六）评估结论成立的假设前提和限制条件；</w:t>
      </w:r>
    </w:p>
    <w:p w14:paraId="5922A9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（七）可能影响评估结论的特别事项。</w:t>
      </w:r>
    </w:p>
    <w:p w14:paraId="21E03B42" w14:textId="7DA336A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编制知识产权侵权损害资产评估报告，需要对以下内容进行重点披露和说明：</w:t>
      </w:r>
    </w:p>
    <w:p w14:paraId="324E1F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（一）侵权案件当事人双方的相关信息，包括经营历史、现状及对涉案知识产权的利用情况；</w:t>
      </w:r>
    </w:p>
    <w:p w14:paraId="7A1A76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（二）涉案知识产权与其他相关经济利益主体的利益分配情况；</w:t>
      </w:r>
    </w:p>
    <w:p w14:paraId="644569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（三）是否进行了现场调查，以及现场调查和资料收集过程中相关当事人的配合情况；</w:t>
      </w:r>
    </w:p>
    <w:p w14:paraId="55EA9F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（四）评估资料缺失情况和处理方式，以及对评估结论的可能影响；</w:t>
      </w:r>
    </w:p>
    <w:p w14:paraId="24FC1C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（五）选用两种或两种以上评估方法的理由及原因分析；</w:t>
      </w:r>
    </w:p>
    <w:p w14:paraId="76DED3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（六）利用专家工作及相关报告的内容；</w:t>
      </w:r>
    </w:p>
    <w:p w14:paraId="5D52ED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（七）其他可能影响正确理解评估结论和资产评估报告使用的事项。</w:t>
      </w:r>
    </w:p>
    <w:p w14:paraId="5168F49B"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17" w:name="_Toc21874"/>
      <w:bookmarkStart w:id="18" w:name="_Toc17494"/>
      <w:bookmarkStart w:id="19" w:name="_Toc12425"/>
      <w:bookmarkStart w:id="20" w:name="_Toc112227351"/>
      <w:r>
        <w:rPr>
          <w:rFonts w:ascii="宋体" w:hAnsi="宋体" w:cs="宋体" w:hint="eastAsia"/>
          <w:b/>
          <w:bCs/>
          <w:sz w:val="24"/>
        </w:rPr>
        <w:t>资产评估专家指引——计算机软件著作权</w:t>
      </w:r>
      <w:bookmarkStart w:id="21" w:name="_Toc26229"/>
      <w:bookmarkStart w:id="22" w:name="_Toc13287"/>
      <w:bookmarkStart w:id="23" w:name="_Toc5244"/>
      <w:bookmarkEnd w:id="17"/>
      <w:bookmarkEnd w:id="18"/>
      <w:bookmarkEnd w:id="19"/>
      <w:r>
        <w:rPr>
          <w:rFonts w:ascii="宋体" w:hAnsi="宋体" w:cs="宋体" w:hint="eastAsia"/>
          <w:b/>
          <w:bCs/>
          <w:sz w:val="24"/>
        </w:rPr>
        <w:t>资产评估</w:t>
      </w:r>
      <w:bookmarkStart w:id="24" w:name="_Toc26339"/>
      <w:bookmarkStart w:id="25" w:name="_Toc31014"/>
      <w:bookmarkStart w:id="26" w:name="_Toc13488"/>
      <w:bookmarkEnd w:id="21"/>
      <w:bookmarkEnd w:id="22"/>
      <w:bookmarkEnd w:id="23"/>
      <w:r>
        <w:rPr>
          <w:rFonts w:ascii="宋体" w:hAnsi="宋体" w:cs="宋体" w:hint="eastAsia"/>
          <w:b/>
          <w:bCs/>
          <w:sz w:val="24"/>
        </w:rPr>
        <w:t>（征求意见稿）</w:t>
      </w:r>
      <w:bookmarkEnd w:id="20"/>
      <w:bookmarkEnd w:id="24"/>
      <w:bookmarkEnd w:id="25"/>
      <w:bookmarkEnd w:id="26"/>
    </w:p>
    <w:p w14:paraId="427CC6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本专家指引是一种专家建议。评估机构执行资产评估业务，可以参照本专家指引，也可以根据具体情况采用其他适当的做法。中国资产评估协会将根据业务发展，对本专家指引进行更新。</w:t>
      </w:r>
    </w:p>
    <w:p w14:paraId="47E1E242" w14:textId="308629D8" w:rsidR="00A320E6" w:rsidRDefault="00000000" w:rsidP="0058001D">
      <w:pPr>
        <w:pStyle w:val="13"/>
        <w:spacing w:before="62" w:after="62"/>
      </w:pPr>
      <w:r>
        <w:rPr>
          <w:rFonts w:hint="eastAsia"/>
        </w:rPr>
        <w:t>第一章</w:t>
      </w:r>
      <w:r w:rsidR="0058001D">
        <w:rPr>
          <w:rFonts w:hint="eastAsia"/>
        </w:rPr>
        <w:t xml:space="preserve"> </w:t>
      </w:r>
      <w:r>
        <w:rPr>
          <w:rFonts w:hint="eastAsia"/>
        </w:rPr>
        <w:t>引言</w:t>
      </w:r>
    </w:p>
    <w:p w14:paraId="3FB1D964" w14:textId="14C36952"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针对计算机软件著作权资产特点，结合目前实际操作中的部分难点及要点，中国资产评估协会组织制定了本专家指引。</w:t>
      </w:r>
    </w:p>
    <w:p w14:paraId="24ED9BE2" w14:textId="23A8734F"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本专家指引所指计算机软件著作权资产是指计算机软件著作权权利人拥有或者控制的，能够持续发挥作用并且能带来经济利益的计算机软件著作权的财产权益和与计算机软件著作权有关权利的财产权益。</w:t>
      </w:r>
    </w:p>
    <w:p w14:paraId="4A81FCAD" w14:textId="6CDF7AAB"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本专家指引所指计算机软件著作权资产评估，是指资产评估机构及其资产评估专业人员遵守法律、行政法规和资产评估准则，接受委托对评估基准日特定目的下的计算机软件著作权资产价值进行评定和估算，并出具资产评估报告的专业服务行为。</w:t>
      </w:r>
    </w:p>
    <w:p w14:paraId="77C74EF0" w14:textId="7A3FC884" w:rsidR="00A320E6" w:rsidRDefault="00000000" w:rsidP="0058001D">
      <w:pPr>
        <w:pStyle w:val="13"/>
        <w:spacing w:before="62" w:after="62"/>
      </w:pPr>
      <w:r>
        <w:rPr>
          <w:rFonts w:hint="eastAsia"/>
        </w:rPr>
        <w:t>第二章</w:t>
      </w:r>
      <w:r w:rsidR="0058001D">
        <w:rPr>
          <w:rFonts w:hint="eastAsia"/>
        </w:rPr>
        <w:t xml:space="preserve"> </w:t>
      </w:r>
      <w:r>
        <w:rPr>
          <w:rFonts w:hint="eastAsia"/>
        </w:rPr>
        <w:t>评估对象</w:t>
      </w:r>
    </w:p>
    <w:p w14:paraId="342C4214" w14:textId="0DAD2E4F"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本专家指引所称“计算机软件”，特指计算机程序及其有关文档，与《计</w:t>
      </w:r>
      <w:r>
        <w:rPr>
          <w:rFonts w:ascii="宋体" w:hAnsi="宋体" w:cs="宋体" w:hint="eastAsia"/>
          <w:sz w:val="24"/>
        </w:rPr>
        <w:lastRenderedPageBreak/>
        <w:t>算机软件保护条例》相关用语含义一致。</w:t>
      </w:r>
    </w:p>
    <w:p w14:paraId="20EFBA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计算机程序，是指为了得到某种结果而可以由计算机等具有信息处理能力的装置执行的代码化指令序列，或者可以被自动转换成代码化指令序列的符号化指令序列或者符号化语句序列（同一计算机程序的源程序和目标程序为同一作品）。</w:t>
      </w:r>
    </w:p>
    <w:p w14:paraId="27D3AE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（二）文档，是指用来描述程序的内容、组成、设计、功能规格、开发情况、测试结果及使用方法的文字资料和图表等，如程序设计说明书、流程图、用户手册等。</w:t>
      </w:r>
    </w:p>
    <w:p w14:paraId="7EE98F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需特别说明的是，软件工程领域内所谓“软件”，除包含上述计算机程序及其有关文档外，还涉及运行计算机程序所需的数据（数据指所有能输入到计算机并能够被计算机程序处理的符号总称，例如文字、数值、声音、图像和视频等）。运行计算机程序所需的数据并不一定都涉及著作权；若其存在著作权，根据《中华人民共和国著作权法》《计算机软件保护条例》有关规定，其属于计算机软件以外的其他作品著作权。</w:t>
      </w:r>
    </w:p>
    <w:p w14:paraId="6143B09E" w14:textId="5E75E27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计算机软件著作权包括人身权利和财产权利。本专家指引所指计算机软件著作权资产评估对象，是指计算机软件著作权中的财产权益以及与计算机软件著作权有关权利的财产权益。</w:t>
      </w:r>
    </w:p>
    <w:p w14:paraId="7CDB93B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需特别说明的是，实践中常见的计算机软件的合法复制品不属于计算机软件著作权资产；计算机软件合法复制品所有人拥有的仅仅是载有软件著作权作品的复制品，而不是计算机软件著作权资产。</w:t>
      </w:r>
    </w:p>
    <w:p w14:paraId="0EBE7FB1" w14:textId="57DA20B8"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计算机软件著作权的财产权利形式包括计算机软件著作权人享有的权利和转让或者许可他人使用的权利。</w:t>
      </w:r>
    </w:p>
    <w:p w14:paraId="3D3563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许可使用形式包括法定许可和授权许可；授权许可形式包括专有许可、非专有许可和其他形式许可等。</w:t>
      </w:r>
    </w:p>
    <w:p w14:paraId="443204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当评估对象为计算机软件著作权许可使用权时，应当明确具体许可形式、内容和期限。</w:t>
      </w:r>
    </w:p>
    <w:p w14:paraId="4DE6B6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实践中计算机软件的部分源程序往往被转让或者许可给其它企业，而其它企业利用源程序进行修改后，形成了新的软件，因此评估时应注意区分属于自有修改的部分和被特许使用的部分，综合分析被评估单位拥有的软件著作权资产范围。</w:t>
      </w:r>
    </w:p>
    <w:p w14:paraId="26F41555" w14:textId="7A81361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计算机软件著作权财产权利种类通常包括发行权、出租权、信息网络传</w:t>
      </w:r>
      <w:r>
        <w:rPr>
          <w:rFonts w:ascii="宋体" w:hAnsi="宋体" w:cs="宋体" w:hint="eastAsia"/>
          <w:sz w:val="24"/>
        </w:rPr>
        <w:lastRenderedPageBreak/>
        <w:t>播权、复制权、翻译权和其他权利。</w:t>
      </w:r>
    </w:p>
    <w:p w14:paraId="7CE326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（一）发行权，即以出售或者赠与方式向公众提供软件的原件或者复制件的权利；</w:t>
      </w:r>
    </w:p>
    <w:p w14:paraId="314DFD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（二）出租权，即有偿许可他人临时使用软件的权利，但是软件不是出租的主要标的的除外；</w:t>
      </w:r>
    </w:p>
    <w:p w14:paraId="17EFD5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（三）信息网络传播权，即以有线或者无线方式向公众提供软件，使公众可以在其个人选定的时间和地点获得软件的权利。</w:t>
      </w:r>
    </w:p>
    <w:p w14:paraId="66DB63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（四）复制权，即将软件制作一份或者多份的权利；</w:t>
      </w:r>
    </w:p>
    <w:p w14:paraId="098CD7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（五）翻译权，即将原软件从一种自然语言文字转换成另一种自然语言文字的权利；</w:t>
      </w:r>
    </w:p>
    <w:p w14:paraId="7B36B41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（六）其他权利，为“兜底”条款。从目前国内著作权司法实践看，主要为注释权（即作者对已有作品或者材料进行解释或者说明的权利）等。</w:t>
      </w:r>
    </w:p>
    <w:p w14:paraId="7CA784BC" w14:textId="21B415C8"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计算机软件著作权资产评估对象通常存在下列组成形式：</w:t>
      </w:r>
    </w:p>
    <w:p w14:paraId="419C0A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（一）单个计算机软件著作权中的单项财产权利，即计算机软件著作权全部财产权利中的某一项；</w:t>
      </w:r>
    </w:p>
    <w:p w14:paraId="1A5BC5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（二）单个计算机软件著作权中的多项财产权利的组合，即计算机软件著作权全部财产权利中的多项组合；</w:t>
      </w:r>
    </w:p>
    <w:p w14:paraId="4DB450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（三）分属于不同著作权的单项或者多项财产权利的组合，即计算机软件著作权全部财产权利中的单项或者多项，与其他作品著作权财产权利中的单项或者多项进行的组合；</w:t>
      </w:r>
    </w:p>
    <w:p w14:paraId="198A0D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以游戏软件评估为例，游戏软件一般由游戏引擎和游戏资源两大部分组成，其中游戏引擎主要为实现游戏功能的程序代码以及有关文档（涉及计算机软件著作权）；而游戏资源包括程序运行所需图像、声音、视频等数据内容（涉及其他作品著作权）。</w:t>
      </w:r>
    </w:p>
    <w:p w14:paraId="60385D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（四）计算机软件著作权中财产权和与计算机软件著作权有关权利的财产权益的组合；</w:t>
      </w:r>
    </w:p>
    <w:p w14:paraId="6D599D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（五）在权利客体不可分割或者不需要分割的情况下，计算机软件著作权资产与其他无形资产的组合。</w:t>
      </w:r>
    </w:p>
    <w:p w14:paraId="22084B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例如，计算机软件著作权与其相应的软件发明专利构成的组合。由于对计算机</w:t>
      </w:r>
      <w:r>
        <w:rPr>
          <w:rFonts w:ascii="宋体" w:hAnsi="宋体" w:cs="宋体" w:hint="eastAsia"/>
          <w:sz w:val="24"/>
        </w:rPr>
        <w:lastRenderedPageBreak/>
        <w:t>软件著作权的保护，主要致力于保护其表达形式，而软件发明专利的权利要求可延及开发软件所用的设计思想；实践中，计算机程序的设计思想与其表达形式之间往往相互渗透，难以区分范围界限，一般作为一个整体资产组进行评估。</w:t>
      </w:r>
    </w:p>
    <w:p w14:paraId="33388E5C" w14:textId="5D87AD1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对于计算机软件，通常有以下三种分类方法：</w:t>
      </w:r>
    </w:p>
    <w:p w14:paraId="1BBA1B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（一）按作用划分</w:t>
      </w:r>
    </w:p>
    <w:p w14:paraId="4DC9E3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根据《软件产品分类》（GB/T36475-2018）国家标准，软件产品可分为系统软件、支撑软件、应用软件、嵌入式软件、信息安全软件、工业软件和其他软件七大类。</w:t>
      </w:r>
    </w:p>
    <w:p w14:paraId="55366A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（二）按规模划分</w:t>
      </w:r>
    </w:p>
    <w:p w14:paraId="239E92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按照软件开发所需要的人员数量、开发期限以及源程序行数，一般将软件划分为微型、小型、中型、大型和超大型这五种等级。</w:t>
      </w:r>
    </w:p>
    <w:p w14:paraId="155C63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（三）按运营模式分</w:t>
      </w:r>
    </w:p>
    <w:p w14:paraId="145D75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计算机软件著作权财产权有两种主要的收益方式：销售型（直接收益型）和使用型（间接收益型）。前一种主要是通对销售其作品从而获得直接收益。后一种是指通过使用该作品的方式间接实现其收益。</w:t>
      </w:r>
    </w:p>
    <w:p w14:paraId="607D1316" w14:textId="4DBD5CD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执行计算机软件著作权资产评估业务时，资产评估专业人员可以通过委托人提供、相关当事人提供、自主收集等方式获取计算机软件著作权资产的基本状况。计算机软件著作权资产的基本状况通常包括：作品作者和计算机软件著作权权利人的基本情况、作品基本情况（包括开发完成日期、首次发表日期、权利范围、开发技术情况、作品使用情况等）、权利取得方式、计算机软件著作权和与计算机软件著作权有关权利的情况、与作品相关的其他无形资产权利的情况等。</w:t>
      </w:r>
    </w:p>
    <w:p w14:paraId="39521620" w14:textId="1DEE391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计算机软件著作权的法律因素通常包括计算机软件著作权和与计算机软件著作权有关权利登记情况、权利属性、权利限制以及权利维护情况等。关注计算机软件著作权的具体形式、历史诉讼以及质押情况等法律因素，可以帮助评估专业人员判断法律因素对计算机软件著作权资产价值的影响程度。</w:t>
      </w:r>
    </w:p>
    <w:p w14:paraId="1D278904" w14:textId="1ADC02E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计算机软件著作权的经济因素通常包括计算机软件著作权资产的取得成本、运营模式、获利状况、作品的使用范围、市场需求、同类产品的竞争状况、著作权剩余法定保护期限以及剩余经济寿命、同类作品近期的市场交易及成交价格情况、宏观经济发展和相关行业政策与作品市场发展状况等。通过对经济因素情况</w:t>
      </w:r>
      <w:r>
        <w:rPr>
          <w:rFonts w:ascii="宋体" w:hAnsi="宋体" w:cs="宋体" w:hint="eastAsia"/>
          <w:sz w:val="24"/>
        </w:rPr>
        <w:lastRenderedPageBreak/>
        <w:t>的分析，资产评估专业人员可以判断经济因素对计算机软件著作权资产价值的影响程度。</w:t>
      </w:r>
    </w:p>
    <w:p w14:paraId="10C02B8F" w14:textId="3F1C7D4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计算机软件著作权资产的使用须符合相关法律法规的要求。如果使用不当，可能会损害社会公共利益、侵犯用户合法权益以及影响互联网行业的健康发展（例如计算机病毒、恶意软件等）。计算机软件著作权资产在实际应用中需要考虑合法性，资产评估专业人员应当关注此类事项对计算机软件著作权资产评估的影响。</w:t>
      </w:r>
    </w:p>
    <w:p w14:paraId="3753BCE7" w14:textId="405EFBE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执行计算机软件著作权资产评估业务，资产评估专业人员应当关注计算机软件著作权的权利归属及权利稳定性。</w:t>
      </w:r>
    </w:p>
    <w:p w14:paraId="2282CD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中华人民共和国著作权法》《著作权法实施条例》相关规定，著作权自作品创作完成之日起产生，即作品不论是否登记，作者或其他著作权人依法取得的著作权不受影响。同时，中国计算机软件著作权登记是形式审查，软件登记机构发放的登记证明文件仅是登记事项的初步证明。因此，除获取计算机软件著作权登记证书外，资产评估专业人员还可以要求委托人和其他相关当事人提供其他材料（如计算机软件著作权的底稿、合法出版物、认证机构出具的证明、取得权利的合同等），从而进一步核查评估对象的权利归属及权利稳定性。</w:t>
      </w:r>
    </w:p>
    <w:p w14:paraId="0F0CAA99" w14:textId="3A76D5C5" w:rsidR="00A320E6" w:rsidRDefault="00000000" w:rsidP="0058001D">
      <w:pPr>
        <w:pStyle w:val="13"/>
        <w:spacing w:before="62" w:after="62"/>
      </w:pPr>
      <w:r>
        <w:rPr>
          <w:rFonts w:hint="eastAsia"/>
        </w:rPr>
        <w:t>第三章</w:t>
      </w:r>
      <w:r w:rsidR="0058001D">
        <w:rPr>
          <w:rFonts w:hint="eastAsia"/>
        </w:rPr>
        <w:t xml:space="preserve"> </w:t>
      </w:r>
      <w:r>
        <w:rPr>
          <w:rFonts w:hint="eastAsia"/>
        </w:rPr>
        <w:t>计算机软件著作权资产评估方法</w:t>
      </w:r>
    </w:p>
    <w:p w14:paraId="73F96C32" w14:textId="1082F4B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计算机软件著作权资产价值的评估方法包括市场法、收益法和成本法三种基本方法及其衍生方法。</w:t>
      </w:r>
    </w:p>
    <w:p w14:paraId="42B8B8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执行计算机软件著作权资产评估业务，应当根据评估目的、评估对象、价值类型、资料收集等情况，分析上述三种基本方法的适用性，选择评估方法。</w:t>
      </w:r>
    </w:p>
    <w:p w14:paraId="4384DD50" w14:textId="379FFC7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对于成本法，计算机软件著作权资产的价值由该资产的重置成本扣减各项贬值确定。其基本计算公式为：</w:t>
      </w:r>
    </w:p>
    <w:p w14:paraId="5B2B1B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评估值＝重置成本－功能性贬值－经济性贬值</w:t>
      </w:r>
    </w:p>
    <w:p w14:paraId="1FCFD9F7" w14:textId="2738194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使用成本法执行计算机软件著作权资产评估业务时，首先要根据计算机软件著作权资产形成的全部投入，分析计算机软件著作权资产价值与成本的相关程度，考虑成本法的适用性。然后关注计算机软件著作权的来源，区分外购软件及自创软件，采用不同方式分别考虑。最后确定计算机软件著作权资产的重置成本。计算机软件著作权资产的重置成本包括直接成本、间接费用、合理利润及相关税费</w:t>
      </w:r>
      <w:r>
        <w:rPr>
          <w:rFonts w:ascii="宋体" w:hAnsi="宋体" w:cs="宋体" w:hint="eastAsia"/>
          <w:sz w:val="24"/>
        </w:rPr>
        <w:lastRenderedPageBreak/>
        <w:t>等。</w:t>
      </w:r>
    </w:p>
    <w:p w14:paraId="03E9907B" w14:textId="1123959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在成本法中，外购计算机软件著作权重置成本具体评估方法如市价类比法等；自创计算机软件著作权重置成本具体评估方法如重置核算法等。</w:t>
      </w:r>
    </w:p>
    <w:p w14:paraId="3258778E" w14:textId="6539A8E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在计算机软件著作权重置成本确定过程中，可利用软件开发行业中主流软件成本估算模型进行考虑，例如构造性成本模型(ConstructiveCostModel，COCOMO)等。</w:t>
      </w:r>
    </w:p>
    <w:p w14:paraId="06EF5742" w14:textId="04538ED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采用成本法进行计算机软件著作权资产评估时，需要合理确定贬值。计算机软件著作权资产贬值主要包括：功能性贬值和经济性贬值。计算机软件著作权贬值的确定可以采用专家鉴定法和剩余经济寿命预测法等。</w:t>
      </w:r>
    </w:p>
    <w:p w14:paraId="26F33C32" w14:textId="1FEF876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收益法评估计算机软件著作权资产时，计算机软件著作权资产作为经营资产直接产生收益，其价值实现方式有销售型（直接收益型）和使用型（间接收益型）等。</w:t>
      </w:r>
    </w:p>
    <w:p w14:paraId="5C590D00" w14:textId="3A20A89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收益法评估基本计算公式为：</w:t>
      </w:r>
    </w:p>
    <w:p w14:paraId="5F5493BD" w14:textId="11F11628" w:rsidR="00A320E6" w:rsidRDefault="0058001D"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0" distR="0" wp14:anchorId="4012C1CB" wp14:editId="5DFC4633">
            <wp:extent cx="1471930" cy="525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1930" cy="525780"/>
                    </a:xfrm>
                    <a:prstGeom prst="rect">
                      <a:avLst/>
                    </a:prstGeom>
                  </pic:spPr>
                </pic:pic>
              </a:graphicData>
            </a:graphic>
          </wp:inline>
        </w:drawing>
      </w:r>
    </w:p>
    <w:p w14:paraId="4AB4923A" w14:textId="3D01796B"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0C5A8960"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P</m:t>
        </m:r>
      </m:oMath>
      <w:r>
        <w:rPr>
          <w:rFonts w:ascii="宋体" w:hAnsi="宋体" w:cs="宋体" w:hint="eastAsia"/>
          <w:sz w:val="24"/>
        </w:rPr>
        <w:t>－收益法评估值;</w:t>
      </w:r>
    </w:p>
    <w:p w14:paraId="0854D43C" w14:textId="77777777" w:rsidR="00A320E6" w:rsidRDefault="00000000" w:rsidP="00AE0286">
      <w:pPr>
        <w:pStyle w:val="a3"/>
        <w:spacing w:line="360" w:lineRule="auto"/>
        <w:ind w:firstLine="480"/>
        <w:rPr>
          <w:rFonts w:ascii="宋体" w:hAnsi="宋体" w:cs="宋体"/>
          <w:sz w:val="24"/>
        </w:rPr>
      </w:pPr>
      <m:oMath>
        <m:sSub>
          <m:sSubPr>
            <m:ctrlPr>
              <w:rPr>
                <w:rFonts w:ascii="Cambria Math" w:hAnsi="Cambria Math" w:cs="宋体" w:hint="eastAsia"/>
                <w:sz w:val="24"/>
              </w:rPr>
            </m:ctrlPr>
          </m:sSubPr>
          <m:e>
            <m:r>
              <m:rPr>
                <m:sty m:val="p"/>
              </m:rPr>
              <w:rPr>
                <w:rFonts w:ascii="Cambria Math" w:hAnsi="Cambria Math" w:cs="宋体" w:hint="eastAsia"/>
                <w:sz w:val="24"/>
              </w:rPr>
              <m:t>F</m:t>
            </m:r>
          </m:e>
          <m:sub>
            <m:r>
              <m:rPr>
                <m:sty m:val="p"/>
              </m:rPr>
              <w:rPr>
                <w:rFonts w:ascii="Cambria Math" w:hAnsi="Cambria Math" w:cs="宋体" w:hint="eastAsia"/>
                <w:sz w:val="24"/>
              </w:rPr>
              <m:t>t</m:t>
            </m:r>
          </m:sub>
        </m:sSub>
      </m:oMath>
      <w:r>
        <w:rPr>
          <w:rFonts w:ascii="宋体" w:hAnsi="宋体" w:cs="宋体" w:hint="eastAsia"/>
          <w:sz w:val="24"/>
        </w:rPr>
        <w:t>－计算机软件著作权资产未来第</w:t>
      </w:r>
      <m:oMath>
        <m:r>
          <m:rPr>
            <m:sty m:val="p"/>
          </m:rPr>
          <w:rPr>
            <w:rFonts w:ascii="Cambria Math" w:hAnsi="Cambria Math" w:cs="宋体" w:hint="eastAsia"/>
            <w:sz w:val="24"/>
          </w:rPr>
          <m:t>t</m:t>
        </m:r>
      </m:oMath>
      <w:r>
        <w:rPr>
          <w:rFonts w:ascii="宋体" w:hAnsi="宋体" w:cs="宋体" w:hint="eastAsia"/>
          <w:sz w:val="24"/>
        </w:rPr>
        <w:t>个收益期的收益额；</w:t>
      </w:r>
    </w:p>
    <w:p w14:paraId="395EC9A7"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n</m:t>
        </m:r>
      </m:oMath>
      <w:r>
        <w:rPr>
          <w:rFonts w:ascii="宋体" w:hAnsi="宋体" w:cs="宋体" w:hint="eastAsia"/>
          <w:sz w:val="24"/>
        </w:rPr>
        <w:t>－剩余经济寿命期；</w:t>
      </w:r>
    </w:p>
    <w:p w14:paraId="046AECEE"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t</m:t>
        </m:r>
      </m:oMath>
      <w:r>
        <w:rPr>
          <w:rFonts w:ascii="宋体" w:hAnsi="宋体" w:cs="宋体" w:hint="eastAsia"/>
          <w:sz w:val="24"/>
        </w:rPr>
        <w:t>－未来第</w:t>
      </w:r>
      <m:oMath>
        <m:r>
          <m:rPr>
            <m:sty m:val="p"/>
          </m:rPr>
          <w:rPr>
            <w:rFonts w:ascii="Cambria Math" w:hAnsi="Cambria Math" w:cs="宋体" w:hint="eastAsia"/>
            <w:sz w:val="24"/>
          </w:rPr>
          <m:t>t</m:t>
        </m:r>
      </m:oMath>
      <w:r>
        <w:rPr>
          <w:rFonts w:ascii="宋体" w:hAnsi="宋体" w:cs="宋体" w:hint="eastAsia"/>
          <w:sz w:val="24"/>
        </w:rPr>
        <w:t>年；</w:t>
      </w:r>
    </w:p>
    <w:p w14:paraId="15101119"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i</m:t>
        </m:r>
      </m:oMath>
      <w:r>
        <w:rPr>
          <w:rFonts w:ascii="宋体" w:hAnsi="宋体" w:cs="宋体" w:hint="eastAsia"/>
          <w:sz w:val="24"/>
        </w:rPr>
        <w:t>－折现率。</w:t>
      </w:r>
    </w:p>
    <w:p w14:paraId="246CAD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依据收益法基本公式，在获取计算机软件著作权资产相关信息的基础上，根据该计算机软件著作权资产或者类似计算机软件著作权资产的历史实施情况及未来应用前景，结合计算机软件著作权资产实施或者拟实施企业经营状况，重点分析计算机软件著作权资产经济收益的可预测性，考虑收益法的适用性。</w:t>
      </w:r>
    </w:p>
    <w:p w14:paraId="783A4B36" w14:textId="37F0FF3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采用收益法进行计算机软件著作权资产评估时，应当根据计算机软件著作权资产对应作品的运营模式估计评估对象的预期收益。目前确定计算机软件著作权资产预期收益的方法有增量收益、节省许可费和超额收益等方式。确定预期收益时，通过区分并剔除与委托评估的计算机软件著作权资产无关的业务产生的收</w:t>
      </w:r>
      <w:r>
        <w:rPr>
          <w:rFonts w:ascii="宋体" w:hAnsi="宋体" w:cs="宋体" w:hint="eastAsia"/>
          <w:sz w:val="24"/>
        </w:rPr>
        <w:lastRenderedPageBreak/>
        <w:t>益，并关注计算机软件著作权对应作品所属行业的市场规模、市场地位及相关企业的经营情况。</w:t>
      </w:r>
    </w:p>
    <w:p w14:paraId="6F64455C" w14:textId="45A7CF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执行计算机软件著作权资产评估业务，应当关注该作品演绎出新作品并产生衍生收益的可能性。当具有充分证据证明该作品在可预见的未来可能会演绎出新作品并产生衍生收益时，应当谨慎、恰当地考虑这种衍生收益对计算机软件著作权资产价值的影响。</w:t>
      </w:r>
    </w:p>
    <w:p w14:paraId="74C5C63E" w14:textId="08827BD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当原创作品的演绎作品尚未形成时，应当了解其衍生收益的产生在评估基准日具有较大的不确定性，可以按或有资产评估衍生收益对应的计算机软件著作权资产价值。</w:t>
      </w:r>
    </w:p>
    <w:p w14:paraId="6253210C" w14:textId="186C3BB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采用收益法进行计算机软件著作权资产评估时，剩余经济寿命需要综合考虑法律保护期限、相关合同约定期限、开发完成日期、首次发表日期以及计算机软件著作权资产的权利状况等因素确定。</w:t>
      </w:r>
    </w:p>
    <w:p w14:paraId="2A27B230" w14:textId="5BFB9C3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采用收益法进行计算机软件著作权资产评估时，折现率可以通过分析评估基准日的利率、投资回报率，以及计算机软件著作权实施过程中的技术、经营、市场、生命周期等因素确定。计算机软件著作权资产折现率可以采用无风险报酬率加风险报酬率的方式确定。计算机软件著作权资产折现率口径应当与预期收益的口径保持一致。</w:t>
      </w:r>
    </w:p>
    <w:p w14:paraId="4FEB9355" w14:textId="3E71043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采用市场法进行计算机软件著作权资产评估时应当：</w:t>
      </w:r>
    </w:p>
    <w:p w14:paraId="1B8011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（一）考虑该计算机软件著作权资产或者类似计算机软件著作权资产是否存在活跃的市场，恰当考虑市场法的适用性；</w:t>
      </w:r>
    </w:p>
    <w:p w14:paraId="1B1AEC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（二）收集类似计算机软件著作权资产交易案例的市场交易价格、交易时间及交易条件等交易信息；</w:t>
      </w:r>
    </w:p>
    <w:p w14:paraId="72E252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（三）选择具有比较基础的可比计算机软件著作权资产交易案例；</w:t>
      </w:r>
    </w:p>
    <w:p w14:paraId="6F75C4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（四）收集评估对象近期的交易信息；</w:t>
      </w:r>
    </w:p>
    <w:p w14:paraId="140087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（五）对可比交易案例和评估对象近期交易信息进行必要调整。</w:t>
      </w:r>
    </w:p>
    <w:p w14:paraId="73522606" w14:textId="067383F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资产评估人员执行计算机软件著作权资产评估业务时，不论选择哪种评估方法进行评估，都应当保证评估目的与评估所依据的各种假设、前提条件，所使用的各种参数，在性质和逻辑上的一致。尤其是在运用多种评估方法评估同一评估对象时，更要保证每种评估方法运用中所依据的各种假设、前提条件，评估参</w:t>
      </w:r>
      <w:r>
        <w:rPr>
          <w:rFonts w:ascii="宋体" w:hAnsi="宋体" w:cs="宋体" w:hint="eastAsia"/>
          <w:sz w:val="24"/>
        </w:rPr>
        <w:lastRenderedPageBreak/>
        <w:t>数的可比性，以便能够使运用不同评估方法所得到的测算结果具有可比性和相互可验证性。</w:t>
      </w:r>
    </w:p>
    <w:p w14:paraId="3189AA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第四章计算机软件著作权资产评估报告披露要求</w:t>
      </w:r>
    </w:p>
    <w:p w14:paraId="0967161C" w14:textId="5C0AD9E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编制计算机软件著作权资产评估报告需要反映计算机软件著作权资产的特点，通常包括下列内容：</w:t>
      </w:r>
    </w:p>
    <w:p w14:paraId="52C7EB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（一）作者和计算机软件著作权权利人的基本情况；</w:t>
      </w:r>
    </w:p>
    <w:p w14:paraId="5AA8BB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（二）评估对象的具体组成情况，包括作品基本情况（如软件名称、开发完成日期、首次发表日期、权利范围、开发技术情况、作品使用情况等）、作品的创作形式、涉及的演绎作品等情况；</w:t>
      </w:r>
    </w:p>
    <w:p w14:paraId="16201A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（三）评估对象包含的财产权利限制条件；</w:t>
      </w:r>
    </w:p>
    <w:p w14:paraId="68A5E3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（四）与计算机软件著作权有关的权利情况；</w:t>
      </w:r>
    </w:p>
    <w:p w14:paraId="3F16F7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（五）计算机软件著作权和与计算机软件著作权有关权利事项登记情况；</w:t>
      </w:r>
    </w:p>
    <w:p w14:paraId="6F2994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（六）作品含有其他无形资产的情况；</w:t>
      </w:r>
    </w:p>
    <w:p w14:paraId="293973F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（七）作品产生收益的方式；</w:t>
      </w:r>
    </w:p>
    <w:p w14:paraId="1C235A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（八）计算机软件著作权剩余法定保护期限以及剩余经济寿命；</w:t>
      </w:r>
    </w:p>
    <w:p w14:paraId="135F0C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（九）对计算机软件著作权资产价值影响因素的分析过程；</w:t>
      </w:r>
    </w:p>
    <w:p w14:paraId="406383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（十）计算机软件著作权资产许可、转让、诉讼以及质押等情况；</w:t>
      </w:r>
    </w:p>
    <w:p w14:paraId="44BC6F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（十一）其他必要信息。</w:t>
      </w:r>
    </w:p>
    <w:p w14:paraId="0C1169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附：1.软件产品分类（GB/T36475-2018）</w:t>
      </w:r>
    </w:p>
    <w:p w14:paraId="130124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2.“中国软件行业基准数据”历年报告查询网址</w:t>
      </w:r>
    </w:p>
    <w:p w14:paraId="2DE732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附1</w:t>
      </w:r>
    </w:p>
    <w:p w14:paraId="197B805F" w14:textId="77777777" w:rsidR="00A320E6" w:rsidRDefault="00000000" w:rsidP="00AE0286">
      <w:pPr>
        <w:pStyle w:val="a3"/>
        <w:ind w:firstLine="480"/>
        <w:rPr>
          <w:rFonts w:ascii="宋体" w:hAnsi="宋体" w:cs="宋体"/>
          <w:sz w:val="24"/>
        </w:rPr>
      </w:pPr>
      <w:r>
        <w:rPr>
          <w:rFonts w:ascii="宋体" w:hAnsi="宋体" w:cs="宋体" w:hint="eastAsia"/>
          <w:sz w:val="24"/>
        </w:rPr>
        <w:t>软件产品分类（GB/T36475-2018）</w:t>
      </w:r>
    </w:p>
    <w:p w14:paraId="31F88891" w14:textId="77777777" w:rsidR="00A320E6" w:rsidRDefault="00A320E6" w:rsidP="00AE0286">
      <w:pPr>
        <w:pStyle w:val="a3"/>
        <w:ind w:firstLine="480"/>
        <w:rPr>
          <w:rFonts w:ascii="宋体" w:hAnsi="宋体" w:cs="宋体"/>
          <w:sz w:val="24"/>
        </w:rPr>
      </w:pPr>
    </w:p>
    <w:tbl>
      <w:tblPr>
        <w:tblStyle w:val="ae"/>
        <w:tblW w:w="5000" w:type="pct"/>
        <w:tblLook w:val="04A0" w:firstRow="1" w:lastRow="0" w:firstColumn="1" w:lastColumn="0" w:noHBand="0" w:noVBand="1"/>
      </w:tblPr>
      <w:tblGrid>
        <w:gridCol w:w="1007"/>
        <w:gridCol w:w="2231"/>
        <w:gridCol w:w="5708"/>
      </w:tblGrid>
      <w:tr w:rsidR="00A320E6" w14:paraId="156A7848" w14:textId="77777777" w:rsidTr="00EC761E">
        <w:trPr>
          <w:cantSplit/>
          <w:trHeight w:val="410"/>
          <w:tblHeader/>
        </w:trPr>
        <w:tc>
          <w:tcPr>
            <w:tcW w:w="563" w:type="pct"/>
            <w:vAlign w:val="center"/>
          </w:tcPr>
          <w:p w14:paraId="269BE42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分类号</w:t>
            </w:r>
          </w:p>
        </w:tc>
        <w:tc>
          <w:tcPr>
            <w:tcW w:w="1247" w:type="pct"/>
            <w:vAlign w:val="center"/>
          </w:tcPr>
          <w:p w14:paraId="458CEFA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名称</w:t>
            </w:r>
          </w:p>
        </w:tc>
        <w:tc>
          <w:tcPr>
            <w:tcW w:w="3190" w:type="pct"/>
            <w:vAlign w:val="center"/>
          </w:tcPr>
          <w:p w14:paraId="4AD2D60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说明</w:t>
            </w:r>
          </w:p>
        </w:tc>
      </w:tr>
      <w:tr w:rsidR="00A320E6" w14:paraId="42C2183A" w14:textId="77777777" w:rsidTr="00EC761E">
        <w:trPr>
          <w:cantSplit/>
        </w:trPr>
        <w:tc>
          <w:tcPr>
            <w:tcW w:w="563" w:type="pct"/>
            <w:vAlign w:val="center"/>
          </w:tcPr>
          <w:p w14:paraId="3095278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w:t>
            </w:r>
          </w:p>
        </w:tc>
        <w:tc>
          <w:tcPr>
            <w:tcW w:w="1247" w:type="pct"/>
            <w:vAlign w:val="center"/>
          </w:tcPr>
          <w:p w14:paraId="651ABA9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系统软件</w:t>
            </w:r>
          </w:p>
        </w:tc>
        <w:tc>
          <w:tcPr>
            <w:tcW w:w="3190" w:type="pct"/>
            <w:vAlign w:val="center"/>
          </w:tcPr>
          <w:p w14:paraId="4D75FEF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能够对硬件资源进行调度和管理、为应用软件提供运行支撑的软件。</w:t>
            </w:r>
          </w:p>
        </w:tc>
      </w:tr>
      <w:tr w:rsidR="00A320E6" w14:paraId="2E7A6251" w14:textId="77777777" w:rsidTr="00EC761E">
        <w:trPr>
          <w:cantSplit/>
        </w:trPr>
        <w:tc>
          <w:tcPr>
            <w:tcW w:w="563" w:type="pct"/>
            <w:vAlign w:val="center"/>
          </w:tcPr>
          <w:p w14:paraId="2B28372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A.1</w:t>
            </w:r>
          </w:p>
        </w:tc>
        <w:tc>
          <w:tcPr>
            <w:tcW w:w="1247" w:type="pct"/>
            <w:vAlign w:val="center"/>
          </w:tcPr>
          <w:p w14:paraId="40D86A9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操作系统</w:t>
            </w:r>
          </w:p>
        </w:tc>
        <w:tc>
          <w:tcPr>
            <w:tcW w:w="3190" w:type="pct"/>
            <w:vAlign w:val="center"/>
          </w:tcPr>
          <w:p w14:paraId="497F29F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控制各种程序的执行，可提供资源分配、调度、输入输出控制数据管理等服务的软件。</w:t>
            </w:r>
          </w:p>
        </w:tc>
      </w:tr>
      <w:tr w:rsidR="00A320E6" w14:paraId="0DC68498" w14:textId="77777777" w:rsidTr="00EC761E">
        <w:trPr>
          <w:cantSplit/>
        </w:trPr>
        <w:tc>
          <w:tcPr>
            <w:tcW w:w="563" w:type="pct"/>
            <w:vAlign w:val="center"/>
          </w:tcPr>
          <w:p w14:paraId="281A98F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A.2</w:t>
            </w:r>
          </w:p>
        </w:tc>
        <w:tc>
          <w:tcPr>
            <w:tcW w:w="1247" w:type="pct"/>
            <w:vAlign w:val="center"/>
          </w:tcPr>
          <w:p w14:paraId="1F6BFA6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数据库管理软件</w:t>
            </w:r>
          </w:p>
        </w:tc>
        <w:tc>
          <w:tcPr>
            <w:tcW w:w="3190" w:type="pct"/>
            <w:vAlign w:val="center"/>
          </w:tcPr>
          <w:p w14:paraId="0C7208C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管理数据库的软件。</w:t>
            </w:r>
          </w:p>
        </w:tc>
      </w:tr>
      <w:tr w:rsidR="00A320E6" w14:paraId="1D351B38" w14:textId="77777777" w:rsidTr="00EC761E">
        <w:trPr>
          <w:cantSplit/>
        </w:trPr>
        <w:tc>
          <w:tcPr>
            <w:tcW w:w="563" w:type="pct"/>
            <w:vAlign w:val="center"/>
          </w:tcPr>
          <w:p w14:paraId="13D982B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A.3</w:t>
            </w:r>
          </w:p>
        </w:tc>
        <w:tc>
          <w:tcPr>
            <w:tcW w:w="1247" w:type="pct"/>
            <w:vAlign w:val="center"/>
          </w:tcPr>
          <w:p w14:paraId="1A77F1C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固件</w:t>
            </w:r>
          </w:p>
        </w:tc>
        <w:tc>
          <w:tcPr>
            <w:tcW w:w="3190" w:type="pct"/>
            <w:vAlign w:val="center"/>
          </w:tcPr>
          <w:p w14:paraId="0684517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硬件设备和驻留在此设备上的作为只读软件的计算机指令和数据的组合。</w:t>
            </w:r>
          </w:p>
        </w:tc>
      </w:tr>
      <w:tr w:rsidR="00A320E6" w14:paraId="38488A7A" w14:textId="77777777" w:rsidTr="00EC761E">
        <w:trPr>
          <w:cantSplit/>
        </w:trPr>
        <w:tc>
          <w:tcPr>
            <w:tcW w:w="563" w:type="pct"/>
            <w:vAlign w:val="center"/>
          </w:tcPr>
          <w:p w14:paraId="1961EB8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A.4</w:t>
            </w:r>
          </w:p>
        </w:tc>
        <w:tc>
          <w:tcPr>
            <w:tcW w:w="1247" w:type="pct"/>
            <w:vAlign w:val="center"/>
          </w:tcPr>
          <w:p w14:paraId="5C95EFD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驱动程序</w:t>
            </w:r>
          </w:p>
        </w:tc>
        <w:tc>
          <w:tcPr>
            <w:tcW w:w="3190" w:type="pct"/>
            <w:vAlign w:val="center"/>
          </w:tcPr>
          <w:p w14:paraId="7F1DE0D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一种可以使计算机和设备通信的特殊程序。</w:t>
            </w:r>
          </w:p>
        </w:tc>
      </w:tr>
      <w:tr w:rsidR="00A320E6" w14:paraId="2C5AC8FE" w14:textId="77777777" w:rsidTr="00EC761E">
        <w:trPr>
          <w:cantSplit/>
        </w:trPr>
        <w:tc>
          <w:tcPr>
            <w:tcW w:w="563" w:type="pct"/>
            <w:vAlign w:val="center"/>
          </w:tcPr>
          <w:p w14:paraId="51F53E7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A.5</w:t>
            </w:r>
          </w:p>
        </w:tc>
        <w:tc>
          <w:tcPr>
            <w:tcW w:w="1247" w:type="pct"/>
            <w:vAlign w:val="center"/>
          </w:tcPr>
          <w:p w14:paraId="486A346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w:t>
            </w:r>
          </w:p>
        </w:tc>
        <w:tc>
          <w:tcPr>
            <w:tcW w:w="3190" w:type="pct"/>
            <w:vAlign w:val="center"/>
          </w:tcPr>
          <w:p w14:paraId="2D68E66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不属于以上分类的其他基础软件。</w:t>
            </w:r>
          </w:p>
        </w:tc>
      </w:tr>
      <w:tr w:rsidR="00A320E6" w14:paraId="1FF0159E" w14:textId="77777777" w:rsidTr="00EC761E">
        <w:trPr>
          <w:cantSplit/>
        </w:trPr>
        <w:tc>
          <w:tcPr>
            <w:tcW w:w="563" w:type="pct"/>
            <w:vAlign w:val="center"/>
          </w:tcPr>
          <w:p w14:paraId="31DD832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lastRenderedPageBreak/>
              <w:t>B</w:t>
            </w:r>
          </w:p>
        </w:tc>
        <w:tc>
          <w:tcPr>
            <w:tcW w:w="1247" w:type="pct"/>
            <w:vAlign w:val="center"/>
          </w:tcPr>
          <w:p w14:paraId="19FC4E1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支撑软件</w:t>
            </w:r>
          </w:p>
        </w:tc>
        <w:tc>
          <w:tcPr>
            <w:tcW w:w="3190" w:type="pct"/>
            <w:vAlign w:val="center"/>
          </w:tcPr>
          <w:p w14:paraId="7F4BF48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支撑软件开发、运行、维护、管理，以及和网络连接或组成相关的支撑类软件。</w:t>
            </w:r>
          </w:p>
        </w:tc>
      </w:tr>
      <w:tr w:rsidR="00A320E6" w14:paraId="6075042A" w14:textId="77777777" w:rsidTr="00EC761E">
        <w:trPr>
          <w:cantSplit/>
        </w:trPr>
        <w:tc>
          <w:tcPr>
            <w:tcW w:w="563" w:type="pct"/>
            <w:vAlign w:val="center"/>
          </w:tcPr>
          <w:p w14:paraId="587A019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B.1</w:t>
            </w:r>
          </w:p>
        </w:tc>
        <w:tc>
          <w:tcPr>
            <w:tcW w:w="1247" w:type="pct"/>
            <w:vAlign w:val="center"/>
          </w:tcPr>
          <w:p w14:paraId="5B9B409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开发支撑软件</w:t>
            </w:r>
          </w:p>
        </w:tc>
        <w:tc>
          <w:tcPr>
            <w:tcW w:w="3190" w:type="pct"/>
            <w:vAlign w:val="center"/>
          </w:tcPr>
          <w:p w14:paraId="6E08BE2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支撑软件开发、运行、维护、管理的一类软件。</w:t>
            </w:r>
          </w:p>
        </w:tc>
      </w:tr>
      <w:tr w:rsidR="00A320E6" w14:paraId="6647C116" w14:textId="77777777" w:rsidTr="00EC761E">
        <w:trPr>
          <w:cantSplit/>
        </w:trPr>
        <w:tc>
          <w:tcPr>
            <w:tcW w:w="563" w:type="pct"/>
            <w:vAlign w:val="center"/>
          </w:tcPr>
          <w:p w14:paraId="042D991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B.2</w:t>
            </w:r>
          </w:p>
        </w:tc>
        <w:tc>
          <w:tcPr>
            <w:tcW w:w="1247" w:type="pct"/>
            <w:vAlign w:val="center"/>
          </w:tcPr>
          <w:p w14:paraId="645725C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中间体</w:t>
            </w:r>
          </w:p>
        </w:tc>
        <w:tc>
          <w:tcPr>
            <w:tcW w:w="3190" w:type="pct"/>
            <w:vAlign w:val="center"/>
          </w:tcPr>
          <w:p w14:paraId="7E50368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位于系统软件与应用软件之间，以实现异构、分布式应用软件间的互连、互访和互操作的一类软件。</w:t>
            </w:r>
          </w:p>
        </w:tc>
      </w:tr>
      <w:tr w:rsidR="00A320E6" w14:paraId="516C7375" w14:textId="77777777" w:rsidTr="00EC761E">
        <w:trPr>
          <w:cantSplit/>
        </w:trPr>
        <w:tc>
          <w:tcPr>
            <w:tcW w:w="563" w:type="pct"/>
            <w:vAlign w:val="center"/>
          </w:tcPr>
          <w:p w14:paraId="69C75B1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B.3</w:t>
            </w:r>
          </w:p>
        </w:tc>
        <w:tc>
          <w:tcPr>
            <w:tcW w:w="1247" w:type="pct"/>
            <w:vAlign w:val="center"/>
          </w:tcPr>
          <w:p w14:paraId="1FFF0D2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浏览器</w:t>
            </w:r>
          </w:p>
        </w:tc>
        <w:tc>
          <w:tcPr>
            <w:tcW w:w="3190" w:type="pct"/>
            <w:vAlign w:val="center"/>
          </w:tcPr>
          <w:p w14:paraId="16A84BB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用于在网络上浏览网页的软件。</w:t>
            </w:r>
          </w:p>
        </w:tc>
      </w:tr>
      <w:tr w:rsidR="00A320E6" w14:paraId="0C3F3EF8" w14:textId="77777777" w:rsidTr="00EC761E">
        <w:trPr>
          <w:cantSplit/>
        </w:trPr>
        <w:tc>
          <w:tcPr>
            <w:tcW w:w="563" w:type="pct"/>
            <w:vAlign w:val="center"/>
          </w:tcPr>
          <w:p w14:paraId="4896252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B.4</w:t>
            </w:r>
          </w:p>
        </w:tc>
        <w:tc>
          <w:tcPr>
            <w:tcW w:w="1247" w:type="pct"/>
            <w:vAlign w:val="center"/>
          </w:tcPr>
          <w:p w14:paraId="431BEDE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搜索引擎</w:t>
            </w:r>
          </w:p>
        </w:tc>
        <w:tc>
          <w:tcPr>
            <w:tcW w:w="3190" w:type="pct"/>
            <w:vAlign w:val="center"/>
          </w:tcPr>
          <w:p w14:paraId="2181D11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根据一定的策略、运用特定的计算机程序从互联网或相关载体上搜集信息，在对信息进行组织和处理后，为用户提供检索服务，将用户检索相关的信息展示给用户的系统。</w:t>
            </w:r>
          </w:p>
        </w:tc>
      </w:tr>
      <w:tr w:rsidR="00A320E6" w14:paraId="7D9BA5BE" w14:textId="77777777" w:rsidTr="00EC761E">
        <w:trPr>
          <w:cantSplit/>
        </w:trPr>
        <w:tc>
          <w:tcPr>
            <w:tcW w:w="563" w:type="pct"/>
            <w:vAlign w:val="center"/>
          </w:tcPr>
          <w:p w14:paraId="715F5AE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B.5</w:t>
            </w:r>
          </w:p>
        </w:tc>
        <w:tc>
          <w:tcPr>
            <w:tcW w:w="1247" w:type="pct"/>
            <w:vAlign w:val="center"/>
          </w:tcPr>
          <w:p w14:paraId="722E38B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虚拟化系统</w:t>
            </w:r>
          </w:p>
        </w:tc>
        <w:tc>
          <w:tcPr>
            <w:tcW w:w="3190" w:type="pct"/>
            <w:vAlign w:val="center"/>
          </w:tcPr>
          <w:p w14:paraId="7242895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包括计算资源虚拟化软件、存储资源虚拟化软件、网络虚拟化软件、其他虚拟化软件。</w:t>
            </w:r>
          </w:p>
        </w:tc>
      </w:tr>
      <w:tr w:rsidR="00A320E6" w14:paraId="47632294" w14:textId="77777777" w:rsidTr="00EC761E">
        <w:trPr>
          <w:cantSplit/>
        </w:trPr>
        <w:tc>
          <w:tcPr>
            <w:tcW w:w="563" w:type="pct"/>
            <w:vAlign w:val="center"/>
          </w:tcPr>
          <w:p w14:paraId="573273D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B.6</w:t>
            </w:r>
          </w:p>
        </w:tc>
        <w:tc>
          <w:tcPr>
            <w:tcW w:w="1247" w:type="pct"/>
            <w:vAlign w:val="center"/>
          </w:tcPr>
          <w:p w14:paraId="4591F44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大数据处理软件</w:t>
            </w:r>
          </w:p>
        </w:tc>
        <w:tc>
          <w:tcPr>
            <w:tcW w:w="3190" w:type="pct"/>
            <w:vAlign w:val="center"/>
          </w:tcPr>
          <w:p w14:paraId="0B54984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对海量结构化、非机构化综合数据进行收集、存储、加工、分析、展示的软件。</w:t>
            </w:r>
          </w:p>
        </w:tc>
      </w:tr>
      <w:tr w:rsidR="00A320E6" w14:paraId="79C60079" w14:textId="77777777" w:rsidTr="00EC761E">
        <w:trPr>
          <w:cantSplit/>
        </w:trPr>
        <w:tc>
          <w:tcPr>
            <w:tcW w:w="563" w:type="pct"/>
            <w:vAlign w:val="center"/>
          </w:tcPr>
          <w:p w14:paraId="41325D7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B.7</w:t>
            </w:r>
          </w:p>
        </w:tc>
        <w:tc>
          <w:tcPr>
            <w:tcW w:w="1247" w:type="pct"/>
            <w:vAlign w:val="center"/>
          </w:tcPr>
          <w:p w14:paraId="4439301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人工智能软件</w:t>
            </w:r>
          </w:p>
        </w:tc>
        <w:tc>
          <w:tcPr>
            <w:tcW w:w="3190" w:type="pct"/>
            <w:vAlign w:val="center"/>
          </w:tcPr>
          <w:p w14:paraId="60F6DE9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利用数字计算机或者数字计算机控制的机器模拟、延伸和扩展人的智能，感知环境、获取知识并使用知识获得最佳结果的应用系统软件，包括机器人软件、语言识别软件、图像识别软件、自然语言处理软件和专家系统等。</w:t>
            </w:r>
          </w:p>
        </w:tc>
      </w:tr>
      <w:tr w:rsidR="00A320E6" w14:paraId="3F52DD5A" w14:textId="77777777" w:rsidTr="00EC761E">
        <w:trPr>
          <w:cantSplit/>
        </w:trPr>
        <w:tc>
          <w:tcPr>
            <w:tcW w:w="563" w:type="pct"/>
            <w:vAlign w:val="center"/>
          </w:tcPr>
          <w:p w14:paraId="3C0D15F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B.8</w:t>
            </w:r>
          </w:p>
        </w:tc>
        <w:tc>
          <w:tcPr>
            <w:tcW w:w="1247" w:type="pct"/>
            <w:vAlign w:val="center"/>
          </w:tcPr>
          <w:p w14:paraId="5D0FC5A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其他支撑软件</w:t>
            </w:r>
          </w:p>
        </w:tc>
        <w:tc>
          <w:tcPr>
            <w:tcW w:w="3190" w:type="pct"/>
            <w:vAlign w:val="center"/>
          </w:tcPr>
          <w:p w14:paraId="411E37E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不属于以上分类的其他支撑软件。</w:t>
            </w:r>
          </w:p>
        </w:tc>
      </w:tr>
      <w:tr w:rsidR="00A320E6" w14:paraId="2F13874E" w14:textId="77777777" w:rsidTr="00EC761E">
        <w:trPr>
          <w:cantSplit/>
        </w:trPr>
        <w:tc>
          <w:tcPr>
            <w:tcW w:w="563" w:type="pct"/>
            <w:vAlign w:val="center"/>
          </w:tcPr>
          <w:p w14:paraId="6902900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C</w:t>
            </w:r>
          </w:p>
        </w:tc>
        <w:tc>
          <w:tcPr>
            <w:tcW w:w="1247" w:type="pct"/>
            <w:vAlign w:val="center"/>
          </w:tcPr>
          <w:p w14:paraId="225C173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应用软件</w:t>
            </w:r>
          </w:p>
        </w:tc>
        <w:tc>
          <w:tcPr>
            <w:tcW w:w="3190" w:type="pct"/>
            <w:vAlign w:val="center"/>
          </w:tcPr>
          <w:p w14:paraId="41F3551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解决特定业务的软件，包括通用应用软件和行业应用软件两个类别。</w:t>
            </w:r>
          </w:p>
        </w:tc>
      </w:tr>
      <w:tr w:rsidR="00A320E6" w14:paraId="4A35B790" w14:textId="77777777" w:rsidTr="00EC761E">
        <w:trPr>
          <w:cantSplit/>
        </w:trPr>
        <w:tc>
          <w:tcPr>
            <w:tcW w:w="563" w:type="pct"/>
            <w:vAlign w:val="center"/>
          </w:tcPr>
          <w:p w14:paraId="1B3A872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C.1</w:t>
            </w:r>
          </w:p>
        </w:tc>
        <w:tc>
          <w:tcPr>
            <w:tcW w:w="1247" w:type="pct"/>
            <w:vAlign w:val="center"/>
          </w:tcPr>
          <w:p w14:paraId="2F60293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通用应用软件</w:t>
            </w:r>
          </w:p>
        </w:tc>
        <w:tc>
          <w:tcPr>
            <w:tcW w:w="3190" w:type="pct"/>
            <w:vAlign w:val="center"/>
          </w:tcPr>
          <w:p w14:paraId="17198CA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非特定行业使用的应用软件。</w:t>
            </w:r>
          </w:p>
        </w:tc>
      </w:tr>
      <w:tr w:rsidR="00A320E6" w14:paraId="20D3FC7B" w14:textId="77777777" w:rsidTr="00EC761E">
        <w:trPr>
          <w:cantSplit/>
        </w:trPr>
        <w:tc>
          <w:tcPr>
            <w:tcW w:w="563" w:type="pct"/>
            <w:vAlign w:val="center"/>
          </w:tcPr>
          <w:p w14:paraId="09CFE17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C.2</w:t>
            </w:r>
          </w:p>
        </w:tc>
        <w:tc>
          <w:tcPr>
            <w:tcW w:w="1247" w:type="pct"/>
            <w:vAlign w:val="center"/>
          </w:tcPr>
          <w:p w14:paraId="07083C2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行业应用软件</w:t>
            </w:r>
          </w:p>
        </w:tc>
        <w:tc>
          <w:tcPr>
            <w:tcW w:w="3190" w:type="pct"/>
            <w:vAlign w:val="center"/>
          </w:tcPr>
          <w:p w14:paraId="61F8CCC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针对特定行业应用的软件。</w:t>
            </w:r>
          </w:p>
        </w:tc>
      </w:tr>
      <w:tr w:rsidR="00A320E6" w14:paraId="7025A365" w14:textId="77777777" w:rsidTr="00EC761E">
        <w:trPr>
          <w:cantSplit/>
        </w:trPr>
        <w:tc>
          <w:tcPr>
            <w:tcW w:w="563" w:type="pct"/>
            <w:vAlign w:val="center"/>
          </w:tcPr>
          <w:p w14:paraId="7F89B18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C.3</w:t>
            </w:r>
          </w:p>
        </w:tc>
        <w:tc>
          <w:tcPr>
            <w:tcW w:w="1247" w:type="pct"/>
            <w:vAlign w:val="center"/>
          </w:tcPr>
          <w:p w14:paraId="606C86B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其他应用软件</w:t>
            </w:r>
          </w:p>
        </w:tc>
        <w:tc>
          <w:tcPr>
            <w:tcW w:w="3190" w:type="pct"/>
            <w:vAlign w:val="center"/>
          </w:tcPr>
          <w:p w14:paraId="3E7A2D3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不属于以上分类的其他应用软件。</w:t>
            </w:r>
          </w:p>
        </w:tc>
      </w:tr>
      <w:tr w:rsidR="00A320E6" w14:paraId="5AEB0FFA" w14:textId="77777777" w:rsidTr="00EC761E">
        <w:trPr>
          <w:cantSplit/>
        </w:trPr>
        <w:tc>
          <w:tcPr>
            <w:tcW w:w="563" w:type="pct"/>
            <w:vAlign w:val="center"/>
          </w:tcPr>
          <w:p w14:paraId="6EFA42A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w:t>
            </w:r>
          </w:p>
        </w:tc>
        <w:tc>
          <w:tcPr>
            <w:tcW w:w="1247" w:type="pct"/>
            <w:vAlign w:val="center"/>
          </w:tcPr>
          <w:p w14:paraId="11DC600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嵌入式软件</w:t>
            </w:r>
          </w:p>
        </w:tc>
        <w:tc>
          <w:tcPr>
            <w:tcW w:w="3190" w:type="pct"/>
            <w:vAlign w:val="center"/>
          </w:tcPr>
          <w:p w14:paraId="4E5CD88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嵌入式系统中的软件部分，它与系统中的硬件高度结合，一般在可靠性、实时性、效率等方面具有更高要求。（仅与硬件紧密结合部分，不包括运行于嵌入式系统中可独立发布、安装、卸载的软件）</w:t>
            </w:r>
          </w:p>
        </w:tc>
      </w:tr>
      <w:tr w:rsidR="00A320E6" w14:paraId="3436D517" w14:textId="77777777" w:rsidTr="00EC761E">
        <w:trPr>
          <w:cantSplit/>
        </w:trPr>
        <w:tc>
          <w:tcPr>
            <w:tcW w:w="563" w:type="pct"/>
            <w:vAlign w:val="center"/>
          </w:tcPr>
          <w:p w14:paraId="06D0C35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D.1</w:t>
            </w:r>
          </w:p>
        </w:tc>
        <w:tc>
          <w:tcPr>
            <w:tcW w:w="1247" w:type="pct"/>
            <w:vAlign w:val="center"/>
          </w:tcPr>
          <w:p w14:paraId="11E37C9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通信设备嵌入式软件</w:t>
            </w:r>
          </w:p>
        </w:tc>
        <w:tc>
          <w:tcPr>
            <w:tcW w:w="3190" w:type="pct"/>
            <w:vAlign w:val="center"/>
          </w:tcPr>
          <w:p w14:paraId="5F2F4A0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嵌入在通信设备中的应用软件，包括通讯传输设备、通讯交换设备、移动通信设备、网络设备等嵌入的软件。</w:t>
            </w:r>
          </w:p>
        </w:tc>
      </w:tr>
      <w:tr w:rsidR="00A320E6" w14:paraId="0EB2AD94" w14:textId="77777777" w:rsidTr="00EC761E">
        <w:trPr>
          <w:cantSplit/>
        </w:trPr>
        <w:tc>
          <w:tcPr>
            <w:tcW w:w="563" w:type="pct"/>
            <w:vAlign w:val="center"/>
          </w:tcPr>
          <w:p w14:paraId="3699AD3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D.2</w:t>
            </w:r>
          </w:p>
        </w:tc>
        <w:tc>
          <w:tcPr>
            <w:tcW w:w="1247" w:type="pct"/>
            <w:vAlign w:val="center"/>
          </w:tcPr>
          <w:p w14:paraId="409628D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广播电视设备嵌入式设备</w:t>
            </w:r>
          </w:p>
        </w:tc>
        <w:tc>
          <w:tcPr>
            <w:tcW w:w="3190" w:type="pct"/>
            <w:vAlign w:val="center"/>
          </w:tcPr>
          <w:p w14:paraId="5BA9732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嵌入在广播电视设备中的应用软件，包括广播电视节目制作设备、播控设备、发射设备、电影播放设备等嵌入的软件。</w:t>
            </w:r>
          </w:p>
        </w:tc>
      </w:tr>
      <w:tr w:rsidR="00A320E6" w14:paraId="5C03903F" w14:textId="77777777" w:rsidTr="00EC761E">
        <w:trPr>
          <w:cantSplit/>
        </w:trPr>
        <w:tc>
          <w:tcPr>
            <w:tcW w:w="563" w:type="pct"/>
            <w:vAlign w:val="center"/>
          </w:tcPr>
          <w:p w14:paraId="77B9D28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D.3</w:t>
            </w:r>
          </w:p>
        </w:tc>
        <w:tc>
          <w:tcPr>
            <w:tcW w:w="1247" w:type="pct"/>
            <w:vAlign w:val="center"/>
          </w:tcPr>
          <w:p w14:paraId="2ECE044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汽车电子嵌入式软件</w:t>
            </w:r>
          </w:p>
        </w:tc>
        <w:tc>
          <w:tcPr>
            <w:tcW w:w="3190" w:type="pct"/>
            <w:vAlign w:val="center"/>
          </w:tcPr>
          <w:p w14:paraId="3087924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嵌入在汽车控制系统或车载系统中的应用软件，包括车辆控制系统、车载娱乐系统、汽车检测设备等嵌入的软件。</w:t>
            </w:r>
          </w:p>
        </w:tc>
      </w:tr>
      <w:tr w:rsidR="00A320E6" w14:paraId="1A48F765" w14:textId="77777777" w:rsidTr="00EC761E">
        <w:trPr>
          <w:cantSplit/>
        </w:trPr>
        <w:tc>
          <w:tcPr>
            <w:tcW w:w="563" w:type="pct"/>
            <w:vAlign w:val="center"/>
          </w:tcPr>
          <w:p w14:paraId="0FC1B4A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D.4</w:t>
            </w:r>
          </w:p>
        </w:tc>
        <w:tc>
          <w:tcPr>
            <w:tcW w:w="1247" w:type="pct"/>
            <w:vAlign w:val="center"/>
          </w:tcPr>
          <w:p w14:paraId="153C368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交通监控设备嵌入式软件</w:t>
            </w:r>
          </w:p>
        </w:tc>
        <w:tc>
          <w:tcPr>
            <w:tcW w:w="3190" w:type="pct"/>
            <w:vAlign w:val="center"/>
          </w:tcPr>
          <w:p w14:paraId="4203791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嵌入交通监控类设备的应用软件，包括流量监测设备、交通信号控制设备等嵌入的软件。</w:t>
            </w:r>
          </w:p>
        </w:tc>
      </w:tr>
      <w:tr w:rsidR="00A320E6" w14:paraId="7DC0FC0E" w14:textId="77777777" w:rsidTr="00EC761E">
        <w:trPr>
          <w:cantSplit/>
        </w:trPr>
        <w:tc>
          <w:tcPr>
            <w:tcW w:w="563" w:type="pct"/>
            <w:vAlign w:val="center"/>
          </w:tcPr>
          <w:p w14:paraId="7C478C3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D.5</w:t>
            </w:r>
          </w:p>
        </w:tc>
        <w:tc>
          <w:tcPr>
            <w:tcW w:w="1247" w:type="pct"/>
            <w:vAlign w:val="center"/>
          </w:tcPr>
          <w:p w14:paraId="5FDB38D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电子测量仪器嵌入式软件</w:t>
            </w:r>
          </w:p>
        </w:tc>
        <w:tc>
          <w:tcPr>
            <w:tcW w:w="3190" w:type="pct"/>
            <w:vAlign w:val="center"/>
          </w:tcPr>
          <w:p w14:paraId="781FF9D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进行光、电等信号测量电子测量仪器中嵌入的应用软件。</w:t>
            </w:r>
          </w:p>
        </w:tc>
      </w:tr>
      <w:tr w:rsidR="00A320E6" w14:paraId="34F2B02D" w14:textId="77777777" w:rsidTr="00EC761E">
        <w:trPr>
          <w:cantSplit/>
        </w:trPr>
        <w:tc>
          <w:tcPr>
            <w:tcW w:w="563" w:type="pct"/>
            <w:vAlign w:val="center"/>
          </w:tcPr>
          <w:p w14:paraId="6F92999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D.6</w:t>
            </w:r>
          </w:p>
        </w:tc>
        <w:tc>
          <w:tcPr>
            <w:tcW w:w="1247" w:type="pct"/>
            <w:vAlign w:val="center"/>
          </w:tcPr>
          <w:p w14:paraId="661B6DC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装备自动控制嵌入式软件</w:t>
            </w:r>
          </w:p>
        </w:tc>
        <w:tc>
          <w:tcPr>
            <w:tcW w:w="3190" w:type="pct"/>
            <w:vAlign w:val="center"/>
          </w:tcPr>
          <w:p w14:paraId="45504EF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嵌入在自动控制装备产品中的应用软件，包括集散控制系统、电气传动及控制系统、制造用机器人、数控机床、智能传感设备等嵌入的软件。</w:t>
            </w:r>
          </w:p>
        </w:tc>
      </w:tr>
      <w:tr w:rsidR="00A320E6" w14:paraId="46E73588" w14:textId="77777777" w:rsidTr="00EC761E">
        <w:trPr>
          <w:cantSplit/>
        </w:trPr>
        <w:tc>
          <w:tcPr>
            <w:tcW w:w="563" w:type="pct"/>
            <w:vAlign w:val="center"/>
          </w:tcPr>
          <w:p w14:paraId="5D5D82A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D.7</w:t>
            </w:r>
          </w:p>
        </w:tc>
        <w:tc>
          <w:tcPr>
            <w:tcW w:w="1247" w:type="pct"/>
            <w:vAlign w:val="center"/>
          </w:tcPr>
          <w:p w14:paraId="6769B4A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电子医疗器械嵌入式软件</w:t>
            </w:r>
          </w:p>
        </w:tc>
        <w:tc>
          <w:tcPr>
            <w:tcW w:w="3190" w:type="pct"/>
            <w:vAlign w:val="center"/>
          </w:tcPr>
          <w:p w14:paraId="5D454EA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嵌入电子医疗器械中进行医学分析或治疗等的应用软件。</w:t>
            </w:r>
          </w:p>
        </w:tc>
      </w:tr>
      <w:tr w:rsidR="00A320E6" w14:paraId="751B2D08" w14:textId="77777777" w:rsidTr="00EC761E">
        <w:trPr>
          <w:cantSplit/>
        </w:trPr>
        <w:tc>
          <w:tcPr>
            <w:tcW w:w="563" w:type="pct"/>
            <w:vAlign w:val="center"/>
          </w:tcPr>
          <w:p w14:paraId="2EFD8C9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lastRenderedPageBreak/>
              <w:t>D.8</w:t>
            </w:r>
          </w:p>
        </w:tc>
        <w:tc>
          <w:tcPr>
            <w:tcW w:w="1247" w:type="pct"/>
            <w:vAlign w:val="center"/>
          </w:tcPr>
          <w:p w14:paraId="5006F25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电力监控设备嵌入式软件</w:t>
            </w:r>
          </w:p>
        </w:tc>
        <w:tc>
          <w:tcPr>
            <w:tcW w:w="3190" w:type="pct"/>
            <w:vAlign w:val="center"/>
          </w:tcPr>
          <w:p w14:paraId="358CC98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嵌入在电力监控设备中的应用软件，包括智能电表、电力调度设备、供电保护装置等嵌入的软件。</w:t>
            </w:r>
          </w:p>
        </w:tc>
      </w:tr>
      <w:tr w:rsidR="00A320E6" w14:paraId="719A102C" w14:textId="77777777" w:rsidTr="00EC761E">
        <w:trPr>
          <w:cantSplit/>
        </w:trPr>
        <w:tc>
          <w:tcPr>
            <w:tcW w:w="563" w:type="pct"/>
            <w:vAlign w:val="center"/>
          </w:tcPr>
          <w:p w14:paraId="2E9B7D9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D.9</w:t>
            </w:r>
          </w:p>
        </w:tc>
        <w:tc>
          <w:tcPr>
            <w:tcW w:w="1247" w:type="pct"/>
            <w:vAlign w:val="center"/>
          </w:tcPr>
          <w:p w14:paraId="1E2D390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信息系统安全产品</w:t>
            </w:r>
          </w:p>
          <w:p w14:paraId="47F0DBF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嵌入式软件</w:t>
            </w:r>
          </w:p>
        </w:tc>
        <w:tc>
          <w:tcPr>
            <w:tcW w:w="3190" w:type="pct"/>
            <w:vAlign w:val="center"/>
          </w:tcPr>
          <w:p w14:paraId="7E327AB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嵌入在信息系统安全产品中的嵌入式应用软件。</w:t>
            </w:r>
          </w:p>
        </w:tc>
      </w:tr>
      <w:tr w:rsidR="00A320E6" w14:paraId="1DD04EDC" w14:textId="77777777" w:rsidTr="00EC761E">
        <w:trPr>
          <w:cantSplit/>
        </w:trPr>
        <w:tc>
          <w:tcPr>
            <w:tcW w:w="563" w:type="pct"/>
            <w:vAlign w:val="center"/>
          </w:tcPr>
          <w:p w14:paraId="3E6B5E9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D.10</w:t>
            </w:r>
          </w:p>
        </w:tc>
        <w:tc>
          <w:tcPr>
            <w:tcW w:w="1247" w:type="pct"/>
            <w:vAlign w:val="center"/>
          </w:tcPr>
          <w:p w14:paraId="3818DBB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计算机应用产品</w:t>
            </w:r>
          </w:p>
          <w:p w14:paraId="2CB2B86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嵌入式软件</w:t>
            </w:r>
          </w:p>
        </w:tc>
        <w:tc>
          <w:tcPr>
            <w:tcW w:w="3190" w:type="pct"/>
            <w:vAlign w:val="center"/>
          </w:tcPr>
          <w:p w14:paraId="5F5A147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嵌入在计算机硬件或外设中的应用软件，包括办公设备、智能传感设备、信息采集装置、自动识别装置、生物特征识别装置等嵌入的软件。</w:t>
            </w:r>
          </w:p>
        </w:tc>
      </w:tr>
      <w:tr w:rsidR="00A320E6" w14:paraId="74CC9169" w14:textId="77777777" w:rsidTr="00EC761E">
        <w:trPr>
          <w:cantSplit/>
        </w:trPr>
        <w:tc>
          <w:tcPr>
            <w:tcW w:w="563" w:type="pct"/>
            <w:vAlign w:val="center"/>
          </w:tcPr>
          <w:p w14:paraId="5B6E0CC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D.11</w:t>
            </w:r>
          </w:p>
        </w:tc>
        <w:tc>
          <w:tcPr>
            <w:tcW w:w="1247" w:type="pct"/>
            <w:vAlign w:val="center"/>
          </w:tcPr>
          <w:p w14:paraId="27ED641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终端设备嵌入式软件</w:t>
            </w:r>
          </w:p>
        </w:tc>
        <w:tc>
          <w:tcPr>
            <w:tcW w:w="3190" w:type="pct"/>
            <w:vAlign w:val="center"/>
          </w:tcPr>
          <w:p w14:paraId="5924D35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嵌入在个人或行业等终端设备中的嵌入式软件。包括便携终端嵌入式软件、家用终端嵌入式软件、可穿戴设备嵌入式软件、自助终端嵌入式软件、行业应用终端嵌入式软件。</w:t>
            </w:r>
          </w:p>
        </w:tc>
      </w:tr>
      <w:tr w:rsidR="00A320E6" w14:paraId="54F9DAF9" w14:textId="77777777" w:rsidTr="00EC761E">
        <w:trPr>
          <w:cantSplit/>
        </w:trPr>
        <w:tc>
          <w:tcPr>
            <w:tcW w:w="563" w:type="pct"/>
            <w:vAlign w:val="center"/>
          </w:tcPr>
          <w:p w14:paraId="66F35D0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D.12</w:t>
            </w:r>
          </w:p>
        </w:tc>
        <w:tc>
          <w:tcPr>
            <w:tcW w:w="1247" w:type="pct"/>
            <w:vAlign w:val="center"/>
          </w:tcPr>
          <w:p w14:paraId="2145E24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其他嵌入式应用软件</w:t>
            </w:r>
          </w:p>
        </w:tc>
        <w:tc>
          <w:tcPr>
            <w:tcW w:w="3190" w:type="pct"/>
            <w:vAlign w:val="center"/>
          </w:tcPr>
          <w:p w14:paraId="1107028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不属于以上分类的嵌入式应用软件。</w:t>
            </w:r>
          </w:p>
        </w:tc>
      </w:tr>
      <w:tr w:rsidR="00A320E6" w14:paraId="3BF44179" w14:textId="77777777" w:rsidTr="00EC761E">
        <w:trPr>
          <w:cantSplit/>
        </w:trPr>
        <w:tc>
          <w:tcPr>
            <w:tcW w:w="563" w:type="pct"/>
            <w:vAlign w:val="center"/>
          </w:tcPr>
          <w:p w14:paraId="1052770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w:t>
            </w:r>
          </w:p>
        </w:tc>
        <w:tc>
          <w:tcPr>
            <w:tcW w:w="1247" w:type="pct"/>
            <w:vAlign w:val="center"/>
          </w:tcPr>
          <w:p w14:paraId="46ADD31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信息安全软件</w:t>
            </w:r>
          </w:p>
        </w:tc>
        <w:tc>
          <w:tcPr>
            <w:tcW w:w="3190" w:type="pct"/>
            <w:vAlign w:val="center"/>
          </w:tcPr>
          <w:p w14:paraId="1588CB8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用于对计算机系统及其内容进行保护确保其不被非授权访问的软件。</w:t>
            </w:r>
          </w:p>
        </w:tc>
      </w:tr>
      <w:tr w:rsidR="00A320E6" w14:paraId="1A095957" w14:textId="77777777" w:rsidTr="00EC761E">
        <w:trPr>
          <w:cantSplit/>
        </w:trPr>
        <w:tc>
          <w:tcPr>
            <w:tcW w:w="563" w:type="pct"/>
            <w:vAlign w:val="center"/>
          </w:tcPr>
          <w:p w14:paraId="2480937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E.1</w:t>
            </w:r>
          </w:p>
        </w:tc>
        <w:tc>
          <w:tcPr>
            <w:tcW w:w="1247" w:type="pct"/>
            <w:vAlign w:val="center"/>
          </w:tcPr>
          <w:p w14:paraId="73A684F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基础类安全产品</w:t>
            </w:r>
          </w:p>
        </w:tc>
        <w:tc>
          <w:tcPr>
            <w:tcW w:w="3190" w:type="pct"/>
            <w:vAlign w:val="center"/>
          </w:tcPr>
          <w:p w14:paraId="5647C2C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对计算机信息系统的硬件和软件资源的有效控制，能够为所管理的资源提供相应的安全保护的信息安全产品。</w:t>
            </w:r>
          </w:p>
        </w:tc>
      </w:tr>
      <w:tr w:rsidR="00A320E6" w14:paraId="558F4335" w14:textId="77777777" w:rsidTr="00EC761E">
        <w:trPr>
          <w:cantSplit/>
        </w:trPr>
        <w:tc>
          <w:tcPr>
            <w:tcW w:w="563" w:type="pct"/>
            <w:vAlign w:val="center"/>
          </w:tcPr>
          <w:p w14:paraId="73B525C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E.2</w:t>
            </w:r>
          </w:p>
        </w:tc>
        <w:tc>
          <w:tcPr>
            <w:tcW w:w="1247" w:type="pct"/>
            <w:vAlign w:val="center"/>
          </w:tcPr>
          <w:p w14:paraId="07777F4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网络与边界安全产品</w:t>
            </w:r>
          </w:p>
        </w:tc>
        <w:tc>
          <w:tcPr>
            <w:tcW w:w="3190" w:type="pct"/>
            <w:vAlign w:val="center"/>
          </w:tcPr>
          <w:p w14:paraId="0E5B09A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部署在网络设备、通信终端或安全域边界上，用于防御针对网络通讯的攻击、安全域外部对内部网络/主机设备进行渗透或安全域内部网络/主机设备向外部泄露敏感信息等的信息安全产品。</w:t>
            </w:r>
          </w:p>
        </w:tc>
      </w:tr>
      <w:tr w:rsidR="00A320E6" w14:paraId="0565CDA2" w14:textId="77777777" w:rsidTr="00EC761E">
        <w:trPr>
          <w:cantSplit/>
        </w:trPr>
        <w:tc>
          <w:tcPr>
            <w:tcW w:w="563" w:type="pct"/>
            <w:vAlign w:val="center"/>
          </w:tcPr>
          <w:p w14:paraId="741230C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E.3</w:t>
            </w:r>
          </w:p>
        </w:tc>
        <w:tc>
          <w:tcPr>
            <w:tcW w:w="1247" w:type="pct"/>
            <w:vAlign w:val="center"/>
          </w:tcPr>
          <w:p w14:paraId="78E62B0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终端与数字内容安全产品</w:t>
            </w:r>
          </w:p>
        </w:tc>
        <w:tc>
          <w:tcPr>
            <w:tcW w:w="3190" w:type="pct"/>
            <w:vAlign w:val="center"/>
          </w:tcPr>
          <w:p w14:paraId="310E1C7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部署在服务终端，用于对在终端设备上发布数字内容进行安全保护，防止数字内容被非授权访问、拷贝、分发等的安全产品。</w:t>
            </w:r>
          </w:p>
        </w:tc>
      </w:tr>
      <w:tr w:rsidR="00A320E6" w14:paraId="6B60237B" w14:textId="77777777" w:rsidTr="00EC761E">
        <w:trPr>
          <w:cantSplit/>
        </w:trPr>
        <w:tc>
          <w:tcPr>
            <w:tcW w:w="563" w:type="pct"/>
            <w:vAlign w:val="center"/>
          </w:tcPr>
          <w:p w14:paraId="2D8E644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E.4</w:t>
            </w:r>
          </w:p>
        </w:tc>
        <w:tc>
          <w:tcPr>
            <w:tcW w:w="1247" w:type="pct"/>
            <w:vAlign w:val="center"/>
          </w:tcPr>
          <w:p w14:paraId="4AA9692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专用安全产品</w:t>
            </w:r>
          </w:p>
        </w:tc>
        <w:tc>
          <w:tcPr>
            <w:tcW w:w="3190" w:type="pct"/>
            <w:vAlign w:val="center"/>
          </w:tcPr>
          <w:p w14:paraId="6034F9C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针对特殊需求专门定制的信息安全产品。</w:t>
            </w:r>
          </w:p>
        </w:tc>
      </w:tr>
      <w:tr w:rsidR="00A320E6" w14:paraId="6FCC5F4B" w14:textId="77777777" w:rsidTr="00EC761E">
        <w:trPr>
          <w:cantSplit/>
        </w:trPr>
        <w:tc>
          <w:tcPr>
            <w:tcW w:w="563" w:type="pct"/>
            <w:vAlign w:val="center"/>
          </w:tcPr>
          <w:p w14:paraId="623E291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E.5</w:t>
            </w:r>
          </w:p>
        </w:tc>
        <w:tc>
          <w:tcPr>
            <w:tcW w:w="1247" w:type="pct"/>
            <w:vAlign w:val="center"/>
          </w:tcPr>
          <w:p w14:paraId="05BBE1B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安全测试评估与</w:t>
            </w:r>
          </w:p>
          <w:p w14:paraId="13CF6C2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服务类软件</w:t>
            </w:r>
          </w:p>
        </w:tc>
        <w:tc>
          <w:tcPr>
            <w:tcW w:w="3190" w:type="pct"/>
            <w:vAlign w:val="center"/>
          </w:tcPr>
          <w:p w14:paraId="17749D8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对安全防护功能和性能进行测试评估的软件产品。</w:t>
            </w:r>
          </w:p>
        </w:tc>
      </w:tr>
      <w:tr w:rsidR="00A320E6" w14:paraId="6C037D3A" w14:textId="77777777" w:rsidTr="00EC761E">
        <w:trPr>
          <w:cantSplit/>
        </w:trPr>
        <w:tc>
          <w:tcPr>
            <w:tcW w:w="563" w:type="pct"/>
            <w:vAlign w:val="center"/>
          </w:tcPr>
          <w:p w14:paraId="0E70A7E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E.6</w:t>
            </w:r>
          </w:p>
        </w:tc>
        <w:tc>
          <w:tcPr>
            <w:tcW w:w="1247" w:type="pct"/>
            <w:vAlign w:val="center"/>
          </w:tcPr>
          <w:p w14:paraId="12E4F7F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安全管理产品</w:t>
            </w:r>
          </w:p>
        </w:tc>
        <w:tc>
          <w:tcPr>
            <w:tcW w:w="3190" w:type="pct"/>
            <w:vAlign w:val="center"/>
          </w:tcPr>
          <w:p w14:paraId="7508C1E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为保障信息系统正常运行提供安全基础服务管理与支持，以及降低运行过程中的安全风险的信息安全产品。此类产品没有明确的部署点，也不直接针对具体设备。</w:t>
            </w:r>
          </w:p>
        </w:tc>
      </w:tr>
      <w:tr w:rsidR="00A320E6" w14:paraId="39A55F4F" w14:textId="77777777" w:rsidTr="00EC761E">
        <w:trPr>
          <w:cantSplit/>
        </w:trPr>
        <w:tc>
          <w:tcPr>
            <w:tcW w:w="563" w:type="pct"/>
            <w:vAlign w:val="center"/>
          </w:tcPr>
          <w:p w14:paraId="5CE810D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E.7</w:t>
            </w:r>
          </w:p>
        </w:tc>
        <w:tc>
          <w:tcPr>
            <w:tcW w:w="1247" w:type="pct"/>
            <w:vAlign w:val="center"/>
          </w:tcPr>
          <w:p w14:paraId="4DDA917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其他安全软件</w:t>
            </w:r>
          </w:p>
        </w:tc>
        <w:tc>
          <w:tcPr>
            <w:tcW w:w="3190" w:type="pct"/>
            <w:vAlign w:val="center"/>
          </w:tcPr>
          <w:p w14:paraId="550B9D7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不属于以上分类的安全软件。</w:t>
            </w:r>
          </w:p>
        </w:tc>
      </w:tr>
      <w:tr w:rsidR="00A320E6" w14:paraId="7B7392FD" w14:textId="77777777" w:rsidTr="00EC761E">
        <w:trPr>
          <w:cantSplit/>
        </w:trPr>
        <w:tc>
          <w:tcPr>
            <w:tcW w:w="563" w:type="pct"/>
            <w:vAlign w:val="center"/>
          </w:tcPr>
          <w:p w14:paraId="18463B8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w:t>
            </w:r>
          </w:p>
        </w:tc>
        <w:tc>
          <w:tcPr>
            <w:tcW w:w="1247" w:type="pct"/>
            <w:vAlign w:val="center"/>
          </w:tcPr>
          <w:p w14:paraId="596798F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工业软件</w:t>
            </w:r>
          </w:p>
        </w:tc>
        <w:tc>
          <w:tcPr>
            <w:tcW w:w="3190" w:type="pct"/>
            <w:vAlign w:val="center"/>
          </w:tcPr>
          <w:p w14:paraId="7664288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在工业领域辅助进行工业设计、生产、通讯、控制的软件。</w:t>
            </w:r>
          </w:p>
        </w:tc>
      </w:tr>
      <w:tr w:rsidR="00A320E6" w14:paraId="31B9FE98" w14:textId="77777777" w:rsidTr="00EC761E">
        <w:trPr>
          <w:cantSplit/>
        </w:trPr>
        <w:tc>
          <w:tcPr>
            <w:tcW w:w="563" w:type="pct"/>
            <w:vAlign w:val="center"/>
          </w:tcPr>
          <w:p w14:paraId="1BDAECE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F.1</w:t>
            </w:r>
          </w:p>
        </w:tc>
        <w:tc>
          <w:tcPr>
            <w:tcW w:w="1247" w:type="pct"/>
            <w:vAlign w:val="center"/>
          </w:tcPr>
          <w:p w14:paraId="38BFDAB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工业总线</w:t>
            </w:r>
          </w:p>
        </w:tc>
        <w:tc>
          <w:tcPr>
            <w:tcW w:w="3190" w:type="pct"/>
            <w:vAlign w:val="center"/>
          </w:tcPr>
          <w:p w14:paraId="3335CB0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偏嵌入式/硬件，用于将多个处理器和控制器集成在一起，实现相互之间的通信，包括串行总线和并行总线。</w:t>
            </w:r>
          </w:p>
        </w:tc>
      </w:tr>
      <w:tr w:rsidR="00A320E6" w14:paraId="3A0542FF" w14:textId="77777777" w:rsidTr="00EC761E">
        <w:trPr>
          <w:cantSplit/>
        </w:trPr>
        <w:tc>
          <w:tcPr>
            <w:tcW w:w="563" w:type="pct"/>
            <w:vAlign w:val="center"/>
          </w:tcPr>
          <w:p w14:paraId="4768D22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F.2</w:t>
            </w:r>
          </w:p>
        </w:tc>
        <w:tc>
          <w:tcPr>
            <w:tcW w:w="1247" w:type="pct"/>
            <w:vAlign w:val="center"/>
          </w:tcPr>
          <w:p w14:paraId="1B53003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计算机辅助设计</w:t>
            </w:r>
          </w:p>
          <w:p w14:paraId="5A3BA32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（CAD）</w:t>
            </w:r>
          </w:p>
        </w:tc>
        <w:tc>
          <w:tcPr>
            <w:tcW w:w="3190" w:type="pct"/>
            <w:vAlign w:val="center"/>
          </w:tcPr>
          <w:p w14:paraId="3CEF0E5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采用系统化工程方法，利用计算机辅助设计人员完成设计任务的软件。</w:t>
            </w:r>
          </w:p>
        </w:tc>
      </w:tr>
      <w:tr w:rsidR="00A320E6" w14:paraId="71F70B01" w14:textId="77777777" w:rsidTr="00EC761E">
        <w:trPr>
          <w:cantSplit/>
        </w:trPr>
        <w:tc>
          <w:tcPr>
            <w:tcW w:w="563" w:type="pct"/>
            <w:vAlign w:val="center"/>
          </w:tcPr>
          <w:p w14:paraId="76E7F6F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F.3</w:t>
            </w:r>
          </w:p>
        </w:tc>
        <w:tc>
          <w:tcPr>
            <w:tcW w:w="1247" w:type="pct"/>
            <w:vAlign w:val="center"/>
          </w:tcPr>
          <w:p w14:paraId="3BFB5D9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计算机辅助制造（CAM）</w:t>
            </w:r>
          </w:p>
        </w:tc>
        <w:tc>
          <w:tcPr>
            <w:tcW w:w="3190" w:type="pct"/>
            <w:vAlign w:val="center"/>
          </w:tcPr>
          <w:p w14:paraId="35434D3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利用计算机对产品制造作业进行规划、管理和控制的软件。</w:t>
            </w:r>
          </w:p>
        </w:tc>
      </w:tr>
      <w:tr w:rsidR="00A320E6" w14:paraId="405BFF1C" w14:textId="77777777" w:rsidTr="00EC761E">
        <w:trPr>
          <w:cantSplit/>
        </w:trPr>
        <w:tc>
          <w:tcPr>
            <w:tcW w:w="563" w:type="pct"/>
            <w:vAlign w:val="center"/>
          </w:tcPr>
          <w:p w14:paraId="2D6E0A2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F.4</w:t>
            </w:r>
          </w:p>
        </w:tc>
        <w:tc>
          <w:tcPr>
            <w:tcW w:w="1247" w:type="pct"/>
            <w:vAlign w:val="center"/>
          </w:tcPr>
          <w:p w14:paraId="7187ECC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计算机集成制造系统</w:t>
            </w:r>
          </w:p>
        </w:tc>
        <w:tc>
          <w:tcPr>
            <w:tcW w:w="3190" w:type="pct"/>
            <w:vAlign w:val="center"/>
          </w:tcPr>
          <w:p w14:paraId="0692949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综合运用计算机信息处理技术和生产技术，对制造型企业经营的全过程（包括市场分析、产品设计、计划管理、加工制造、销售服务等）的活动、信息、资源、组织和管理进行总体优化组合的软件。</w:t>
            </w:r>
          </w:p>
        </w:tc>
      </w:tr>
      <w:tr w:rsidR="00A320E6" w14:paraId="3DBC8799" w14:textId="77777777" w:rsidTr="00EC761E">
        <w:trPr>
          <w:cantSplit/>
        </w:trPr>
        <w:tc>
          <w:tcPr>
            <w:tcW w:w="563" w:type="pct"/>
            <w:vAlign w:val="center"/>
          </w:tcPr>
          <w:p w14:paraId="2456B83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F.5</w:t>
            </w:r>
          </w:p>
        </w:tc>
        <w:tc>
          <w:tcPr>
            <w:tcW w:w="1247" w:type="pct"/>
            <w:vAlign w:val="center"/>
          </w:tcPr>
          <w:p w14:paraId="2DE667D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工业仿真</w:t>
            </w:r>
          </w:p>
        </w:tc>
        <w:tc>
          <w:tcPr>
            <w:tcW w:w="3190" w:type="pct"/>
            <w:vAlign w:val="center"/>
          </w:tcPr>
          <w:p w14:paraId="7B2B0DC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模拟将实体工业中的各个模块转化成数据整合到一个虚拟的体系中软件，模拟实现工业作业中的每一项工作和流程，并与之实现各种交互。</w:t>
            </w:r>
          </w:p>
        </w:tc>
      </w:tr>
      <w:tr w:rsidR="00A320E6" w14:paraId="5C879DD0" w14:textId="77777777" w:rsidTr="00EC761E">
        <w:trPr>
          <w:cantSplit/>
        </w:trPr>
        <w:tc>
          <w:tcPr>
            <w:tcW w:w="563" w:type="pct"/>
            <w:vAlign w:val="center"/>
          </w:tcPr>
          <w:p w14:paraId="04AADF9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lastRenderedPageBreak/>
              <w:t>F.6</w:t>
            </w:r>
          </w:p>
        </w:tc>
        <w:tc>
          <w:tcPr>
            <w:tcW w:w="1247" w:type="pct"/>
            <w:vAlign w:val="center"/>
          </w:tcPr>
          <w:p w14:paraId="2A51342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可编程逻辑控制器</w:t>
            </w:r>
          </w:p>
          <w:p w14:paraId="084A4C6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（PLC）</w:t>
            </w:r>
          </w:p>
        </w:tc>
        <w:tc>
          <w:tcPr>
            <w:tcW w:w="3190" w:type="pct"/>
            <w:vAlign w:val="center"/>
          </w:tcPr>
          <w:p w14:paraId="2562DB6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采用一类可编程的存储器，用于其内部存储程序，执行逻辑运算、顺序控制、定时、计数与算术操作等面向用户的指令，并通过数字或模拟式输入/输出控制各种类型的机械或生产过程。</w:t>
            </w:r>
          </w:p>
        </w:tc>
      </w:tr>
      <w:tr w:rsidR="00A320E6" w14:paraId="7137C714" w14:textId="77777777" w:rsidTr="00EC761E">
        <w:trPr>
          <w:cantSplit/>
        </w:trPr>
        <w:tc>
          <w:tcPr>
            <w:tcW w:w="563" w:type="pct"/>
            <w:vAlign w:val="center"/>
          </w:tcPr>
          <w:p w14:paraId="59BE128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F.7</w:t>
            </w:r>
          </w:p>
        </w:tc>
        <w:tc>
          <w:tcPr>
            <w:tcW w:w="1247" w:type="pct"/>
            <w:vAlign w:val="center"/>
          </w:tcPr>
          <w:p w14:paraId="6BD96FF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产品生产周期管理</w:t>
            </w:r>
          </w:p>
          <w:p w14:paraId="0FA9A6B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（PLM）</w:t>
            </w:r>
          </w:p>
        </w:tc>
        <w:tc>
          <w:tcPr>
            <w:tcW w:w="3190" w:type="pct"/>
            <w:vAlign w:val="center"/>
          </w:tcPr>
          <w:p w14:paraId="7A6E36C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支持产品信息产品全生命周期内的创建、管理、分发和使用。</w:t>
            </w:r>
          </w:p>
        </w:tc>
      </w:tr>
      <w:tr w:rsidR="00A320E6" w14:paraId="77EC720E" w14:textId="77777777" w:rsidTr="00EC761E">
        <w:trPr>
          <w:cantSplit/>
        </w:trPr>
        <w:tc>
          <w:tcPr>
            <w:tcW w:w="563" w:type="pct"/>
            <w:vAlign w:val="center"/>
          </w:tcPr>
          <w:p w14:paraId="03DD4E5E"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F.8</w:t>
            </w:r>
          </w:p>
        </w:tc>
        <w:tc>
          <w:tcPr>
            <w:tcW w:w="1247" w:type="pct"/>
            <w:vAlign w:val="center"/>
          </w:tcPr>
          <w:p w14:paraId="5C14289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产品数据管理</w:t>
            </w:r>
          </w:p>
          <w:p w14:paraId="0C66FF4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（PDM）</w:t>
            </w:r>
          </w:p>
        </w:tc>
        <w:tc>
          <w:tcPr>
            <w:tcW w:w="3190" w:type="pct"/>
            <w:vAlign w:val="center"/>
          </w:tcPr>
          <w:p w14:paraId="665C246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用来管理所有与产品相关信息（包括零件信息、配置、文档、CAD文件、结构、权限信息等）和所有与产品相关过程（包括过程定义和管理）的软件。</w:t>
            </w:r>
          </w:p>
        </w:tc>
      </w:tr>
      <w:tr w:rsidR="00A320E6" w14:paraId="2AF89E58" w14:textId="77777777" w:rsidTr="00EC761E">
        <w:trPr>
          <w:cantSplit/>
        </w:trPr>
        <w:tc>
          <w:tcPr>
            <w:tcW w:w="563" w:type="pct"/>
            <w:vAlign w:val="center"/>
          </w:tcPr>
          <w:p w14:paraId="44E0749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F.9</w:t>
            </w:r>
          </w:p>
        </w:tc>
        <w:tc>
          <w:tcPr>
            <w:tcW w:w="1247" w:type="pct"/>
            <w:vAlign w:val="center"/>
          </w:tcPr>
          <w:p w14:paraId="71E618F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其他工业软件</w:t>
            </w:r>
          </w:p>
        </w:tc>
        <w:tc>
          <w:tcPr>
            <w:tcW w:w="3190" w:type="pct"/>
            <w:vAlign w:val="center"/>
          </w:tcPr>
          <w:p w14:paraId="2359114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不属于上述类别的工业软件。</w:t>
            </w:r>
          </w:p>
        </w:tc>
      </w:tr>
      <w:tr w:rsidR="00A320E6" w14:paraId="5834D270" w14:textId="77777777" w:rsidTr="00EC761E">
        <w:trPr>
          <w:cantSplit/>
        </w:trPr>
        <w:tc>
          <w:tcPr>
            <w:tcW w:w="563" w:type="pct"/>
            <w:vAlign w:val="center"/>
          </w:tcPr>
          <w:p w14:paraId="1EDF6FB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G</w:t>
            </w:r>
          </w:p>
        </w:tc>
        <w:tc>
          <w:tcPr>
            <w:tcW w:w="1247" w:type="pct"/>
            <w:vAlign w:val="center"/>
          </w:tcPr>
          <w:p w14:paraId="7CCE49F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其他软件</w:t>
            </w:r>
          </w:p>
        </w:tc>
        <w:tc>
          <w:tcPr>
            <w:tcW w:w="3190" w:type="pct"/>
            <w:vAlign w:val="center"/>
          </w:tcPr>
          <w:p w14:paraId="10F9BF8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不属于以上类别软件的其他软件。</w:t>
            </w:r>
          </w:p>
        </w:tc>
      </w:tr>
    </w:tbl>
    <w:p w14:paraId="7D7A0852" w14:textId="77777777" w:rsidR="00A320E6" w:rsidRDefault="00A320E6" w:rsidP="00AE0286">
      <w:pPr>
        <w:pStyle w:val="a3"/>
      </w:pPr>
    </w:p>
    <w:p w14:paraId="4D9E38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附2</w:t>
      </w:r>
    </w:p>
    <w:p w14:paraId="49F3636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“中国软件行业基准数据”历年报告查询网址</w:t>
      </w:r>
    </w:p>
    <w:p w14:paraId="19386D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从2016年开始，中国电子技术标准化研究院、北京软件和信息服务交易所、北京软件造价评估技术创新联盟每年联合公开发布一次“中国软件行业基准数据”。</w:t>
      </w:r>
    </w:p>
    <w:p w14:paraId="24C741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查询网址：</w:t>
      </w:r>
      <w:hyperlink r:id="rId18" w:history="1">
        <w:r>
          <w:rPr>
            <w:rFonts w:ascii="宋体" w:hAnsi="宋体" w:cs="宋体" w:hint="eastAsia"/>
            <w:sz w:val="24"/>
          </w:rPr>
          <w:t>http://www.bscea.org/html/rjjzsj/ndsj</w:t>
        </w:r>
        <w:bookmarkStart w:id="27" w:name="_Toc21142"/>
        <w:bookmarkStart w:id="28" w:name="_Toc22994"/>
        <w:bookmarkStart w:id="29" w:name="_Toc17562"/>
      </w:hyperlink>
    </w:p>
    <w:p w14:paraId="0B30587B"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30" w:name="_Toc112227352"/>
      <w:r>
        <w:rPr>
          <w:rFonts w:ascii="宋体" w:hAnsi="宋体" w:cs="宋体" w:hint="eastAsia"/>
          <w:b/>
          <w:bCs/>
          <w:sz w:val="24"/>
          <w:szCs w:val="24"/>
        </w:rPr>
        <w:t>资产评估专家指引——碳资产评估</w:t>
      </w:r>
      <w:bookmarkEnd w:id="27"/>
      <w:bookmarkEnd w:id="28"/>
      <w:bookmarkEnd w:id="29"/>
      <w:r>
        <w:rPr>
          <w:rFonts w:ascii="宋体" w:hAnsi="宋体" w:cs="宋体" w:hint="eastAsia"/>
          <w:b/>
          <w:bCs/>
          <w:sz w:val="24"/>
          <w:szCs w:val="24"/>
        </w:rPr>
        <w:t>（征求意见稿）</w:t>
      </w:r>
      <w:bookmarkEnd w:id="30"/>
    </w:p>
    <w:p w14:paraId="58BF22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本专家指引是一种专家建议。评估机构执行碳资产评估业务，可以参照本专家指引，也可以根据具体情况采用其他适当的做法。中国资产评估协会将根据业务发展，对本专家指引进行更新。</w:t>
      </w:r>
    </w:p>
    <w:p w14:paraId="378C1ADC" w14:textId="67BA135D" w:rsidR="00A320E6" w:rsidRDefault="00000000" w:rsidP="00EC761E">
      <w:pPr>
        <w:pStyle w:val="13"/>
        <w:spacing w:before="62" w:after="62"/>
      </w:pPr>
      <w:r>
        <w:rPr>
          <w:rFonts w:hint="eastAsia"/>
        </w:rPr>
        <w:t>第一章</w:t>
      </w:r>
      <w:r w:rsidR="00EC761E">
        <w:rPr>
          <w:rFonts w:hint="eastAsia"/>
        </w:rPr>
        <w:t xml:space="preserve"> </w:t>
      </w:r>
      <w:r>
        <w:rPr>
          <w:rFonts w:hint="eastAsia"/>
        </w:rPr>
        <w:t>引言</w:t>
      </w:r>
    </w:p>
    <w:p w14:paraId="14EF347A" w14:textId="10D3C614"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【起草依据】针对碳资产特点，结合实际操作中可能存在的部分难点和要点，中国资产评估协会组织制定了本专家指引。</w:t>
      </w:r>
    </w:p>
    <w:p w14:paraId="37BCFBE5" w14:textId="4579E548"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碳资产定义】本专家指引所称碳资产，是指在碳排放权交易体系或温室气体自愿减排交易等机制下，特定主体拥有或控制的，作为生产经营要素或投资对象从而带来经济利益的资源，包括配额碳资产、减排碳资产、碳金融资产等。</w:t>
      </w:r>
    </w:p>
    <w:p w14:paraId="68185648" w14:textId="2E8A7898"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【碳资产评估定义】本专家指引所指碳资产评估，指评估机构及其评估人员根据委托对评估基准日特定目的下碳资产价值进行评定和估算，并出具评估报告的专业服务行为。</w:t>
      </w:r>
    </w:p>
    <w:p w14:paraId="08B2FD0C" w14:textId="00E495F9"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【碳评估专业评估人员】开展碳评估相关的专业评估人员，应熟悉碳评估相关的知识，包括但不限于碳评估相关政策法规、碳交易规则、核证程序、主要</w:t>
      </w:r>
      <w:r>
        <w:rPr>
          <w:rFonts w:ascii="宋体" w:hAnsi="宋体" w:cs="宋体" w:hint="eastAsia"/>
          <w:sz w:val="24"/>
        </w:rPr>
        <w:lastRenderedPageBreak/>
        <w:t>碳减排技术手段等。</w:t>
      </w:r>
    </w:p>
    <w:p w14:paraId="55A2769F" w14:textId="3E4F7495" w:rsidR="00A320E6" w:rsidRDefault="00000000" w:rsidP="00EC761E">
      <w:pPr>
        <w:pStyle w:val="13"/>
        <w:spacing w:before="62" w:after="62"/>
      </w:pPr>
      <w:r>
        <w:rPr>
          <w:rFonts w:hint="eastAsia"/>
        </w:rPr>
        <w:t>第二章</w:t>
      </w:r>
      <w:r w:rsidR="00EC761E">
        <w:rPr>
          <w:rFonts w:hint="eastAsia"/>
        </w:rPr>
        <w:t xml:space="preserve"> </w:t>
      </w:r>
      <w:r>
        <w:rPr>
          <w:rFonts w:hint="eastAsia"/>
        </w:rPr>
        <w:t>碳资产分类、特征与价值来源</w:t>
      </w:r>
    </w:p>
    <w:p w14:paraId="54AD939E" w14:textId="7E53DCF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【碳资产类型】碳资产可以分为配额碳资产、减排碳资产、碳金融资产。</w:t>
      </w:r>
    </w:p>
    <w:p w14:paraId="2204F6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（一）配额碳资产：即碳排放配额，是经碳排放权交易主管部门核定、发放并允许纳入碳排放权交易的企业在特定时期内的二氧化碳排放量。</w:t>
      </w:r>
    </w:p>
    <w:p w14:paraId="337C1D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（二）减排碳资产：是通过对我国境内可再生能源、林业碳汇、甲烷利用等项目的温室气体减排效果进行量化核证，并在国家温室气体自愿减排交易注册登记系统中登记的温室气体减排量。</w:t>
      </w:r>
    </w:p>
    <w:p w14:paraId="3B74CB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（三）碳金融资产：是围绕碳资产管理、碳减排技术和项目而开展的金融活动所形成的衍生资产，如碳期权、碳期货等。</w:t>
      </w:r>
    </w:p>
    <w:p w14:paraId="0AA841E9" w14:textId="5E28B714"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【碳资产特征】碳资产作为一种以数字化为载体的经济资源，具有稀缺性、消耗性、投资性、可透支性四个特征。</w:t>
      </w:r>
    </w:p>
    <w:p w14:paraId="73F5419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（一）稀缺性。在温室气体排放量受到严格控制情况下，碳排放权成为一种具有稀缺属性的经济资源，并且随着管控越来越严格，碳资产的稀缺性与价值属性也会愈加明显。</w:t>
      </w:r>
    </w:p>
    <w:p w14:paraId="22E11A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（二）消耗性。碳资产的最终用途为在生产经营中被企业消耗。消耗有两种方式：一是控排企业将碳排放配额用于履约清缴；二是持有企业将盈余的碳资产进行交易获取盈利。</w:t>
      </w:r>
    </w:p>
    <w:p w14:paraId="30CE6D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（三）投资性。企业可以通过有效的碳资产管理，结余碳排放配额或减排量，加以储存和出售换取经济利益；也可以通过市场交易获取碳排放权或者减排量，待有利时机开展投机性交易以赚取差价。</w:t>
      </w:r>
    </w:p>
    <w:p w14:paraId="7A578CA4" w14:textId="29EC8674"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碳资产价值来源】碳资产作为企业生产经营活动中的重要要素，主要通过两种方式带来经济收益。第一，通过在生产或经营过程中消耗，使控排企业获得经济利益。第二，通过在碳交易市场上直接出售，获得经济利益。</w:t>
      </w:r>
    </w:p>
    <w:p w14:paraId="0BBB65BE" w14:textId="662D89E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碳资产价值影响因素】碳资产的价值影响因素通常包括气候环境因素、政策因素、经济因素、能源价格因素、企业因素和周期性因素等。资产评估人员应当对碳资产价值的影响因素情况进行分析，判断各种因素对碳资产价值的影响程度。</w:t>
      </w:r>
    </w:p>
    <w:p w14:paraId="2F3AEE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（一）气候环境因素：气候环境变化对二氧化碳排放的影响具有即时性，炎热与寒冷会引发社会对能源的需求增加，二氧化碳排放量会明显增多，是影响碳资产</w:t>
      </w:r>
      <w:r>
        <w:rPr>
          <w:rFonts w:ascii="宋体" w:hAnsi="宋体" w:cs="宋体" w:hint="eastAsia"/>
          <w:sz w:val="24"/>
        </w:rPr>
        <w:lastRenderedPageBreak/>
        <w:t>价格波动的关键因素。</w:t>
      </w:r>
    </w:p>
    <w:p w14:paraId="02E56B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政策因素：主要包括政府部门制定的碳配额总量、碳配额分配方式、碳抵销机制等碳减排相关政策。在目前碳交易体系下，碳排放配额的总量和分配计划是由政府综合考虑环境因素及减排目标，以及经济发展、产业及能源结构、重点减排企业情况等因素事先确定，这直接决定了碳资产的市场空间和总供给量，是影响碳资产价格水平的根本性因素。</w:t>
      </w:r>
    </w:p>
    <w:p w14:paraId="365719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碳排放配额不足企业除购买碳排放配额外，碳市场还存在一种抵销机制，即允许企业购买国家核证自愿减排量（CCER）等同于碳排放配额（CEA）进行履约，但抵销条件和抵销比例受到一定限制。因此，抵销机制的政策安排同样能对碳资产价格产生影响。关注环境政策、碳排放配额总量设置、碳排放配额分配方案、碳抵销机制安排等，可以帮助评估人员判断政策因素对碳资产价值的影响程度。</w:t>
      </w:r>
    </w:p>
    <w:p w14:paraId="466F9DB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经济因素：宏观经济环境直接影响着社会生产消费需求，对碳资产交易价格的变动有着深刻影响。经济衰落时，生产消费低迷，碳排放活动和碳资产需求减少，从而导致碳资产价格下跌。经济繁荣时，生产消费积极，社会资源充分利用，对碳排放配额的需求增加，推动了碳资产价格上涨。</w:t>
      </w:r>
    </w:p>
    <w:p w14:paraId="43033A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能源价格因素：能源价格主要包括煤炭价格、石油价格、天然气价格、电力价格等。目前，煤、石油、天然气转变为电能热能是世界上碳排放量最大的工业过程，而不同能源原料成本不同，产生的碳排放量也不同，对碳排放配额需求及其价格有着重要影响。</w:t>
      </w:r>
    </w:p>
    <w:p w14:paraId="6DD799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（五）企业因素：通常包括企业的行业属性、碳排放强度、生产规模、是否纳入控排范围、绿色技术创新水平等个体特征，主要通过影响碳资产需求对碳资产市场价格产生影响。</w:t>
      </w:r>
    </w:p>
    <w:p w14:paraId="032049B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（六）周期性因素：碳排放配额一般在年初分配、年末清缴，这些特征会造成碳资产在市场供需、流动性等方面呈现明显的周期性特点，进而对碳资产价格造成影响。</w:t>
      </w:r>
    </w:p>
    <w:p w14:paraId="08B8639F" w14:textId="510C9063" w:rsidR="00A320E6" w:rsidRDefault="00000000" w:rsidP="00EC761E">
      <w:pPr>
        <w:pStyle w:val="13"/>
        <w:spacing w:before="62" w:after="62"/>
      </w:pPr>
      <w:r>
        <w:rPr>
          <w:rFonts w:hint="eastAsia"/>
        </w:rPr>
        <w:t>第三章</w:t>
      </w:r>
      <w:r w:rsidR="00EC761E">
        <w:rPr>
          <w:rFonts w:hint="eastAsia"/>
        </w:rPr>
        <w:t xml:space="preserve"> </w:t>
      </w:r>
      <w:r>
        <w:rPr>
          <w:rFonts w:hint="eastAsia"/>
        </w:rPr>
        <w:t>评估基本事项</w:t>
      </w:r>
    </w:p>
    <w:p w14:paraId="24D28D74" w14:textId="729434AB"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【基本事项】资产评估机构开展碳资产评估业务，需要与委托人沟通并明确如下事项：评估对象和范围、评估目的、价值类型、评估基准日等。</w:t>
      </w:r>
    </w:p>
    <w:p w14:paraId="3C895893" w14:textId="52405D4A"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【评估对象和评估范围】专业评估人员在碳资产的评估中首先应明确评</w:t>
      </w:r>
      <w:r>
        <w:rPr>
          <w:rFonts w:ascii="宋体" w:hAnsi="宋体" w:cs="宋体" w:hint="eastAsia"/>
          <w:sz w:val="24"/>
        </w:rPr>
        <w:lastRenderedPageBreak/>
        <w:t>估对象，了解碳资产相关的政策法规背景。在碳资产组或者资产组组合的评估中，应同时识别资产组或资产组组合中除碳资产外的其他生产要素，与碳资产加以区分。在碳金融资产的评估中，专业评估人员应辨别碳资产相关的各项权利与义务，理解碳金融资产合同中涉及的核心资产与其他资产，在评估中分别考虑。</w:t>
      </w:r>
    </w:p>
    <w:p w14:paraId="7C17C7E4" w14:textId="35C2FE7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【评估目的】碳资产评估目的通常包括碳资产的交易、抵（质）押和财务报告等。</w:t>
      </w:r>
    </w:p>
    <w:p w14:paraId="375C7F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（一）交易目的：碳资产评估作为确定交易价格的基础和参考，评估结果是否合理与准确将影响交易双方的利益。</w:t>
      </w:r>
    </w:p>
    <w:p w14:paraId="7284B2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抵（质）押目的：当产权持有人以碳资产为抵（质）押向金融机构或其他非金融机构进行融资时，需要对作为抵（质）押物的碳资产进行价值评估。贷款方通常按评估值的一定比例来确定发放贷款的额度。当贷款期届满，债务人不履行债务合同义务时，债权人有权依法将相关抵（质）押资产拍卖、变卖，并以所得价款优先受偿。</w:t>
      </w:r>
    </w:p>
    <w:p w14:paraId="67D12D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财务报告目的：企业在编制财务报告时，通常需要对碳资产进行评估。对涉及的碳资产进行评估时，需要资产评估机构及资产评估人员遵守法律、行政法规、资产评估准则和企业会计准则及会计核算、披露的有关要求，对评估基准日以财务报告为目的所涉及的各类碳资产的公允价值或特定价值进行评定和估算，提供专业服务，并出具资产评估（估值）报告。</w:t>
      </w:r>
    </w:p>
    <w:p w14:paraId="5EDBB270" w14:textId="129E65A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价值类型】资产评估人员应当结合碳资产评估委托事项或者碳资产评估报告使用需求所对应的评估目的和评估对象，确定相应的评估价值类型。碳资产评估常见的价值类型包括市场价值、投资价值、在用价值、清算价值等。</w:t>
      </w:r>
    </w:p>
    <w:p w14:paraId="2D596E9F" w14:textId="40347EF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【利用专家工作】适当情况下，评估人员应合理利用专家工作，如碳资产核查报告、重大评估假设判断等，结合评估人员的专业经验开展资产评估工作。</w:t>
      </w:r>
    </w:p>
    <w:p w14:paraId="5AF58DDF" w14:textId="72EB4822" w:rsidR="00A320E6" w:rsidRDefault="00000000" w:rsidP="00EC761E">
      <w:pPr>
        <w:pStyle w:val="13"/>
        <w:spacing w:before="62" w:after="62"/>
      </w:pPr>
      <w:r>
        <w:rPr>
          <w:rFonts w:hint="eastAsia"/>
        </w:rPr>
        <w:t>第四章</w:t>
      </w:r>
      <w:r w:rsidR="00EC761E">
        <w:rPr>
          <w:rFonts w:hint="eastAsia"/>
        </w:rPr>
        <w:t xml:space="preserve"> </w:t>
      </w:r>
      <w:r>
        <w:rPr>
          <w:rFonts w:hint="eastAsia"/>
        </w:rPr>
        <w:t>评估方法</w:t>
      </w:r>
    </w:p>
    <w:p w14:paraId="19508220" w14:textId="5108DB5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【方法列举】资产评估方法是指评定估算碳资产价值所采用的途径和技术手段的总和，主要包括市场法、成本法和收益法三种基本方法及其衍生方法，以及其他创新方法如实物期权法、影子价格法等。</w:t>
      </w:r>
    </w:p>
    <w:p w14:paraId="409CBE7F" w14:textId="1192F29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【市场法】市场法利用市场上同样或者类似碳资产的近期或往期交易价格，通过直接比较或者类比分析评估碳资产价值。</w:t>
      </w:r>
    </w:p>
    <w:p w14:paraId="5844E2CE" w14:textId="6EBBDA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第十六条</w:t>
      </w:r>
      <w:r w:rsidR="00A45A13">
        <w:rPr>
          <w:rFonts w:ascii="宋体" w:hAnsi="宋体" w:cs="宋体" w:hint="eastAsia"/>
          <w:sz w:val="24"/>
        </w:rPr>
        <w:t xml:space="preserve"> </w:t>
      </w:r>
      <w:r>
        <w:rPr>
          <w:rFonts w:ascii="宋体" w:hAnsi="宋体" w:cs="宋体" w:hint="eastAsia"/>
          <w:sz w:val="24"/>
        </w:rPr>
        <w:t>【适用性分析】使用市场法的前提条件是存在成熟有效的碳资产交易市场，并能够在市场上找到同样或类似的碳资产交易。资产评估人员需要根据碳资产价值的影响因素，利用所获取碳资产数据资料的充分性和可靠性、产权持有人的情况、价值类型，考虑市场法的适用性。</w:t>
      </w:r>
    </w:p>
    <w:p w14:paraId="65BDDC6A" w14:textId="48C264C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碳价选取】使用市场法执行碳资产评估业务时，应当在充分了解被评估碳资产的情况后，搜集类似碳资产交易案例相关信息，类似交易的选取应当充分考虑碳资产类型、交易场所、交易日期等因素对碳价的影响。</w:t>
      </w:r>
    </w:p>
    <w:p w14:paraId="3FBDB7B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（一）不同类型碳资产在资产属性、开发成本、市场准入、供求情况、履约条件、监管政策等方面均不相同，价格也因此存在差异。</w:t>
      </w:r>
    </w:p>
    <w:p w14:paraId="6C3D75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（二）碳资产进行交易的场所不同，价格也有所不同。碳价选取需考虑所在地区的环境政策、碳市场的交易活跃程度，并适当剔除波动性因素。</w:t>
      </w:r>
    </w:p>
    <w:p w14:paraId="0CD13B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（三）碳资产交易具有较强的周期性。临近碳资产清缴日，交易相对活跃；碳资产清缴结束后，市场需求平淡。因此，评估中应当充分考虑周期性因素，选择相同或相近日期的碳资产交易价格作为参考基准。</w:t>
      </w:r>
    </w:p>
    <w:p w14:paraId="51DE470E" w14:textId="4265794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【碳价修正】使用市场法执行碳资产评估业务时，评估人员应当以待估碳资产所处市场的碳交易价格为基础，根据不同的评估目的，进行适当修正。</w:t>
      </w:r>
    </w:p>
    <w:p w14:paraId="5758C4B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评估减排碳资产价值，应充分考虑减排项目开发流程及期限因素，并对未来年度的碳价进行合理预测。预测未来年度的碳价，可根据碳市场发展状况、国家碳减排政策、社会碳排放强度等因素，综合分析确定合理的溢价或折价。</w:t>
      </w:r>
    </w:p>
    <w:p w14:paraId="03809301" w14:textId="7493F19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当前正值碳交易市场快速发展期，交易透明度、信息公开度不断提升。市场法能够充分利用碳交易市场信息，简单易行且直观易懂，是目前碳资产评估普遍采用的方法。</w:t>
      </w:r>
    </w:p>
    <w:p w14:paraId="76944901" w14:textId="4AB66A0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【成本法】成本法通过估测碳资产的重置成本得到资产价值。运用成本法执行碳资产评估业务时，需要根据碳资产形成的全部投入，分析碳资产价值与成本的相关程度，考虑成本法的适用性。</w:t>
      </w:r>
    </w:p>
    <w:p w14:paraId="31C19B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对于正在开发阶段的碳减排项目，在碳减排当量尚未核证的情况下，可以考虑使用成本法评估碳资产价值，但应确认该类减排项目属于相关减排机制允许的项目范围内。</w:t>
      </w:r>
    </w:p>
    <w:p w14:paraId="6B7E46D6" w14:textId="480D881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【重置成本】运用成本法执行碳资产价值评估业务时，主要考虑碳</w:t>
      </w:r>
      <w:r>
        <w:rPr>
          <w:rFonts w:ascii="宋体" w:hAnsi="宋体" w:cs="宋体" w:hint="eastAsia"/>
          <w:sz w:val="24"/>
        </w:rPr>
        <w:lastRenderedPageBreak/>
        <w:t>资产的重置成本。碳资产重置成本，包括合理的成本、利润和相关税费，一般不考虑碳资产的贬值因素。合理的成本包括直接成本和间接费用。</w:t>
      </w:r>
    </w:p>
    <w:p w14:paraId="66707DC5" w14:textId="5B465C6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碳资产的重置成本因碳资产类型不同而有所差异。配额碳资产的重置成本为产权持有人在一级市场或二级市场获取碳资产的相关成本。减排碳资产的重置成本为减排项目的设计、开发、审定、核证等程序中花费的成本及相关费用，并需要考虑相关资产的折旧或摊销、资金成本。</w:t>
      </w:r>
    </w:p>
    <w:p w14:paraId="0495DC7D" w14:textId="11B9B2F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【收益法】收益法通过估测碳资产未来预期收益的现值确定资产价值，主要适用于评估碳资产市场价值以外的价值类型，为企业碳资产管理决策提供参考。</w:t>
      </w:r>
    </w:p>
    <w:p w14:paraId="04386C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在运用收益法执行碳资产价值评估业务时，应当在获取碳资产相关信息的基础上，结合碳资产的具体用途，重点分析碳资产经济收益的可预测性，考虑收益法的适用性。</w:t>
      </w:r>
    </w:p>
    <w:p w14:paraId="03B2893B" w14:textId="4721049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【关键参数】使用收益法的关键在于，有效计算碳资产的预期收益，合理确定折现率等关键参数。</w:t>
      </w:r>
    </w:p>
    <w:p w14:paraId="73475B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式中：</w:t>
      </w:r>
      <m:oMath>
        <m:r>
          <m:rPr>
            <m:sty m:val="p"/>
          </m:rPr>
          <w:rPr>
            <w:rFonts w:ascii="Cambria Math" w:hAnsi="Cambria Math" w:cs="宋体" w:hint="eastAsia"/>
            <w:sz w:val="24"/>
          </w:rPr>
          <m:t>P</m:t>
        </m:r>
      </m:oMath>
      <w:r>
        <w:rPr>
          <w:rFonts w:ascii="宋体" w:hAnsi="宋体" w:cs="宋体" w:hint="eastAsia"/>
          <w:sz w:val="24"/>
        </w:rPr>
        <w:t>为碳资产的评估价值</w:t>
      </w:r>
    </w:p>
    <w:p w14:paraId="13A03A7F" w14:textId="77777777" w:rsidR="00A320E6" w:rsidRDefault="00000000" w:rsidP="00AE0286">
      <w:pPr>
        <w:pStyle w:val="a3"/>
        <w:spacing w:line="360" w:lineRule="auto"/>
        <w:ind w:firstLine="480"/>
        <w:rPr>
          <w:rFonts w:ascii="宋体" w:hAnsi="宋体" w:cs="宋体"/>
          <w:sz w:val="24"/>
        </w:rPr>
      </w:pPr>
      <m:oMath>
        <m:sSub>
          <m:sSubPr>
            <m:ctrlPr>
              <w:rPr>
                <w:rFonts w:ascii="Cambria Math" w:hAnsi="Cambria Math" w:cs="宋体" w:hint="eastAsia"/>
                <w:sz w:val="24"/>
              </w:rPr>
            </m:ctrlPr>
          </m:sSubPr>
          <m:e>
            <m:r>
              <m:rPr>
                <m:sty m:val="p"/>
              </m:rPr>
              <w:rPr>
                <w:rFonts w:ascii="Cambria Math" w:hAnsi="Cambria Math" w:cs="宋体" w:hint="eastAsia"/>
                <w:sz w:val="24"/>
              </w:rPr>
              <m:t>F</m:t>
            </m:r>
          </m:e>
          <m:sub>
            <m:r>
              <m:rPr>
                <m:sty m:val="p"/>
              </m:rPr>
              <w:rPr>
                <w:rFonts w:ascii="Cambria Math" w:hAnsi="Cambria Math" w:cs="宋体" w:hint="eastAsia"/>
                <w:sz w:val="24"/>
              </w:rPr>
              <m:t>t</m:t>
            </m:r>
          </m:sub>
        </m:sSub>
      </m:oMath>
      <w:r>
        <w:rPr>
          <w:rFonts w:ascii="宋体" w:hAnsi="宋体" w:cs="宋体" w:hint="eastAsia"/>
          <w:sz w:val="24"/>
        </w:rPr>
        <w:t>为第</w:t>
      </w:r>
      <m:oMath>
        <m:r>
          <m:rPr>
            <m:sty m:val="p"/>
          </m:rPr>
          <w:rPr>
            <w:rFonts w:ascii="Cambria Math" w:hAnsi="Cambria Math" w:cs="宋体" w:hint="eastAsia"/>
            <w:sz w:val="24"/>
          </w:rPr>
          <m:t>t</m:t>
        </m:r>
      </m:oMath>
      <w:r>
        <w:rPr>
          <w:rFonts w:ascii="宋体" w:hAnsi="宋体" w:cs="宋体" w:hint="eastAsia"/>
          <w:sz w:val="24"/>
        </w:rPr>
        <w:t>期碳资产的预期收益</w:t>
      </w:r>
    </w:p>
    <w:p w14:paraId="04F0E84A"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r</m:t>
        </m:r>
      </m:oMath>
      <w:r>
        <w:rPr>
          <w:rFonts w:ascii="宋体" w:hAnsi="宋体" w:cs="宋体" w:hint="eastAsia"/>
          <w:sz w:val="24"/>
        </w:rPr>
        <w:t>为折现率</w:t>
      </w:r>
    </w:p>
    <w:p w14:paraId="290C23AB"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t</m:t>
        </m:r>
      </m:oMath>
      <w:r>
        <w:rPr>
          <w:rFonts w:ascii="宋体" w:hAnsi="宋体" w:cs="宋体" w:hint="eastAsia"/>
          <w:sz w:val="24"/>
        </w:rPr>
        <w:t>为收益预测年期</w:t>
      </w:r>
    </w:p>
    <w:p w14:paraId="51C12738" w14:textId="77777777" w:rsidR="00A320E6" w:rsidRDefault="00000000" w:rsidP="00AE0286">
      <w:pPr>
        <w:pStyle w:val="a3"/>
        <w:spacing w:line="360" w:lineRule="auto"/>
        <w:ind w:firstLine="480"/>
        <w:rPr>
          <w:rFonts w:ascii="宋体" w:hAnsi="宋体" w:cs="宋体"/>
          <w:sz w:val="24"/>
        </w:rPr>
      </w:pPr>
      <m:oMath>
        <m:r>
          <m:rPr>
            <m:sty m:val="p"/>
          </m:rPr>
          <w:rPr>
            <w:rFonts w:ascii="Cambria Math" w:hAnsi="Cambria Math" w:cs="宋体" w:hint="eastAsia"/>
            <w:sz w:val="24"/>
          </w:rPr>
          <m:t>n</m:t>
        </m:r>
      </m:oMath>
      <w:r>
        <w:rPr>
          <w:rFonts w:ascii="宋体" w:hAnsi="宋体" w:cs="宋体" w:hint="eastAsia"/>
          <w:sz w:val="24"/>
        </w:rPr>
        <w:t>为收益预测期限</w:t>
      </w:r>
    </w:p>
    <w:p w14:paraId="7A0A6F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当待评估碳资产为用于排放目的配额碳资产时，</w:t>
      </w:r>
      <m:oMath>
        <m:sSub>
          <m:sSubPr>
            <m:ctrlPr>
              <w:rPr>
                <w:rFonts w:ascii="Cambria Math" w:hAnsi="Cambria Math" w:cs="宋体" w:hint="eastAsia"/>
                <w:sz w:val="24"/>
              </w:rPr>
            </m:ctrlPr>
          </m:sSubPr>
          <m:e>
            <m:r>
              <m:rPr>
                <m:sty m:val="p"/>
              </m:rPr>
              <w:rPr>
                <w:rFonts w:ascii="Cambria Math" w:hAnsi="Cambria Math" w:cs="宋体" w:hint="eastAsia"/>
                <w:sz w:val="24"/>
              </w:rPr>
              <m:t>F</m:t>
            </m:r>
          </m:e>
          <m:sub>
            <m:r>
              <m:rPr>
                <m:sty m:val="p"/>
              </m:rPr>
              <w:rPr>
                <w:rFonts w:ascii="Cambria Math" w:hAnsi="Cambria Math" w:cs="宋体" w:hint="eastAsia"/>
                <w:sz w:val="24"/>
              </w:rPr>
              <m:t>t</m:t>
            </m:r>
          </m:sub>
        </m:sSub>
      </m:oMath>
      <w:r>
        <w:rPr>
          <w:rFonts w:ascii="宋体" w:hAnsi="宋体" w:cs="宋体" w:hint="eastAsia"/>
          <w:sz w:val="24"/>
        </w:rPr>
        <w:t>是第</w:t>
      </w:r>
      <m:oMath>
        <m:r>
          <m:rPr>
            <m:sty m:val="p"/>
          </m:rPr>
          <w:rPr>
            <w:rFonts w:ascii="Cambria Math" w:hAnsi="Cambria Math" w:cs="宋体" w:hint="eastAsia"/>
            <w:sz w:val="24"/>
          </w:rPr>
          <m:t>t</m:t>
        </m:r>
      </m:oMath>
      <w:r>
        <w:rPr>
          <w:rFonts w:ascii="宋体" w:hAnsi="宋体" w:cs="宋体" w:hint="eastAsia"/>
          <w:sz w:val="24"/>
        </w:rPr>
        <w:t>期碳排放为经济主体带来的扣除相关获得成本后的预期经济收益。计算碳排放的预期收益时，可以根据企业历史年度的碳排放强度和未来年度的减排计划，估计碳排放的预期产值，也可根据一定比例的分成率，基于企业整体收益计算碳资产的预期收益。</w:t>
      </w:r>
    </w:p>
    <w:p w14:paraId="7D71D63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当待评估碳资产为处于开发阶段的减排碳资产时，减排项目应当符合国家核证减排机制允许项目的标准，重点在于估计未来年度经核证的自愿减排量和价格。此时，</w:t>
      </w:r>
      <m:oMath>
        <m:sSub>
          <m:sSubPr>
            <m:ctrlPr>
              <w:rPr>
                <w:rFonts w:ascii="Cambria Math" w:hAnsi="Cambria Math" w:cs="宋体" w:hint="eastAsia"/>
                <w:sz w:val="24"/>
              </w:rPr>
            </m:ctrlPr>
          </m:sSubPr>
          <m:e>
            <m:r>
              <m:rPr>
                <m:sty m:val="p"/>
              </m:rPr>
              <w:rPr>
                <w:rFonts w:ascii="Cambria Math" w:hAnsi="Cambria Math" w:cs="宋体" w:hint="eastAsia"/>
                <w:sz w:val="24"/>
              </w:rPr>
              <m:t>F</m:t>
            </m:r>
          </m:e>
          <m:sub>
            <m:r>
              <m:rPr>
                <m:sty m:val="p"/>
              </m:rPr>
              <w:rPr>
                <w:rFonts w:ascii="Cambria Math" w:hAnsi="Cambria Math" w:cs="宋体" w:hint="eastAsia"/>
                <w:sz w:val="24"/>
              </w:rPr>
              <m:t>t</m:t>
            </m:r>
          </m:sub>
        </m:sSub>
      </m:oMath>
      <w:r>
        <w:rPr>
          <w:rFonts w:ascii="宋体" w:hAnsi="宋体" w:cs="宋体" w:hint="eastAsia"/>
          <w:sz w:val="24"/>
        </w:rPr>
        <w:t>为第t期经核证自愿减排量的估计价格扣除相关成本。</w:t>
      </w:r>
    </w:p>
    <w:p w14:paraId="1334A620" w14:textId="5368C56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【预期收益】如何恰当衡量碳资产在企业生产经营中的价值贡献程度，确认企业总经济收益中碳资产带来收益分成，是估计碳资产预期收益的关键。</w:t>
      </w:r>
    </w:p>
    <w:p w14:paraId="65D5C38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碳资产的价值贡献程度因地区、行业、企业、生产阶段不同而有所差异。估算</w:t>
      </w:r>
      <w:r>
        <w:rPr>
          <w:rFonts w:ascii="宋体" w:hAnsi="宋体" w:cs="宋体" w:hint="eastAsia"/>
          <w:sz w:val="24"/>
        </w:rPr>
        <w:lastRenderedPageBreak/>
        <w:t>碳资产的预期收益时，可以参考企业历史期排放强度，直接估计碳资产收益。难以直接从总收入中分离碳资产收益时，可以通过计算不同生产要素的利润分成率，对企业总收益进行调整，确认碳资产的贡献。</w:t>
      </w:r>
    </w:p>
    <w:p w14:paraId="54BA40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利润分成率（</w:t>
      </w:r>
      <m:oMath>
        <m:sSub>
          <m:sSubPr>
            <m:ctrlPr>
              <w:rPr>
                <w:rFonts w:ascii="Cambria Math" w:hAnsi="Cambria Math" w:cs="宋体" w:hint="eastAsia"/>
                <w:sz w:val="24"/>
              </w:rPr>
            </m:ctrlPr>
          </m:sSubPr>
          <m:e>
            <m:r>
              <m:rPr>
                <m:sty m:val="p"/>
              </m:rPr>
              <w:rPr>
                <w:rFonts w:ascii="Cambria Math" w:hAnsi="Cambria Math" w:cs="宋体" w:hint="eastAsia"/>
                <w:sz w:val="24"/>
              </w:rPr>
              <m:t>k</m:t>
            </m:r>
          </m:e>
          <m:sub>
            <m:r>
              <m:rPr>
                <m:sty m:val="p"/>
              </m:rPr>
              <w:rPr>
                <w:rFonts w:ascii="Cambria Math" w:hAnsi="Cambria Math" w:cs="宋体" w:hint="eastAsia"/>
                <w:sz w:val="24"/>
              </w:rPr>
              <m:t>t</m:t>
            </m:r>
          </m:sub>
        </m:sSub>
      </m:oMath>
      <w:r>
        <w:rPr>
          <w:rFonts w:ascii="宋体" w:hAnsi="宋体" w:cs="宋体" w:hint="eastAsia"/>
          <w:sz w:val="24"/>
        </w:rPr>
        <w:t>）可通过碳资产消耗成本在企业生产总成本的占比进行估计。碳资产消耗成本通常包括购买成本、交易成本、申请成本、履约成本等。</w:t>
      </w:r>
    </w:p>
    <w:p w14:paraId="084FD649" w14:textId="2DCA7ED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【收益期限】使用收益法执行碳资产评估业务时，需要根据碳资产的清缴政策、排放规划以及产品的生产周期等因素确定收益期限。</w:t>
      </w:r>
    </w:p>
    <w:p w14:paraId="79DC7327" w14:textId="73CDABE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折现率】使用收益法执行碳资产评估业务时，应当合理确定折现率。折现率可以通过分析评估基准日的利率、投资回报率、碳资产相关政策等因素确定。碳资产折现率可以采用无风险报酬率加风险报酬率的方式确定。碳资产折现率应当与预期收益的口径保持一致。</w:t>
      </w:r>
    </w:p>
    <w:p w14:paraId="193A87B2" w14:textId="0A98B34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影子价格法】生产要素的影子价格是指，在其他投入要素保持不变条件下，减少一单位生产要素投入所导致的企业生产总值的减少值。碳资产的影子价格，指每减少一单位碳排放所造成的额外经济成本或利润损失，本质是二氧化碳等温室气体的边际减排成本。</w:t>
      </w:r>
    </w:p>
    <w:p w14:paraId="75747A1F" w14:textId="024CE56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适用性分析】使用影子价格法的前提是，能够对企业或地区的生产函数进行合理估计。基于企业或地区的生产函数，在利润最大化约束下，依据生产边际法则计算碳排放这一生产要素的边际成本，即为碳资产价值。</w:t>
      </w:r>
    </w:p>
    <w:p w14:paraId="107DFBE3" w14:textId="53FCD8E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使用影子价格法评估碳资产的价值，需要具有相关主体技术水平、资本投入、劳动投入等历年数据支持，合理构造企业生产函数。目前，影子价格法尚处于理论研究与探索阶段，运用较多的是柯布-道格拉斯生产函数。</w:t>
      </w:r>
    </w:p>
    <w:p w14:paraId="4C34FA6C" w14:textId="58339FE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【期权定价法】评估期权的价值可以选择和应用多种期权定价方法或者模型。目前，实践中应用较广泛的模型主要有布莱克—舒尔斯模型和二项树模型等。</w:t>
      </w:r>
    </w:p>
    <w:p w14:paraId="2777DB9A" w14:textId="0E692F2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适用性分析】对于由配额碳资产和减排碳资产延伸出来的碳衍生工具，例如碳期货、碳期权等，由于具有金融衍生工具的特征，可根据期权定价模型进行评估。值得注意的是，目前碳资产刚刚处于起步阶段，针对碳资产的衍生产品较少，相应的数据积累还不够充分，碳资产的期权定价方法还处于理论探索与研究阶段。</w:t>
      </w:r>
    </w:p>
    <w:p w14:paraId="3C3058AB" w14:textId="323C76D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第三十三条</w:t>
      </w:r>
      <w:r w:rsidR="00C36EF7">
        <w:rPr>
          <w:rFonts w:ascii="宋体" w:hAnsi="宋体" w:cs="宋体" w:hint="eastAsia"/>
          <w:sz w:val="24"/>
        </w:rPr>
        <w:t xml:space="preserve"> </w:t>
      </w:r>
      <w:r>
        <w:rPr>
          <w:rFonts w:ascii="宋体" w:hAnsi="宋体" w:cs="宋体" w:hint="eastAsia"/>
          <w:sz w:val="24"/>
        </w:rPr>
        <w:t>【企业价值评估】企业价值评估涉及碳资产价值时，应充分考虑碳资产在企业生产经营中体现的投资价值与协同价值，包括企业其他资产对碳资产价值的影响、表内和表外碳资产、碳资产对企业未来经营发展的影响等，建立合适的评估模型估算企业价值与碳资产价值。</w:t>
      </w:r>
    </w:p>
    <w:p w14:paraId="25C67B07" w14:textId="601BDC13" w:rsidR="00A320E6" w:rsidRDefault="00000000" w:rsidP="00EC761E">
      <w:pPr>
        <w:pStyle w:val="13"/>
        <w:spacing w:before="62" w:after="62"/>
      </w:pPr>
      <w:r>
        <w:rPr>
          <w:rFonts w:hint="eastAsia"/>
        </w:rPr>
        <w:t>第五章</w:t>
      </w:r>
      <w:r w:rsidR="00EC761E">
        <w:rPr>
          <w:rFonts w:hint="eastAsia"/>
        </w:rPr>
        <w:t xml:space="preserve"> </w:t>
      </w:r>
      <w:r>
        <w:rPr>
          <w:rFonts w:hint="eastAsia"/>
        </w:rPr>
        <w:t>披露要求</w:t>
      </w:r>
    </w:p>
    <w:p w14:paraId="4A6A8C64" w14:textId="1BBB98A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第三十四条</w:t>
      </w:r>
      <w:r w:rsidR="00A45A13">
        <w:rPr>
          <w:rFonts w:ascii="宋体" w:hAnsi="宋体" w:cs="宋体" w:hint="eastAsia"/>
          <w:sz w:val="24"/>
        </w:rPr>
        <w:t xml:space="preserve"> </w:t>
      </w:r>
      <w:r>
        <w:rPr>
          <w:rFonts w:ascii="宋体" w:hAnsi="宋体" w:cs="宋体" w:hint="eastAsia"/>
          <w:sz w:val="24"/>
        </w:rPr>
        <w:t>【基本要求】执行碳资产评估业务，应当在资产评估报告中披露必要信息，使资产评估报告使用人能够正确理解评估结论。</w:t>
      </w:r>
    </w:p>
    <w:p w14:paraId="7498B1CA" w14:textId="0E941A4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第三十五条</w:t>
      </w:r>
      <w:r w:rsidR="00A45A13">
        <w:rPr>
          <w:rFonts w:ascii="宋体" w:hAnsi="宋体" w:cs="宋体" w:hint="eastAsia"/>
          <w:sz w:val="24"/>
        </w:rPr>
        <w:t xml:space="preserve"> </w:t>
      </w:r>
      <w:r>
        <w:rPr>
          <w:rFonts w:ascii="宋体" w:hAnsi="宋体" w:cs="宋体" w:hint="eastAsia"/>
          <w:sz w:val="24"/>
        </w:rPr>
        <w:t>【披露内容】编制碳资产评估报告通常包括下列内容：</w:t>
      </w:r>
    </w:p>
    <w:p w14:paraId="20E98D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（一）碳资产的详细情况，通常包括资产名称、类别、规模、交易场所、交易时间等；</w:t>
      </w:r>
    </w:p>
    <w:p w14:paraId="3AF71E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（二）评估委托方信息，通常包括企业所属行业特征、历史碳排放情况、是否纳入碳排放控排范围、绿色技术水平等；</w:t>
      </w:r>
    </w:p>
    <w:p w14:paraId="35509D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（三）碳资产核查相关资料，包括企业的碳资产核查报告、财务资料、企业碳资产管理规划等；</w:t>
      </w:r>
    </w:p>
    <w:p w14:paraId="70AF45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（四）对影响碳资产价值的气候环境因素、政策因素、经济因素、能源价格因素、企业因素、周期性因素等的分析过程；</w:t>
      </w:r>
    </w:p>
    <w:p w14:paraId="0F177C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（五）评估目的及选择的价值类型；</w:t>
      </w:r>
    </w:p>
    <w:p w14:paraId="130F75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（六）使用的评估假设和前提条件；</w:t>
      </w:r>
    </w:p>
    <w:p w14:paraId="530FB1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（七）有关评估方法的主要内容，包括评估方法的选取及理由，评估方法中的运算和逻辑推理公式，各重要参数的来源、分析、比较与测算过程，对测算结果进行分析并形成评估结论的过程；</w:t>
      </w:r>
    </w:p>
    <w:p w14:paraId="1C2B306B" w14:textId="77777777" w:rsidR="00A320E6" w:rsidRDefault="00000000" w:rsidP="00AE0286">
      <w:pPr>
        <w:spacing w:line="360" w:lineRule="auto"/>
        <w:ind w:firstLineChars="200" w:firstLine="480"/>
        <w:jc w:val="left"/>
        <w:rPr>
          <w:rFonts w:ascii="宋体" w:hAnsi="宋体" w:cs="宋体"/>
          <w:sz w:val="24"/>
          <w:szCs w:val="24"/>
        </w:rPr>
      </w:pPr>
      <w:r>
        <w:rPr>
          <w:rFonts w:ascii="宋体" w:hAnsi="宋体" w:cs="宋体" w:hint="eastAsia"/>
          <w:sz w:val="24"/>
          <w:szCs w:val="24"/>
        </w:rPr>
        <w:t>（八）其他必要信息。</w:t>
      </w:r>
    </w:p>
    <w:p w14:paraId="3FED2AA0" w14:textId="77777777" w:rsidR="00A320E6" w:rsidRPr="00EC761E" w:rsidRDefault="00000000" w:rsidP="00EC761E">
      <w:pPr>
        <w:jc w:val="left"/>
        <w:outlineLvl w:val="1"/>
        <w:rPr>
          <w:rFonts w:ascii="黑体" w:eastAsia="黑体" w:hAnsi="宋体" w:cs="黑体"/>
          <w:color w:val="000000"/>
          <w:kern w:val="0"/>
          <w:sz w:val="28"/>
          <w:szCs w:val="28"/>
          <w:lang w:bidi="ar"/>
        </w:rPr>
      </w:pPr>
      <w:bookmarkStart w:id="31" w:name="_Toc112227353"/>
      <w:r w:rsidRPr="00EC761E">
        <w:rPr>
          <w:rFonts w:ascii="黑体" w:eastAsia="黑体" w:hAnsi="宋体" w:cs="黑体" w:hint="eastAsia"/>
          <w:color w:val="000000"/>
          <w:kern w:val="0"/>
          <w:sz w:val="28"/>
          <w:szCs w:val="28"/>
          <w:lang w:bidi="ar"/>
        </w:rPr>
        <w:t>资产评估指导意见</w:t>
      </w:r>
      <w:bookmarkEnd w:id="31"/>
    </w:p>
    <w:p w14:paraId="088906FB" w14:textId="77777777" w:rsidR="00A320E6" w:rsidRDefault="00000000" w:rsidP="00B40F35">
      <w:pPr>
        <w:spacing w:beforeLines="50" w:before="156" w:afterLines="20" w:after="62" w:line="360" w:lineRule="auto"/>
        <w:jc w:val="center"/>
        <w:outlineLvl w:val="2"/>
        <w:rPr>
          <w:rFonts w:ascii="宋体" w:hAnsi="宋体" w:cs="宋体"/>
          <w:b/>
          <w:bCs/>
          <w:sz w:val="24"/>
          <w:szCs w:val="24"/>
        </w:rPr>
      </w:pPr>
      <w:bookmarkStart w:id="32" w:name="_Toc112227354"/>
      <w:r>
        <w:rPr>
          <w:rFonts w:ascii="宋体" w:hAnsi="宋体" w:cs="宋体" w:hint="eastAsia"/>
          <w:b/>
          <w:bCs/>
          <w:sz w:val="24"/>
          <w:szCs w:val="24"/>
        </w:rPr>
        <w:t>涉执房地产处置司法评估指导意见（试行）</w:t>
      </w:r>
      <w:bookmarkEnd w:id="32"/>
    </w:p>
    <w:p w14:paraId="0BDD9045" w14:textId="0DFF87B9"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第一条</w:t>
      </w:r>
      <w:r w:rsidR="00C36EF7">
        <w:rPr>
          <w:rFonts w:ascii="宋体" w:hAnsi="宋体" w:cs="宋体" w:hint="eastAsia"/>
          <w:sz w:val="24"/>
          <w:szCs w:val="24"/>
        </w:rPr>
        <w:t xml:space="preserve"> </w:t>
      </w:r>
      <w:r>
        <w:rPr>
          <w:rFonts w:ascii="宋体" w:hAnsi="宋体" w:cs="宋体" w:hint="eastAsia"/>
          <w:sz w:val="24"/>
          <w:szCs w:val="24"/>
        </w:rPr>
        <w:t>为了规范涉执房地产处置司法评估行为，保障评估质量，维护当事人和利害关系人的合法权益，根据《中华人民共和国城市房地产管理法》《中华人民共和国资产评估法》《最高人民法院关于人民法院确定财产处置参考价若干问题的规定》《人民法院委托评估工作规范》等法律法规，以及《房地产估价规范》等标准规范，结合涉执房地产处置司法评估实际，制定本意见。</w:t>
      </w:r>
    </w:p>
    <w:p w14:paraId="4DF46CAD" w14:textId="58F800DF"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lastRenderedPageBreak/>
        <w:t>第二条</w:t>
      </w:r>
      <w:r w:rsidR="00C36EF7">
        <w:rPr>
          <w:rFonts w:ascii="宋体" w:hAnsi="宋体" w:cs="宋体" w:hint="eastAsia"/>
          <w:sz w:val="24"/>
          <w:szCs w:val="24"/>
        </w:rPr>
        <w:t xml:space="preserve"> </w:t>
      </w:r>
      <w:r>
        <w:rPr>
          <w:rFonts w:ascii="宋体" w:hAnsi="宋体" w:cs="宋体" w:hint="eastAsia"/>
          <w:sz w:val="24"/>
          <w:szCs w:val="24"/>
        </w:rPr>
        <w:t>本意见适用于为人民法院确定财产处置参考价服务的房地产估价活动。</w:t>
      </w:r>
    </w:p>
    <w:p w14:paraId="34F9F8DF" w14:textId="0AD58D0D"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第三条</w:t>
      </w:r>
      <w:r w:rsidR="00C36EF7">
        <w:rPr>
          <w:rFonts w:ascii="宋体" w:hAnsi="宋体" w:cs="宋体" w:hint="eastAsia"/>
          <w:sz w:val="24"/>
          <w:szCs w:val="24"/>
        </w:rPr>
        <w:t xml:space="preserve"> </w:t>
      </w:r>
      <w:r>
        <w:rPr>
          <w:rFonts w:ascii="宋体" w:hAnsi="宋体" w:cs="宋体" w:hint="eastAsia"/>
          <w:sz w:val="24"/>
          <w:szCs w:val="24"/>
        </w:rPr>
        <w:t>房地产估价机构及其注册房地产估价师开展涉执房地产处置司法评估业务，应当遵守法律法规和房地产估价标准规范，遵循独立、客观、公正的原则。</w:t>
      </w:r>
    </w:p>
    <w:p w14:paraId="74CD5C8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房地产估价机构及其注册房地产估价师与委托人或者其他相关当事人及评估对象有利害关系的，应当回避。</w:t>
      </w:r>
    </w:p>
    <w:p w14:paraId="05646963" w14:textId="08E03B28"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第四条</w:t>
      </w:r>
      <w:r>
        <w:rPr>
          <w:rFonts w:ascii="宋体" w:hAnsi="宋体" w:cs="宋体" w:hint="eastAsia"/>
          <w:sz w:val="24"/>
          <w:szCs w:val="24"/>
        </w:rPr>
        <w:t xml:space="preserve"> 房地产估价机构应当按照《人民法院委托评估工作规范》的规定，及时接收人民法院的评估委托书，并查看评估委托书的下列内容是否完整：</w:t>
      </w:r>
    </w:p>
    <w:p w14:paraId="782BBE9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（一）人民法院名称、联系人及电话；</w:t>
      </w:r>
    </w:p>
    <w:p w14:paraId="413CDA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（二）房地产估价机构名称；</w:t>
      </w:r>
    </w:p>
    <w:p w14:paraId="56A2492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（三）评估目的要求；</w:t>
      </w:r>
    </w:p>
    <w:p w14:paraId="2ADC575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（四）评估对象基本情况，包括名称、坐落、四至、面积、用途、权属等，并附财产清单等；</w:t>
      </w:r>
    </w:p>
    <w:p w14:paraId="620FBB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（五）评估完成期限；</w:t>
      </w:r>
    </w:p>
    <w:p w14:paraId="109683D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（六）评估材料的特别说明，包括对委托评估必须提供的材料而未能调取到或者实际不存在的，以及无法扫描而需要邮寄或者直接交付等情形的说明；</w:t>
      </w:r>
    </w:p>
    <w:p w14:paraId="794BB16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（七）其他需要明确的内容。</w:t>
      </w:r>
    </w:p>
    <w:p w14:paraId="67E0C8E0" w14:textId="4F1E9CC1"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第五条</w:t>
      </w:r>
      <w:r w:rsidR="00A45A13">
        <w:rPr>
          <w:rFonts w:ascii="宋体" w:hAnsi="宋体" w:cs="宋体" w:hint="eastAsia"/>
          <w:sz w:val="24"/>
          <w:szCs w:val="24"/>
        </w:rPr>
        <w:t xml:space="preserve"> </w:t>
      </w:r>
      <w:r>
        <w:rPr>
          <w:rFonts w:ascii="宋体" w:hAnsi="宋体" w:cs="宋体" w:hint="eastAsia"/>
          <w:sz w:val="24"/>
          <w:szCs w:val="24"/>
        </w:rPr>
        <w:t>房地产估价机构接收评估委托书后，认为有下列情形之一的，应当自接收评估委托书之日起三个工作日内以书面形式向人民法院提出不承接委托评估的申请：</w:t>
      </w:r>
    </w:p>
    <w:p w14:paraId="3587364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（一）本机构与当事人或者其他相关当事人及评估对象有利害关系的；</w:t>
      </w:r>
    </w:p>
    <w:p w14:paraId="1F3A3A2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（二）本机构已办理注销登记或者被市场监管部门吊销营业执照的；</w:t>
      </w:r>
    </w:p>
    <w:p w14:paraId="17D4D2E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（三）本机构依法不能进行评估的其他情形。</w:t>
      </w:r>
    </w:p>
    <w:p w14:paraId="5AAB32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房地产估价机构未在第一款规定期限内向人民法院提出不承接委托评估书面申请的，或者人民法院书面通知不承接委托评估的理由不成立的，视为接受委托。</w:t>
      </w:r>
    </w:p>
    <w:p w14:paraId="74BFD84A" w14:textId="53545C5D"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第六条</w:t>
      </w:r>
      <w:r w:rsidR="00A45A13">
        <w:rPr>
          <w:rFonts w:ascii="宋体" w:hAnsi="宋体" w:cs="宋体" w:hint="eastAsia"/>
          <w:sz w:val="24"/>
          <w:szCs w:val="24"/>
        </w:rPr>
        <w:t xml:space="preserve"> </w:t>
      </w:r>
      <w:r>
        <w:rPr>
          <w:rFonts w:ascii="宋体" w:hAnsi="宋体" w:cs="宋体" w:hint="eastAsia"/>
          <w:sz w:val="24"/>
          <w:szCs w:val="24"/>
        </w:rPr>
        <w:t>房地产估价机构接受委托或者人民法院书面通知不承接委托评估的理由不成立的，应当及时接收或者签收人民法院发送的委托评估材料，并根据《人民法院委托评估工作规范》附件中列明的房地产评估需要提供的材料清单，对委托评估材料进行清点。</w:t>
      </w:r>
    </w:p>
    <w:p w14:paraId="7ED97322" w14:textId="7093ED67"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第七条</w:t>
      </w:r>
      <w:r w:rsidR="00A45A13">
        <w:rPr>
          <w:rFonts w:ascii="宋体" w:hAnsi="宋体" w:cs="宋体" w:hint="eastAsia"/>
          <w:sz w:val="24"/>
          <w:szCs w:val="24"/>
        </w:rPr>
        <w:t xml:space="preserve"> </w:t>
      </w:r>
      <w:r>
        <w:rPr>
          <w:rFonts w:ascii="宋体" w:hAnsi="宋体" w:cs="宋体" w:hint="eastAsia"/>
          <w:sz w:val="24"/>
          <w:szCs w:val="24"/>
        </w:rPr>
        <w:t>委托评估材料不全而无法进行评估或者对评估结果有较大影响的，房地</w:t>
      </w:r>
      <w:r>
        <w:rPr>
          <w:rFonts w:ascii="宋体" w:hAnsi="宋体" w:cs="宋体" w:hint="eastAsia"/>
          <w:sz w:val="24"/>
          <w:szCs w:val="24"/>
        </w:rPr>
        <w:lastRenderedPageBreak/>
        <w:t>产估价机构应当及时以书面形式向人民法院提出补充材料申请，由人民法院通知当事人补充。</w:t>
      </w:r>
    </w:p>
    <w:p w14:paraId="7722E10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所必需的材料无法补充，或者补充后仍然难以满足评估需要，人民法院书面通知根据现有材料进行评估的，房地产估价机构可以根据现有材料进行评估，但应当在评估报告“估价假设和限制条件”的“依据不足假设”中说明因缺少评估所必需的材料可能影响评估结果的风险，并将向人民法院提出的补充材料书面申请及人民法院出具根据现有材料进行评估的书面通知作为评估报告的附件。</w:t>
      </w:r>
    </w:p>
    <w:p w14:paraId="102099C0" w14:textId="44D0149A"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第八条</w:t>
      </w:r>
      <w:r w:rsidR="00A45A13">
        <w:rPr>
          <w:rFonts w:ascii="宋体" w:hAnsi="宋体" w:cs="宋体" w:hint="eastAsia"/>
          <w:sz w:val="24"/>
          <w:szCs w:val="24"/>
        </w:rPr>
        <w:t xml:space="preserve"> </w:t>
      </w:r>
      <w:r>
        <w:rPr>
          <w:rFonts w:ascii="宋体" w:hAnsi="宋体" w:cs="宋体" w:hint="eastAsia"/>
          <w:sz w:val="24"/>
          <w:szCs w:val="24"/>
        </w:rPr>
        <w:t>涉执房地产处置司法评估的评估目的，宜表述为“为人民法院确定财产处置参考价提供参考依据”。</w:t>
      </w:r>
    </w:p>
    <w:p w14:paraId="4DB70F20" w14:textId="5F4385AD"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第九条</w:t>
      </w:r>
      <w:r w:rsidR="00A45A13">
        <w:rPr>
          <w:rFonts w:ascii="宋体" w:hAnsi="宋体" w:cs="宋体" w:hint="eastAsia"/>
          <w:sz w:val="24"/>
          <w:szCs w:val="24"/>
        </w:rPr>
        <w:t xml:space="preserve"> </w:t>
      </w:r>
      <w:r>
        <w:rPr>
          <w:rFonts w:ascii="宋体" w:hAnsi="宋体" w:cs="宋体" w:hint="eastAsia"/>
          <w:sz w:val="24"/>
          <w:szCs w:val="24"/>
        </w:rPr>
        <w:t>房地产估价机构应当根据评估委托书和委托评估材料等情况，明确界定评估对象的财产范围，不得超出委托评估财产范围或者遗漏财产。评估对象的财产范围不明确的，应当提请人民法院书面予以明确。</w:t>
      </w:r>
    </w:p>
    <w:p w14:paraId="02CC173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对象的财产范围包含家具家电、机器设备、债权债务、特许经营权等非房地产（不动产）类财产的，或者不包含属于房地产（不动产）的房屋配套设施设备、装饰装修物、相关场地等财产的，应当在评估报告中具体列举说明。</w:t>
      </w:r>
    </w:p>
    <w:p w14:paraId="6AA28119" w14:textId="005015FB"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第十条</w:t>
      </w:r>
      <w:r w:rsidR="00A45A13">
        <w:rPr>
          <w:rFonts w:ascii="宋体" w:hAnsi="宋体" w:cs="宋体" w:hint="eastAsia"/>
          <w:sz w:val="24"/>
          <w:szCs w:val="24"/>
        </w:rPr>
        <w:t xml:space="preserve"> </w:t>
      </w:r>
      <w:r>
        <w:rPr>
          <w:rFonts w:ascii="宋体" w:hAnsi="宋体" w:cs="宋体" w:hint="eastAsia"/>
          <w:sz w:val="24"/>
          <w:szCs w:val="24"/>
        </w:rPr>
        <w:t>人民法院明确价值时点的，价值时点一般以人民法院明确的时点为准。人民法院明确的价值时点与实地查勘完成之日不一致的，应当在评估报告“估价假设和限制条件”的“一般假设”中假定价值时点之日的评估对象状况与实地查勘完成之日的状况相同。</w:t>
      </w:r>
    </w:p>
    <w:p w14:paraId="773F952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人民法院未明确价值时点的，一般以评估对象实地查勘完成之日作为价值时点。</w:t>
      </w:r>
    </w:p>
    <w:p w14:paraId="5D4A717B" w14:textId="24FE8D44"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第十一条</w:t>
      </w:r>
      <w:r w:rsidR="00C36EF7">
        <w:rPr>
          <w:rFonts w:ascii="宋体" w:hAnsi="宋体" w:cs="宋体" w:hint="eastAsia"/>
          <w:sz w:val="24"/>
          <w:szCs w:val="24"/>
        </w:rPr>
        <w:t xml:space="preserve"> </w:t>
      </w:r>
      <w:r>
        <w:rPr>
          <w:rFonts w:ascii="宋体" w:hAnsi="宋体" w:cs="宋体" w:hint="eastAsia"/>
          <w:sz w:val="24"/>
          <w:szCs w:val="24"/>
        </w:rPr>
        <w:t>涉执房地产处置司法评估的价值类型宜为市场价格，难以评估市场价格的，一般评估市场价值。</w:t>
      </w:r>
    </w:p>
    <w:p w14:paraId="0BF0540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根据评估委托书等人民法院的书面要求，评估符合评估目的要求的其他特定价格或者价值的，应当在评估报告中明确其定义或者内涵。</w:t>
      </w:r>
    </w:p>
    <w:p w14:paraId="1DD449F1" w14:textId="27B41CE4"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第十二条</w:t>
      </w:r>
      <w:r w:rsidR="00C36EF7">
        <w:rPr>
          <w:rFonts w:ascii="宋体" w:hAnsi="宋体" w:cs="宋体" w:hint="eastAsia"/>
          <w:sz w:val="24"/>
          <w:szCs w:val="24"/>
        </w:rPr>
        <w:t xml:space="preserve"> </w:t>
      </w:r>
      <w:r>
        <w:rPr>
          <w:rFonts w:ascii="宋体" w:hAnsi="宋体" w:cs="宋体" w:hint="eastAsia"/>
          <w:sz w:val="24"/>
          <w:szCs w:val="24"/>
        </w:rPr>
        <w:t>涉执房地产处置司法评估应当关注评估对象交易税费负担方式及其对评估对象市场价格的影响。</w:t>
      </w:r>
    </w:p>
    <w:p w14:paraId="74255B4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人民法院书面明确评估对象交易税费负担方式的，根据人民法院书面意见进行评估，并在评估报告中说明具体的交易税费负担方式。人民法院未书面明确评估对象交易税费负担方式的，应当恰当选择下列情形之一，明确评估对象市场价格对应</w:t>
      </w:r>
      <w:r>
        <w:rPr>
          <w:rFonts w:ascii="宋体" w:hAnsi="宋体" w:cs="宋体" w:hint="eastAsia"/>
          <w:sz w:val="24"/>
          <w:szCs w:val="24"/>
        </w:rPr>
        <w:lastRenderedPageBreak/>
        <w:t>的交易税费负担或者处理方式，并在评估报告中予以说明：</w:t>
      </w:r>
    </w:p>
    <w:p w14:paraId="582B532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（一）按照法律法规规定，转让人和买受人各自负担；</w:t>
      </w:r>
    </w:p>
    <w:p w14:paraId="112237B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（二）全部由买受人负担；</w:t>
      </w:r>
    </w:p>
    <w:p w14:paraId="68C04FE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（三）全部从财产处置价款中扣除；</w:t>
      </w:r>
    </w:p>
    <w:p w14:paraId="34C73F3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（四）按照以往同类涉执房地产处置惯例负担；</w:t>
      </w:r>
    </w:p>
    <w:p w14:paraId="5AD208E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（五）按照当地同类财产交易习惯负担；</w:t>
      </w:r>
    </w:p>
    <w:p w14:paraId="46ADA9B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（六）其他交易税费负担方式。</w:t>
      </w:r>
    </w:p>
    <w:p w14:paraId="0F55AD9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前款第（四）（五）（六）种负担方式，还应当在评估报告中说明具体负担情况。</w:t>
      </w:r>
    </w:p>
    <w:p w14:paraId="64F19CAC" w14:textId="28F6021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第十三条</w:t>
      </w:r>
      <w:r w:rsidR="00C36EF7">
        <w:rPr>
          <w:rFonts w:ascii="宋体" w:hAnsi="宋体" w:cs="宋体" w:hint="eastAsia"/>
          <w:sz w:val="24"/>
          <w:szCs w:val="24"/>
        </w:rPr>
        <w:t xml:space="preserve"> </w:t>
      </w:r>
      <w:r>
        <w:rPr>
          <w:rFonts w:ascii="宋体" w:hAnsi="宋体" w:cs="宋体" w:hint="eastAsia"/>
          <w:sz w:val="24"/>
          <w:szCs w:val="24"/>
        </w:rPr>
        <w:t>涉执房地产处置司法评估结果不应当考虑评估对象被查封以及原有的担保物权和其他优先受偿权的影响，并在评估报告“估价假设和限制条件”的“背离事实假设”中予以说明。</w:t>
      </w:r>
    </w:p>
    <w:p w14:paraId="24146760" w14:textId="08F1F2B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第十四条</w:t>
      </w:r>
      <w:r w:rsidR="00A45A13">
        <w:rPr>
          <w:rFonts w:ascii="宋体" w:hAnsi="宋体" w:cs="宋体" w:hint="eastAsia"/>
          <w:sz w:val="24"/>
          <w:szCs w:val="24"/>
        </w:rPr>
        <w:t xml:space="preserve"> </w:t>
      </w:r>
      <w:r>
        <w:rPr>
          <w:rFonts w:ascii="宋体" w:hAnsi="宋体" w:cs="宋体" w:hint="eastAsia"/>
          <w:sz w:val="24"/>
          <w:szCs w:val="24"/>
        </w:rPr>
        <w:t>涉执房地产处置司法评估应当关注评估对象是否存在租赁权、用益物权及占有使用情况。人民法院未明确存在租赁权、用益物权及占有使用情况，房地产估价机构经过尽职调查后也未发现、掌握相关情况的，可以假定评估对象不存在租赁权、用益物权及占有使用情况，并在评估报告“估价假设和限制条件”的“一般假设”中予以说明。</w:t>
      </w:r>
    </w:p>
    <w:p w14:paraId="3DCE8F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对象存在租赁权、用益物权及占用使用情况的，应当结合委托评估材料和实地查勘等情况，对人民法院查明的租赁权、用益物权及占有使用情况进行核查验证。人民法院书面说明依法将租赁权、用益物权及占有使用情况除去后拍卖或者变卖的，应当不考虑原有的租赁权、用益物权及占有使用情况对评估结果的影响，并在评估报告“估价假设和限制条件”的“背离事实假设”中予以说明；人民法院未书面说明除去原有的租赁权、用益物权及占有使用情况后拍卖或者变卖的，评估结果应当考虑原有的租赁权、用益物权及占有使用情况的影响，并在评估报告中予以说明。</w:t>
      </w:r>
    </w:p>
    <w:p w14:paraId="38561392" w14:textId="124D910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第十五条</w:t>
      </w:r>
      <w:r w:rsidR="00A45A13">
        <w:rPr>
          <w:rFonts w:ascii="宋体" w:hAnsi="宋体" w:cs="宋体" w:hint="eastAsia"/>
          <w:sz w:val="24"/>
          <w:szCs w:val="24"/>
        </w:rPr>
        <w:t xml:space="preserve"> </w:t>
      </w:r>
      <w:r>
        <w:rPr>
          <w:rFonts w:ascii="宋体" w:hAnsi="宋体" w:cs="宋体" w:hint="eastAsia"/>
          <w:sz w:val="24"/>
          <w:szCs w:val="24"/>
        </w:rPr>
        <w:t>涉执房地产处置司法评估应当关注评估对象是否存在欠缴税金及相关费用，包括税收、物业费、供暖费、水电气费等及其滞纳金。人民法院未明确存在欠缴税金及相关费用的，可以假定评估对象不存在欠缴税金及相关费用，并在评估报告“估价假设和限制条件”的“一般假设”中予以说明。</w:t>
      </w:r>
    </w:p>
    <w:p w14:paraId="5939AA6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人民法院查明评估对象有欠缴税金及相关费用，且书面明确该欠缴税金及相关费用从财产处置价款中扣除的，评估结果无需考虑欠缴税金及相关费用的影响；人民法院书面明确该欠缴税金及相关费用不从财产处置价款中扣除、由买受人额外负担的，评估结果应当扣除欠缴税金及相关费用，并在评估报告中予以说明。</w:t>
      </w:r>
    </w:p>
    <w:p w14:paraId="144BB7AC" w14:textId="0DED6ECB"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第十六条</w:t>
      </w:r>
      <w:r w:rsidR="00A45A13">
        <w:rPr>
          <w:rFonts w:ascii="宋体" w:hAnsi="宋体" w:cs="宋体" w:hint="eastAsia"/>
          <w:sz w:val="24"/>
          <w:szCs w:val="24"/>
        </w:rPr>
        <w:t xml:space="preserve"> </w:t>
      </w:r>
      <w:r>
        <w:rPr>
          <w:rFonts w:ascii="宋体" w:hAnsi="宋体" w:cs="宋体" w:hint="eastAsia"/>
          <w:sz w:val="24"/>
          <w:szCs w:val="24"/>
        </w:rPr>
        <w:t>涉执房地产处置司法评估应当关注评估费、拍卖费、诉讼费、律师费等财产处置费用及其对评估结果的影响。</w:t>
      </w:r>
    </w:p>
    <w:p w14:paraId="37D1EB1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人民法院书面明确前款财产处置费用从财产处置价款中扣除的，评估结果不应当扣除上述费用，否则评估结果应当扣除预估的上述费用，并在评估报告中予以说明。</w:t>
      </w:r>
    </w:p>
    <w:p w14:paraId="0B33E41D" w14:textId="292BA30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第十七条</w:t>
      </w:r>
      <w:r w:rsidR="00A45A13">
        <w:rPr>
          <w:rFonts w:ascii="宋体" w:hAnsi="宋体" w:cs="宋体" w:hint="eastAsia"/>
          <w:sz w:val="24"/>
          <w:szCs w:val="24"/>
        </w:rPr>
        <w:t xml:space="preserve"> </w:t>
      </w:r>
      <w:r>
        <w:rPr>
          <w:rFonts w:ascii="宋体" w:hAnsi="宋体" w:cs="宋体" w:hint="eastAsia"/>
          <w:sz w:val="24"/>
          <w:szCs w:val="24"/>
        </w:rPr>
        <w:t>涉执房地产处置司法评估应当关注并恰当考虑评估对象被迫转让及处置后被执行人不自愿配合交付因素对评估结果的不利影响，并在评估报告中予以说明。</w:t>
      </w:r>
    </w:p>
    <w:p w14:paraId="60C2E674" w14:textId="17916DF7"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第十八条</w:t>
      </w:r>
      <w:r w:rsidR="00A45A13">
        <w:rPr>
          <w:rFonts w:ascii="宋体" w:hAnsi="宋体" w:cs="宋体" w:hint="eastAsia"/>
          <w:sz w:val="24"/>
          <w:szCs w:val="24"/>
        </w:rPr>
        <w:t xml:space="preserve"> </w:t>
      </w:r>
      <w:r>
        <w:rPr>
          <w:rFonts w:ascii="宋体" w:hAnsi="宋体" w:cs="宋体" w:hint="eastAsia"/>
          <w:sz w:val="24"/>
          <w:szCs w:val="24"/>
        </w:rPr>
        <w:t>涉执房地产处置司法评估应当进行实地查勘。房地产估价机构应当及时要求人民法院组织对评估对象进行实地查勘，并要求人民法院通知当事人到场。当事人不到场的，不影响实地查勘的进行，但应当有见证人见证。</w:t>
      </w:r>
    </w:p>
    <w:p w14:paraId="300FD9A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房地产估价机构应当安排两名及以上人员共同对评估对象进行实地查勘，其中至少有一名注册房地产估价师。人民法院要求由两名及以上注册房地产估价师进行实地查勘的，从其规定。</w:t>
      </w:r>
    </w:p>
    <w:p w14:paraId="6B1D38D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实地查勘时应当核对查勘对象与评估委托书载明的财产名称、坐落和财产范围等是否一致；不一致的，应当要求人民法院核实、明确。实地查勘记录应当由实地查勘的人员和在场当事人或者见证人签名或者盖章。在场当事人或者见证人拒绝签名或者盖章的，应当由其他第三人签名或者盖章，并在评估报告中予以说明。</w:t>
      </w:r>
    </w:p>
    <w:p w14:paraId="5B19E51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当事人不到场或者不予配合，无法进入评估对象内部查勘的，经书面征询人民法院意见，可以对评估对象内部布局、室内装饰装修物等情况进行合理假定，并在评估报告“估价假设和限制条件”的“依据不足假设”中予以说明。</w:t>
      </w:r>
    </w:p>
    <w:p w14:paraId="0B76C009" w14:textId="4D35F2A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第十九条</w:t>
      </w:r>
      <w:r w:rsidR="00A45A13">
        <w:rPr>
          <w:rFonts w:ascii="宋体" w:hAnsi="宋体" w:cs="宋体" w:hint="eastAsia"/>
          <w:sz w:val="24"/>
          <w:szCs w:val="24"/>
        </w:rPr>
        <w:t xml:space="preserve"> </w:t>
      </w:r>
      <w:r>
        <w:rPr>
          <w:rFonts w:ascii="宋体" w:hAnsi="宋体" w:cs="宋体" w:hint="eastAsia"/>
          <w:sz w:val="24"/>
          <w:szCs w:val="24"/>
        </w:rPr>
        <w:t>评估对象状况存在不相一致情形的，应当按照下列方式进行处理，并在评估报告“估价假设和限制条件”的“不相一致假设”中予以说明：</w:t>
      </w:r>
    </w:p>
    <w:p w14:paraId="65B1C57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（一）实际用途与登记用途不一致的，一般应当按照登记用途进行评估；人民法院书面要求按照实际用途进行评估的，应当关注由登记用途改变为实际用途所需</w:t>
      </w:r>
      <w:r>
        <w:rPr>
          <w:rFonts w:ascii="宋体" w:hAnsi="宋体" w:cs="宋体" w:hint="eastAsia"/>
          <w:sz w:val="24"/>
          <w:szCs w:val="24"/>
        </w:rPr>
        <w:lastRenderedPageBreak/>
        <w:t>补缴的土地使用权出让金、相关税费等成本费用，考虑其对评估结果的影响，并提示按照实际用途持续使用可能存在的相应风险；</w:t>
      </w:r>
    </w:p>
    <w:p w14:paraId="6FF1B99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（二）房屋登记用途与土地登记用途不一致的，应当按照最高最佳利用分析得出的最佳用途进行评估；</w:t>
      </w:r>
    </w:p>
    <w:p w14:paraId="276A3272" w14:textId="21D1D1BF"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（三）实际面积与登记面积不一致的，应当根据人民法院书面明确的面积评估。人民法院不予书面明确的，对实际面积小于登记面积的，按照实际面积评估；对实际面积超出登记面积的部分，按照本意见</w:t>
      </w:r>
      <w:r w:rsidR="00EC0B72" w:rsidRPr="00EC761E">
        <w:rPr>
          <w:rFonts w:ascii="宋体" w:hAnsi="宋体" w:cs="宋体" w:hint="eastAsia"/>
          <w:bCs/>
          <w:sz w:val="24"/>
          <w:szCs w:val="24"/>
        </w:rPr>
        <w:t>第二十六条</w:t>
      </w:r>
      <w:r>
        <w:rPr>
          <w:rFonts w:ascii="宋体" w:hAnsi="宋体" w:cs="宋体" w:hint="eastAsia"/>
          <w:sz w:val="24"/>
          <w:szCs w:val="24"/>
        </w:rPr>
        <w:t>的规定评估。</w:t>
      </w:r>
    </w:p>
    <w:p w14:paraId="301E0FAA" w14:textId="5CFD681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第二十条</w:t>
      </w:r>
      <w:r w:rsidR="00A45A13">
        <w:rPr>
          <w:rFonts w:ascii="宋体" w:hAnsi="宋体" w:cs="宋体" w:hint="eastAsia"/>
          <w:sz w:val="24"/>
          <w:szCs w:val="24"/>
        </w:rPr>
        <w:t xml:space="preserve"> </w:t>
      </w:r>
      <w:r>
        <w:rPr>
          <w:rFonts w:ascii="宋体" w:hAnsi="宋体" w:cs="宋体" w:hint="eastAsia"/>
          <w:sz w:val="24"/>
          <w:szCs w:val="24"/>
        </w:rPr>
        <w:t>评估对象由多宗房地产组合而成，或者为大宗房地产但可分割为若干小宗独立处置的，应当向人民法院征询评估对象是整体处置还是分别或者分割处置，并考虑不同处置方式对评估结果的影响，不应当低估整体处置方式的减价影响。</w:t>
      </w:r>
    </w:p>
    <w:p w14:paraId="0C4BB4D8" w14:textId="4F0E1D2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第二十一条</w:t>
      </w:r>
      <w:r w:rsidR="00C36EF7">
        <w:rPr>
          <w:rFonts w:ascii="宋体" w:hAnsi="宋体" w:cs="宋体" w:hint="eastAsia"/>
          <w:sz w:val="24"/>
          <w:szCs w:val="24"/>
        </w:rPr>
        <w:t xml:space="preserve"> </w:t>
      </w:r>
      <w:r>
        <w:rPr>
          <w:rFonts w:ascii="宋体" w:hAnsi="宋体" w:cs="宋体" w:hint="eastAsia"/>
          <w:sz w:val="24"/>
          <w:szCs w:val="24"/>
        </w:rPr>
        <w:t>评估对象为某宗房地产的部分或者局部的，应当关注评估对象的独立使用和交易的受限情况，充分考虑评估对象所在整宗房地产的其他部分对评估对象价值的影响，不应当低估相关减价影响。</w:t>
      </w:r>
    </w:p>
    <w:p w14:paraId="4F656BE7" w14:textId="182164F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第二十二条</w:t>
      </w:r>
      <w:r w:rsidR="00C36EF7">
        <w:rPr>
          <w:rFonts w:ascii="宋体" w:hAnsi="宋体" w:cs="宋体" w:hint="eastAsia"/>
          <w:sz w:val="24"/>
          <w:szCs w:val="24"/>
        </w:rPr>
        <w:t xml:space="preserve"> </w:t>
      </w:r>
      <w:r>
        <w:rPr>
          <w:rFonts w:ascii="宋体" w:hAnsi="宋体" w:cs="宋体" w:hint="eastAsia"/>
          <w:sz w:val="24"/>
          <w:szCs w:val="24"/>
        </w:rPr>
        <w:t>评估对象为在建工程且可以独立续建的，采用假设开发法评估时，应当选择被迫转让开发前提，充分考虑转让税费、重复投入的成本费用、开发期限延长等因素；采用成本法评估时，应当充分考虑被迫转让、各类折旧等因素所导致的价值减损。</w:t>
      </w:r>
    </w:p>
    <w:p w14:paraId="00E967E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评估中还应当关注评估对象是否存在已预售情况，已预售部分一般不列入评估对象的财产范围；人民法院书面明确需列入评估对象财产范围的，应当充分考虑已预售部分对评估结果的影响。</w:t>
      </w:r>
    </w:p>
    <w:p w14:paraId="15446489" w14:textId="58B47A0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第二十三条</w:t>
      </w:r>
      <w:r w:rsidR="00C36EF7">
        <w:rPr>
          <w:rFonts w:ascii="宋体" w:hAnsi="宋体" w:cs="宋体" w:hint="eastAsia"/>
          <w:sz w:val="24"/>
          <w:szCs w:val="24"/>
        </w:rPr>
        <w:t xml:space="preserve"> </w:t>
      </w:r>
      <w:r>
        <w:rPr>
          <w:rFonts w:ascii="宋体" w:hAnsi="宋体" w:cs="宋体" w:hint="eastAsia"/>
          <w:sz w:val="24"/>
          <w:szCs w:val="24"/>
        </w:rPr>
        <w:t>评估对象为在建工程中的部分房地产、且不能独立续建的，按照下列方式处理：</w:t>
      </w:r>
    </w:p>
    <w:p w14:paraId="7BD19E2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人民法院要求评估该部分的现状价值的，应当根据在建工程整体的形象进度，采用假设开发法和成本法评估；采用假设开发法评估时，应当选择被迫转让开发前提，充分考虑转让税费、重复投入的成本费用、开发期限延长等因素的影响；采用成本法评估时，应当充分考虑被迫转让、各类折旧等因素所导致的价值减损；</w:t>
      </w:r>
    </w:p>
    <w:p w14:paraId="33AD475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人民法院要求评估该部分的期房预售价值的，应当参照类似预售房屋的价格进行评估；同时应当充分考虑查封、所在项目开发建设手续完备程度、所在在建工程整体形象进度、以及是否取得预售许可、能否按期竣工交付等因素所导致的</w:t>
      </w:r>
      <w:r>
        <w:rPr>
          <w:rFonts w:ascii="宋体" w:hAnsi="宋体" w:cs="宋体" w:hint="eastAsia"/>
          <w:sz w:val="24"/>
          <w:szCs w:val="24"/>
        </w:rPr>
        <w:lastRenderedPageBreak/>
        <w:t>价值减损。</w:t>
      </w:r>
    </w:p>
    <w:p w14:paraId="199614D8" w14:textId="1B58C16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第二十四条</w:t>
      </w:r>
      <w:r w:rsidR="00A45A13">
        <w:rPr>
          <w:rFonts w:ascii="宋体" w:hAnsi="宋体" w:cs="宋体" w:hint="eastAsia"/>
          <w:sz w:val="24"/>
          <w:szCs w:val="24"/>
        </w:rPr>
        <w:t xml:space="preserve"> </w:t>
      </w:r>
      <w:r>
        <w:rPr>
          <w:rFonts w:ascii="宋体" w:hAnsi="宋体" w:cs="宋体" w:hint="eastAsia"/>
          <w:sz w:val="24"/>
          <w:szCs w:val="24"/>
        </w:rPr>
        <w:t>评估对象为未竣工交付的预购商品房的，宜参照类似预售商品房的价格进行评估，也可以参照类似存量房的价格进行评估，并考虑查封、可能延期交付等风险因素所导致的评估对象价值减损；买受人按照商品房预售合同约定未付清全部房价款，人民法院书面明确未付房价款由买受人承担的，评估结果应当扣除商品房预售合同约定的未付房价款。</w:t>
      </w:r>
    </w:p>
    <w:p w14:paraId="2DAA6635" w14:textId="64C20FA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第二十五条</w:t>
      </w:r>
      <w:r w:rsidR="00A45A13">
        <w:rPr>
          <w:rFonts w:ascii="宋体" w:hAnsi="宋体" w:cs="宋体" w:hint="eastAsia"/>
          <w:sz w:val="24"/>
          <w:szCs w:val="24"/>
        </w:rPr>
        <w:t xml:space="preserve"> </w:t>
      </w:r>
      <w:r>
        <w:rPr>
          <w:rFonts w:ascii="宋体" w:hAnsi="宋体" w:cs="宋体" w:hint="eastAsia"/>
          <w:sz w:val="24"/>
          <w:szCs w:val="24"/>
        </w:rPr>
        <w:t>评估对象为共有产权住房、经济适用住房、安置住房等保障性住房的，评估时应当关注并恰当考虑该类房地产的交易限制、交易主体限制、交易费用增加、转移登记限制等对评估结果的影响。</w:t>
      </w:r>
    </w:p>
    <w:p w14:paraId="7D1FBA85" w14:textId="3F544AD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第二十六条</w:t>
      </w:r>
      <w:r w:rsidR="00A45A13">
        <w:rPr>
          <w:rFonts w:ascii="宋体" w:hAnsi="宋体" w:cs="宋体" w:hint="eastAsia"/>
          <w:sz w:val="24"/>
          <w:szCs w:val="24"/>
        </w:rPr>
        <w:t xml:space="preserve"> </w:t>
      </w:r>
      <w:r>
        <w:rPr>
          <w:rFonts w:ascii="宋体" w:hAnsi="宋体" w:cs="宋体" w:hint="eastAsia"/>
          <w:sz w:val="24"/>
          <w:szCs w:val="24"/>
        </w:rPr>
        <w:t>人民法院书面明确为违法占地、违法建设、超过批准期限的临时建筑等违法房地产的，不应当列入评估对象财产范围。</w:t>
      </w:r>
    </w:p>
    <w:p w14:paraId="4543742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未经登记或者缺乏合法建造证明，未依法认定为违法房地产的，应当根据评估对象的具体情况，恰当选择下列方式之一进行评估：</w:t>
      </w:r>
    </w:p>
    <w:p w14:paraId="47CBF57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（一）评估对象依法可以登记但未办理登记的，经书面征询人民法院同意，可以按照已登记房地产进行评估；评估结果应当为扣除办理登记需要发生的相关费用后的余额，并在评估报告中进行相应说明；</w:t>
      </w:r>
    </w:p>
    <w:p w14:paraId="7695261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评估对象补充完善相关手续后可以办理登记的，经书面征询人民法院同意，可以按照已登记房地产进行评估；评估结果应当为扣除补充完善相关手续、办理登记需要发生的相关费用后的余额，并在评估报告中进行相应说明。</w:t>
      </w:r>
    </w:p>
    <w:p w14:paraId="52E2C88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（三）评估对象依法不予办理登记的，应当充分考虑无法办理登记对评估结果的影响，并在评估报告中进行相应说明。</w:t>
      </w:r>
    </w:p>
    <w:p w14:paraId="61338EE0" w14:textId="400E2FC1"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第二十七条</w:t>
      </w:r>
      <w:r w:rsidR="00A45A13">
        <w:rPr>
          <w:rFonts w:ascii="宋体" w:hAnsi="宋体" w:cs="宋体" w:hint="eastAsia"/>
          <w:sz w:val="24"/>
          <w:szCs w:val="24"/>
        </w:rPr>
        <w:t xml:space="preserve"> </w:t>
      </w:r>
      <w:r>
        <w:rPr>
          <w:rFonts w:ascii="宋体" w:hAnsi="宋体" w:cs="宋体" w:hint="eastAsia"/>
          <w:sz w:val="24"/>
          <w:szCs w:val="24"/>
        </w:rPr>
        <w:t>评估对象的土地为集体土地的，应当根据人民法院查明的集体土地使用权的类型、取得方式、使用期限等权益状况，结合国家和地方集体土地流转等相关规定合理评估，并在评估报告“估价假设和限制条件”的“一般假设”中对买受人具备相关资格等情况作出假定。</w:t>
      </w:r>
    </w:p>
    <w:p w14:paraId="11FD0B2F" w14:textId="1DDF0ADA"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第二十八条</w:t>
      </w:r>
      <w:r w:rsidR="00A45A13">
        <w:rPr>
          <w:rFonts w:ascii="宋体" w:hAnsi="宋体" w:cs="宋体" w:hint="eastAsia"/>
          <w:sz w:val="24"/>
          <w:szCs w:val="24"/>
        </w:rPr>
        <w:t xml:space="preserve"> </w:t>
      </w:r>
      <w:r>
        <w:rPr>
          <w:rFonts w:ascii="宋体" w:hAnsi="宋体" w:cs="宋体" w:hint="eastAsia"/>
          <w:sz w:val="24"/>
          <w:szCs w:val="24"/>
        </w:rPr>
        <w:t>评估对象包含房地产和其他财产的，评估报告中应当分别列示房地产和其他财产的评估结果。</w:t>
      </w:r>
    </w:p>
    <w:p w14:paraId="33A2BB7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评估对象包含两宗及以上房地产，或者大宗房地产分割为小宗处置的，评估报告中应当分别列示各宗房地产的评估结果。</w:t>
      </w:r>
    </w:p>
    <w:p w14:paraId="04FE1F85" w14:textId="31BC041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lastRenderedPageBreak/>
        <w:t>第二十九条</w:t>
      </w:r>
      <w:r w:rsidR="00A45A13">
        <w:rPr>
          <w:rFonts w:ascii="宋体" w:hAnsi="宋体" w:cs="宋体" w:hint="eastAsia"/>
          <w:sz w:val="24"/>
          <w:szCs w:val="24"/>
        </w:rPr>
        <w:t xml:space="preserve"> </w:t>
      </w:r>
      <w:r>
        <w:rPr>
          <w:rFonts w:ascii="宋体" w:hAnsi="宋体" w:cs="宋体" w:hint="eastAsia"/>
          <w:sz w:val="24"/>
          <w:szCs w:val="24"/>
        </w:rPr>
        <w:t>评估报告使用期限或者评估结果有效期自评估报告出具之日起计算，最长不得超过一年。</w:t>
      </w:r>
    </w:p>
    <w:p w14:paraId="240BE4A5" w14:textId="2CD89EAD"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第三十条</w:t>
      </w:r>
      <w:r w:rsidR="00A45A13">
        <w:rPr>
          <w:rFonts w:ascii="宋体" w:hAnsi="宋体" w:cs="宋体" w:hint="eastAsia"/>
          <w:sz w:val="24"/>
          <w:szCs w:val="24"/>
        </w:rPr>
        <w:t xml:space="preserve"> </w:t>
      </w:r>
      <w:r>
        <w:rPr>
          <w:rFonts w:ascii="宋体" w:hAnsi="宋体" w:cs="宋体" w:hint="eastAsia"/>
          <w:sz w:val="24"/>
          <w:szCs w:val="24"/>
        </w:rPr>
        <w:t>评估报告应当作出下列评估报告和评估结果使用的特别提示：</w:t>
      </w:r>
    </w:p>
    <w:p w14:paraId="774F51A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（一）应当按照法律规定和评估报告载明的用途、使用人、使用期限等使用范围使用评估报告。否则，房地产估价机构和注册房地产估价师依法不承担责任；</w:t>
      </w:r>
    </w:p>
    <w:p w14:paraId="38FD3B7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（二）评估结果仅为人民法院确定财产处置参考价服务，不是评估对象处置可实现的成交价格，也不应当被视为对评估对象处置成交价格的保证；</w:t>
      </w:r>
    </w:p>
    <w:p w14:paraId="65DFAB3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14:paraId="50B8F68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（四）在评估报告使用期限或者评估结果有效期内，评估报告或者评估结果未使用之前，如果评估对象状况或者房地产市场状况发生明显变化的，评估结果应当进行相应调整后才可使用；</w:t>
      </w:r>
    </w:p>
    <w:p w14:paraId="62D7BD0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14:paraId="097B1FF8" w14:textId="00768A4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第三十一条</w:t>
      </w:r>
      <w:r w:rsidR="00C36EF7">
        <w:rPr>
          <w:rFonts w:ascii="宋体" w:hAnsi="宋体" w:cs="宋体" w:hint="eastAsia"/>
          <w:sz w:val="24"/>
          <w:szCs w:val="24"/>
        </w:rPr>
        <w:t xml:space="preserve"> </w:t>
      </w:r>
      <w:r>
        <w:rPr>
          <w:rFonts w:ascii="宋体" w:hAnsi="宋体" w:cs="宋体" w:hint="eastAsia"/>
          <w:sz w:val="24"/>
          <w:szCs w:val="24"/>
        </w:rPr>
        <w:t>涉执房地产处置司法评估的评估报告名称，宜为“涉执房地产处置司法评估报告”。</w:t>
      </w:r>
    </w:p>
    <w:p w14:paraId="5386149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评估报告应当载明评估对象的名称、坐落、范围、规模、用途、区位状况、实物状况、权益状况、价值类型、价值时点、评估依据（包括评估标准）、评估方法、评估结果及有效期等。</w:t>
      </w:r>
    </w:p>
    <w:p w14:paraId="59D06767" w14:textId="2D286EB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第三十二条</w:t>
      </w:r>
      <w:r w:rsidR="00C36EF7">
        <w:rPr>
          <w:rFonts w:ascii="宋体" w:hAnsi="宋体" w:cs="宋体" w:hint="eastAsia"/>
          <w:sz w:val="24"/>
          <w:szCs w:val="24"/>
        </w:rPr>
        <w:t xml:space="preserve"> </w:t>
      </w:r>
      <w:r>
        <w:rPr>
          <w:rFonts w:ascii="宋体" w:hAnsi="宋体" w:cs="宋体" w:hint="eastAsia"/>
          <w:sz w:val="24"/>
          <w:szCs w:val="24"/>
        </w:rPr>
        <w:t>房地产估价机构应当在评估委托书载明的评估完成期限内出具评估报告，并将评估报告和预计需要收取的评估费交纳通知书一并提交人民法院。</w:t>
      </w:r>
    </w:p>
    <w:p w14:paraId="2B1BBB01" w14:textId="50021FA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第三十三条</w:t>
      </w:r>
      <w:r w:rsidR="00C36EF7">
        <w:rPr>
          <w:rFonts w:ascii="宋体" w:hAnsi="宋体" w:cs="宋体" w:hint="eastAsia"/>
          <w:sz w:val="24"/>
          <w:szCs w:val="24"/>
        </w:rPr>
        <w:t xml:space="preserve"> </w:t>
      </w:r>
      <w:r>
        <w:rPr>
          <w:rFonts w:ascii="宋体" w:hAnsi="宋体" w:cs="宋体" w:hint="eastAsia"/>
          <w:sz w:val="24"/>
          <w:szCs w:val="24"/>
        </w:rPr>
        <w:t>当事人、利害关系人对评估报告的参照标准、计算方法或者评估结果等提出书面异议，人民法院要求房地产估价机构予以书面说明的，房地产估价机构应当根据书面异议的具体内容，有针对性地及时作出书面说明，并自收到人民法院通知之日起五日内提交人民法院。</w:t>
      </w:r>
    </w:p>
    <w:p w14:paraId="61E1CE02" w14:textId="15E67F4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第三十四条</w:t>
      </w:r>
      <w:r w:rsidR="00A45A13">
        <w:rPr>
          <w:rFonts w:ascii="宋体" w:hAnsi="宋体" w:cs="宋体" w:hint="eastAsia"/>
          <w:sz w:val="24"/>
          <w:szCs w:val="24"/>
        </w:rPr>
        <w:t xml:space="preserve"> </w:t>
      </w:r>
      <w:r>
        <w:rPr>
          <w:rFonts w:ascii="宋体" w:hAnsi="宋体" w:cs="宋体" w:hint="eastAsia"/>
          <w:sz w:val="24"/>
          <w:szCs w:val="24"/>
        </w:rPr>
        <w:t>本意见对涉执房地产处置司法评估未作规定的事项，按照《最高人民法院关于人民法院确定财产处置参考价若干问题的规定》《人民法院委托评估工</w:t>
      </w:r>
      <w:r>
        <w:rPr>
          <w:rFonts w:ascii="宋体" w:hAnsi="宋体" w:cs="宋体" w:hint="eastAsia"/>
          <w:sz w:val="24"/>
          <w:szCs w:val="24"/>
        </w:rPr>
        <w:lastRenderedPageBreak/>
        <w:t>作规范》以及《房地产估价规范》等相关规定执行。</w:t>
      </w:r>
    </w:p>
    <w:p w14:paraId="2EA908DB" w14:textId="2090363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第三十五条</w:t>
      </w:r>
      <w:r w:rsidR="00A45A13">
        <w:rPr>
          <w:rFonts w:ascii="宋体" w:hAnsi="宋体" w:cs="宋体" w:hint="eastAsia"/>
          <w:sz w:val="24"/>
          <w:szCs w:val="24"/>
        </w:rPr>
        <w:t xml:space="preserve"> </w:t>
      </w:r>
      <w:r>
        <w:rPr>
          <w:rFonts w:ascii="宋体" w:hAnsi="宋体" w:cs="宋体" w:hint="eastAsia"/>
          <w:sz w:val="24"/>
          <w:szCs w:val="24"/>
        </w:rPr>
        <w:t>本意见由中国房地产估价师与房地产经纪人学会负责解释。</w:t>
      </w:r>
    </w:p>
    <w:p w14:paraId="25C58324" w14:textId="0E219C40" w:rsidR="00EC761E"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第三十六条</w:t>
      </w:r>
      <w:r w:rsidR="00A45A13">
        <w:rPr>
          <w:rFonts w:ascii="宋体" w:hAnsi="宋体" w:cs="宋体" w:hint="eastAsia"/>
          <w:sz w:val="24"/>
          <w:szCs w:val="24"/>
        </w:rPr>
        <w:t xml:space="preserve"> </w:t>
      </w:r>
      <w:r>
        <w:rPr>
          <w:rFonts w:ascii="宋体" w:hAnsi="宋体" w:cs="宋体" w:hint="eastAsia"/>
          <w:sz w:val="24"/>
          <w:szCs w:val="24"/>
        </w:rPr>
        <w:t>本意见自2021年9月1日起施行。</w:t>
      </w:r>
    </w:p>
    <w:p w14:paraId="2544BDCB" w14:textId="77777777" w:rsidR="00A320E6" w:rsidRPr="00EC761E" w:rsidRDefault="00000000" w:rsidP="001E602B">
      <w:pPr>
        <w:pStyle w:val="27"/>
        <w:rPr>
          <w:lang w:bidi="ar"/>
        </w:rPr>
      </w:pPr>
      <w:bookmarkStart w:id="33" w:name="_Toc112227355"/>
      <w:r w:rsidRPr="00EC761E">
        <w:rPr>
          <w:rFonts w:hint="eastAsia"/>
          <w:lang w:bidi="ar"/>
        </w:rPr>
        <w:t>资产评估操作专家提示</w:t>
      </w:r>
      <w:bookmarkEnd w:id="33"/>
    </w:p>
    <w:p w14:paraId="5931D3AF" w14:textId="77777777" w:rsidR="00A320E6" w:rsidRDefault="00000000" w:rsidP="00EC761E">
      <w:pPr>
        <w:keepNext/>
        <w:spacing w:beforeLines="50" w:before="156" w:afterLines="20" w:after="62" w:line="360" w:lineRule="auto"/>
        <w:jc w:val="center"/>
        <w:outlineLvl w:val="2"/>
        <w:rPr>
          <w:rFonts w:ascii="宋体" w:hAnsi="宋体" w:cs="宋体"/>
          <w:b/>
          <w:bCs/>
          <w:sz w:val="24"/>
          <w:szCs w:val="24"/>
        </w:rPr>
      </w:pPr>
      <w:bookmarkStart w:id="34" w:name="_Toc112227356"/>
      <w:r>
        <w:rPr>
          <w:rFonts w:ascii="宋体" w:hAnsi="宋体" w:cs="宋体" w:hint="eastAsia"/>
          <w:b/>
          <w:bCs/>
          <w:sz w:val="24"/>
          <w:szCs w:val="24"/>
        </w:rPr>
        <w:t>中评协关于</w:t>
      </w:r>
      <w:r w:rsidRPr="00944A38">
        <w:rPr>
          <w:rFonts w:ascii="宋体" w:hAnsi="宋体" w:cs="宋体" w:hint="eastAsia"/>
          <w:b/>
          <w:bCs/>
          <w:color w:val="000000"/>
          <w:kern w:val="0"/>
          <w:sz w:val="24"/>
          <w:szCs w:val="24"/>
          <w:lang w:bidi="ar"/>
        </w:rPr>
        <w:t>关注</w:t>
      </w:r>
      <w:r>
        <w:rPr>
          <w:rFonts w:ascii="宋体" w:hAnsi="宋体" w:cs="宋体" w:hint="eastAsia"/>
          <w:b/>
          <w:bCs/>
          <w:sz w:val="24"/>
          <w:szCs w:val="24"/>
        </w:rPr>
        <w:t>企业商誉减值测试评估业务风险的提示</w:t>
      </w:r>
      <w:bookmarkEnd w:id="34"/>
    </w:p>
    <w:p w14:paraId="6792D09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近年，上市公司商誉减值风险引起资本市场极大关注，商誉减值测试评估业务面临较多执业风险。中国资产评估协会提醒资产评估机构及其资产评估专业人员加强商誉减值测试评估业务风险防控。</w:t>
      </w:r>
    </w:p>
    <w:p w14:paraId="06591FE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一、遵守相关准则和文件</w:t>
      </w:r>
    </w:p>
    <w:p w14:paraId="24299BB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商誉减值测试评估执业中，需要严格遵守《企业会计准则第8号——资产减值》和《以财务报告为目的的评估指南》以及其他相关企业会计准则、资产评估准则，参考《资产评估专家指引第11号——商誉减值测试评估》。上市公司商誉减值测试评估业务还应当充分关注证监会会计部发布的《会计监管风险提示第8号——商誉减值》中涉及的评估问题。</w:t>
      </w:r>
    </w:p>
    <w:p w14:paraId="6B486BB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二、在项目承接环节关注风险</w:t>
      </w:r>
    </w:p>
    <w:p w14:paraId="54582A7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1.需要关注商誉减值测试评估业务承接风险因素，如是否更换资产评估机构以及更换的原因、是否存在业绩承诺到期后业绩大幅下滑的情形等。</w:t>
      </w:r>
    </w:p>
    <w:p w14:paraId="5561BD8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2.承接业务时，需要与委托人就评估目的、评估基准日等评估要素以及以前会计期间商誉减值情况进行充分的了解与沟通。</w:t>
      </w:r>
    </w:p>
    <w:p w14:paraId="21B06A3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证券评估机构承接上市公司商誉减值测试评估业务时，需要慎重分析是否具备专业胜任能力，并充分考虑包含商誉资产组所处行业发展状况对商誉减值测试评估的影响。新备案的证券评估机构尤其需要谨慎分析自身业务经验和专业胜任能力。</w:t>
      </w:r>
    </w:p>
    <w:p w14:paraId="07E6893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三、在业务操作中做好重要风险点管理</w:t>
      </w:r>
    </w:p>
    <w:p w14:paraId="322B757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（一）包含商誉资产组的辨识</w:t>
      </w:r>
    </w:p>
    <w:p w14:paraId="48458E8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1.商誉相关资产组的辨识对企业合理判断商誉减值情况至关重要，需要关注形成商誉的业务性质、商誉相关资产组辨识相关的企业会计准则规定。</w:t>
      </w:r>
    </w:p>
    <w:p w14:paraId="2F798B0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2.与商誉相关业务需要遵循会计一致性原则，需要关注商誉后续计量资产组与商誉初始计量确认资产组是否存在差异，需要知晓企业不应随意扩大或缩小与商誉相关业务资产组的构成。</w:t>
      </w:r>
    </w:p>
    <w:p w14:paraId="64D7C8B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3.当企业因重组等因素导致企业经营业务组成发生变化、继而影响到已分摊商誉所在的资产组构成时，需要关注企业是否将商誉账面价值重新分摊至受影响的资产组。</w:t>
      </w:r>
    </w:p>
    <w:p w14:paraId="453CC6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4.对于企业填报的包含商誉资产组评估范围，需要关注商誉是否包括归属于少数股东的商誉。</w:t>
      </w:r>
    </w:p>
    <w:p w14:paraId="47A2FBD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（二）包含商誉资产组公允价值计算方法</w:t>
      </w:r>
    </w:p>
    <w:p w14:paraId="52A4336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1.当商誉减值测试评估需要计算公允价值减去处置费用后的净额时，需要关注市场法、收益法和成本法的适用性及输入值的优先级。</w:t>
      </w:r>
    </w:p>
    <w:p w14:paraId="00540D0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2.当采用市场法计算包含商誉资产组公允价值时，需要关注可比对象实际交易所在市场和评估对象模拟有序交易所在的主要市场或最有利市场是否一致。</w:t>
      </w:r>
    </w:p>
    <w:p w14:paraId="338356A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3.当采用收益法计算包含商誉资产组公允价值时，需要关注与计算预计未来现金流现值的预期收益与折现率的区别和联系。</w:t>
      </w:r>
    </w:p>
    <w:p w14:paraId="50A0DBA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（三）折现率的取值</w:t>
      </w:r>
    </w:p>
    <w:p w14:paraId="46167AD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1.需要关注折现率计算口径与预计未来现金流量口径是否保持一致。</w:t>
      </w:r>
    </w:p>
    <w:p w14:paraId="6774662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2.需要知晓折现率指标不应以包含商誉资产组自身报酬率水平为基础计算。</w:t>
      </w:r>
    </w:p>
    <w:p w14:paraId="777F8EE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（四）核查验证</w:t>
      </w:r>
    </w:p>
    <w:p w14:paraId="739B131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1.需要知晓商誉减值测试评估核查验证目的与交易目的企业价值评估核查验证目的是不同的。</w:t>
      </w:r>
    </w:p>
    <w:p w14:paraId="1F38DA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2.非首次商誉减值测试评估业务中，需要关注法律权属、物理状况、技术状况以及经济状况等四个方面变动对可收回金额计算的影响。</w:t>
      </w:r>
    </w:p>
    <w:p w14:paraId="631536C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3.需要关注商誉减值测试相关企业会计准则规定的资本性支出的预测原则。</w:t>
      </w:r>
    </w:p>
    <w:p w14:paraId="3FE31D6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4.需要关注企业提供的经管理层批准的包含商誉资产组财务预测数据的可行性。</w:t>
      </w:r>
    </w:p>
    <w:p w14:paraId="06EBB93C" w14:textId="77777777" w:rsidR="00A320E6" w:rsidRPr="00EC761E" w:rsidRDefault="00000000" w:rsidP="00EC761E">
      <w:pPr>
        <w:pStyle w:val="27"/>
        <w:rPr>
          <w:lang w:bidi="ar"/>
        </w:rPr>
      </w:pPr>
      <w:bookmarkStart w:id="35" w:name="_Toc112227357"/>
      <w:bookmarkStart w:id="36" w:name="_Toc105410847"/>
      <w:bookmarkStart w:id="37" w:name="_Toc31412"/>
      <w:bookmarkStart w:id="38" w:name="_Toc6139"/>
      <w:bookmarkStart w:id="39" w:name="_Toc1350"/>
      <w:r w:rsidRPr="00EC761E">
        <w:rPr>
          <w:rFonts w:hint="eastAsia"/>
          <w:lang w:bidi="ar"/>
        </w:rPr>
        <w:t>资产评估指导意见</w:t>
      </w:r>
      <w:bookmarkEnd w:id="35"/>
    </w:p>
    <w:p w14:paraId="1C2DEAD9" w14:textId="77777777" w:rsidR="00A320E6" w:rsidRDefault="00000000" w:rsidP="00B40F35">
      <w:pPr>
        <w:spacing w:beforeLines="50" w:before="156" w:afterLines="20" w:after="62" w:line="360" w:lineRule="auto"/>
        <w:jc w:val="center"/>
        <w:outlineLvl w:val="2"/>
        <w:rPr>
          <w:rFonts w:ascii="宋体" w:hAnsi="宋体" w:cs="宋体"/>
          <w:b/>
          <w:bCs/>
          <w:sz w:val="24"/>
          <w:szCs w:val="24"/>
        </w:rPr>
      </w:pPr>
      <w:bookmarkStart w:id="40" w:name="_Toc112227358"/>
      <w:r>
        <w:rPr>
          <w:rFonts w:ascii="宋体" w:hAnsi="宋体" w:cs="宋体" w:hint="eastAsia"/>
          <w:b/>
          <w:bCs/>
          <w:sz w:val="24"/>
          <w:szCs w:val="24"/>
        </w:rPr>
        <w:t>文物资源资产评估</w:t>
      </w:r>
      <w:r w:rsidRPr="00B40F35">
        <w:rPr>
          <w:rFonts w:ascii="宋体" w:hAnsi="宋体" w:cs="宋体" w:hint="eastAsia"/>
          <w:b/>
          <w:bCs/>
          <w:color w:val="000000"/>
          <w:kern w:val="0"/>
          <w:sz w:val="24"/>
          <w:szCs w:val="24"/>
          <w:lang w:bidi="ar"/>
        </w:rPr>
        <w:t>指导</w:t>
      </w:r>
      <w:r w:rsidRPr="00944A38">
        <w:rPr>
          <w:rFonts w:ascii="宋体" w:hAnsi="宋体" w:cs="宋体" w:hint="eastAsia"/>
          <w:b/>
          <w:bCs/>
          <w:color w:val="000000"/>
          <w:kern w:val="0"/>
          <w:sz w:val="24"/>
          <w:szCs w:val="24"/>
          <w:lang w:bidi="ar"/>
        </w:rPr>
        <w:t>意见</w:t>
      </w:r>
      <w:bookmarkEnd w:id="36"/>
      <w:bookmarkEnd w:id="37"/>
      <w:bookmarkEnd w:id="38"/>
      <w:bookmarkEnd w:id="39"/>
      <w:r>
        <w:rPr>
          <w:rFonts w:ascii="宋体" w:hAnsi="宋体" w:cs="宋体" w:hint="eastAsia"/>
          <w:b/>
          <w:bCs/>
          <w:sz w:val="24"/>
          <w:szCs w:val="24"/>
        </w:rPr>
        <w:t>（征求意见稿）</w:t>
      </w:r>
      <w:bookmarkEnd w:id="40"/>
    </w:p>
    <w:p w14:paraId="28973537" w14:textId="062E1574" w:rsidR="00A320E6" w:rsidRDefault="00000000" w:rsidP="00EC761E">
      <w:pPr>
        <w:pStyle w:val="13"/>
        <w:spacing w:before="62" w:after="62"/>
      </w:pPr>
      <w:r>
        <w:rPr>
          <w:rFonts w:hint="eastAsia"/>
        </w:rPr>
        <w:t>第一章</w:t>
      </w:r>
      <w:r w:rsidR="00EC761E">
        <w:t xml:space="preserve"> </w:t>
      </w:r>
      <w:r>
        <w:rPr>
          <w:rFonts w:hint="eastAsia"/>
        </w:rPr>
        <w:t>总则</w:t>
      </w:r>
    </w:p>
    <w:p w14:paraId="4BE1432A" w14:textId="592403F9" w:rsidR="00A320E6" w:rsidRDefault="00A45A13" w:rsidP="00AE0286">
      <w:pPr>
        <w:pStyle w:val="a9"/>
        <w:spacing w:beforeAutospacing="0" w:afterAutospacing="0" w:line="360" w:lineRule="auto"/>
        <w:ind w:firstLineChars="200" w:firstLine="482"/>
        <w:jc w:val="both"/>
        <w:rPr>
          <w:rFonts w:ascii="宋体" w:hAnsi="宋体" w:cs="宋体"/>
          <w:kern w:val="2"/>
          <w:szCs w:val="24"/>
        </w:rPr>
      </w:pPr>
      <w:r w:rsidRPr="00A45A13">
        <w:rPr>
          <w:rFonts w:ascii="宋体" w:hAnsi="宋体" w:cs="宋体" w:hint="eastAsia"/>
          <w:b/>
          <w:bCs/>
          <w:kern w:val="2"/>
          <w:szCs w:val="24"/>
        </w:rPr>
        <w:t>第一条</w:t>
      </w:r>
      <w:r w:rsidR="00C36EF7">
        <w:rPr>
          <w:rFonts w:ascii="宋体" w:hAnsi="宋体" w:cs="宋体" w:hint="eastAsia"/>
          <w:b/>
          <w:bCs/>
          <w:kern w:val="2"/>
          <w:szCs w:val="24"/>
        </w:rPr>
        <w:t xml:space="preserve"> </w:t>
      </w:r>
      <w:r>
        <w:rPr>
          <w:rFonts w:ascii="宋体" w:hAnsi="宋体" w:cs="宋体" w:hint="eastAsia"/>
          <w:kern w:val="2"/>
          <w:szCs w:val="24"/>
        </w:rPr>
        <w:t>为规范文物资源资产评估业务行为，保护资产评估当事人合法权益和公共利益，根据《资产评估基本准则》制定本指导意见。</w:t>
      </w:r>
    </w:p>
    <w:p w14:paraId="1BDA8757" w14:textId="4C33AC36" w:rsidR="00A320E6" w:rsidRDefault="00A45A13" w:rsidP="00AE0286">
      <w:pPr>
        <w:pStyle w:val="a9"/>
        <w:spacing w:beforeAutospacing="0" w:afterAutospacing="0" w:line="360" w:lineRule="auto"/>
        <w:ind w:firstLineChars="200" w:firstLine="482"/>
        <w:jc w:val="both"/>
        <w:rPr>
          <w:rFonts w:ascii="宋体" w:hAnsi="宋体" w:cs="宋体"/>
          <w:kern w:val="2"/>
          <w:szCs w:val="24"/>
        </w:rPr>
      </w:pPr>
      <w:r w:rsidRPr="00A45A13">
        <w:rPr>
          <w:rFonts w:ascii="宋体" w:hAnsi="宋体" w:cs="宋体" w:hint="eastAsia"/>
          <w:b/>
          <w:bCs/>
          <w:kern w:val="2"/>
          <w:szCs w:val="24"/>
        </w:rPr>
        <w:t>第二条</w:t>
      </w:r>
      <w:r w:rsidR="00C36EF7">
        <w:rPr>
          <w:rFonts w:ascii="宋体" w:hAnsi="宋体" w:cs="宋体" w:hint="eastAsia"/>
          <w:b/>
          <w:bCs/>
          <w:kern w:val="2"/>
          <w:szCs w:val="24"/>
        </w:rPr>
        <w:t xml:space="preserve"> </w:t>
      </w:r>
      <w:r>
        <w:rPr>
          <w:rFonts w:ascii="宋体" w:hAnsi="宋体" w:cs="宋体" w:hint="eastAsia"/>
          <w:kern w:val="2"/>
          <w:szCs w:val="24"/>
        </w:rPr>
        <w:t>本指导意见所称文物资源资产，是指根据《中华人民共和国文物保护法》</w:t>
      </w:r>
      <w:r>
        <w:rPr>
          <w:rFonts w:ascii="宋体" w:hAnsi="宋体" w:cs="宋体" w:hint="eastAsia"/>
          <w:kern w:val="2"/>
          <w:szCs w:val="24"/>
        </w:rPr>
        <w:lastRenderedPageBreak/>
        <w:t>和《文物认定管理暂行办法》的相关规定，经文物行政部门认定为文物的资源或资产。</w:t>
      </w:r>
    </w:p>
    <w:p w14:paraId="2986C95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认定文物由县级以上地方文物行政部门负责，由文物行政部门将具有历史、艺术、科学价值的文化资源确认为文物。文物不等同于古董、古玩或艺术品，古董、古玩或艺术品可能是尚未认定为文物的文化资源。</w:t>
      </w:r>
    </w:p>
    <w:p w14:paraId="32E77D1A" w14:textId="7BA9C3DB" w:rsidR="00A320E6" w:rsidRDefault="00A45A13" w:rsidP="00AE0286">
      <w:pPr>
        <w:pStyle w:val="a9"/>
        <w:spacing w:beforeAutospacing="0" w:afterAutospacing="0" w:line="360" w:lineRule="auto"/>
        <w:ind w:firstLineChars="200" w:firstLine="482"/>
        <w:jc w:val="both"/>
        <w:rPr>
          <w:rFonts w:ascii="宋体" w:hAnsi="宋体" w:cs="宋体"/>
          <w:kern w:val="2"/>
          <w:szCs w:val="24"/>
        </w:rPr>
      </w:pPr>
      <w:r w:rsidRPr="00A45A13">
        <w:rPr>
          <w:rFonts w:ascii="宋体" w:hAnsi="宋体" w:cs="宋体" w:hint="eastAsia"/>
          <w:b/>
          <w:bCs/>
          <w:kern w:val="2"/>
          <w:szCs w:val="24"/>
        </w:rPr>
        <w:t>第三条</w:t>
      </w:r>
      <w:r w:rsidR="00C36EF7">
        <w:rPr>
          <w:rFonts w:ascii="宋体" w:hAnsi="宋体" w:cs="宋体" w:hint="eastAsia"/>
          <w:b/>
          <w:bCs/>
          <w:kern w:val="2"/>
          <w:szCs w:val="24"/>
        </w:rPr>
        <w:t xml:space="preserve"> </w:t>
      </w:r>
      <w:r>
        <w:rPr>
          <w:rFonts w:ascii="宋体" w:hAnsi="宋体" w:cs="宋体" w:hint="eastAsia"/>
          <w:kern w:val="2"/>
          <w:szCs w:val="24"/>
        </w:rPr>
        <w:t>本指导意见所称文物资源资产评估，是指资产评估机构及其资产评估专业人员遵守法律、行政法规和资产评估准则，根据委托对评估基准日特定目的下的文物资源资产价值进行评定和估算，并出具资产评估报告的专业服务行为。</w:t>
      </w:r>
    </w:p>
    <w:p w14:paraId="75B72E80"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涉及文物资源资产的著作权、商标权等无形资产价值评估，需要单独或者同时遵照相关准则要求执行。</w:t>
      </w:r>
    </w:p>
    <w:p w14:paraId="0F7FDF76" w14:textId="40C4312F" w:rsidR="00A320E6" w:rsidRDefault="00A45A13" w:rsidP="00AE0286">
      <w:pPr>
        <w:pStyle w:val="a9"/>
        <w:spacing w:beforeAutospacing="0" w:afterAutospacing="0" w:line="360" w:lineRule="auto"/>
        <w:ind w:firstLineChars="200" w:firstLine="482"/>
        <w:jc w:val="both"/>
        <w:rPr>
          <w:rFonts w:ascii="宋体" w:hAnsi="宋体" w:cs="宋体"/>
          <w:szCs w:val="24"/>
        </w:rPr>
      </w:pPr>
      <w:r w:rsidRPr="00A45A13">
        <w:rPr>
          <w:rFonts w:ascii="宋体" w:hAnsi="宋体" w:cs="宋体" w:hint="eastAsia"/>
          <w:b/>
          <w:bCs/>
          <w:kern w:val="2"/>
          <w:szCs w:val="24"/>
        </w:rPr>
        <w:t>第四条</w:t>
      </w:r>
      <w:r>
        <w:rPr>
          <w:rFonts w:ascii="宋体" w:hAnsi="宋体" w:cs="宋体" w:hint="eastAsia"/>
          <w:b/>
          <w:bCs/>
          <w:kern w:val="2"/>
          <w:szCs w:val="24"/>
        </w:rPr>
        <w:t xml:space="preserve"> </w:t>
      </w:r>
      <w:r>
        <w:rPr>
          <w:rFonts w:ascii="宋体" w:hAnsi="宋体" w:cs="宋体" w:hint="eastAsia"/>
          <w:kern w:val="2"/>
          <w:szCs w:val="24"/>
        </w:rPr>
        <w:t>执行文物资源资产评估业务，应当遵守本指导意见。</w:t>
      </w:r>
    </w:p>
    <w:p w14:paraId="37AC6831" w14:textId="4A0738EA" w:rsidR="00A320E6" w:rsidRDefault="00000000" w:rsidP="00EC761E">
      <w:pPr>
        <w:pStyle w:val="13"/>
        <w:spacing w:before="62" w:after="62"/>
      </w:pPr>
      <w:r>
        <w:rPr>
          <w:rFonts w:hint="eastAsia"/>
        </w:rPr>
        <w:t>第二章</w:t>
      </w:r>
      <w:r w:rsidR="00EC761E">
        <w:t xml:space="preserve"> </w:t>
      </w:r>
      <w:r>
        <w:rPr>
          <w:rFonts w:hint="eastAsia"/>
        </w:rPr>
        <w:t>基本遵循</w:t>
      </w:r>
    </w:p>
    <w:p w14:paraId="6C25EDB9" w14:textId="4B545258"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sz w:val="24"/>
          <w:szCs w:val="24"/>
        </w:rPr>
        <w:t>第五条</w:t>
      </w:r>
      <w:r w:rsidR="00A45A13">
        <w:rPr>
          <w:rFonts w:ascii="宋体" w:hAnsi="宋体" w:cs="宋体" w:hint="eastAsia"/>
          <w:b/>
          <w:bCs/>
          <w:sz w:val="24"/>
          <w:szCs w:val="24"/>
        </w:rPr>
        <w:t xml:space="preserve"> </w:t>
      </w:r>
      <w:r>
        <w:rPr>
          <w:rFonts w:ascii="宋体" w:hAnsi="宋体" w:cs="宋体" w:hint="eastAsia"/>
          <w:sz w:val="24"/>
          <w:szCs w:val="24"/>
        </w:rPr>
        <w:t>资产评估机构及其资产评估专业人员开展文物资源资产评估业务，应当遵守法律、行政法规的规定，坚持独立、客观、公正的原则，诚实守信，勤勉尽责，谨慎从业，遵守职业道德规范，自觉维护职业形象，不得从事损害职业形象的活动。</w:t>
      </w:r>
    </w:p>
    <w:p w14:paraId="061DCED1" w14:textId="47C6E252"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sz w:val="24"/>
          <w:szCs w:val="24"/>
        </w:rPr>
        <w:t>第六条</w:t>
      </w:r>
      <w:r w:rsidR="00A45A13">
        <w:rPr>
          <w:rFonts w:ascii="宋体" w:hAnsi="宋体" w:cs="宋体" w:hint="eastAsia"/>
          <w:b/>
          <w:bCs/>
          <w:sz w:val="24"/>
          <w:szCs w:val="24"/>
        </w:rPr>
        <w:t xml:space="preserve"> </w:t>
      </w:r>
      <w:r>
        <w:rPr>
          <w:rFonts w:ascii="宋体" w:hAnsi="宋体" w:cs="宋体" w:hint="eastAsia"/>
          <w:sz w:val="24"/>
          <w:szCs w:val="24"/>
        </w:rPr>
        <w:t>资产评估机构及其资产评估专业人员开展文物资源资产评估业务，应当独立进行分析和估算并形成专业意见，拒绝委托人或者其他相关当事人的干预，不得直接以预先设定的价值作为评估结论。</w:t>
      </w:r>
    </w:p>
    <w:p w14:paraId="4093DE19" w14:textId="18E05B38" w:rsidR="00A320E6" w:rsidRDefault="00977BD5" w:rsidP="00AE0286">
      <w:pPr>
        <w:pStyle w:val="a9"/>
        <w:spacing w:beforeAutospacing="0" w:afterAutospacing="0" w:line="360" w:lineRule="auto"/>
        <w:ind w:firstLineChars="200" w:firstLine="482"/>
        <w:jc w:val="both"/>
        <w:rPr>
          <w:rFonts w:ascii="宋体" w:hAnsi="宋体" w:cs="宋体"/>
          <w:kern w:val="2"/>
          <w:szCs w:val="24"/>
        </w:rPr>
      </w:pPr>
      <w:r w:rsidRPr="00977BD5">
        <w:rPr>
          <w:rFonts w:ascii="宋体" w:hAnsi="宋体" w:cs="宋体" w:hint="eastAsia"/>
          <w:b/>
          <w:bCs/>
          <w:kern w:val="2"/>
          <w:szCs w:val="24"/>
        </w:rPr>
        <w:t>第七条</w:t>
      </w:r>
      <w:r w:rsidR="00A45A13">
        <w:rPr>
          <w:rFonts w:ascii="宋体" w:hAnsi="宋体" w:cs="宋体" w:hint="eastAsia"/>
          <w:b/>
          <w:bCs/>
          <w:kern w:val="2"/>
          <w:szCs w:val="24"/>
        </w:rPr>
        <w:t xml:space="preserve"> </w:t>
      </w:r>
      <w:r>
        <w:rPr>
          <w:rFonts w:ascii="宋体" w:hAnsi="宋体" w:cs="宋体" w:hint="eastAsia"/>
          <w:kern w:val="2"/>
          <w:szCs w:val="24"/>
        </w:rPr>
        <w:t>资产评估专业人员执行文物资源资产评估业务，应当具备文物资源资产评估的专业知识和实践经验，能够胜任所执行的文物资源资产评估业务。</w:t>
      </w:r>
    </w:p>
    <w:p w14:paraId="03BC4B70" w14:textId="77777777" w:rsidR="00A320E6" w:rsidRDefault="00000000" w:rsidP="00AE0286">
      <w:pPr>
        <w:pStyle w:val="a9"/>
        <w:spacing w:beforeAutospacing="0" w:afterAutospacing="0" w:line="360" w:lineRule="auto"/>
        <w:ind w:firstLineChars="200" w:firstLine="480"/>
        <w:jc w:val="both"/>
        <w:rPr>
          <w:rFonts w:ascii="宋体" w:hAnsi="宋体" w:cs="宋体"/>
          <w:szCs w:val="24"/>
        </w:rPr>
      </w:pPr>
      <w:r>
        <w:rPr>
          <w:rFonts w:ascii="宋体" w:hAnsi="宋体" w:cs="宋体" w:hint="eastAsia"/>
          <w:kern w:val="2"/>
          <w:szCs w:val="24"/>
        </w:rPr>
        <w:t>执行某项特定业务缺乏特定的专业知识和经验时，应当采取弥补措施，包括利用专家工作及相关报告等。</w:t>
      </w:r>
    </w:p>
    <w:p w14:paraId="69A6BFCE" w14:textId="5D8CC912" w:rsidR="00A320E6" w:rsidRDefault="00977BD5" w:rsidP="00AE0286">
      <w:pPr>
        <w:pStyle w:val="a9"/>
        <w:spacing w:beforeAutospacing="0" w:afterAutospacing="0" w:line="360" w:lineRule="auto"/>
        <w:ind w:firstLineChars="200" w:firstLine="482"/>
        <w:jc w:val="both"/>
        <w:rPr>
          <w:rFonts w:ascii="宋体" w:hAnsi="宋体" w:cs="宋体"/>
          <w:kern w:val="2"/>
          <w:szCs w:val="24"/>
        </w:rPr>
      </w:pPr>
      <w:r w:rsidRPr="00977BD5">
        <w:rPr>
          <w:rFonts w:ascii="宋体" w:hAnsi="宋体" w:cs="宋体" w:hint="eastAsia"/>
          <w:b/>
          <w:bCs/>
          <w:kern w:val="2"/>
          <w:szCs w:val="24"/>
        </w:rPr>
        <w:t>第八条</w:t>
      </w:r>
      <w:r w:rsidR="00A45A13">
        <w:rPr>
          <w:rFonts w:ascii="宋体" w:hAnsi="宋体" w:cs="宋体" w:hint="eastAsia"/>
          <w:b/>
          <w:bCs/>
          <w:kern w:val="2"/>
          <w:szCs w:val="24"/>
        </w:rPr>
        <w:t xml:space="preserve"> </w:t>
      </w:r>
      <w:r>
        <w:rPr>
          <w:rFonts w:ascii="宋体" w:hAnsi="宋体" w:cs="宋体" w:hint="eastAsia"/>
          <w:kern w:val="2"/>
          <w:szCs w:val="24"/>
        </w:rPr>
        <w:t>执行企业价值评估中的文物资源资产评估业务，应当了解对持续经营前提下的企业价值进行评估时，文物资源资产作为企业资产组成部分的价值可能有别于作为单项资产的价值，其价值取决于它对企业价值的贡献程度。</w:t>
      </w:r>
    </w:p>
    <w:p w14:paraId="3D1943E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企业价值评估中涉及的文物资源资产除了《中华人民共和国文物保护法》中所列的文物外，还可能有乡土建筑、工业遗产、农业遗产、商业老字号等特殊类型文物。</w:t>
      </w:r>
    </w:p>
    <w:p w14:paraId="0D4F2813" w14:textId="1B6ADA60" w:rsidR="00A320E6" w:rsidRDefault="00977BD5" w:rsidP="00AE0286">
      <w:pPr>
        <w:pStyle w:val="a9"/>
        <w:spacing w:beforeAutospacing="0" w:afterAutospacing="0" w:line="360" w:lineRule="auto"/>
        <w:ind w:firstLineChars="200" w:firstLine="482"/>
        <w:jc w:val="both"/>
        <w:rPr>
          <w:rFonts w:ascii="宋体" w:hAnsi="宋体" w:cs="宋体"/>
          <w:szCs w:val="24"/>
        </w:rPr>
      </w:pPr>
      <w:r w:rsidRPr="00977BD5">
        <w:rPr>
          <w:rFonts w:ascii="宋体" w:hAnsi="宋体" w:cs="宋体" w:hint="eastAsia"/>
          <w:b/>
          <w:bCs/>
          <w:kern w:val="2"/>
          <w:szCs w:val="24"/>
        </w:rPr>
        <w:t>第九条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执行文物资源资产评估业务，应当根据具体评估目的、评估对象等情况</w:t>
      </w:r>
      <w:r>
        <w:rPr>
          <w:rFonts w:ascii="宋体" w:hAnsi="宋体" w:cs="宋体" w:hint="eastAsia"/>
          <w:kern w:val="2"/>
          <w:szCs w:val="24"/>
        </w:rPr>
        <w:lastRenderedPageBreak/>
        <w:t>合理确定评估假设和限制条件。</w:t>
      </w:r>
    </w:p>
    <w:p w14:paraId="30C11FFE" w14:textId="3A06091B" w:rsidR="00A320E6" w:rsidRDefault="00000000" w:rsidP="00EC761E">
      <w:pPr>
        <w:pStyle w:val="13"/>
        <w:spacing w:before="62" w:after="62"/>
      </w:pPr>
      <w:r>
        <w:rPr>
          <w:rFonts w:hint="eastAsia"/>
        </w:rPr>
        <w:t>第三章</w:t>
      </w:r>
      <w:r w:rsidR="00EC761E">
        <w:t xml:space="preserve"> </w:t>
      </w:r>
      <w:r>
        <w:rPr>
          <w:rFonts w:hint="eastAsia"/>
        </w:rPr>
        <w:t>资产评估对象</w:t>
      </w:r>
    </w:p>
    <w:p w14:paraId="7BF52ADC" w14:textId="7EBCE5E8" w:rsidR="00A320E6" w:rsidRDefault="00977BD5" w:rsidP="00AE0286">
      <w:pPr>
        <w:pStyle w:val="a9"/>
        <w:spacing w:beforeAutospacing="0" w:afterAutospacing="0" w:line="360" w:lineRule="auto"/>
        <w:ind w:firstLineChars="200" w:firstLine="482"/>
        <w:jc w:val="both"/>
        <w:rPr>
          <w:rFonts w:ascii="宋体" w:hAnsi="宋体" w:cs="宋体"/>
          <w:kern w:val="2"/>
          <w:szCs w:val="24"/>
        </w:rPr>
      </w:pPr>
      <w:r w:rsidRPr="00977BD5">
        <w:rPr>
          <w:rFonts w:ascii="宋体" w:hAnsi="宋体" w:cs="宋体" w:hint="eastAsia"/>
          <w:b/>
          <w:bCs/>
          <w:kern w:val="2"/>
          <w:szCs w:val="24"/>
        </w:rPr>
        <w:t>第十条</w:t>
      </w:r>
      <w:r w:rsidR="00A45A13">
        <w:rPr>
          <w:rFonts w:ascii="宋体" w:hAnsi="宋体" w:cs="宋体" w:hint="eastAsia"/>
          <w:b/>
          <w:bCs/>
          <w:kern w:val="2"/>
          <w:szCs w:val="24"/>
        </w:rPr>
        <w:t xml:space="preserve"> </w:t>
      </w:r>
      <w:r>
        <w:rPr>
          <w:rFonts w:ascii="宋体" w:hAnsi="宋体" w:cs="宋体" w:hint="eastAsia"/>
          <w:kern w:val="2"/>
          <w:szCs w:val="24"/>
        </w:rPr>
        <w:t>资产评估专业人员执行文物资源资产评估业务，应当明确评估对象。</w:t>
      </w:r>
    </w:p>
    <w:p w14:paraId="077A4717"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文物资源资产的评估对象，是指文物资源资产的财产权益。通常仅包含文物资源资产本身的价值，若同时包含了文物资源资产对应的著作权、商标权及其衍生产品的相关权益，应在资产评估报告中予以明确。</w:t>
      </w:r>
    </w:p>
    <w:p w14:paraId="7905F8EC" w14:textId="149826FB"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文物资源资产不局限于纳入会计科目核算的资产，符合本指导意见</w:t>
      </w:r>
      <w:r w:rsidR="00A45A13" w:rsidRPr="00EC761E">
        <w:rPr>
          <w:rFonts w:ascii="宋体" w:hAnsi="宋体" w:cs="宋体" w:hint="eastAsia"/>
          <w:bCs/>
          <w:kern w:val="2"/>
          <w:szCs w:val="24"/>
        </w:rPr>
        <w:t>第二条</w:t>
      </w:r>
      <w:r>
        <w:rPr>
          <w:rFonts w:ascii="宋体" w:hAnsi="宋体" w:cs="宋体" w:hint="eastAsia"/>
          <w:kern w:val="2"/>
          <w:szCs w:val="24"/>
        </w:rPr>
        <w:t>定义的文物资源资产，均可以构成文物资源资产评估对象。</w:t>
      </w:r>
    </w:p>
    <w:p w14:paraId="752B5F15" w14:textId="052C7FA5" w:rsidR="00A320E6" w:rsidRDefault="00977BD5" w:rsidP="00AE0286">
      <w:pPr>
        <w:pStyle w:val="a9"/>
        <w:spacing w:beforeAutospacing="0" w:afterAutospacing="0" w:line="360" w:lineRule="auto"/>
        <w:ind w:firstLineChars="200" w:firstLine="482"/>
        <w:jc w:val="both"/>
        <w:rPr>
          <w:rFonts w:ascii="宋体" w:hAnsi="宋体" w:cs="宋体"/>
          <w:kern w:val="2"/>
          <w:szCs w:val="24"/>
        </w:rPr>
      </w:pPr>
      <w:r w:rsidRPr="00977BD5">
        <w:rPr>
          <w:rFonts w:ascii="宋体" w:hAnsi="宋体" w:cs="宋体" w:hint="eastAsia"/>
          <w:b/>
          <w:bCs/>
          <w:kern w:val="2"/>
          <w:szCs w:val="24"/>
        </w:rPr>
        <w:t>第十一条</w:t>
      </w:r>
      <w:r w:rsidR="00C36EF7">
        <w:rPr>
          <w:rFonts w:ascii="宋体" w:hAnsi="宋体" w:cs="宋体" w:hint="eastAsia"/>
          <w:b/>
          <w:bCs/>
          <w:kern w:val="2"/>
          <w:szCs w:val="24"/>
        </w:rPr>
        <w:t xml:space="preserve"> </w:t>
      </w:r>
      <w:r>
        <w:rPr>
          <w:rFonts w:ascii="宋体" w:hAnsi="宋体" w:cs="宋体" w:hint="eastAsia"/>
          <w:kern w:val="2"/>
          <w:szCs w:val="24"/>
        </w:rPr>
        <w:t>文物资源资产的评估对象包括：</w:t>
      </w:r>
    </w:p>
    <w:p w14:paraId="1BEB9175"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（一）具有历史、艺术、科学价值的古文化遗址、古墓葬、古建筑、石窟寺和石刻、壁画；</w:t>
      </w:r>
    </w:p>
    <w:p w14:paraId="3737ED7A"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（二）与重大历史事件、革命运动或者著名人物有关的以及具有重要纪念意义、教育意义或者史料价值的近代现代重要史迹、实物、代表性建筑；</w:t>
      </w:r>
    </w:p>
    <w:p w14:paraId="779E2F18"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（三）历史上各时代珍贵的艺术品、工艺美术品；</w:t>
      </w:r>
    </w:p>
    <w:p w14:paraId="0A819A64"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（四）历史上各时代重要的文献资料以及具有历史、艺术、科学价值的手稿和图书资料等；</w:t>
      </w:r>
    </w:p>
    <w:p w14:paraId="290CACB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（五）反映历史上各时代、各民族社会制度、社会生产、社会生活的代表性实物；</w:t>
      </w:r>
    </w:p>
    <w:p w14:paraId="664BDAA0"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（六）乡土建筑、工业遗产、农业遗产、商业老字号、文化线路、文化景观等特殊类型文物；</w:t>
      </w:r>
    </w:p>
    <w:p w14:paraId="070F11A8"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（七）其他经文物行政部门认定的文物资源资产。</w:t>
      </w:r>
    </w:p>
    <w:p w14:paraId="6825123A" w14:textId="7B2BACDB" w:rsidR="00A320E6" w:rsidRDefault="00977BD5" w:rsidP="00AE0286">
      <w:pPr>
        <w:pStyle w:val="a9"/>
        <w:spacing w:beforeAutospacing="0" w:afterAutospacing="0" w:line="360" w:lineRule="auto"/>
        <w:ind w:firstLineChars="200" w:firstLine="482"/>
        <w:jc w:val="both"/>
        <w:rPr>
          <w:rFonts w:ascii="宋体" w:hAnsi="宋体" w:cs="宋体"/>
          <w:szCs w:val="24"/>
        </w:rPr>
      </w:pPr>
      <w:r w:rsidRPr="00977BD5">
        <w:rPr>
          <w:rFonts w:ascii="宋体" w:hAnsi="宋体" w:cs="宋体" w:hint="eastAsia"/>
          <w:b/>
          <w:bCs/>
          <w:kern w:val="2"/>
          <w:szCs w:val="24"/>
        </w:rPr>
        <w:t>第十二条</w:t>
      </w:r>
      <w:r w:rsidR="00C36EF7">
        <w:rPr>
          <w:rFonts w:ascii="宋体" w:hAnsi="宋体" w:cs="宋体" w:hint="eastAsia"/>
          <w:b/>
          <w:bCs/>
          <w:kern w:val="2"/>
          <w:szCs w:val="24"/>
        </w:rPr>
        <w:t xml:space="preserve"> </w:t>
      </w:r>
      <w:r>
        <w:rPr>
          <w:rFonts w:ascii="宋体" w:hAnsi="宋体" w:cs="宋体" w:hint="eastAsia"/>
          <w:kern w:val="2"/>
          <w:szCs w:val="24"/>
        </w:rPr>
        <w:t>执行企业价值评估业务中的文物资源资产评估，应当根据会计政策、企业经营等情况，对被评估企业资产负债表表内以及表外的文物资源资产及与其相关的无形资产进行识别。</w:t>
      </w:r>
    </w:p>
    <w:p w14:paraId="71391DC0" w14:textId="69588ED5" w:rsidR="00A320E6" w:rsidRDefault="00000000" w:rsidP="00EC761E">
      <w:pPr>
        <w:pStyle w:val="13"/>
        <w:spacing w:before="62" w:after="62"/>
      </w:pPr>
      <w:r>
        <w:rPr>
          <w:rFonts w:hint="eastAsia"/>
        </w:rPr>
        <w:t>第四章</w:t>
      </w:r>
      <w:r w:rsidR="00EC761E">
        <w:t xml:space="preserve"> </w:t>
      </w:r>
      <w:r>
        <w:rPr>
          <w:rFonts w:hint="eastAsia"/>
        </w:rPr>
        <w:t>操作要求</w:t>
      </w:r>
    </w:p>
    <w:p w14:paraId="3737310F" w14:textId="0797ACFB"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第十三条</w:t>
      </w:r>
      <w:r w:rsidR="00C36EF7">
        <w:rPr>
          <w:rFonts w:ascii="宋体" w:hAnsi="宋体" w:cs="宋体" w:hint="eastAsia"/>
          <w:b/>
          <w:bCs/>
          <w:kern w:val="2"/>
          <w:szCs w:val="24"/>
        </w:rPr>
        <w:t xml:space="preserve"> </w:t>
      </w:r>
      <w:r>
        <w:rPr>
          <w:rFonts w:ascii="宋体" w:hAnsi="宋体" w:cs="宋体" w:hint="eastAsia"/>
          <w:kern w:val="2"/>
          <w:szCs w:val="24"/>
        </w:rPr>
        <w:t>执行文物资源资产评估业务，应当明确资产评估业务基本事项，履行适当的资产评估程序。</w:t>
      </w:r>
    </w:p>
    <w:p w14:paraId="5B61CBEA" w14:textId="06E77A3C"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第十四条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执行文物资源资产评估业务，评估目的应当根据委托人的经济行为合理确定。</w:t>
      </w:r>
    </w:p>
    <w:p w14:paraId="51D8A414"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lastRenderedPageBreak/>
        <w:t>文物资源资产评估业务涉及的经济行为主要包括依法征集、购买、转让、租赁，以及涉及诉讼、税收及财务报告等。</w:t>
      </w:r>
    </w:p>
    <w:p w14:paraId="7F1B6575"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依法征集是指管理收藏单位依照相关法律法规，通过购买或接受捐赠的方式取得文物资源资产的业务活动。</w:t>
      </w:r>
    </w:p>
    <w:p w14:paraId="591043AC" w14:textId="67C0651A"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第十五条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执行文物资源资产评估业务，应当在考虑评估目的、市场条件、评估对象自身条件及被评估单位经济行为的执行方案等因素的基础上，恰当选择价值类型。</w:t>
      </w:r>
    </w:p>
    <w:p w14:paraId="6000F53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价值类型包括市场价值和市场价值以外的价值类型。市场价值以外的价值类型主要有征集补偿价值、投资价值、在用价值、清算价值等。</w:t>
      </w:r>
    </w:p>
    <w:p w14:paraId="1FCC807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征集补偿价值是指管理收藏单位通过接受有偿捐赠的方式依法征集取得文物资源资产时，补偿给捐赠者为取得、保管、维护文物资源资产所耗费的价值估计数额。该价值一般大幅低于市场价值。</w:t>
      </w:r>
    </w:p>
    <w:p w14:paraId="03686F1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（一）涉及购买征集、诉讼、税收目的，如有相关法律、行政法规规定，按照法律、行政法规的规定选择价值类型，法律、行政法规没有规定的，通常选择市场价值；</w:t>
      </w:r>
    </w:p>
    <w:p w14:paraId="587B228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（二）涉及购买、转让、租赁，通常选择市场价值或者投资价值；</w:t>
      </w:r>
    </w:p>
    <w:p w14:paraId="06E91022"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（三）涉及财务报告目的，根据会计准则要求选择相应的会计计量属性作为评估价值类型。</w:t>
      </w:r>
    </w:p>
    <w:p w14:paraId="361C8F77" w14:textId="2E92FF82"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第十六条</w:t>
      </w:r>
      <w:r w:rsidR="00A45A13">
        <w:rPr>
          <w:rFonts w:ascii="宋体" w:hAnsi="宋体" w:cs="宋体" w:hint="eastAsia"/>
          <w:b/>
          <w:bCs/>
          <w:kern w:val="2"/>
          <w:szCs w:val="24"/>
        </w:rPr>
        <w:t xml:space="preserve"> </w:t>
      </w:r>
      <w:r>
        <w:rPr>
          <w:rFonts w:ascii="宋体" w:hAnsi="宋体" w:cs="宋体" w:hint="eastAsia"/>
          <w:kern w:val="2"/>
          <w:szCs w:val="24"/>
        </w:rPr>
        <w:t>资产评估专业人员执行文物资源资产评估业务，应当结合文物资源资产的特点，重点关注影响被评估文物资源资产价值的主要因素，如文物资源资产的真实性、形成时期、材质、种类、稀缺性、存世数量、完整性、知名度、名人使用或拥有、历史事件等。</w:t>
      </w:r>
    </w:p>
    <w:p w14:paraId="00B89B08" w14:textId="2C696AC7"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第十七条</w:t>
      </w:r>
      <w:r w:rsidR="00A45A13">
        <w:rPr>
          <w:rFonts w:ascii="宋体" w:hAnsi="宋体" w:cs="宋体" w:hint="eastAsia"/>
          <w:b/>
          <w:bCs/>
          <w:kern w:val="2"/>
          <w:szCs w:val="24"/>
        </w:rPr>
        <w:t xml:space="preserve"> </w:t>
      </w:r>
      <w:r>
        <w:rPr>
          <w:rFonts w:ascii="宋体" w:hAnsi="宋体" w:cs="宋体" w:hint="eastAsia"/>
          <w:kern w:val="2"/>
          <w:szCs w:val="24"/>
        </w:rPr>
        <w:t>资产评估专业人员执行文物资源资产评估业务，应当针对文物资源资产的特点选择收集相关信息，通常关注以下方面：</w:t>
      </w:r>
    </w:p>
    <w:p w14:paraId="45202A5E"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（一）评估对象的历史、现状及相关证明资料；</w:t>
      </w:r>
    </w:p>
    <w:p w14:paraId="7E063548"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（二）评估对象的法律保护状况资料；</w:t>
      </w:r>
    </w:p>
    <w:p w14:paraId="4F370E5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（三）评估对象以往的评估及交易情况；</w:t>
      </w:r>
    </w:p>
    <w:p w14:paraId="0E2E9500"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（四）相同或类似文物的市场价格信息及交易情况；</w:t>
      </w:r>
    </w:p>
    <w:p w14:paraId="2C16CF9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（五）评估对象的国内、国际形势（包括当前的、历史的、政治和人文的形势）、</w:t>
      </w:r>
      <w:r>
        <w:rPr>
          <w:rFonts w:ascii="宋体" w:hAnsi="宋体" w:cs="宋体" w:hint="eastAsia"/>
          <w:kern w:val="2"/>
          <w:szCs w:val="24"/>
        </w:rPr>
        <w:lastRenderedPageBreak/>
        <w:t>市场供需关系、稀缺程度、市场前景及宏观经济状况等；</w:t>
      </w:r>
    </w:p>
    <w:p w14:paraId="02274667"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（六）评估对象取得及维护成本、历史收益情况资料；</w:t>
      </w:r>
    </w:p>
    <w:p w14:paraId="37C48FC5"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（七）评估对象收益期和预期收益情况资料；</w:t>
      </w:r>
    </w:p>
    <w:p w14:paraId="0ACC54C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（八）其他相关信息资料。</w:t>
      </w:r>
    </w:p>
    <w:p w14:paraId="5BDE4451" w14:textId="100F8641"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第十八条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执行文物资源资产评估业务，应当对文物资源资产进行现场确认，关注评估对象的存在状态、完整程度及与认定材料中的文物资源资产的一致性。</w:t>
      </w:r>
    </w:p>
    <w:p w14:paraId="78EFBD5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在涉及需要对评估对象的存在状态、完整程度及与认定材料中的文物资源资产的一致性等进行鉴定而资产评估专业人员缺乏特定的文物资源资产鉴定专业知识和经验时，应当采取弥补措施，包括利用专家工作及相关报告等。</w:t>
      </w:r>
    </w:p>
    <w:p w14:paraId="203F1A8E"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在利用专家工作和相关报告时，应关注专家的专业技能，应当至少有两名专家符合下列条件之一：</w:t>
      </w:r>
    </w:p>
    <w:p w14:paraId="2FEA87BD"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（一）取得文物博物及相关系列中级以上专业技术职务，并有至少持续五年文物鉴定实践经验；</w:t>
      </w:r>
    </w:p>
    <w:p w14:paraId="53662272"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（二）是文物进出境责任鉴定人员；</w:t>
      </w:r>
    </w:p>
    <w:p w14:paraId="10443F84"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（三）是国家或者省级文物鉴定委员会委员。</w:t>
      </w:r>
    </w:p>
    <w:p w14:paraId="2545651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专家相关报告应该包括以下基本要素：</w:t>
      </w:r>
    </w:p>
    <w:p w14:paraId="7244481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（一）评估对象的真伪情况；</w:t>
      </w:r>
    </w:p>
    <w:p w14:paraId="408FB78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（二）评估对象形成的年代；</w:t>
      </w:r>
    </w:p>
    <w:p w14:paraId="647FE5F1"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（三）评估对象的等级；</w:t>
      </w:r>
    </w:p>
    <w:p w14:paraId="19A54816"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（四）评估对象的历史、文化、科学价值；</w:t>
      </w:r>
    </w:p>
    <w:p w14:paraId="74CB3F4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（五）评估对象的存在状态及完整程度。</w:t>
      </w:r>
    </w:p>
    <w:p w14:paraId="34480F24" w14:textId="13EBFFA8"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第十九条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执行文物资源资产评估业务，应当关注评估对象的权属，要求委托人或者其他相关当事人对文物资源资产的权属做出承诺，根据具体情况选择查验资料、访谈、函证等方式对评估对象的权属状况进行必要查验。</w:t>
      </w:r>
    </w:p>
    <w:p w14:paraId="4B79AB53" w14:textId="05B71C85"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执行文物资源资产评估业务，可以根据评估目的和文物资源资产具体情况合理确定评估假设，并在资产评估报告中予以披露。</w:t>
      </w:r>
    </w:p>
    <w:p w14:paraId="15AE616D" w14:textId="453AA2C9" w:rsidR="00A320E6" w:rsidRDefault="00EC0B72" w:rsidP="00AE0286">
      <w:pPr>
        <w:pStyle w:val="a9"/>
        <w:spacing w:beforeAutospacing="0" w:afterAutospacing="0" w:line="360" w:lineRule="auto"/>
        <w:ind w:firstLineChars="200" w:firstLine="482"/>
        <w:jc w:val="both"/>
        <w:rPr>
          <w:rFonts w:ascii="宋体" w:hAnsi="宋体" w:cs="宋体"/>
          <w:szCs w:val="24"/>
        </w:rPr>
      </w:pPr>
      <w:r w:rsidRPr="00EC0B72">
        <w:rPr>
          <w:rFonts w:ascii="宋体" w:hAnsi="宋体" w:cs="宋体" w:hint="eastAsia"/>
          <w:b/>
          <w:bCs/>
          <w:kern w:val="2"/>
          <w:szCs w:val="24"/>
        </w:rPr>
        <w:t>第二十一条</w:t>
      </w:r>
      <w:r w:rsidR="00C36EF7">
        <w:rPr>
          <w:rFonts w:ascii="宋体" w:hAnsi="宋体" w:cs="宋体" w:hint="eastAsia"/>
          <w:b/>
          <w:bCs/>
          <w:kern w:val="2"/>
          <w:szCs w:val="24"/>
        </w:rPr>
        <w:t xml:space="preserve"> </w:t>
      </w:r>
      <w:r>
        <w:rPr>
          <w:rFonts w:ascii="宋体" w:hAnsi="宋体" w:cs="宋体" w:hint="eastAsia"/>
          <w:kern w:val="2"/>
          <w:szCs w:val="24"/>
        </w:rPr>
        <w:t>执行文物资源资产评估业务时，应当分析判断评估对象是否存在与其相关的著作权、商标权等衍生权益共同发挥作用的情况。评估对象与其衍生权益共同发挥作用的，应当分析其衍生权益对评估对象价值的影响并在评估报告中予以</w:t>
      </w:r>
      <w:r>
        <w:rPr>
          <w:rFonts w:ascii="宋体" w:hAnsi="宋体" w:cs="宋体" w:hint="eastAsia"/>
          <w:kern w:val="2"/>
          <w:szCs w:val="24"/>
        </w:rPr>
        <w:lastRenderedPageBreak/>
        <w:t>明确并披露。</w:t>
      </w:r>
    </w:p>
    <w:p w14:paraId="5DDC5701" w14:textId="538F2879" w:rsidR="00A320E6" w:rsidRDefault="00000000" w:rsidP="00EC761E">
      <w:pPr>
        <w:pStyle w:val="13"/>
        <w:spacing w:before="62" w:after="62"/>
      </w:pPr>
      <w:r>
        <w:rPr>
          <w:rFonts w:hint="eastAsia"/>
        </w:rPr>
        <w:t>第五章</w:t>
      </w:r>
      <w:r w:rsidR="00EC761E">
        <w:t xml:space="preserve"> </w:t>
      </w:r>
      <w:r>
        <w:rPr>
          <w:rFonts w:hint="eastAsia"/>
        </w:rPr>
        <w:t>评估方法</w:t>
      </w:r>
    </w:p>
    <w:p w14:paraId="6902BB58" w14:textId="3775F681"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第二十二条</w:t>
      </w:r>
      <w:r w:rsidR="00C36EF7">
        <w:rPr>
          <w:rFonts w:ascii="宋体" w:hAnsi="宋体" w:cs="宋体" w:hint="eastAsia"/>
          <w:b/>
          <w:bCs/>
          <w:kern w:val="2"/>
          <w:szCs w:val="24"/>
        </w:rPr>
        <w:t xml:space="preserve"> </w:t>
      </w:r>
      <w:r>
        <w:rPr>
          <w:rFonts w:ascii="宋体" w:hAnsi="宋体" w:cs="宋体" w:hint="eastAsia"/>
          <w:kern w:val="2"/>
          <w:szCs w:val="24"/>
        </w:rPr>
        <w:t>执行文物资源资产评估业务，应当根据评估目的、评估对象、价值类型、资料收集等情况，分析市场法、收益法和成本法三种资产评估基本方法及其衍生方法的适用性，选择评估方法。</w:t>
      </w:r>
    </w:p>
    <w:p w14:paraId="28DA1415" w14:textId="0823936F"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第二十三条</w:t>
      </w:r>
      <w:r w:rsidR="00C36EF7">
        <w:rPr>
          <w:rFonts w:ascii="宋体" w:hAnsi="宋体" w:cs="宋体" w:hint="eastAsia"/>
          <w:b/>
          <w:bCs/>
          <w:kern w:val="2"/>
          <w:szCs w:val="24"/>
        </w:rPr>
        <w:t xml:space="preserve"> </w:t>
      </w:r>
      <w:r>
        <w:rPr>
          <w:rFonts w:ascii="宋体" w:hAnsi="宋体" w:cs="宋体" w:hint="eastAsia"/>
          <w:kern w:val="2"/>
          <w:szCs w:val="24"/>
        </w:rPr>
        <w:t>采用市场法评估文物资源资产，应当根据所获取交易案例与评估对象的相似程度、交易案例相关数据的充分性和可靠性等因素，恰当选择可比交易案例。应当：</w:t>
      </w:r>
    </w:p>
    <w:p w14:paraId="51413FCC"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（一）明确是否存在公开、活跃的交易市场，是否能够获取适当数量的可比参照物或者案例，并关注数据的可靠性；</w:t>
      </w:r>
    </w:p>
    <w:p w14:paraId="4F394A9A"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（二）根据评估对象的具体情况，确定可以作为评估依据的合适的交易市场；</w:t>
      </w:r>
    </w:p>
    <w:p w14:paraId="63EFD97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（三）确定若干相同或者类似的文物资源资产作为参照物，充分考虑其价值因素的可比性；</w:t>
      </w:r>
    </w:p>
    <w:p w14:paraId="0375F30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（四）收集评估对象以往的交易信息、相同或者类似文物资源资产交易的市场信息，并尽可能获取可比交易的详尽信息，包括交易方式、交易对手、交易时间等；</w:t>
      </w:r>
    </w:p>
    <w:p w14:paraId="5EF87296"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可能的交易方式有拍卖、协议转让、征集等。评估人员应当知晓，拍卖中公开竞价的方式可能会因现场气氛等因素抬高了交易价格，而征集的交易方式可能会因出让方的爱国情怀等因素降低了交易价格；</w:t>
      </w:r>
    </w:p>
    <w:p w14:paraId="7C50BCAE"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可能的交易对手有馆藏单位、收藏家、有特殊情怀的个人等，交易对手的需求差异会对实际交易价格产生影响；</w:t>
      </w:r>
    </w:p>
    <w:p w14:paraId="40635765"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（五）根据评估对象与参照物之间的区别，以及市场级别、市场交易条件、交易方式、交易对手及交易时间等因素的差异，对相同或者类似文物资源交易信息及相关资料进行分析调整。</w:t>
      </w:r>
    </w:p>
    <w:p w14:paraId="3E1CA505" w14:textId="1D10A35A"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第二十四条</w:t>
      </w:r>
      <w:r w:rsidR="00A45A13">
        <w:rPr>
          <w:rFonts w:ascii="宋体" w:hAnsi="宋体" w:cs="宋体" w:hint="eastAsia"/>
          <w:b/>
          <w:bCs/>
          <w:kern w:val="2"/>
          <w:szCs w:val="24"/>
        </w:rPr>
        <w:t xml:space="preserve"> </w:t>
      </w:r>
      <w:r>
        <w:rPr>
          <w:rFonts w:ascii="宋体" w:hAnsi="宋体" w:cs="宋体" w:hint="eastAsia"/>
          <w:kern w:val="2"/>
          <w:szCs w:val="24"/>
        </w:rPr>
        <w:t>采用市场法评估文物资源资产，应当分析评估对象与可比交易案例在交易时间、交易背景，以及材质、工艺、完整性、存世量、知名度、名人使用或拥有等历史、艺术及科学价值等方面的差异，并考虑该差异因素对文物资源资产价值的影响。</w:t>
      </w:r>
    </w:p>
    <w:p w14:paraId="6BF376CC" w14:textId="335E0321"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第二十五条</w:t>
      </w:r>
      <w:r w:rsidR="00A45A13">
        <w:rPr>
          <w:rFonts w:ascii="宋体" w:hAnsi="宋体" w:cs="宋体" w:hint="eastAsia"/>
          <w:b/>
          <w:bCs/>
          <w:kern w:val="2"/>
          <w:szCs w:val="24"/>
        </w:rPr>
        <w:t xml:space="preserve"> </w:t>
      </w:r>
      <w:r>
        <w:rPr>
          <w:rFonts w:ascii="宋体" w:hAnsi="宋体" w:cs="宋体" w:hint="eastAsia"/>
          <w:kern w:val="2"/>
          <w:szCs w:val="24"/>
        </w:rPr>
        <w:t>采用收益法评估文物资源资产，应当：</w:t>
      </w:r>
    </w:p>
    <w:p w14:paraId="762162F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（一）知晓文物资源资产较少采用收益法进行评估，通常只适用于不可移动文</w:t>
      </w:r>
      <w:r>
        <w:rPr>
          <w:rFonts w:ascii="宋体" w:hAnsi="宋体" w:cs="宋体" w:hint="eastAsia"/>
          <w:kern w:val="2"/>
          <w:szCs w:val="24"/>
        </w:rPr>
        <w:lastRenderedPageBreak/>
        <w:t>物展览、文物租赁等能够产生未来收益的经营活动中，具有独立获利能力或者获利能力可以合理量化的文物资源资产的评估业务；</w:t>
      </w:r>
    </w:p>
    <w:p w14:paraId="79DED5D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合理预测未来收益及收益期限，未来收益中通常应只包含评估对象本身的收益，若包含评估对象本身以外的著作权、商标权及衍生产品带来的收益，应在评估报告中予以明确并披露；收益期限根据未来获利情况、存续状态、损耗情况等确定；</w:t>
      </w:r>
    </w:p>
    <w:p w14:paraId="74BE0B17"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（三）综合考虑与评估对象相关的法律风险、市场风险、经营风险等，合理确定折现率，并与收益口径保持一致；</w:t>
      </w:r>
    </w:p>
    <w:p w14:paraId="39BC72E8"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（四）分析租约等法律文件内容对评估对象价值可能产生的影响。</w:t>
      </w:r>
    </w:p>
    <w:p w14:paraId="0D910A5F" w14:textId="42EF2B82"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第二十六条</w:t>
      </w:r>
      <w:r w:rsidR="00A45A13">
        <w:rPr>
          <w:rFonts w:ascii="宋体" w:hAnsi="宋体" w:cs="宋体" w:hint="eastAsia"/>
          <w:b/>
          <w:bCs/>
          <w:kern w:val="2"/>
          <w:szCs w:val="24"/>
        </w:rPr>
        <w:t xml:space="preserve"> </w:t>
      </w:r>
      <w:r>
        <w:rPr>
          <w:rFonts w:ascii="宋体" w:hAnsi="宋体" w:cs="宋体" w:hint="eastAsia"/>
          <w:kern w:val="2"/>
          <w:szCs w:val="24"/>
        </w:rPr>
        <w:t>采用成本法评估文物资源资产，应当：</w:t>
      </w:r>
    </w:p>
    <w:p w14:paraId="10479B0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（一）知晓文物资源资产通常难以采用成本法进行评估，通常仅适用于以接受有偿捐赠征集为目的的非市场价值评估、历史年代较近的文物、文物修复成本评估等；</w:t>
      </w:r>
    </w:p>
    <w:p w14:paraId="261438E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（二）分析评估对象是否可以复制等因素，考虑成本法的适用性；</w:t>
      </w:r>
    </w:p>
    <w:p w14:paraId="70D9024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（三）合理确定重置成本的构成要素，明确文物资源资产的重置成本包括材料成本、制作成本、保管成本、资金成本、相关税费、合理利润及其他费用；</w:t>
      </w:r>
    </w:p>
    <w:p w14:paraId="5039A613"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（四）恰当选择重置成本的类型，即复原重置成本和更新重置成本；</w:t>
      </w:r>
    </w:p>
    <w:p w14:paraId="4EA514F9"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（五）合理确定实体性贬值、功能性贬值和经济性贬值。</w:t>
      </w:r>
    </w:p>
    <w:p w14:paraId="2E2267C7" w14:textId="7F8C102A" w:rsidR="00A320E6" w:rsidRDefault="00EC0B72" w:rsidP="00AE0286">
      <w:pPr>
        <w:pStyle w:val="a9"/>
        <w:spacing w:beforeAutospacing="0" w:afterAutospacing="0" w:line="360" w:lineRule="auto"/>
        <w:ind w:firstLineChars="200" w:firstLine="482"/>
        <w:jc w:val="both"/>
        <w:rPr>
          <w:rFonts w:ascii="宋体" w:hAnsi="宋体" w:cs="宋体"/>
          <w:szCs w:val="24"/>
        </w:rPr>
      </w:pPr>
      <w:r w:rsidRPr="00EC0B72">
        <w:rPr>
          <w:rFonts w:ascii="宋体" w:hAnsi="宋体" w:cs="宋体" w:hint="eastAsia"/>
          <w:b/>
          <w:bCs/>
          <w:kern w:val="2"/>
          <w:szCs w:val="24"/>
        </w:rPr>
        <w:t>第二十七条</w:t>
      </w:r>
      <w:r w:rsidR="00A45A13">
        <w:rPr>
          <w:rFonts w:ascii="宋体" w:hAnsi="宋体" w:cs="宋体" w:hint="eastAsia"/>
          <w:b/>
          <w:bCs/>
          <w:kern w:val="2"/>
          <w:szCs w:val="24"/>
        </w:rPr>
        <w:t xml:space="preserve"> </w:t>
      </w:r>
      <w:r>
        <w:rPr>
          <w:rFonts w:ascii="宋体" w:hAnsi="宋体" w:cs="宋体" w:hint="eastAsia"/>
          <w:kern w:val="2"/>
          <w:szCs w:val="24"/>
        </w:rPr>
        <w:t>由于文物资源资产的特殊性，同一文物资源资产通常难以采用多种方法进行评估。若涉及采用多种评估方法时，应当对所获得的各种测算结果进行分析，合理形成评估结论。</w:t>
      </w:r>
    </w:p>
    <w:p w14:paraId="78F41688" w14:textId="36109E79" w:rsidR="00A320E6" w:rsidRDefault="00000000" w:rsidP="00EC761E">
      <w:pPr>
        <w:pStyle w:val="13"/>
        <w:spacing w:before="62" w:after="62"/>
      </w:pPr>
      <w:r>
        <w:rPr>
          <w:rFonts w:hint="eastAsia"/>
        </w:rPr>
        <w:t>第六章</w:t>
      </w:r>
      <w:r w:rsidR="00EC761E">
        <w:rPr>
          <w:rFonts w:hint="eastAsia"/>
        </w:rPr>
        <w:t xml:space="preserve"> </w:t>
      </w:r>
      <w:r>
        <w:rPr>
          <w:rFonts w:hint="eastAsia"/>
        </w:rPr>
        <w:t>披露要求</w:t>
      </w:r>
    </w:p>
    <w:p w14:paraId="4711460F" w14:textId="4E2D1497"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第二十八条</w:t>
      </w:r>
      <w:r w:rsidR="00A45A13">
        <w:rPr>
          <w:rFonts w:ascii="宋体" w:hAnsi="宋体" w:cs="宋体" w:hint="eastAsia"/>
          <w:b/>
          <w:bCs/>
          <w:kern w:val="2"/>
          <w:szCs w:val="24"/>
        </w:rPr>
        <w:t xml:space="preserve"> </w:t>
      </w:r>
      <w:r>
        <w:rPr>
          <w:rFonts w:ascii="宋体" w:hAnsi="宋体" w:cs="宋体" w:hint="eastAsia"/>
          <w:kern w:val="2"/>
          <w:szCs w:val="24"/>
        </w:rPr>
        <w:t>执行文物资源资产评估业务，应当在资产评估报告中披露必要信息，使资产评估报告使用人能够正确理解评估结论。</w:t>
      </w:r>
    </w:p>
    <w:p w14:paraId="7CB98197" w14:textId="20908283" w:rsidR="00A320E6" w:rsidRDefault="00EC0B72" w:rsidP="00AE0286">
      <w:pPr>
        <w:pStyle w:val="a9"/>
        <w:spacing w:beforeAutospacing="0" w:afterAutospacing="0" w:line="360" w:lineRule="auto"/>
        <w:ind w:firstLineChars="200" w:firstLine="482"/>
        <w:jc w:val="both"/>
        <w:rPr>
          <w:rFonts w:ascii="宋体" w:hAnsi="宋体" w:cs="宋体"/>
          <w:kern w:val="2"/>
          <w:szCs w:val="24"/>
        </w:rPr>
      </w:pPr>
      <w:r w:rsidRPr="00EC0B72">
        <w:rPr>
          <w:rFonts w:ascii="宋体" w:hAnsi="宋体" w:cs="宋体" w:hint="eastAsia"/>
          <w:b/>
          <w:bCs/>
          <w:kern w:val="2"/>
          <w:szCs w:val="24"/>
        </w:rPr>
        <w:t>第二十九条</w:t>
      </w:r>
      <w:r w:rsidR="00A45A13">
        <w:rPr>
          <w:rFonts w:ascii="宋体" w:hAnsi="宋体" w:cs="宋体" w:hint="eastAsia"/>
          <w:b/>
          <w:bCs/>
          <w:kern w:val="2"/>
          <w:szCs w:val="24"/>
        </w:rPr>
        <w:t xml:space="preserve"> </w:t>
      </w:r>
      <w:r>
        <w:rPr>
          <w:rFonts w:ascii="宋体" w:hAnsi="宋体" w:cs="宋体" w:hint="eastAsia"/>
          <w:kern w:val="2"/>
          <w:szCs w:val="24"/>
        </w:rPr>
        <w:t>文物资源资产评估报告应当根据评估对象的特点和评估业务的具体情况，重点反映文物资源资产特点，至少披露以下内容：</w:t>
      </w:r>
    </w:p>
    <w:p w14:paraId="73AD7D61"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一）对评估对象的恰当描述，包括文物资源资产的鉴定情况、实物特征、完整程度及权属情况等，其中鉴定情况主要是确认文物资源资产的真伪、年代、等级和历史、文化、科学价值等。权属情况主要是评估对象的取得、权属及财产权益情</w:t>
      </w:r>
      <w:r>
        <w:rPr>
          <w:rFonts w:ascii="宋体" w:hAnsi="宋体" w:cs="宋体" w:hint="eastAsia"/>
          <w:kern w:val="2"/>
          <w:szCs w:val="24"/>
        </w:rPr>
        <w:lastRenderedPageBreak/>
        <w:t>况（是否包含了文物对应的著作权、商标权及其衍生产品的相关权益）等。应当根据评估对象的特点和评估业务的具体情况，确定需要描述的内容，并突出描述影响价值结论的关键性特征；</w:t>
      </w:r>
    </w:p>
    <w:p w14:paraId="61AFF86F"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（二）文物资源资产评估的价值类型及其定义；</w:t>
      </w:r>
    </w:p>
    <w:p w14:paraId="36DAA074"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（三）评估程序实施过程描述，应当反映对文物资源资产的现场调查、市场调查、鉴定分级、评定估算等过程；</w:t>
      </w:r>
    </w:p>
    <w:p w14:paraId="7C4A4BB8"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（四）文物资源资产抵质押及其他限制情况；</w:t>
      </w:r>
    </w:p>
    <w:p w14:paraId="4947B9EB" w14:textId="77777777" w:rsidR="00A320E6" w:rsidRDefault="00000000" w:rsidP="00AE0286">
      <w:pPr>
        <w:pStyle w:val="a9"/>
        <w:spacing w:beforeAutospacing="0" w:afterAutospacing="0" w:line="360" w:lineRule="auto"/>
        <w:ind w:firstLineChars="200" w:firstLine="480"/>
        <w:jc w:val="both"/>
        <w:rPr>
          <w:rFonts w:ascii="宋体" w:hAnsi="宋体" w:cs="宋体"/>
          <w:kern w:val="2"/>
          <w:szCs w:val="24"/>
        </w:rPr>
      </w:pPr>
      <w:r>
        <w:rPr>
          <w:rFonts w:ascii="宋体" w:hAnsi="宋体" w:cs="宋体" w:hint="eastAsia"/>
          <w:kern w:val="2"/>
          <w:szCs w:val="24"/>
        </w:rPr>
        <w:t>（五）文物资源资产评估的假设前提、限制条件和资产结论及分析；</w:t>
      </w:r>
    </w:p>
    <w:p w14:paraId="5FB451BF" w14:textId="77777777" w:rsidR="00A320E6" w:rsidRDefault="00000000" w:rsidP="00AE0286">
      <w:pPr>
        <w:pStyle w:val="a9"/>
        <w:spacing w:beforeAutospacing="0" w:afterAutospacing="0" w:line="360" w:lineRule="auto"/>
        <w:ind w:firstLineChars="200" w:firstLine="480"/>
        <w:jc w:val="both"/>
        <w:rPr>
          <w:rFonts w:ascii="宋体" w:hAnsi="宋体" w:cs="宋体"/>
          <w:szCs w:val="24"/>
        </w:rPr>
      </w:pPr>
      <w:r>
        <w:rPr>
          <w:rFonts w:ascii="宋体" w:hAnsi="宋体" w:cs="宋体" w:hint="eastAsia"/>
          <w:kern w:val="2"/>
          <w:szCs w:val="24"/>
        </w:rPr>
        <w:t>（六）其他对文物资源资产评估报告使用具有重要影响的信息。</w:t>
      </w:r>
    </w:p>
    <w:p w14:paraId="23B10360" w14:textId="703B0C2D" w:rsidR="00A320E6" w:rsidRDefault="00000000" w:rsidP="00EC761E">
      <w:pPr>
        <w:pStyle w:val="13"/>
        <w:spacing w:before="62" w:after="62"/>
      </w:pPr>
      <w:r>
        <w:rPr>
          <w:rFonts w:hint="eastAsia"/>
        </w:rPr>
        <w:t>第七章</w:t>
      </w:r>
      <w:r w:rsidR="00EC761E">
        <w:rPr>
          <w:rFonts w:hint="eastAsia"/>
        </w:rPr>
        <w:t xml:space="preserve"> </w:t>
      </w:r>
      <w:r>
        <w:rPr>
          <w:rFonts w:hint="eastAsia"/>
        </w:rPr>
        <w:t>附则</w:t>
      </w:r>
    </w:p>
    <w:p w14:paraId="58DB3E6F" w14:textId="3C2D86B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sz w:val="24"/>
          <w:szCs w:val="24"/>
        </w:rPr>
        <w:t>第三十条</w:t>
      </w:r>
      <w:r w:rsidR="00A45A13">
        <w:rPr>
          <w:rFonts w:ascii="宋体" w:hAnsi="宋体" w:cs="宋体" w:hint="eastAsia"/>
          <w:b/>
          <w:bCs/>
          <w:sz w:val="24"/>
          <w:szCs w:val="24"/>
        </w:rPr>
        <w:t xml:space="preserve"> </w:t>
      </w:r>
      <w:r>
        <w:rPr>
          <w:rFonts w:ascii="宋体" w:hAnsi="宋体" w:cs="宋体" w:hint="eastAsia"/>
          <w:sz w:val="24"/>
          <w:szCs w:val="24"/>
        </w:rPr>
        <w:t>本指导意见自年月日起施行。</w:t>
      </w:r>
    </w:p>
    <w:p w14:paraId="6DF709E1" w14:textId="77777777" w:rsidR="00A320E6" w:rsidRDefault="00000000" w:rsidP="00B40F35">
      <w:pPr>
        <w:spacing w:beforeLines="50" w:before="156" w:afterLines="20" w:after="62" w:line="360" w:lineRule="auto"/>
        <w:jc w:val="center"/>
        <w:outlineLvl w:val="2"/>
        <w:rPr>
          <w:rFonts w:ascii="宋体" w:hAnsi="宋体" w:cs="宋体"/>
          <w:b/>
          <w:bCs/>
          <w:color w:val="000000"/>
          <w:kern w:val="0"/>
          <w:sz w:val="24"/>
          <w:szCs w:val="24"/>
        </w:rPr>
      </w:pPr>
      <w:bookmarkStart w:id="41" w:name="_Toc9943"/>
      <w:bookmarkStart w:id="42" w:name="_Toc31002"/>
      <w:bookmarkStart w:id="43" w:name="_Toc2567"/>
      <w:bookmarkStart w:id="44" w:name="_Toc105410848"/>
      <w:bookmarkStart w:id="45" w:name="_Toc112227359"/>
      <w:r>
        <w:rPr>
          <w:rFonts w:ascii="宋体" w:hAnsi="宋体" w:cs="宋体" w:hint="eastAsia"/>
          <w:b/>
          <w:bCs/>
          <w:sz w:val="24"/>
          <w:szCs w:val="24"/>
        </w:rPr>
        <w:t>数据资产评估</w:t>
      </w:r>
      <w:r w:rsidRPr="00B40F35">
        <w:rPr>
          <w:rFonts w:ascii="宋体" w:hAnsi="宋体" w:cs="宋体" w:hint="eastAsia"/>
          <w:b/>
          <w:bCs/>
          <w:color w:val="000000"/>
          <w:kern w:val="0"/>
          <w:sz w:val="24"/>
          <w:szCs w:val="24"/>
          <w:lang w:bidi="ar"/>
        </w:rPr>
        <w:t>指导</w:t>
      </w:r>
      <w:r>
        <w:rPr>
          <w:rFonts w:ascii="宋体" w:hAnsi="宋体" w:cs="宋体" w:hint="eastAsia"/>
          <w:b/>
          <w:bCs/>
          <w:sz w:val="24"/>
          <w:szCs w:val="24"/>
        </w:rPr>
        <w:t>意见</w:t>
      </w:r>
      <w:bookmarkEnd w:id="41"/>
      <w:bookmarkEnd w:id="42"/>
      <w:bookmarkEnd w:id="43"/>
      <w:bookmarkEnd w:id="44"/>
      <w:r>
        <w:rPr>
          <w:rFonts w:ascii="宋体" w:hAnsi="宋体" w:cs="宋体" w:hint="eastAsia"/>
          <w:b/>
          <w:bCs/>
          <w:sz w:val="24"/>
          <w:szCs w:val="24"/>
        </w:rPr>
        <w:t>（征求意见稿）</w:t>
      </w:r>
      <w:bookmarkEnd w:id="45"/>
    </w:p>
    <w:p w14:paraId="3942E99C" w14:textId="50EA2A40" w:rsidR="00A320E6" w:rsidRDefault="00000000" w:rsidP="00EC761E">
      <w:pPr>
        <w:pStyle w:val="13"/>
        <w:spacing w:before="62" w:after="62"/>
      </w:pPr>
      <w:r>
        <w:rPr>
          <w:rFonts w:hint="eastAsia"/>
        </w:rPr>
        <w:t>第一章</w:t>
      </w:r>
      <w:r w:rsidR="00EC761E">
        <w:rPr>
          <w:rFonts w:hint="eastAsia"/>
        </w:rPr>
        <w:t xml:space="preserve"> </w:t>
      </w:r>
      <w:r>
        <w:rPr>
          <w:rFonts w:hint="eastAsia"/>
        </w:rPr>
        <w:t>总则</w:t>
      </w:r>
    </w:p>
    <w:p w14:paraId="5708DCAA" w14:textId="420A4FC0" w:rsidR="00A320E6" w:rsidRDefault="00A45A13" w:rsidP="00AE0286">
      <w:pPr>
        <w:pStyle w:val="15"/>
        <w:numPr>
          <w:ilvl w:val="255"/>
          <w:numId w:val="0"/>
        </w:numPr>
        <w:snapToGrid w:val="0"/>
        <w:spacing w:line="360" w:lineRule="auto"/>
        <w:ind w:firstLineChars="200" w:firstLine="482"/>
        <w:rPr>
          <w:rFonts w:ascii="宋体" w:hAnsi="宋体" w:cs="宋体"/>
          <w:bCs/>
          <w:sz w:val="24"/>
          <w:szCs w:val="24"/>
        </w:rPr>
      </w:pPr>
      <w:r w:rsidRPr="00A45A13">
        <w:rPr>
          <w:rFonts w:ascii="宋体" w:hAnsi="宋体" w:cs="宋体" w:hint="eastAsia"/>
          <w:b/>
          <w:sz w:val="24"/>
          <w:szCs w:val="24"/>
        </w:rPr>
        <w:t>第一条</w:t>
      </w:r>
      <w:r w:rsidR="00C36EF7">
        <w:rPr>
          <w:rFonts w:ascii="宋体" w:hAnsi="宋体" w:cs="宋体" w:hint="eastAsia"/>
          <w:b/>
          <w:sz w:val="24"/>
          <w:szCs w:val="24"/>
        </w:rPr>
        <w:t xml:space="preserve"> </w:t>
      </w:r>
      <w:r>
        <w:rPr>
          <w:rFonts w:ascii="宋体" w:hAnsi="宋体" w:cs="宋体" w:hint="eastAsia"/>
          <w:bCs/>
          <w:sz w:val="24"/>
          <w:szCs w:val="24"/>
        </w:rPr>
        <w:t>【制定背景】为规范数据资产评估行为，保护资产评估当事人合法权益和公共利益，根据《资产评估基本准则》制定本指导意见。</w:t>
      </w:r>
    </w:p>
    <w:p w14:paraId="0A063B2E" w14:textId="06873376" w:rsidR="00A320E6" w:rsidRDefault="00A45A13" w:rsidP="00AE0286">
      <w:pPr>
        <w:pStyle w:val="15"/>
        <w:numPr>
          <w:ilvl w:val="255"/>
          <w:numId w:val="0"/>
        </w:numPr>
        <w:snapToGrid w:val="0"/>
        <w:spacing w:line="360" w:lineRule="auto"/>
        <w:ind w:firstLineChars="200" w:firstLine="482"/>
        <w:rPr>
          <w:rFonts w:ascii="宋体" w:hAnsi="宋体" w:cs="宋体"/>
          <w:bCs/>
          <w:sz w:val="24"/>
          <w:szCs w:val="24"/>
        </w:rPr>
      </w:pPr>
      <w:r w:rsidRPr="00A45A13">
        <w:rPr>
          <w:rFonts w:ascii="宋体" w:hAnsi="宋体" w:cs="宋体" w:hint="eastAsia"/>
          <w:b/>
          <w:sz w:val="24"/>
          <w:szCs w:val="24"/>
        </w:rPr>
        <w:t>第二条</w:t>
      </w:r>
      <w:r w:rsidR="00C36EF7">
        <w:rPr>
          <w:rFonts w:ascii="宋体" w:hAnsi="宋体" w:cs="宋体" w:hint="eastAsia"/>
          <w:b/>
          <w:sz w:val="24"/>
          <w:szCs w:val="24"/>
        </w:rPr>
        <w:t xml:space="preserve"> </w:t>
      </w:r>
      <w:r>
        <w:rPr>
          <w:rFonts w:ascii="宋体" w:hAnsi="宋体" w:cs="宋体" w:hint="eastAsia"/>
          <w:bCs/>
          <w:sz w:val="24"/>
          <w:szCs w:val="24"/>
        </w:rPr>
        <w:t>【基本概念】本指导意见所称数据资产，是指特定主体合法拥有或者控制的、能进行货币计量的、且能带来直接或者间接经济利益的数据资源。</w:t>
      </w:r>
    </w:p>
    <w:p w14:paraId="2C1909E3" w14:textId="339A2134" w:rsidR="00A320E6" w:rsidRDefault="00A45A13" w:rsidP="00AE0286">
      <w:pPr>
        <w:pStyle w:val="15"/>
        <w:numPr>
          <w:ilvl w:val="255"/>
          <w:numId w:val="0"/>
        </w:numPr>
        <w:snapToGrid w:val="0"/>
        <w:spacing w:line="360" w:lineRule="auto"/>
        <w:ind w:firstLineChars="200" w:firstLine="482"/>
        <w:rPr>
          <w:rFonts w:ascii="宋体" w:hAnsi="宋体" w:cs="宋体"/>
          <w:bCs/>
          <w:sz w:val="24"/>
          <w:szCs w:val="24"/>
        </w:rPr>
      </w:pPr>
      <w:r w:rsidRPr="00A45A13">
        <w:rPr>
          <w:rFonts w:ascii="宋体" w:hAnsi="宋体" w:cs="宋体" w:hint="eastAsia"/>
          <w:b/>
          <w:sz w:val="24"/>
          <w:szCs w:val="24"/>
        </w:rPr>
        <w:t>第三条</w:t>
      </w:r>
      <w:r w:rsidR="00C36EF7">
        <w:rPr>
          <w:rFonts w:ascii="宋体" w:hAnsi="宋体" w:cs="宋体" w:hint="eastAsia"/>
          <w:b/>
          <w:sz w:val="24"/>
          <w:szCs w:val="24"/>
        </w:rPr>
        <w:t xml:space="preserve"> </w:t>
      </w:r>
      <w:r>
        <w:rPr>
          <w:rFonts w:ascii="宋体" w:hAnsi="宋体" w:cs="宋体" w:hint="eastAsia"/>
          <w:bCs/>
          <w:sz w:val="24"/>
          <w:szCs w:val="24"/>
        </w:rPr>
        <w:t>【数据资产评估】本指导意见所称数据资产评估，是指资产评估机构及其资产评估专业人员遵守法律、行政法规和资产评估准则，根据委托对评估基准日特定目的下的数据资产价值进行评定和估算，并出具资产评估报告的专业服务行为。</w:t>
      </w:r>
    </w:p>
    <w:p w14:paraId="579D0974" w14:textId="239C30A9" w:rsidR="00A320E6" w:rsidRDefault="00A45A13" w:rsidP="00AE0286">
      <w:pPr>
        <w:pStyle w:val="15"/>
        <w:numPr>
          <w:ilvl w:val="255"/>
          <w:numId w:val="0"/>
        </w:numPr>
        <w:snapToGrid w:val="0"/>
        <w:spacing w:line="360" w:lineRule="auto"/>
        <w:ind w:firstLineChars="200" w:firstLine="482"/>
        <w:rPr>
          <w:rFonts w:ascii="宋体" w:hAnsi="宋体" w:cs="宋体"/>
          <w:bCs/>
          <w:sz w:val="24"/>
          <w:szCs w:val="24"/>
        </w:rPr>
      </w:pPr>
      <w:r w:rsidRPr="00A45A13">
        <w:rPr>
          <w:rFonts w:ascii="宋体" w:hAnsi="宋体" w:cs="宋体" w:hint="eastAsia"/>
          <w:b/>
          <w:sz w:val="24"/>
          <w:szCs w:val="24"/>
        </w:rPr>
        <w:t>第四条</w:t>
      </w:r>
      <w:r>
        <w:rPr>
          <w:rFonts w:ascii="宋体" w:hAnsi="宋体" w:cs="宋体" w:hint="eastAsia"/>
          <w:b/>
          <w:sz w:val="24"/>
          <w:szCs w:val="24"/>
        </w:rPr>
        <w:t xml:space="preserve"> </w:t>
      </w:r>
      <w:r>
        <w:rPr>
          <w:rFonts w:ascii="宋体" w:hAnsi="宋体" w:cs="宋体" w:hint="eastAsia"/>
          <w:bCs/>
          <w:sz w:val="24"/>
          <w:szCs w:val="24"/>
        </w:rPr>
        <w:t>【指导意见效用】执行数据资产评估业务，应当遵守本指导意见。</w:t>
      </w:r>
    </w:p>
    <w:p w14:paraId="3E8085A0" w14:textId="77B39ADC" w:rsidR="00A320E6" w:rsidRDefault="00000000" w:rsidP="00EC761E">
      <w:pPr>
        <w:pStyle w:val="13"/>
        <w:spacing w:before="62" w:after="62"/>
      </w:pPr>
      <w:r>
        <w:rPr>
          <w:rFonts w:hint="eastAsia"/>
        </w:rPr>
        <w:t>第二章</w:t>
      </w:r>
      <w:r w:rsidR="00EC761E">
        <w:rPr>
          <w:rFonts w:hint="eastAsia"/>
        </w:rPr>
        <w:t xml:space="preserve"> </w:t>
      </w:r>
      <w:r>
        <w:rPr>
          <w:rFonts w:hint="eastAsia"/>
        </w:rPr>
        <w:t>基本遵循</w:t>
      </w:r>
    </w:p>
    <w:p w14:paraId="639326D6" w14:textId="644842C9"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第五条</w:t>
      </w:r>
      <w:r w:rsidR="00A45A13">
        <w:rPr>
          <w:rFonts w:ascii="宋体" w:hAnsi="宋体" w:cs="宋体" w:hint="eastAsia"/>
          <w:b/>
          <w:sz w:val="24"/>
          <w:szCs w:val="24"/>
        </w:rPr>
        <w:t xml:space="preserve"> </w:t>
      </w:r>
      <w:r>
        <w:rPr>
          <w:rFonts w:ascii="宋体" w:hAnsi="宋体" w:cs="宋体" w:hint="eastAsia"/>
          <w:bCs/>
          <w:sz w:val="24"/>
          <w:szCs w:val="24"/>
        </w:rPr>
        <w:t>【执业操守】资产评估机构及其资产评估专业人员开展数据资产评估业务，应当遵守法律、行政法规的规定，坚持独立、客观、公正的原则，诚实守信，勤勉尽责，谨慎从业，遵守职业道德规范，自觉维护职业形象，不得从事损害职业形象的活动。</w:t>
      </w:r>
    </w:p>
    <w:p w14:paraId="1F45C62C" w14:textId="7E20A825"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第六条</w:t>
      </w:r>
      <w:r w:rsidR="00A45A13">
        <w:rPr>
          <w:rFonts w:ascii="宋体" w:hAnsi="宋体" w:cs="宋体" w:hint="eastAsia"/>
          <w:b/>
          <w:sz w:val="24"/>
          <w:szCs w:val="24"/>
        </w:rPr>
        <w:t xml:space="preserve"> </w:t>
      </w:r>
      <w:r>
        <w:rPr>
          <w:rFonts w:ascii="宋体" w:hAnsi="宋体" w:cs="宋体" w:hint="eastAsia"/>
          <w:bCs/>
          <w:sz w:val="24"/>
          <w:szCs w:val="24"/>
        </w:rPr>
        <w:t>【独立性】资产评估机构及其资产评估专业人员开展数据资产评估业务，应当独立进行分析和估算并形成专业意见，拒绝委托人或者其他相关当事人的干预，不得直接以预先设定的价值作为评估结论。</w:t>
      </w:r>
    </w:p>
    <w:p w14:paraId="52D04513" w14:textId="26CC32FA"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lastRenderedPageBreak/>
        <w:t>第七条</w:t>
      </w:r>
      <w:r w:rsidR="00A45A13">
        <w:rPr>
          <w:rFonts w:ascii="宋体" w:hAnsi="宋体" w:cs="宋体" w:hint="eastAsia"/>
          <w:b/>
          <w:sz w:val="24"/>
          <w:szCs w:val="24"/>
        </w:rPr>
        <w:t xml:space="preserve"> </w:t>
      </w:r>
      <w:r>
        <w:rPr>
          <w:rFonts w:ascii="宋体" w:hAnsi="宋体" w:cs="宋体" w:hint="eastAsia"/>
          <w:bCs/>
          <w:sz w:val="24"/>
          <w:szCs w:val="24"/>
        </w:rPr>
        <w:t>【胜任能力及弥补措施】执行数据资产评估业务，应当具备数据资产评估的专业知识和实践经验，能够胜任所执行的数据资产评估业务。</w:t>
      </w:r>
    </w:p>
    <w:p w14:paraId="1AF6C17F"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执行某项特定业务缺乏特定的数据资产评估专业知识和经验时，应当采取弥补措施，包括利用数据领域专家工作成果，或者参考其他专业机构的数据领域专业报告等。</w:t>
      </w:r>
    </w:p>
    <w:p w14:paraId="0769E594" w14:textId="1C076A6D"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第八条</w:t>
      </w:r>
      <w:r w:rsidR="00A45A13">
        <w:rPr>
          <w:rFonts w:ascii="宋体" w:hAnsi="宋体" w:cs="宋体" w:hint="eastAsia"/>
          <w:b/>
          <w:sz w:val="24"/>
          <w:szCs w:val="24"/>
        </w:rPr>
        <w:t xml:space="preserve"> </w:t>
      </w:r>
      <w:r>
        <w:rPr>
          <w:rFonts w:ascii="宋体" w:hAnsi="宋体" w:cs="宋体" w:hint="eastAsia"/>
          <w:bCs/>
          <w:sz w:val="24"/>
          <w:szCs w:val="24"/>
        </w:rPr>
        <w:t>【保密要求】执行数据资产评估业务，资产评估专业人员应当关注数据资产的安全性和合法性，并遵守保密原则。</w:t>
      </w:r>
    </w:p>
    <w:p w14:paraId="04991A56" w14:textId="0DE35EA2"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第九条</w:t>
      </w:r>
      <w:r w:rsidR="00A45A13">
        <w:rPr>
          <w:rFonts w:ascii="宋体" w:hAnsi="宋体" w:cs="宋体" w:hint="eastAsia"/>
          <w:b/>
          <w:sz w:val="24"/>
          <w:szCs w:val="24"/>
        </w:rPr>
        <w:t xml:space="preserve"> </w:t>
      </w:r>
      <w:r>
        <w:rPr>
          <w:rFonts w:ascii="宋体" w:hAnsi="宋体" w:cs="宋体" w:hint="eastAsia"/>
          <w:bCs/>
          <w:sz w:val="24"/>
          <w:szCs w:val="24"/>
        </w:rPr>
        <w:t>【价值区分】执行企业价值评估中的数据资产评估业务，应当了解在对持续经营前提下的企业价值进行评估时，数据资产作为企业资产组成部分的价值可能有别于作为单项资产的价值，其价值取决于它对企业价值的贡献程度。</w:t>
      </w:r>
    </w:p>
    <w:p w14:paraId="0094183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数据资产与其他资产共同发挥作用时，需要采用适当方法区分数据资产和其他资产的贡献，合理评估数据资产价值。</w:t>
      </w:r>
    </w:p>
    <w:p w14:paraId="4C7251BF" w14:textId="66795634"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第十条</w:t>
      </w:r>
      <w:r w:rsidR="00A45A13">
        <w:rPr>
          <w:rFonts w:ascii="宋体" w:hAnsi="宋体" w:cs="宋体" w:hint="eastAsia"/>
          <w:b/>
          <w:sz w:val="24"/>
          <w:szCs w:val="24"/>
        </w:rPr>
        <w:t xml:space="preserve"> </w:t>
      </w:r>
      <w:r>
        <w:rPr>
          <w:rFonts w:ascii="宋体" w:hAnsi="宋体" w:cs="宋体" w:hint="eastAsia"/>
          <w:bCs/>
          <w:sz w:val="24"/>
          <w:szCs w:val="24"/>
        </w:rPr>
        <w:t>【现场调查】执行数据资产评估业务，应当根据评估业务具体情况和数据资产的特性，对评估对象进行针对性的现场调查，收集权属资料、数据资产信息要素、财务会计信息和其他资料并进行核查验证、分析整理和记录。</w:t>
      </w:r>
    </w:p>
    <w:p w14:paraId="58B6DCB6" w14:textId="31C11D18"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第十一条</w:t>
      </w:r>
      <w:r w:rsidR="00C36EF7">
        <w:rPr>
          <w:rFonts w:ascii="宋体" w:hAnsi="宋体" w:cs="宋体" w:hint="eastAsia"/>
          <w:b/>
          <w:sz w:val="24"/>
          <w:szCs w:val="24"/>
        </w:rPr>
        <w:t xml:space="preserve"> </w:t>
      </w:r>
      <w:r>
        <w:rPr>
          <w:rFonts w:ascii="宋体" w:hAnsi="宋体" w:cs="宋体" w:hint="eastAsia"/>
          <w:bCs/>
          <w:sz w:val="24"/>
          <w:szCs w:val="24"/>
        </w:rPr>
        <w:t>【合理假设】执行数据资产评估业务，应当合理使用评估假设和限制条件。</w:t>
      </w:r>
    </w:p>
    <w:p w14:paraId="7A3E0CA1" w14:textId="74CBBBB4" w:rsidR="00A320E6" w:rsidRDefault="00000000" w:rsidP="00EC761E">
      <w:pPr>
        <w:pStyle w:val="13"/>
        <w:spacing w:before="62" w:after="62"/>
      </w:pPr>
      <w:r>
        <w:rPr>
          <w:rFonts w:hint="eastAsia"/>
        </w:rPr>
        <w:t>第三章</w:t>
      </w:r>
      <w:r w:rsidR="00EC761E">
        <w:rPr>
          <w:rFonts w:hint="eastAsia"/>
        </w:rPr>
        <w:t xml:space="preserve"> </w:t>
      </w:r>
      <w:r>
        <w:rPr>
          <w:rFonts w:hint="eastAsia"/>
        </w:rPr>
        <w:t>评估对象及操作要求</w:t>
      </w:r>
    </w:p>
    <w:p w14:paraId="39776683" w14:textId="0DB9736C" w:rsidR="00A320E6" w:rsidRDefault="00977BD5" w:rsidP="00AE0286">
      <w:pPr>
        <w:pStyle w:val="15"/>
        <w:numPr>
          <w:ilvl w:val="255"/>
          <w:numId w:val="0"/>
        </w:numPr>
        <w:snapToGrid w:val="0"/>
        <w:spacing w:line="360" w:lineRule="auto"/>
        <w:ind w:firstLineChars="200" w:firstLine="482"/>
        <w:rPr>
          <w:rFonts w:ascii="宋体" w:hAnsi="宋体" w:cs="宋体"/>
          <w:bCs/>
          <w:sz w:val="24"/>
          <w:szCs w:val="24"/>
        </w:rPr>
      </w:pPr>
      <w:r w:rsidRPr="00977BD5">
        <w:rPr>
          <w:rFonts w:ascii="宋体" w:hAnsi="宋体" w:cs="宋体" w:hint="eastAsia"/>
          <w:b/>
          <w:sz w:val="24"/>
          <w:szCs w:val="24"/>
        </w:rPr>
        <w:t>第十二条</w:t>
      </w:r>
      <w:r w:rsidR="00C36EF7">
        <w:rPr>
          <w:rFonts w:ascii="宋体" w:hAnsi="宋体" w:cs="宋体" w:hint="eastAsia"/>
          <w:b/>
          <w:sz w:val="24"/>
          <w:szCs w:val="24"/>
        </w:rPr>
        <w:t xml:space="preserve"> </w:t>
      </w:r>
      <w:r>
        <w:rPr>
          <w:rFonts w:ascii="宋体" w:hAnsi="宋体" w:cs="宋体" w:hint="eastAsia"/>
          <w:bCs/>
          <w:sz w:val="24"/>
          <w:szCs w:val="24"/>
        </w:rPr>
        <w:t>【明确事项】执行数据资产评估业务，应当明确评估对象、评估目的、评估基准日、评估范围、应用场景、价值类型和资产评估报告使用人。</w:t>
      </w:r>
    </w:p>
    <w:p w14:paraId="34A48A54" w14:textId="37231ACB"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第十三条</w:t>
      </w:r>
      <w:r w:rsidR="00C36EF7">
        <w:rPr>
          <w:rFonts w:ascii="宋体" w:hAnsi="宋体" w:cs="宋体" w:hint="eastAsia"/>
          <w:b/>
          <w:sz w:val="24"/>
          <w:szCs w:val="24"/>
        </w:rPr>
        <w:t xml:space="preserve"> </w:t>
      </w:r>
      <w:r>
        <w:rPr>
          <w:rFonts w:ascii="宋体" w:hAnsi="宋体" w:cs="宋体" w:hint="eastAsia"/>
          <w:bCs/>
          <w:sz w:val="24"/>
          <w:szCs w:val="24"/>
        </w:rPr>
        <w:t>【数据资产属性】执行数据资产评估业务时，资产评估专业人员可以通过委托人或者相关当事人提供或自主收集等方式了解和熟悉数据资产的基本属性，数据资产的基本属性通常包括：信息属性、法律属性、价值属性等。</w:t>
      </w:r>
    </w:p>
    <w:p w14:paraId="275B9115"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信息属性包括：数据的来源、结构、规模、时段、更新周期、元数据标准等。数据规模包含数据量、增长率和更新率等指标。数据量是指数据集元素的总数量；增长率是指数据集元素增加量与原数据集元素总数量之比；更新率是指单位时间内数据集的变更元素数量。元数据是描述数据属性的信息，主要用来指示存储路径、数据访问权、资源查找、信息记录等，其基本功能是描述数据的内容，便于更准确地识别、存取利用的数据；</w:t>
      </w:r>
    </w:p>
    <w:p w14:paraId="7ED9A0E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法律属性包括：数据权属、数据权限、数据分类、数据安全、侵权保护效力，</w:t>
      </w:r>
      <w:r>
        <w:rPr>
          <w:rFonts w:ascii="宋体" w:hAnsi="宋体" w:cs="宋体" w:hint="eastAsia"/>
          <w:bCs/>
          <w:sz w:val="24"/>
          <w:szCs w:val="24"/>
        </w:rPr>
        <w:lastRenderedPageBreak/>
        <w:t>以及许可使用、转让、诉讼和抵质押情况等；</w:t>
      </w:r>
    </w:p>
    <w:p w14:paraId="7DFF9D2E"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价值属性包括：数据成本信息、数据应用场景、数据可替代性等。</w:t>
      </w:r>
    </w:p>
    <w:p w14:paraId="523DDBEE" w14:textId="7EF8BE27"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第十四条</w:t>
      </w:r>
      <w:r w:rsidR="00A45A13">
        <w:rPr>
          <w:rFonts w:ascii="宋体" w:hAnsi="宋体" w:cs="宋体" w:hint="eastAsia"/>
          <w:b/>
          <w:sz w:val="24"/>
          <w:szCs w:val="24"/>
        </w:rPr>
        <w:t xml:space="preserve"> </w:t>
      </w:r>
      <w:r>
        <w:rPr>
          <w:rFonts w:ascii="宋体" w:hAnsi="宋体" w:cs="宋体" w:hint="eastAsia"/>
          <w:bCs/>
          <w:sz w:val="24"/>
          <w:szCs w:val="24"/>
        </w:rPr>
        <w:t>【数据分类】资产评估专业人员应当知晓，通常情况下，数据可以从业务、技术、安全三个维度进行分类。</w:t>
      </w:r>
    </w:p>
    <w:p w14:paraId="2A2B1AC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业务维度下，可分为数据来源不同、业务归属不同、流通类型不同、行业领域不同、数据质量不同即数据在指定条件下使用时其特性能够满足明确的或者隐含的要求的程度不同等类别的数据。</w:t>
      </w:r>
    </w:p>
    <w:p w14:paraId="52AFB5B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技术维度下，可分为产生频率不同、提取方式不同、结构化特征不同、存储方式不同、稀疏程度不同、处理时效性不同、交换方式不同等类别的数据。</w:t>
      </w:r>
    </w:p>
    <w:p w14:paraId="39DAEA6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安全维度下，可按数据安全隐私保护程度不同进行分类。</w:t>
      </w:r>
    </w:p>
    <w:p w14:paraId="1E5F1862" w14:textId="4C4382DC"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第十五条</w:t>
      </w:r>
      <w:r w:rsidR="00A45A13">
        <w:rPr>
          <w:rFonts w:ascii="宋体" w:hAnsi="宋体" w:cs="宋体" w:hint="eastAsia"/>
          <w:b/>
          <w:sz w:val="24"/>
          <w:szCs w:val="24"/>
        </w:rPr>
        <w:t xml:space="preserve"> </w:t>
      </w:r>
      <w:r>
        <w:rPr>
          <w:rFonts w:ascii="宋体" w:hAnsi="宋体" w:cs="宋体" w:hint="eastAsia"/>
          <w:bCs/>
          <w:sz w:val="24"/>
          <w:szCs w:val="24"/>
        </w:rPr>
        <w:t>【数据资产特征】资产评估专业人员应当知晓，数据资产通常具有非实体性、依托性、可共享性、可加工性、价值易变性等特征。执行数据资产评估业务时，资产评估专业人员应当关注数据资产特征对评估对象的影响。</w:t>
      </w:r>
    </w:p>
    <w:p w14:paraId="41372C76" w14:textId="77777777" w:rsidR="00A320E6" w:rsidRDefault="00000000" w:rsidP="00AE0286">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非实体性：数据资产无实物形态，虽然需要依托实物载体，但决定数据资产价值的是数据本身。数据的非实体性导致了数据的无消耗性，即数据不会因为使用频率的增加而磨损、消耗。这一点与其他传统无形资产相似。</w:t>
      </w:r>
    </w:p>
    <w:p w14:paraId="7CB181EE" w14:textId="77777777" w:rsidR="00A320E6" w:rsidRDefault="00000000" w:rsidP="00AE0286">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（二）依托性：数据必须存储在一定的介质里。介质的种类多种多样，例如，纸、磁盘、磁带、光盘、硬盘等，甚至可以是化学介质或者生物介质。同一数据可以以不同形式同时存在于多种介质。</w:t>
      </w:r>
    </w:p>
    <w:p w14:paraId="40D28A36" w14:textId="77777777" w:rsidR="00A320E6" w:rsidRDefault="00000000" w:rsidP="00AE0286">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三）多样性：数据的表现形式多种多样，可以是数字、表格、图像、声音、视频、文字、光电信号、化学反应、甚至是生物信息等。数据资产的多样性，还表现在数据与数据处理技术的融合，形成融合形态数据资产。例如，数据库技术与数据，数字媒体与数字制作特技等融合产生的数据资产。多样的信息可以通过不同的方法进行互相转换，从而满足不同数据消费者的需求。该多样性表现在数据消费者上，则是使用方式的不确定性。不同数据类型拥有不同的处理方式，同一数据资产也可以有多种使用方式。数据应用的不确定性，导致数据资产的价值变化波动较大。</w:t>
      </w:r>
    </w:p>
    <w:p w14:paraId="680D121B" w14:textId="77777777" w:rsidR="00A320E6" w:rsidRDefault="00000000" w:rsidP="00AE0286">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（四）可加工性：数据可以被维护、更新、补充，增加数据量；也可以被删除、合并、归集，消除冗余；还可以被分析、提炼、挖掘，加工得到更深层次的数据资源。</w:t>
      </w:r>
    </w:p>
    <w:p w14:paraId="587C8381" w14:textId="77777777" w:rsidR="00A320E6" w:rsidRDefault="00000000" w:rsidP="00AE0286">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（五）价值易变性：数据资产的价值受多种不同因素影响，这些因素随时间的</w:t>
      </w:r>
      <w:r>
        <w:rPr>
          <w:rFonts w:ascii="宋体" w:hAnsi="宋体" w:cs="宋体" w:hint="eastAsia"/>
          <w:bCs/>
          <w:sz w:val="24"/>
          <w:szCs w:val="24"/>
        </w:rPr>
        <w:lastRenderedPageBreak/>
        <w:t>推移不断变化，某些数据当前看来可能没有价值，但随着时代进步可能会产生更大的价值。另外，随着技术的进步或者同类数据库的发展，可能会导致数据资产出现无形损耗，表现为价值降低。</w:t>
      </w:r>
    </w:p>
    <w:p w14:paraId="3BCDC2B5" w14:textId="16598C8E"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第十六条</w:t>
      </w:r>
      <w:r w:rsidR="00A45A13">
        <w:rPr>
          <w:rFonts w:ascii="宋体" w:hAnsi="宋体" w:cs="宋体" w:hint="eastAsia"/>
          <w:b/>
          <w:sz w:val="24"/>
          <w:szCs w:val="24"/>
        </w:rPr>
        <w:t xml:space="preserve"> </w:t>
      </w:r>
      <w:r>
        <w:rPr>
          <w:rFonts w:ascii="宋体" w:hAnsi="宋体" w:cs="宋体" w:hint="eastAsia"/>
          <w:bCs/>
          <w:sz w:val="24"/>
          <w:szCs w:val="24"/>
        </w:rPr>
        <w:t>【权属层次】资产评估专业人员应当知晓，数据资产通常存在所有权、收益权、使用权等多个层次的权属结构。执行数据资产评估业务时，资产评估专业人员应当根据评估目的，确定评估对象的权属类型是数据资产的所有权、收益权、使用权或其他符合相关法律法规的单项权利或多项权利的组合。</w:t>
      </w:r>
    </w:p>
    <w:p w14:paraId="5FB3613C" w14:textId="12C83213"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第十七条</w:t>
      </w:r>
      <w:r w:rsidR="00A45A13">
        <w:rPr>
          <w:rFonts w:ascii="宋体" w:hAnsi="宋体" w:cs="宋体" w:hint="eastAsia"/>
          <w:b/>
          <w:sz w:val="24"/>
          <w:szCs w:val="24"/>
        </w:rPr>
        <w:t xml:space="preserve"> </w:t>
      </w:r>
      <w:r>
        <w:rPr>
          <w:rFonts w:ascii="宋体" w:hAnsi="宋体" w:cs="宋体" w:hint="eastAsia"/>
          <w:bCs/>
          <w:sz w:val="24"/>
          <w:szCs w:val="24"/>
        </w:rPr>
        <w:t>【价值影响因素】执行数据资产评估业务，通常需要关注影响数据资产价值的质量因素、应用因素、成本因素及法律因素。</w:t>
      </w:r>
    </w:p>
    <w:p w14:paraId="7FA61F92" w14:textId="77777777" w:rsidR="00A320E6" w:rsidRDefault="00000000" w:rsidP="00AE0286">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质量因素包括准确性、一致性、完整性、规范性、时效性、可访问性等。</w:t>
      </w:r>
    </w:p>
    <w:p w14:paraId="23163002"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应用因素包括使用范围、应用场景、商业模式、市场前景、财务预测、供求关系以及应用风险等。</w:t>
      </w:r>
    </w:p>
    <w:p w14:paraId="253C7BE5"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成本因素指数据资产从产生到评估基准日所发生的总成本，包括直接成本和间接成本，直接成本主要包括前期费用、建设成本、运维成本等。</w:t>
      </w:r>
    </w:p>
    <w:p w14:paraId="1C69B864"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法律因素主要包括法律法规、政策文件、行业监管等新发布或变更对数据资产价值产生的影响。</w:t>
      </w:r>
    </w:p>
    <w:p w14:paraId="1ED390A6" w14:textId="55C1E881"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第十八条</w:t>
      </w:r>
      <w:r w:rsidR="00A45A13">
        <w:rPr>
          <w:rFonts w:ascii="宋体" w:hAnsi="宋体" w:cs="宋体" w:hint="eastAsia"/>
          <w:b/>
          <w:sz w:val="24"/>
          <w:szCs w:val="24"/>
        </w:rPr>
        <w:t xml:space="preserve"> </w:t>
      </w:r>
      <w:r>
        <w:rPr>
          <w:rFonts w:ascii="宋体" w:hAnsi="宋体" w:cs="宋体" w:hint="eastAsia"/>
          <w:bCs/>
          <w:sz w:val="24"/>
          <w:szCs w:val="24"/>
        </w:rPr>
        <w:t>【应用场景】资产评估专业人员应当知晓，同一数据资产在不同的应用场景下，通常会发挥不同的价值。资产评估专业人员应当通过委托人、相关当事人、其他专业机构提供或者自主收集等方式，了解相应评估目的下评估对象的具体应用场景并采用恰当的价值类型。</w:t>
      </w:r>
    </w:p>
    <w:p w14:paraId="3560EC40" w14:textId="77777777" w:rsidR="00A320E6" w:rsidRDefault="00000000" w:rsidP="00AE0286">
      <w:pPr>
        <w:pStyle w:val="Default"/>
        <w:spacing w:line="360" w:lineRule="auto"/>
        <w:ind w:firstLineChars="200" w:firstLine="480"/>
        <w:jc w:val="both"/>
        <w:rPr>
          <w:rFonts w:ascii="宋体" w:eastAsia="宋体" w:hAnsi="宋体" w:cs="宋体"/>
        </w:rPr>
      </w:pPr>
      <w:r>
        <w:rPr>
          <w:rFonts w:ascii="宋体" w:eastAsia="宋体" w:hAnsi="宋体" w:cs="宋体" w:hint="eastAsia"/>
        </w:rPr>
        <w:t>第四章数据质量评价</w:t>
      </w:r>
    </w:p>
    <w:p w14:paraId="625412B6" w14:textId="3A7CA3B2"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第十九条</w:t>
      </w:r>
      <w:r w:rsidR="00A45A13">
        <w:rPr>
          <w:rFonts w:ascii="宋体" w:hAnsi="宋体" w:cs="宋体" w:hint="eastAsia"/>
          <w:b/>
          <w:sz w:val="24"/>
          <w:szCs w:val="24"/>
        </w:rPr>
        <w:t xml:space="preserve"> </w:t>
      </w:r>
      <w:r>
        <w:rPr>
          <w:rFonts w:ascii="宋体" w:hAnsi="宋体" w:cs="宋体" w:hint="eastAsia"/>
          <w:bCs/>
          <w:sz w:val="24"/>
          <w:szCs w:val="24"/>
        </w:rPr>
        <w:t>【作用及成果】资产评估专业人员应当知晓，通常情况下，数据质量评价是数据资产评估的基础。</w:t>
      </w:r>
    </w:p>
    <w:p w14:paraId="4E5ECA8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数据质量评价的成果可以是第三方专业机构出具的专业报告，或者是其他形式的专业意见。</w:t>
      </w:r>
    </w:p>
    <w:p w14:paraId="258D556C" w14:textId="606DAA1E"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第二十条</w:t>
      </w:r>
      <w:r w:rsidR="00A45A13">
        <w:rPr>
          <w:rFonts w:ascii="宋体" w:hAnsi="宋体" w:cs="宋体" w:hint="eastAsia"/>
          <w:b/>
          <w:sz w:val="24"/>
          <w:szCs w:val="24"/>
        </w:rPr>
        <w:t xml:space="preserve"> </w:t>
      </w:r>
      <w:r>
        <w:rPr>
          <w:rFonts w:ascii="宋体" w:hAnsi="宋体" w:cs="宋体" w:hint="eastAsia"/>
          <w:bCs/>
          <w:sz w:val="24"/>
          <w:szCs w:val="24"/>
        </w:rPr>
        <w:t>【评价内容】数据质量评价可以从准确性、一致性、完整性、规范性、时效性和可访问性等方面选取可量化指标进行评价。</w:t>
      </w:r>
    </w:p>
    <w:p w14:paraId="3A12CDA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准确性是指数据资产准确表示其所描述事物和事件的真实程度。评价要素主要包括内容准确率、精度准确率、记录重复率、脏数据出现率等。</w:t>
      </w:r>
    </w:p>
    <w:p w14:paraId="7E693D9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一致性是指不同数据资产描述同一个事物和事件的无矛盾程度。评价要素主要</w:t>
      </w:r>
      <w:r>
        <w:rPr>
          <w:rFonts w:ascii="宋体" w:hAnsi="宋体" w:cs="宋体" w:hint="eastAsia"/>
          <w:bCs/>
          <w:sz w:val="24"/>
          <w:szCs w:val="24"/>
        </w:rPr>
        <w:lastRenderedPageBreak/>
        <w:t>为元素赋值一致率等。</w:t>
      </w:r>
    </w:p>
    <w:p w14:paraId="266C983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完整性是指构成数据资产的数据元素被赋予数值程度。评价要素主要包括元素填充率、记录填充率、数据项填充率等。</w:t>
      </w:r>
    </w:p>
    <w:p w14:paraId="2F18E94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规范性是指数据符合数据标准、业务规则和元数据等要求的规范程度。评价要素主要包括值域合规率、格式合规率、安全合规率。</w:t>
      </w:r>
    </w:p>
    <w:p w14:paraId="69B9F419"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时效性是指数据真实反映事物和事件的及时程度。评价要素主要包括周期及时性、实时及时性等。</w:t>
      </w:r>
    </w:p>
    <w:p w14:paraId="1DD662D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可访问性是指数据能被正常访问的程度。评价要素主要包括可访问度等。</w:t>
      </w:r>
    </w:p>
    <w:p w14:paraId="449A79F8" w14:textId="5E960413"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第二十一条</w:t>
      </w:r>
      <w:r w:rsidR="00C36EF7">
        <w:rPr>
          <w:rFonts w:ascii="宋体" w:hAnsi="宋体" w:cs="宋体" w:hint="eastAsia"/>
          <w:b/>
          <w:sz w:val="24"/>
          <w:szCs w:val="24"/>
        </w:rPr>
        <w:t xml:space="preserve"> </w:t>
      </w:r>
      <w:r>
        <w:rPr>
          <w:rFonts w:ascii="宋体" w:hAnsi="宋体" w:cs="宋体" w:hint="eastAsia"/>
          <w:bCs/>
          <w:sz w:val="24"/>
          <w:szCs w:val="24"/>
        </w:rPr>
        <w:t>【评价方法】执行数据质量评价时，要根据评价需求分析、评价对象及范围等情况，确认评价方法，通常采用的评价方法包括：层次分析法（AHP）、模糊综合评价法和德尔菲法等。</w:t>
      </w:r>
    </w:p>
    <w:p w14:paraId="7545EAD8" w14:textId="68AC49C7"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第二十二条</w:t>
      </w:r>
      <w:r w:rsidR="00C36EF7">
        <w:rPr>
          <w:rFonts w:ascii="宋体" w:hAnsi="宋体" w:cs="宋体" w:hint="eastAsia"/>
          <w:b/>
          <w:sz w:val="24"/>
          <w:szCs w:val="24"/>
        </w:rPr>
        <w:t xml:space="preserve"> </w:t>
      </w:r>
      <w:r>
        <w:rPr>
          <w:rFonts w:ascii="宋体" w:hAnsi="宋体" w:cs="宋体" w:hint="eastAsia"/>
          <w:bCs/>
          <w:sz w:val="24"/>
          <w:szCs w:val="24"/>
        </w:rPr>
        <w:t>【质量维度】通常情况下，数据质量可以分为固有的数据质量和依赖系统的数据质量。固有的数据质量是指数据在指定条件下使用时，该数据的质量特性具有的能够满足明确或隐含要求的内在潜力的程度。依赖系统的数据质量是指数据在指定条件下使用时，该数据质量在计算机系统、存储介质或者其他存储形态中已达到并保持的程度。</w:t>
      </w:r>
    </w:p>
    <w:p w14:paraId="164F52D0"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对数据质量进行评价时，可以结合固有的数据质量和依赖系统的数据质量两个维度进行评价。</w:t>
      </w:r>
    </w:p>
    <w:p w14:paraId="7C28B03A" w14:textId="558543E5" w:rsidR="00A320E6" w:rsidRDefault="00000000" w:rsidP="00EC761E">
      <w:pPr>
        <w:pStyle w:val="13"/>
        <w:spacing w:before="62" w:after="62"/>
      </w:pPr>
      <w:r>
        <w:rPr>
          <w:rFonts w:hint="eastAsia"/>
        </w:rPr>
        <w:t>第五章</w:t>
      </w:r>
      <w:r w:rsidR="00EC761E">
        <w:rPr>
          <w:rFonts w:hint="eastAsia"/>
        </w:rPr>
        <w:t xml:space="preserve"> </w:t>
      </w:r>
      <w:r>
        <w:rPr>
          <w:rFonts w:hint="eastAsia"/>
        </w:rPr>
        <w:t>评估方法</w:t>
      </w:r>
    </w:p>
    <w:p w14:paraId="3FFDA9E4" w14:textId="2279C692"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第二十三条</w:t>
      </w:r>
      <w:r w:rsidR="00C36EF7">
        <w:rPr>
          <w:rFonts w:ascii="宋体" w:hAnsi="宋体" w:cs="宋体" w:hint="eastAsia"/>
          <w:b/>
          <w:sz w:val="24"/>
          <w:szCs w:val="24"/>
        </w:rPr>
        <w:t xml:space="preserve"> </w:t>
      </w:r>
      <w:r>
        <w:rPr>
          <w:rFonts w:ascii="宋体" w:hAnsi="宋体" w:cs="宋体" w:hint="eastAsia"/>
          <w:bCs/>
          <w:sz w:val="24"/>
          <w:szCs w:val="24"/>
        </w:rPr>
        <w:t>【方法类型】确定数据资产价值的评估方法包括收益法、成本法和市场法三种基本方法及其衍生方法。</w:t>
      </w:r>
    </w:p>
    <w:p w14:paraId="016B5D62" w14:textId="10E0F4D8"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第二十四条</w:t>
      </w:r>
      <w:r w:rsidR="00A45A13">
        <w:rPr>
          <w:rFonts w:ascii="宋体" w:hAnsi="宋体" w:cs="宋体" w:hint="eastAsia"/>
          <w:b/>
          <w:sz w:val="24"/>
          <w:szCs w:val="24"/>
        </w:rPr>
        <w:t xml:space="preserve"> </w:t>
      </w:r>
      <w:r>
        <w:rPr>
          <w:rFonts w:ascii="宋体" w:hAnsi="宋体" w:cs="宋体" w:hint="eastAsia"/>
          <w:bCs/>
          <w:sz w:val="24"/>
          <w:szCs w:val="24"/>
        </w:rPr>
        <w:t>【方法选择】执行数据资产评估业务，资产评估专业人员应当根据评估目的、评估对象、价值类型、资料收集等情况，分析上述三种基本方法的适用性，选择评估方法。</w:t>
      </w:r>
    </w:p>
    <w:p w14:paraId="0EEA2C01" w14:textId="0ADE9DF5"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第二十五条</w:t>
      </w:r>
      <w:r w:rsidR="00A45A13">
        <w:rPr>
          <w:rFonts w:ascii="宋体" w:hAnsi="宋体" w:cs="宋体" w:hint="eastAsia"/>
          <w:b/>
          <w:sz w:val="24"/>
          <w:szCs w:val="24"/>
        </w:rPr>
        <w:t xml:space="preserve"> </w:t>
      </w:r>
      <w:r>
        <w:rPr>
          <w:rFonts w:ascii="宋体" w:hAnsi="宋体" w:cs="宋体" w:hint="eastAsia"/>
          <w:bCs/>
          <w:sz w:val="24"/>
          <w:szCs w:val="24"/>
        </w:rPr>
        <w:t>【收益法】采用收益法评估数据资产时应当：</w:t>
      </w:r>
    </w:p>
    <w:p w14:paraId="48A6ED11"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一）在获取数据资产的质量评价等相关信息的基础上，根据该数据资产的历史应用情况及未来应用前景，结合数据资产应用或者拟应用企业经营状况，重点分析数据资产经济收益的可预测性，考虑收益法的适用性；</w:t>
      </w:r>
    </w:p>
    <w:p w14:paraId="46E18E30"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（二）估算数据资产带来的预期收益时，根据适用性可以采用直接收益预测、分成收益预测、超额收益预测和增量收益预测等方式；</w:t>
      </w:r>
    </w:p>
    <w:p w14:paraId="5618A3E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lastRenderedPageBreak/>
        <w:t>（三）应当区分数据资产和其他资产所获得的收益，分析与之有关的预期变动、收益期限，与收益有关的成本费用、配套资产、现金流量、风险因素；</w:t>
      </w:r>
    </w:p>
    <w:p w14:paraId="0A548DF1"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（四）保持预期收益口径与折现率口径一致；</w:t>
      </w:r>
    </w:p>
    <w:p w14:paraId="68D612CA"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（五）根据数据资产应用过程中的管理风险、流通风险、数据安全风险和监管风险等因素及货币时间价值等因素估算折现率；</w:t>
      </w:r>
    </w:p>
    <w:p w14:paraId="779BD115"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（六）综合考虑数据资产的法律有效期限、相关合同有效期限、数据资产的更新时间、数据资产的时效性以及数据资产的权利状况等因素，合理确定经济寿命或者收益期限。</w:t>
      </w:r>
    </w:p>
    <w:p w14:paraId="2FB0FC94" w14:textId="772ACAE6"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第二十六条</w:t>
      </w:r>
      <w:r w:rsidR="00A45A13">
        <w:rPr>
          <w:rFonts w:ascii="宋体" w:hAnsi="宋体" w:cs="宋体" w:hint="eastAsia"/>
          <w:b/>
          <w:sz w:val="24"/>
          <w:szCs w:val="24"/>
        </w:rPr>
        <w:t xml:space="preserve"> </w:t>
      </w:r>
      <w:r>
        <w:rPr>
          <w:rFonts w:ascii="宋体" w:hAnsi="宋体" w:cs="宋体" w:hint="eastAsia"/>
          <w:bCs/>
          <w:sz w:val="24"/>
          <w:szCs w:val="24"/>
        </w:rPr>
        <w:t>【直接收益预测】资产评估专业人员应当知晓，在被评估数据资产的应用场景及商业模式相对独立，且数据资产服务或产品为企业带来的直接收益的可以独立核算并合理预测的情形下，可以使用直接收益预测估算数据资产预期收益。</w:t>
      </w:r>
    </w:p>
    <w:p w14:paraId="33D68D9D" w14:textId="77777777" w:rsidR="00A320E6" w:rsidRDefault="00000000" w:rsidP="00AE0286">
      <w:pPr>
        <w:pStyle w:val="af"/>
        <w:widowControl w:val="0"/>
        <w:adjustRightInd w:val="0"/>
        <w:snapToGrid w:val="0"/>
        <w:spacing w:line="360" w:lineRule="auto"/>
        <w:ind w:firstLine="480"/>
        <w:rPr>
          <w:rFonts w:hAnsi="宋体" w:cs="宋体"/>
          <w:bCs/>
          <w:kern w:val="2"/>
          <w:sz w:val="24"/>
          <w:szCs w:val="24"/>
        </w:rPr>
      </w:pPr>
      <w:r>
        <w:rPr>
          <w:rFonts w:hAnsi="宋体" w:cs="宋体" w:hint="eastAsia"/>
          <w:bCs/>
          <w:kern w:val="2"/>
          <w:sz w:val="24"/>
          <w:szCs w:val="24"/>
        </w:rPr>
        <w:t>直接收益预测通常是针对特定应用场景下被评估数据资产的预期收益进行直接预测。</w:t>
      </w:r>
    </w:p>
    <w:p w14:paraId="49037D54" w14:textId="4BE0060B"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第二十七条</w:t>
      </w:r>
      <w:r w:rsidR="00A45A13">
        <w:rPr>
          <w:rFonts w:ascii="宋体" w:hAnsi="宋体" w:cs="宋体" w:hint="eastAsia"/>
          <w:b/>
          <w:sz w:val="24"/>
          <w:szCs w:val="24"/>
        </w:rPr>
        <w:t xml:space="preserve"> </w:t>
      </w:r>
      <w:r>
        <w:rPr>
          <w:rFonts w:ascii="宋体" w:hAnsi="宋体" w:cs="宋体" w:hint="eastAsia"/>
          <w:bCs/>
          <w:sz w:val="24"/>
          <w:szCs w:val="24"/>
        </w:rPr>
        <w:t>【分成收益预测】资产评估专业人员应当知晓，对于以软件开发服务、数据平台对接服务、数据分析服务等数据资产应用场景，当其他相关资产要素所产生的收益不可单独计量时，可以使用分成收益预测估算数据资产预期收益。</w:t>
      </w:r>
    </w:p>
    <w:p w14:paraId="25EBC952" w14:textId="77777777" w:rsidR="00A320E6" w:rsidRDefault="00000000" w:rsidP="00AE0286">
      <w:pPr>
        <w:pStyle w:val="af"/>
        <w:widowControl w:val="0"/>
        <w:adjustRightInd w:val="0"/>
        <w:snapToGrid w:val="0"/>
        <w:spacing w:line="360" w:lineRule="auto"/>
        <w:ind w:firstLine="480"/>
        <w:rPr>
          <w:rFonts w:hAnsi="宋体" w:cs="宋体"/>
          <w:bCs/>
          <w:kern w:val="2"/>
          <w:sz w:val="24"/>
          <w:szCs w:val="24"/>
        </w:rPr>
      </w:pPr>
      <w:r>
        <w:rPr>
          <w:rFonts w:hAnsi="宋体" w:cs="宋体" w:hint="eastAsia"/>
          <w:bCs/>
          <w:kern w:val="2"/>
          <w:sz w:val="24"/>
          <w:szCs w:val="24"/>
        </w:rPr>
        <w:t>收益分成预测通常采用分成率计算数据资产的预期收益。即首先计算总收益，然后再将被评估数据资产在产生总收益过程中作出贡献的所有资产之间进行分成。分成率通常包括销售利润分成率和销售收入分成率两种。</w:t>
      </w:r>
    </w:p>
    <w:p w14:paraId="61972568"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在确定分成率时，需要通过对被评估数据的数据特征、质量要素、成本要素和应用要素等评估要素进行综合分析，也可以参考市场上存在的相同或类似数据资产评估案例中采用的分成率情况。</w:t>
      </w:r>
    </w:p>
    <w:p w14:paraId="7E82DFB8" w14:textId="52E1C6B8"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第二十八条</w:t>
      </w:r>
      <w:r w:rsidR="00A45A13">
        <w:rPr>
          <w:rFonts w:ascii="宋体" w:hAnsi="宋体" w:cs="宋体" w:hint="eastAsia"/>
          <w:b/>
          <w:sz w:val="24"/>
          <w:szCs w:val="24"/>
        </w:rPr>
        <w:t xml:space="preserve"> </w:t>
      </w:r>
      <w:r>
        <w:rPr>
          <w:rFonts w:ascii="宋体" w:hAnsi="宋体" w:cs="宋体" w:hint="eastAsia"/>
          <w:bCs/>
          <w:sz w:val="24"/>
          <w:szCs w:val="24"/>
        </w:rPr>
        <w:t>【超额收益预测】资产评估专业人员应当知晓，对于数据资产产生的收益占整体业务比重较高，且其他资产要素对收益的贡献能够明确计量的数据服务公司，可以使用超额收益预测估算数据资产预期收益。</w:t>
      </w:r>
    </w:p>
    <w:p w14:paraId="7DCD86F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超额收益预测将归属于被评估数据资产所创造的超额收益作为该项数据资产的预期收益。即先测算数据资产与其他相关贡献资产共同创造的整体收益，在整体收益中扣除其他相关贡献资产的贡献，将剩余收益确定为超额收益，并作为被评估数据资产所创造的收益并测算数据资产价值。除数据资产以外，相关贡献资产一般包括流动资产、固定资产、无形资产和组合劳动力等。</w:t>
      </w:r>
    </w:p>
    <w:p w14:paraId="50C0562D" w14:textId="01BCB246"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lastRenderedPageBreak/>
        <w:t>第二十九条</w:t>
      </w:r>
      <w:r w:rsidR="00A45A13">
        <w:rPr>
          <w:rFonts w:ascii="宋体" w:hAnsi="宋体" w:cs="宋体" w:hint="eastAsia"/>
          <w:b/>
          <w:sz w:val="24"/>
          <w:szCs w:val="24"/>
        </w:rPr>
        <w:t xml:space="preserve"> </w:t>
      </w:r>
      <w:r>
        <w:rPr>
          <w:rFonts w:ascii="宋体" w:hAnsi="宋体" w:cs="宋体" w:hint="eastAsia"/>
          <w:bCs/>
          <w:sz w:val="24"/>
          <w:szCs w:val="24"/>
        </w:rPr>
        <w:t>【增量收益预测】资产评估专业人员应当知晓，增量收益预测多用于估算以下两种情形下的数据资产预期收益，即可以使应用数据资产的主体产生额外的可计量的现金流量或利润的数据资产（如通过启用数据资产能够直接有效地开辟新业务或赋能提高当前业务所带来的额外现金流量或利润），以及可以使应用数据资产的主体获得可计量的成本节约的数据资产（如通过嵌入大数据分析模型带来的成本费用的降低）。</w:t>
      </w:r>
    </w:p>
    <w:p w14:paraId="7DB6D41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增量收益预测是基于未来增量收益的预期而确定的数据资产预期收益。该增量收益来源于对被评估数据资产所在的主体和另一个不具有该类数据资产的主体的经营业绩进行对比，即将由于使用该项数据资产得到的利润或现金流量，与一个没有使用该项数据资产所得到的利润或现金流量进行对比，将二者的差异作为被评估数据资产所创造的增量收益并测算数据资产价值。</w:t>
      </w:r>
    </w:p>
    <w:p w14:paraId="69F344BA" w14:textId="30CED3B4"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第三十条</w:t>
      </w:r>
      <w:r w:rsidR="00A45A13">
        <w:rPr>
          <w:rFonts w:ascii="宋体" w:hAnsi="宋体" w:cs="宋体" w:hint="eastAsia"/>
          <w:b/>
          <w:sz w:val="24"/>
          <w:szCs w:val="24"/>
        </w:rPr>
        <w:t xml:space="preserve"> </w:t>
      </w:r>
      <w:r>
        <w:rPr>
          <w:rFonts w:ascii="宋体" w:hAnsi="宋体" w:cs="宋体" w:hint="eastAsia"/>
          <w:bCs/>
          <w:sz w:val="24"/>
          <w:szCs w:val="24"/>
        </w:rPr>
        <w:t>【成本法】采用成本法评估数据资产时应当：</w:t>
      </w:r>
    </w:p>
    <w:p w14:paraId="34A093C6"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（一）根据数据资产形成的全部投入，分析数据资产价值与成本的相关程度，考虑成本法的适用性；</w:t>
      </w:r>
    </w:p>
    <w:p w14:paraId="0F51E49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（二）确定数据资产的重置成本，数据资产的重置成本包括前期费用、直接成本、间接成本、合理利润和相关税费；</w:t>
      </w:r>
    </w:p>
    <w:p w14:paraId="53BBC155"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数据资产的前期费用主要包括前期规划成本；直接成本需要根据创建数据资产的流程特点，分阶段进行统计，包括建设成本、运维成本和其他成本。其中，直接成本为数据资产不同阶段动态持续投入的成本，间接成本包括与数据资产直接相关的或者可进行合理分摊的软硬件采购、基础设施成本及公共管理成本，此外还需要考虑合理的利润和相关的税费；</w:t>
      </w:r>
    </w:p>
    <w:p w14:paraId="64F4CE77"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三）确定数据资产价值调整系数。数据资产价值调整系数的确定可以参考评估对象的质量评价或利用数据专家的工作成果综合确定。对于可以直接确定剩余经济寿命的数据资产，也可以采用剩余经济寿命法确定调整系数。</w:t>
      </w:r>
    </w:p>
    <w:p w14:paraId="1EA19D59" w14:textId="368BAFAD"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第三十一条</w:t>
      </w:r>
      <w:r w:rsidR="00C36EF7">
        <w:rPr>
          <w:rFonts w:ascii="宋体" w:hAnsi="宋体" w:cs="宋体" w:hint="eastAsia"/>
          <w:b/>
          <w:sz w:val="24"/>
          <w:szCs w:val="24"/>
        </w:rPr>
        <w:t xml:space="preserve"> </w:t>
      </w:r>
      <w:r>
        <w:rPr>
          <w:rFonts w:ascii="宋体" w:hAnsi="宋体" w:cs="宋体" w:hint="eastAsia"/>
          <w:bCs/>
          <w:sz w:val="24"/>
          <w:szCs w:val="24"/>
        </w:rPr>
        <w:t>【市场法】采用市场法评估数据资产时应当：</w:t>
      </w:r>
    </w:p>
    <w:p w14:paraId="391E2B4F" w14:textId="77777777" w:rsidR="00A320E6" w:rsidRDefault="00000000" w:rsidP="00AE0286">
      <w:pPr>
        <w:pStyle w:val="15"/>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（一）考虑该数据资产或者类似数据资产是否存在合法合规的、活跃的公开交易市场，是否存在足够数量的可比参照物，考虑市场法的适用性；</w:t>
      </w:r>
    </w:p>
    <w:p w14:paraId="55705695" w14:textId="77777777" w:rsidR="00A320E6" w:rsidRDefault="00000000" w:rsidP="00AE0286">
      <w:pPr>
        <w:pStyle w:val="15"/>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（二）根据该数据资产的特点，选择合适的可比案例，例如交易市场、数据规模、应用领域、应用区域等相同或近似的数据资产；</w:t>
      </w:r>
    </w:p>
    <w:p w14:paraId="51B666A6" w14:textId="77777777" w:rsidR="00A320E6" w:rsidRDefault="00000000" w:rsidP="00AE0286">
      <w:pPr>
        <w:pStyle w:val="15"/>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（三）对比该数据资产与可比案例的差异，确定调整系数。通常情况下需要考</w:t>
      </w:r>
      <w:r>
        <w:rPr>
          <w:rFonts w:ascii="宋体" w:hAnsi="宋体" w:cs="宋体" w:hint="eastAsia"/>
          <w:bCs/>
          <w:sz w:val="24"/>
          <w:szCs w:val="24"/>
        </w:rPr>
        <w:lastRenderedPageBreak/>
        <w:t>虑质量差异调整、供求差异调整、期日差异调整、容量差异调整以及其他差异调整等。将调整后结果汇总分析得出待评估数据资产的价值。</w:t>
      </w:r>
    </w:p>
    <w:p w14:paraId="5D8CC3F2" w14:textId="7E3C7654"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第三十二条</w:t>
      </w:r>
      <w:r w:rsidR="00C36EF7">
        <w:rPr>
          <w:rFonts w:ascii="宋体" w:hAnsi="宋体" w:cs="宋体" w:hint="eastAsia"/>
          <w:b/>
          <w:sz w:val="24"/>
          <w:szCs w:val="24"/>
        </w:rPr>
        <w:t xml:space="preserve"> </w:t>
      </w:r>
      <w:r>
        <w:rPr>
          <w:rFonts w:ascii="宋体" w:hAnsi="宋体" w:cs="宋体" w:hint="eastAsia"/>
          <w:bCs/>
          <w:sz w:val="24"/>
          <w:szCs w:val="24"/>
        </w:rPr>
        <w:t>【形成结论】对同一数据资产采用多种评估方法时，应当对所获得的各种测算结果进行分析，形成评估结论。</w:t>
      </w:r>
    </w:p>
    <w:p w14:paraId="7C460C5A" w14:textId="748A8D87" w:rsidR="00A320E6" w:rsidRDefault="00000000" w:rsidP="00EC761E">
      <w:pPr>
        <w:pStyle w:val="13"/>
        <w:spacing w:before="62" w:after="62"/>
      </w:pPr>
      <w:r>
        <w:rPr>
          <w:rFonts w:hint="eastAsia"/>
        </w:rPr>
        <w:t>第六章</w:t>
      </w:r>
      <w:r w:rsidR="00EC761E">
        <w:rPr>
          <w:rFonts w:hint="eastAsia"/>
        </w:rPr>
        <w:t xml:space="preserve"> </w:t>
      </w:r>
      <w:r>
        <w:rPr>
          <w:rFonts w:hint="eastAsia"/>
        </w:rPr>
        <w:t>披露要求</w:t>
      </w:r>
    </w:p>
    <w:p w14:paraId="2654D90D" w14:textId="1180ADB1"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第三十三条</w:t>
      </w:r>
      <w:r w:rsidR="00C36EF7">
        <w:rPr>
          <w:rFonts w:ascii="宋体" w:hAnsi="宋体" w:cs="宋体" w:hint="eastAsia"/>
          <w:b/>
          <w:sz w:val="24"/>
          <w:szCs w:val="24"/>
        </w:rPr>
        <w:t xml:space="preserve"> </w:t>
      </w:r>
      <w:r>
        <w:rPr>
          <w:rFonts w:ascii="宋体" w:hAnsi="宋体" w:cs="宋体" w:hint="eastAsia"/>
          <w:bCs/>
          <w:sz w:val="24"/>
          <w:szCs w:val="24"/>
        </w:rPr>
        <w:t>【披露原则】无论是单独出具数据资产的资产评估报告，还是将数据资产评估作为资产评估报告的组成部分，都应当在资产评估报告中披露必要信息，使资产评估报告使用人能够正确理解评估结论。</w:t>
      </w:r>
    </w:p>
    <w:p w14:paraId="2017810C" w14:textId="14C90A07"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第三十四条</w:t>
      </w:r>
      <w:r w:rsidR="00A45A13">
        <w:rPr>
          <w:rFonts w:ascii="宋体" w:hAnsi="宋体" w:cs="宋体" w:hint="eastAsia"/>
          <w:b/>
          <w:sz w:val="24"/>
          <w:szCs w:val="24"/>
        </w:rPr>
        <w:t xml:space="preserve"> </w:t>
      </w:r>
      <w:r>
        <w:rPr>
          <w:rFonts w:ascii="宋体" w:hAnsi="宋体" w:cs="宋体" w:hint="eastAsia"/>
          <w:bCs/>
          <w:sz w:val="24"/>
          <w:szCs w:val="24"/>
        </w:rPr>
        <w:t>【披露事项】数据资产评估报告应当说明下列内容：</w:t>
      </w:r>
    </w:p>
    <w:p w14:paraId="40BE5B1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（一）数据资产的基本属性；</w:t>
      </w:r>
    </w:p>
    <w:p w14:paraId="61BA3263" w14:textId="77777777" w:rsidR="00A320E6" w:rsidRDefault="00000000" w:rsidP="00AE0286">
      <w:pPr>
        <w:pStyle w:val="15"/>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（二）数据质量评价情况，评价情况应当包括但不限于评价目标、评价方法、评价结果及问题分析等内容；</w:t>
      </w:r>
    </w:p>
    <w:p w14:paraId="3F2BEB6A"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（三）数据资产的应用场景以及数据资产应用所涉及的地域限制、领域限制及法律法规限制等；</w:t>
      </w:r>
    </w:p>
    <w:p w14:paraId="12F3071F"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（四）与数据资产应用场景相关的宏观经济和行业的前景；</w:t>
      </w:r>
    </w:p>
    <w:p w14:paraId="1064D9E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（五）评估依据的信息来源；</w:t>
      </w:r>
    </w:p>
    <w:p w14:paraId="08090C47"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（六）利用专家工作或引用专业报告内容；</w:t>
      </w:r>
    </w:p>
    <w:p w14:paraId="5E28B597"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（七）其他必要信息。</w:t>
      </w:r>
    </w:p>
    <w:p w14:paraId="5ACB4BBA" w14:textId="39DE2B39"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第三十五条</w:t>
      </w:r>
      <w:r w:rsidR="00A45A13">
        <w:rPr>
          <w:rFonts w:ascii="宋体" w:hAnsi="宋体" w:cs="宋体" w:hint="eastAsia"/>
          <w:b/>
          <w:sz w:val="24"/>
          <w:szCs w:val="24"/>
        </w:rPr>
        <w:t xml:space="preserve"> </w:t>
      </w:r>
      <w:r>
        <w:rPr>
          <w:rFonts w:ascii="宋体" w:hAnsi="宋体" w:cs="宋体" w:hint="eastAsia"/>
          <w:bCs/>
          <w:sz w:val="24"/>
          <w:szCs w:val="24"/>
        </w:rPr>
        <w:t>【披露评估方法】数据资产评估报告应当说明有关评估方法的下列内容：</w:t>
      </w:r>
    </w:p>
    <w:p w14:paraId="442511A9"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（一）评估方法的选择及其理由；</w:t>
      </w:r>
    </w:p>
    <w:p w14:paraId="5D235A3B"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（二）各重要参数的来源、分析、比较与测算过程；</w:t>
      </w:r>
    </w:p>
    <w:p w14:paraId="30498178"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（三）对测算结果进行分析，形成评估结论的过程；</w:t>
      </w:r>
    </w:p>
    <w:p w14:paraId="0EF8B1FD" w14:textId="77777777" w:rsidR="00A320E6" w:rsidRDefault="00000000" w:rsidP="00AE0286">
      <w:pPr>
        <w:pStyle w:val="15"/>
        <w:snapToGrid w:val="0"/>
        <w:spacing w:line="360" w:lineRule="auto"/>
        <w:ind w:firstLine="480"/>
        <w:rPr>
          <w:rFonts w:ascii="宋体" w:hAnsi="宋体" w:cs="宋体"/>
          <w:bCs/>
          <w:sz w:val="24"/>
          <w:szCs w:val="24"/>
        </w:rPr>
      </w:pPr>
      <w:r>
        <w:rPr>
          <w:rFonts w:ascii="宋体" w:hAnsi="宋体" w:cs="宋体" w:hint="eastAsia"/>
          <w:bCs/>
          <w:sz w:val="24"/>
          <w:szCs w:val="24"/>
        </w:rPr>
        <w:t>（四）评估结论成立的假设前提和限制条件。</w:t>
      </w:r>
    </w:p>
    <w:p w14:paraId="75D0DEC5" w14:textId="379104AF" w:rsidR="00A320E6" w:rsidRDefault="00000000" w:rsidP="00EC761E">
      <w:pPr>
        <w:pStyle w:val="13"/>
        <w:spacing w:before="62" w:after="62"/>
      </w:pPr>
      <w:r>
        <w:rPr>
          <w:rFonts w:hint="eastAsia"/>
        </w:rPr>
        <w:t>第七章</w:t>
      </w:r>
      <w:r w:rsidR="00EC761E">
        <w:rPr>
          <w:rFonts w:hint="eastAsia"/>
        </w:rPr>
        <w:t xml:space="preserve"> </w:t>
      </w:r>
      <w:r>
        <w:rPr>
          <w:rFonts w:hint="eastAsia"/>
        </w:rPr>
        <w:t>附则</w:t>
      </w:r>
    </w:p>
    <w:p w14:paraId="68FF1DAE" w14:textId="269D4F74" w:rsidR="00A320E6" w:rsidRDefault="00EC0B72" w:rsidP="00AE0286">
      <w:pPr>
        <w:pStyle w:val="15"/>
        <w:numPr>
          <w:ilvl w:val="255"/>
          <w:numId w:val="0"/>
        </w:numPr>
        <w:snapToGrid w:val="0"/>
        <w:spacing w:line="360" w:lineRule="auto"/>
        <w:ind w:firstLineChars="200" w:firstLine="482"/>
        <w:rPr>
          <w:rFonts w:ascii="宋体" w:hAnsi="宋体" w:cs="宋体"/>
          <w:bCs/>
          <w:sz w:val="24"/>
          <w:szCs w:val="24"/>
        </w:rPr>
      </w:pPr>
      <w:r w:rsidRPr="00EC0B72">
        <w:rPr>
          <w:rFonts w:ascii="宋体" w:hAnsi="宋体" w:cs="宋体" w:hint="eastAsia"/>
          <w:b/>
          <w:sz w:val="24"/>
          <w:szCs w:val="24"/>
        </w:rPr>
        <w:t>第三十六条</w:t>
      </w:r>
      <w:r w:rsidR="00A45A13">
        <w:rPr>
          <w:rFonts w:ascii="宋体" w:hAnsi="宋体" w:cs="宋体" w:hint="eastAsia"/>
          <w:b/>
          <w:sz w:val="24"/>
          <w:szCs w:val="24"/>
        </w:rPr>
        <w:t xml:space="preserve"> </w:t>
      </w:r>
      <w:r>
        <w:rPr>
          <w:rFonts w:ascii="宋体" w:hAnsi="宋体" w:cs="宋体" w:hint="eastAsia"/>
          <w:bCs/>
          <w:sz w:val="24"/>
          <w:szCs w:val="24"/>
        </w:rPr>
        <w:t>【施行日期】本指导意见自年月日起施行。</w:t>
      </w:r>
    </w:p>
    <w:p w14:paraId="1E228EA1" w14:textId="77777777" w:rsidR="00A320E6" w:rsidRDefault="00000000" w:rsidP="00B40F35">
      <w:pPr>
        <w:spacing w:beforeLines="50" w:before="156" w:afterLines="20" w:after="62" w:line="360" w:lineRule="auto"/>
        <w:jc w:val="center"/>
        <w:outlineLvl w:val="2"/>
        <w:rPr>
          <w:rFonts w:ascii="宋体" w:hAnsi="宋体" w:cs="宋体"/>
          <w:b/>
          <w:bCs/>
          <w:sz w:val="24"/>
          <w:szCs w:val="24"/>
        </w:rPr>
      </w:pPr>
      <w:bookmarkStart w:id="46" w:name="_Toc24527"/>
      <w:bookmarkStart w:id="47" w:name="_Toc8412"/>
      <w:bookmarkStart w:id="48" w:name="_Toc105410849"/>
      <w:bookmarkStart w:id="49" w:name="_Toc152"/>
      <w:bookmarkStart w:id="50" w:name="_Toc112227360"/>
      <w:r>
        <w:rPr>
          <w:rFonts w:ascii="宋体" w:hAnsi="宋体" w:cs="宋体" w:hint="eastAsia"/>
          <w:b/>
          <w:bCs/>
          <w:sz w:val="24"/>
          <w:szCs w:val="24"/>
        </w:rPr>
        <w:t>关键核心技术</w:t>
      </w:r>
      <w:r w:rsidRPr="00B40F35">
        <w:rPr>
          <w:rFonts w:ascii="宋体" w:hAnsi="宋体" w:cs="宋体" w:hint="eastAsia"/>
          <w:b/>
          <w:bCs/>
          <w:color w:val="000000"/>
          <w:kern w:val="0"/>
          <w:sz w:val="24"/>
          <w:szCs w:val="24"/>
          <w:lang w:bidi="ar"/>
        </w:rPr>
        <w:t>资产</w:t>
      </w:r>
      <w:r>
        <w:rPr>
          <w:rFonts w:ascii="宋体" w:hAnsi="宋体" w:cs="宋体" w:hint="eastAsia"/>
          <w:b/>
          <w:bCs/>
          <w:sz w:val="24"/>
          <w:szCs w:val="24"/>
        </w:rPr>
        <w:t>评估</w:t>
      </w:r>
      <w:r w:rsidRPr="00944A38">
        <w:rPr>
          <w:rFonts w:ascii="宋体" w:hAnsi="宋体" w:cs="宋体" w:hint="eastAsia"/>
          <w:b/>
          <w:bCs/>
          <w:color w:val="000000"/>
          <w:kern w:val="0"/>
          <w:sz w:val="24"/>
          <w:szCs w:val="24"/>
          <w:lang w:bidi="ar"/>
        </w:rPr>
        <w:t>指导</w:t>
      </w:r>
      <w:r>
        <w:rPr>
          <w:rFonts w:ascii="宋体" w:hAnsi="宋体" w:cs="宋体" w:hint="eastAsia"/>
          <w:b/>
          <w:bCs/>
          <w:sz w:val="24"/>
          <w:szCs w:val="24"/>
        </w:rPr>
        <w:t>意见</w:t>
      </w:r>
      <w:bookmarkEnd w:id="46"/>
      <w:bookmarkEnd w:id="47"/>
      <w:bookmarkEnd w:id="48"/>
      <w:bookmarkEnd w:id="49"/>
      <w:r>
        <w:rPr>
          <w:rFonts w:ascii="宋体" w:hAnsi="宋体" w:cs="宋体" w:hint="eastAsia"/>
          <w:b/>
          <w:bCs/>
          <w:sz w:val="24"/>
          <w:szCs w:val="24"/>
        </w:rPr>
        <w:t>（征求意见稿）</w:t>
      </w:r>
      <w:bookmarkEnd w:id="50"/>
    </w:p>
    <w:p w14:paraId="2EC677FA" w14:textId="3C807A56" w:rsidR="00A320E6" w:rsidRDefault="00000000" w:rsidP="00EC761E">
      <w:pPr>
        <w:pStyle w:val="13"/>
        <w:spacing w:before="62" w:after="62"/>
      </w:pPr>
      <w:r>
        <w:rPr>
          <w:rFonts w:hint="eastAsia"/>
        </w:rPr>
        <w:t>第一章</w:t>
      </w:r>
      <w:r w:rsidR="00EC761E">
        <w:rPr>
          <w:rFonts w:hint="eastAsia"/>
        </w:rPr>
        <w:t xml:space="preserve"> </w:t>
      </w:r>
      <w:r>
        <w:rPr>
          <w:rFonts w:hint="eastAsia"/>
        </w:rPr>
        <w:t>总则</w:t>
      </w:r>
    </w:p>
    <w:p w14:paraId="0EF58239" w14:textId="100A883A"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第一条</w:t>
      </w:r>
      <w:r w:rsidR="00C36EF7">
        <w:rPr>
          <w:rFonts w:ascii="宋体" w:hAnsi="宋体" w:cs="宋体" w:hint="eastAsia"/>
          <w:b/>
          <w:sz w:val="24"/>
          <w:szCs w:val="24"/>
        </w:rPr>
        <w:t xml:space="preserve"> </w:t>
      </w:r>
      <w:r>
        <w:rPr>
          <w:rFonts w:ascii="宋体" w:hAnsi="宋体" w:cs="宋体" w:hint="eastAsia"/>
          <w:sz w:val="24"/>
          <w:szCs w:val="24"/>
        </w:rPr>
        <w:t>为规范和指导资产评估机构及其资产评估专业人员执行关键核心技术</w:t>
      </w:r>
      <w:r>
        <w:rPr>
          <w:rFonts w:ascii="宋体" w:hAnsi="宋体" w:cs="宋体" w:hint="eastAsia"/>
          <w:sz w:val="24"/>
          <w:szCs w:val="24"/>
        </w:rPr>
        <w:lastRenderedPageBreak/>
        <w:t>资产评估业务行为,</w:t>
      </w:r>
      <w:r>
        <w:rPr>
          <w:rFonts w:ascii="宋体" w:hAnsi="宋体" w:cs="宋体" w:hint="eastAsia"/>
          <w:color w:val="000000"/>
          <w:sz w:val="24"/>
          <w:szCs w:val="24"/>
          <w:lang w:bidi="ar"/>
        </w:rPr>
        <w:t>根据《资产评估执业准则——无形资产》</w:t>
      </w:r>
      <w:r>
        <w:rPr>
          <w:rFonts w:ascii="宋体" w:hAnsi="宋体" w:cs="宋体" w:hint="eastAsia"/>
          <w:sz w:val="24"/>
          <w:szCs w:val="24"/>
        </w:rPr>
        <w:t>制定本指导意见。</w:t>
      </w:r>
    </w:p>
    <w:p w14:paraId="7B91745C" w14:textId="75276A84"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第二条</w:t>
      </w:r>
      <w:r w:rsidR="00C36EF7">
        <w:rPr>
          <w:rFonts w:ascii="宋体" w:hAnsi="宋体" w:cs="宋体" w:hint="eastAsia"/>
          <w:b/>
          <w:sz w:val="24"/>
          <w:szCs w:val="24"/>
        </w:rPr>
        <w:t xml:space="preserve"> </w:t>
      </w:r>
      <w:r>
        <w:rPr>
          <w:rFonts w:ascii="宋体" w:hAnsi="宋体" w:cs="宋体" w:hint="eastAsia"/>
          <w:sz w:val="24"/>
          <w:szCs w:val="24"/>
        </w:rPr>
        <w:t>本指导意见所称关键核心技术，是在特定历史时期、特定行业或领域，处于技术制高点，具有不可替代、不易掌握且难以超越的关键核心作用，对国家的科技国际竞争优势和国家安全产生巨大影响的战略核心技术。</w:t>
      </w:r>
    </w:p>
    <w:p w14:paraId="1629DB58" w14:textId="6E83FE90" w:rsidR="00A320E6" w:rsidRDefault="00A45A13" w:rsidP="00AE0286">
      <w:pPr>
        <w:spacing w:line="360" w:lineRule="auto"/>
        <w:ind w:firstLineChars="200" w:firstLine="482"/>
        <w:rPr>
          <w:rFonts w:ascii="宋体" w:hAnsi="宋体" w:cs="宋体"/>
          <w:b/>
          <w:sz w:val="24"/>
          <w:szCs w:val="24"/>
        </w:rPr>
      </w:pPr>
      <w:r w:rsidRPr="00A45A13">
        <w:rPr>
          <w:rFonts w:ascii="宋体" w:hAnsi="宋体" w:cs="宋体" w:hint="eastAsia"/>
          <w:b/>
          <w:sz w:val="24"/>
          <w:szCs w:val="24"/>
        </w:rPr>
        <w:t>第三条</w:t>
      </w:r>
      <w:r w:rsidR="00C36EF7">
        <w:rPr>
          <w:rFonts w:ascii="宋体" w:hAnsi="宋体" w:cs="宋体" w:hint="eastAsia"/>
          <w:b/>
          <w:sz w:val="24"/>
          <w:szCs w:val="24"/>
        </w:rPr>
        <w:t xml:space="preserve"> </w:t>
      </w:r>
      <w:r>
        <w:rPr>
          <w:rFonts w:ascii="宋体" w:hAnsi="宋体" w:cs="宋体" w:hint="eastAsia"/>
          <w:color w:val="000000"/>
          <w:sz w:val="24"/>
          <w:szCs w:val="24"/>
          <w:lang w:bidi="ar"/>
        </w:rPr>
        <w:t>本指导意见所称</w:t>
      </w:r>
      <w:r>
        <w:rPr>
          <w:rFonts w:ascii="宋体" w:hAnsi="宋体" w:cs="宋体" w:hint="eastAsia"/>
          <w:sz w:val="24"/>
          <w:szCs w:val="24"/>
        </w:rPr>
        <w:t>关键核心技术资产评估</w:t>
      </w:r>
      <w:r>
        <w:rPr>
          <w:rFonts w:ascii="宋体" w:hAnsi="宋体" w:cs="宋体" w:hint="eastAsia"/>
          <w:color w:val="000000"/>
          <w:sz w:val="24"/>
          <w:szCs w:val="24"/>
          <w:lang w:bidi="ar"/>
        </w:rPr>
        <w:t>，是指资产评估机构及其资产评估专业人员遵守法律、行政法规和资产评估准则，根据委托对评估基准日特定目的下的</w:t>
      </w:r>
      <w:r>
        <w:rPr>
          <w:rFonts w:ascii="宋体" w:hAnsi="宋体" w:cs="宋体" w:hint="eastAsia"/>
          <w:sz w:val="24"/>
          <w:szCs w:val="24"/>
        </w:rPr>
        <w:t>关键核心技术资产</w:t>
      </w:r>
      <w:r>
        <w:rPr>
          <w:rFonts w:ascii="宋体" w:hAnsi="宋体" w:cs="宋体" w:hint="eastAsia"/>
          <w:color w:val="000000"/>
          <w:sz w:val="24"/>
          <w:szCs w:val="24"/>
          <w:lang w:bidi="ar"/>
        </w:rPr>
        <w:t>进行评定和估算，并出具资产评估报告的专业服务行为。</w:t>
      </w:r>
    </w:p>
    <w:p w14:paraId="5ED0846D" w14:textId="3424A177"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第四条</w:t>
      </w:r>
      <w:r>
        <w:rPr>
          <w:rFonts w:ascii="宋体" w:hAnsi="宋体" w:cs="宋体" w:hint="eastAsia"/>
          <w:b/>
          <w:sz w:val="24"/>
          <w:szCs w:val="24"/>
        </w:rPr>
        <w:t xml:space="preserve"> </w:t>
      </w:r>
      <w:r>
        <w:rPr>
          <w:rFonts w:ascii="宋体" w:hAnsi="宋体" w:cs="宋体" w:hint="eastAsia"/>
          <w:color w:val="000000"/>
          <w:sz w:val="24"/>
          <w:szCs w:val="24"/>
          <w:lang w:bidi="ar"/>
        </w:rPr>
        <w:t>执行</w:t>
      </w:r>
      <w:r>
        <w:rPr>
          <w:rFonts w:ascii="宋体" w:hAnsi="宋体" w:cs="宋体" w:hint="eastAsia"/>
          <w:sz w:val="24"/>
          <w:szCs w:val="24"/>
        </w:rPr>
        <w:t>关键核心技术资产</w:t>
      </w:r>
      <w:r>
        <w:rPr>
          <w:rFonts w:ascii="宋体" w:hAnsi="宋体" w:cs="宋体" w:hint="eastAsia"/>
          <w:color w:val="000000"/>
          <w:sz w:val="24"/>
          <w:szCs w:val="24"/>
          <w:lang w:bidi="ar"/>
        </w:rPr>
        <w:t>评估业务，应当遵守本指导意见。</w:t>
      </w:r>
    </w:p>
    <w:p w14:paraId="0075320D" w14:textId="4A44EFA8" w:rsidR="00A320E6" w:rsidRDefault="00000000" w:rsidP="00EC761E">
      <w:pPr>
        <w:pStyle w:val="13"/>
        <w:spacing w:before="62" w:after="62"/>
      </w:pPr>
      <w:r>
        <w:rPr>
          <w:rFonts w:hint="eastAsia"/>
          <w:lang w:bidi="ar"/>
        </w:rPr>
        <w:t>第二章</w:t>
      </w:r>
      <w:r w:rsidR="00EC761E">
        <w:rPr>
          <w:rFonts w:hint="eastAsia"/>
          <w:lang w:bidi="ar"/>
        </w:rPr>
        <w:t xml:space="preserve"> </w:t>
      </w:r>
      <w:r>
        <w:rPr>
          <w:rFonts w:hint="eastAsia"/>
          <w:lang w:bidi="ar"/>
        </w:rPr>
        <w:t>基本遵循</w:t>
      </w:r>
    </w:p>
    <w:p w14:paraId="2B0DD824" w14:textId="2E772EF0"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color w:val="000000"/>
          <w:sz w:val="24"/>
          <w:szCs w:val="24"/>
          <w:lang w:bidi="ar"/>
        </w:rPr>
        <w:t>第五条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资产评估机构及其资产评估专业人员开展关键核心技术资产评估业务，应当遵守法律、行政法规的规定，坚持独立、客观、公正的原则，诚实守信，勤勉尽责，谨慎从业，遵守职业道德规范，自觉维护职业形象，不得从事损害职业形象的活动。</w:t>
      </w:r>
    </w:p>
    <w:p w14:paraId="4D29B87E" w14:textId="2E52458E"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color w:val="000000"/>
          <w:sz w:val="24"/>
          <w:szCs w:val="24"/>
          <w:lang w:bidi="ar"/>
        </w:rPr>
        <w:t>第六条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资产评估机构及其资产评估专业人员开展关键核心技术资产评估业务，应当独立进行分析和估算并形成专业意见，拒绝委托人或者其他相关当事人的干预，不得直接以预先设定的价值作为评估结论。</w:t>
      </w:r>
    </w:p>
    <w:p w14:paraId="54978FD4" w14:textId="7551A7B1" w:rsidR="00A320E6" w:rsidRDefault="00977BD5" w:rsidP="00AE0286">
      <w:pPr>
        <w:spacing w:line="360" w:lineRule="auto"/>
        <w:ind w:firstLineChars="200" w:firstLine="482"/>
        <w:rPr>
          <w:rFonts w:ascii="宋体" w:hAnsi="宋体" w:cs="宋体"/>
          <w:color w:val="000000"/>
          <w:sz w:val="24"/>
          <w:szCs w:val="24"/>
          <w:lang w:bidi="ar"/>
        </w:rPr>
      </w:pPr>
      <w:r w:rsidRPr="00977BD5">
        <w:rPr>
          <w:rFonts w:ascii="宋体" w:hAnsi="宋体" w:cs="宋体" w:hint="eastAsia"/>
          <w:b/>
          <w:bCs/>
          <w:color w:val="000000"/>
          <w:sz w:val="24"/>
          <w:szCs w:val="24"/>
          <w:lang w:bidi="ar"/>
        </w:rPr>
        <w:t>第七条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执行关键核心技术资产评估业务，应当具备关键核心技术资产评估的专业知识和实践经验，能够胜任所执行的关键核心技术资产评估业务。</w:t>
      </w:r>
    </w:p>
    <w:p w14:paraId="5575964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执行某项特定业务缺乏特定的专业知识和经验时，应当采取弥补措施，包括利用专家工作及相关报告等。</w:t>
      </w:r>
    </w:p>
    <w:p w14:paraId="1B12E89A" w14:textId="57E60877"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color w:val="000000"/>
          <w:sz w:val="24"/>
          <w:szCs w:val="24"/>
          <w:lang w:bidi="ar"/>
        </w:rPr>
        <w:t>第八条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企业价值评估中的关键核心技术资产评估业务，应当了解在对持续经营前提下的企业价值进行评估时，关键核心技术作为企业资产的组成部分的价值可能有别于作为单项资产的价值，其价值取决于它对企业价值的贡献程度。</w:t>
      </w:r>
    </w:p>
    <w:p w14:paraId="3F72285F" w14:textId="58C8DC9F"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color w:val="000000"/>
          <w:sz w:val="24"/>
          <w:szCs w:val="24"/>
          <w:lang w:bidi="ar"/>
        </w:rPr>
        <w:t>第九条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执行关键核心技术资产评估业务，应当在考虑评估目的、市场条件、评估对象自身条件等因素的基础上，</w:t>
      </w:r>
      <w:r>
        <w:rPr>
          <w:rFonts w:ascii="宋体" w:hAnsi="宋体" w:cs="宋体" w:hint="eastAsia"/>
          <w:sz w:val="24"/>
          <w:szCs w:val="24"/>
        </w:rPr>
        <w:t>选择价值类型和评估方式。</w:t>
      </w:r>
    </w:p>
    <w:p w14:paraId="1983A8D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关键核心技术市场价值</w:t>
      </w:r>
      <w:r>
        <w:rPr>
          <w:rFonts w:ascii="宋体" w:hAnsi="宋体" w:cs="宋体" w:hint="eastAsia"/>
          <w:sz w:val="24"/>
          <w:szCs w:val="24"/>
        </w:rPr>
        <w:t>通常采用许可费或许可费率进行评估。</w:t>
      </w:r>
    </w:p>
    <w:p w14:paraId="6AF12242" w14:textId="77777777" w:rsidR="00A320E6" w:rsidRDefault="00000000" w:rsidP="00AE0286">
      <w:pPr>
        <w:pStyle w:val="a5"/>
        <w:spacing w:line="360" w:lineRule="auto"/>
        <w:ind w:left="0" w:firstLineChars="200" w:firstLine="480"/>
        <w:jc w:val="both"/>
      </w:pPr>
      <w:r>
        <w:rPr>
          <w:rFonts w:hint="eastAsia"/>
        </w:rPr>
        <w:t>交易为目的通常选择市场价值或者投资价值。</w:t>
      </w:r>
    </w:p>
    <w:p w14:paraId="3FBC3C3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以财务报告为目的通常根据会计准则相关要求选择相应的价值类型。</w:t>
      </w:r>
    </w:p>
    <w:p w14:paraId="335F7FD2" w14:textId="38FBEC7D"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bCs/>
          <w:color w:val="000000"/>
          <w:sz w:val="24"/>
          <w:szCs w:val="24"/>
          <w:lang w:bidi="ar"/>
        </w:rPr>
        <w:t>第十条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执行关键核心技术资产评估业务，应当合理确定评估假设和限制条件。</w:t>
      </w:r>
    </w:p>
    <w:p w14:paraId="71B773B4" w14:textId="51AAEB54" w:rsidR="00A320E6" w:rsidRDefault="00000000" w:rsidP="00EC761E">
      <w:pPr>
        <w:pStyle w:val="13"/>
        <w:spacing w:before="62" w:after="62"/>
        <w:rPr>
          <w:lang w:bidi="ar"/>
        </w:rPr>
      </w:pPr>
      <w:r>
        <w:rPr>
          <w:rFonts w:hint="eastAsia"/>
          <w:lang w:bidi="ar"/>
        </w:rPr>
        <w:lastRenderedPageBreak/>
        <w:t>第三章</w:t>
      </w:r>
      <w:r w:rsidR="00EC761E">
        <w:rPr>
          <w:rFonts w:hint="eastAsia"/>
          <w:lang w:bidi="ar"/>
        </w:rPr>
        <w:t xml:space="preserve"> </w:t>
      </w:r>
      <w:r>
        <w:rPr>
          <w:rFonts w:hint="eastAsia"/>
          <w:lang w:bidi="ar"/>
        </w:rPr>
        <w:t>资产评估对象</w:t>
      </w:r>
    </w:p>
    <w:p w14:paraId="25DEA71F" w14:textId="26023AC8" w:rsidR="00A320E6" w:rsidRDefault="00977BD5" w:rsidP="00AE0286">
      <w:pPr>
        <w:numPr>
          <w:ilvl w:val="255"/>
          <w:numId w:val="0"/>
        </w:numPr>
        <w:spacing w:line="360" w:lineRule="auto"/>
        <w:ind w:firstLineChars="200" w:firstLine="482"/>
        <w:rPr>
          <w:rFonts w:ascii="宋体" w:hAnsi="宋体" w:cs="宋体"/>
          <w:color w:val="000000"/>
          <w:sz w:val="24"/>
          <w:szCs w:val="24"/>
          <w:lang w:bidi="ar"/>
        </w:rPr>
      </w:pPr>
      <w:r w:rsidRPr="00977BD5">
        <w:rPr>
          <w:rFonts w:ascii="宋体" w:hAnsi="宋体" w:cs="宋体" w:hint="eastAsia"/>
          <w:b/>
          <w:bCs/>
          <w:color w:val="000000"/>
          <w:sz w:val="24"/>
          <w:szCs w:val="24"/>
          <w:lang w:bidi="ar"/>
        </w:rPr>
        <w:t>第十一条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关键核心技术资产评估业务的评估对象是指关键核心技术权益，包括关键核心技术所有权和关键核心技术使用权。</w:t>
      </w:r>
    </w:p>
    <w:p w14:paraId="69BE04EF"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执行关键核心技术资产评估业务，应当明确评估对象是否符合关键核心技术的判断标准。关键核心技术的判断特点通常包括：</w:t>
      </w:r>
    </w:p>
    <w:p w14:paraId="39D03943" w14:textId="77777777" w:rsidR="00A320E6" w:rsidRDefault="00000000" w:rsidP="00AE0286">
      <w:pPr>
        <w:pStyle w:val="a5"/>
        <w:spacing w:line="360" w:lineRule="auto"/>
        <w:ind w:left="0" w:firstLineChars="200" w:firstLine="480"/>
        <w:jc w:val="both"/>
        <w:rPr>
          <w:color w:val="000000"/>
          <w:lang w:bidi="ar"/>
        </w:rPr>
      </w:pPr>
      <w:r>
        <w:rPr>
          <w:rFonts w:hint="eastAsia"/>
          <w:color w:val="000000"/>
          <w:lang w:bidi="ar"/>
        </w:rPr>
        <w:t>标志性：在某技术领域的技术变革与突破，被公认为该领域代表性的技术。</w:t>
      </w:r>
    </w:p>
    <w:p w14:paraId="0431A386"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不可替代性：该技术不存在其他技术代替方案，或者其他技术在技术的先进性和功能上无法与之抗衡。</w:t>
      </w:r>
    </w:p>
    <w:p w14:paraId="7F5AF988" w14:textId="77777777" w:rsidR="00A320E6" w:rsidRDefault="00000000" w:rsidP="00AE0286">
      <w:pPr>
        <w:pStyle w:val="a5"/>
        <w:spacing w:line="360" w:lineRule="auto"/>
        <w:ind w:left="0" w:firstLineChars="200" w:firstLine="480"/>
        <w:jc w:val="both"/>
        <w:rPr>
          <w:color w:val="000000"/>
          <w:lang w:bidi="ar"/>
        </w:rPr>
      </w:pPr>
      <w:r>
        <w:rPr>
          <w:rFonts w:hint="eastAsia"/>
          <w:color w:val="000000"/>
          <w:lang w:bidi="ar"/>
        </w:rPr>
        <w:t>复杂性：关键核心技术涉及诸多领域，不同领域的关键核心技术具有不同特征，导致其评估指标、评估参数、评估方法各有不同。例如：在通信技术领域，多计算标准必要专利市场价值；在新药技术领域，多计算预付款项、里程碑款、销售收入提成费等。</w:t>
      </w:r>
    </w:p>
    <w:p w14:paraId="6023DCE7"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垄断性:关键核心技术的突破，更加依赖于基础研究，基础研究研究周期长、难度较大，逐步形成技术壁垒。核心关键技术突破后，依然会按照技术链向横向和纵向延伸和扩展，逐步形成系统性壁垒。</w:t>
      </w:r>
    </w:p>
    <w:p w14:paraId="5ADE658E" w14:textId="77777777" w:rsidR="00A320E6" w:rsidRDefault="00000000" w:rsidP="00AE0286">
      <w:pPr>
        <w:pStyle w:val="a5"/>
        <w:spacing w:line="360" w:lineRule="auto"/>
        <w:ind w:left="0" w:firstLineChars="200" w:firstLine="480"/>
        <w:jc w:val="both"/>
        <w:rPr>
          <w:color w:val="000000"/>
          <w:lang w:bidi="ar"/>
        </w:rPr>
      </w:pPr>
      <w:r>
        <w:rPr>
          <w:rFonts w:hint="eastAsia"/>
          <w:color w:val="000000"/>
          <w:lang w:bidi="ar"/>
        </w:rPr>
        <w:t>高价值性：关键核心技术具有较强的技术创新性和进步性，引领未来的产业技术变革，大幅度提高产品核心竞争能力和实际效益。</w:t>
      </w:r>
    </w:p>
    <w:p w14:paraId="20EAD80C" w14:textId="3CDC8F78" w:rsidR="00A320E6" w:rsidRDefault="00977BD5" w:rsidP="00AE0286">
      <w:pPr>
        <w:spacing w:line="360" w:lineRule="auto"/>
        <w:ind w:firstLineChars="200" w:firstLine="482"/>
        <w:rPr>
          <w:rFonts w:ascii="宋体" w:hAnsi="宋体" w:cs="宋体"/>
          <w:color w:val="000000"/>
          <w:sz w:val="24"/>
          <w:szCs w:val="24"/>
          <w:lang w:bidi="ar"/>
        </w:rPr>
      </w:pPr>
      <w:r w:rsidRPr="00977BD5">
        <w:rPr>
          <w:rFonts w:ascii="宋体" w:hAnsi="宋体" w:cs="宋体" w:hint="eastAsia"/>
          <w:b/>
          <w:bCs/>
          <w:color w:val="000000"/>
          <w:sz w:val="24"/>
          <w:szCs w:val="24"/>
          <w:lang w:bidi="ar"/>
        </w:rPr>
        <w:t>第十二条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执行关键核心技术资产评估业务，应当明确关键核心技术的权利属性。</w:t>
      </w:r>
    </w:p>
    <w:p w14:paraId="6C6F07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关键核心技术使用权的实施，多采用关键核心技术实施许可权,具体包括关键核心技术独占许可、独家许可、普通许可和其他许可形式。由于关键核心技术所有权一般不存在交易情况，因此指导意见中关键核心技术资产评估业务的评估对象是指关键核心技术实施许可权价值、或许可使用费。</w:t>
      </w:r>
    </w:p>
    <w:p w14:paraId="7A82434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评估对象为关键核心技术所有权的，应当关注关键核心技术是否已经许可他人使用及使用权的具体形式，并关注其对关键核心技术所有权价值的影响。评估对象为关键核心技术使用权的，应当明确关键核心技术使用权的许可形式、许可地域、许可内容及许可期限。</w:t>
      </w:r>
    </w:p>
    <w:p w14:paraId="725AFEEF" w14:textId="01EBDAE2"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第十三条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执行关键核心技术资产评估业务，应当要求委托人明确关键核心技术的基本状况。关键核心技术的基本状况通常包括：</w:t>
      </w:r>
    </w:p>
    <w:p w14:paraId="27F30D7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lastRenderedPageBreak/>
        <w:t>（一）关键核心技术名称及技术特点及组成；</w:t>
      </w:r>
    </w:p>
    <w:p w14:paraId="325749D8"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（二）关键核心技术所处技术领域；</w:t>
      </w:r>
    </w:p>
    <w:p w14:paraId="59B8BA3C"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（三）关键核心技术的法律状态；</w:t>
      </w:r>
    </w:p>
    <w:p w14:paraId="1ECD76A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（四）关键核心技术的技术状况；</w:t>
      </w:r>
    </w:p>
    <w:p w14:paraId="4B4E8D62"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（五）关键核心技术的应用状况；</w:t>
      </w:r>
    </w:p>
    <w:p w14:paraId="1F92CDD5" w14:textId="77777777" w:rsidR="00A320E6" w:rsidRDefault="00000000" w:rsidP="00AE0286">
      <w:pPr>
        <w:spacing w:line="360" w:lineRule="auto"/>
        <w:ind w:firstLineChars="200" w:firstLine="480"/>
        <w:rPr>
          <w:rFonts w:ascii="宋体" w:hAnsi="宋体" w:cs="宋体"/>
          <w:b/>
          <w:bCs/>
          <w:color w:val="000000"/>
          <w:sz w:val="24"/>
          <w:szCs w:val="24"/>
          <w:lang w:bidi="ar"/>
        </w:rPr>
      </w:pPr>
      <w:r>
        <w:rPr>
          <w:rFonts w:ascii="宋体" w:hAnsi="宋体" w:cs="宋体" w:hint="eastAsia"/>
          <w:color w:val="000000"/>
          <w:sz w:val="24"/>
          <w:szCs w:val="24"/>
          <w:lang w:bidi="ar"/>
        </w:rPr>
        <w:t>（六）关键核心技术使用权利。</w:t>
      </w:r>
    </w:p>
    <w:p w14:paraId="5DEF2710" w14:textId="5468B654"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第十四条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执行关键核心技术资产评估业务，应当关注关键核心技术的法律状态。关键核心技术的法律状态通常包括关键核心技术权属变更情况，关键核心技术的质押，以及是否涉及法律诉讼状态。</w:t>
      </w:r>
    </w:p>
    <w:p w14:paraId="3ABA83FA" w14:textId="7BED1F3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第十五条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执行关键核心技术资产评估业务，应当关注关键核心技术的技术状况、实施状况及获利状况。</w:t>
      </w:r>
    </w:p>
    <w:p w14:paraId="2065EEA1" w14:textId="20C9D62A"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第十六条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执行关键核心技术资产评估业务，应当关注关键核心技术的类别。</w:t>
      </w:r>
    </w:p>
    <w:p w14:paraId="0180640B"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按数量和作用形式进行分类，关键核心技术分为四大类，第一类是由专利包或专利群的方式对产品技术进行保护的形式的蜂窝技术；第二类是由少数几个关键专利对产品技术进行保护的形式的寡头技术；第三类是直接作用于相关设备的形式的设备技术；第四类是其他形式的关键核心技术。</w:t>
      </w:r>
    </w:p>
    <w:p w14:paraId="358AAD66" w14:textId="1BDB73CC"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第十七条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执行关键核心技术资产评估业务，应当关注关键核心技术所处领域。目前关键核心技术分布在电子信息、装备制造、生物技术、航空航天、智能制造、软件系统等多个领域。</w:t>
      </w:r>
    </w:p>
    <w:p w14:paraId="242AECC3" w14:textId="55DCBEE7"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第十八条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执行关键核心技术资产评估业务，应当在要求委托人根据评估对象的具体情况和评估目的对关键核心技术进行合理的分离或者合并的基础上，恰当进行单项关键核心技术或者关键核心技术组合的评估。</w:t>
      </w:r>
    </w:p>
    <w:p w14:paraId="1DC9B774" w14:textId="712063DE" w:rsidR="00A320E6" w:rsidRDefault="00000000" w:rsidP="00EC761E">
      <w:pPr>
        <w:pStyle w:val="13"/>
        <w:spacing w:before="62" w:after="62"/>
      </w:pPr>
      <w:r>
        <w:rPr>
          <w:rFonts w:hint="eastAsia"/>
          <w:lang w:bidi="ar"/>
        </w:rPr>
        <w:t>第四章</w:t>
      </w:r>
      <w:r w:rsidR="00EC761E">
        <w:rPr>
          <w:rFonts w:hint="eastAsia"/>
          <w:lang w:bidi="ar"/>
        </w:rPr>
        <w:t xml:space="preserve"> </w:t>
      </w:r>
      <w:r>
        <w:rPr>
          <w:rFonts w:hint="eastAsia"/>
          <w:lang w:bidi="ar"/>
        </w:rPr>
        <w:t>操作要求</w:t>
      </w:r>
    </w:p>
    <w:p w14:paraId="5E8FA2F9" w14:textId="64F45FA0"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第十九条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执行关键核心技术资产评估业务，应当对关键核心技术及其实施情况进行调查，包括必要的现场调查、市场调查，并收集相关信息、资料等。</w:t>
      </w:r>
    </w:p>
    <w:p w14:paraId="476C0F6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调查过程中应收集的相关信息、资料包括：</w:t>
      </w:r>
    </w:p>
    <w:p w14:paraId="1797162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（一）关键核心技术的权利人及实施企业基本情况；</w:t>
      </w:r>
    </w:p>
    <w:p w14:paraId="1A39405E"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（二）关键核心技术的研发过程、研发费用、技术实验报告，关键核心技术所属技术领域的发展状况、技术创造性、技术实用性、技术成熟度、同类技术竞争状</w:t>
      </w:r>
      <w:r>
        <w:rPr>
          <w:rFonts w:ascii="宋体" w:hAnsi="宋体" w:cs="宋体" w:hint="eastAsia"/>
          <w:color w:val="000000"/>
          <w:sz w:val="24"/>
          <w:szCs w:val="24"/>
          <w:lang w:bidi="ar"/>
        </w:rPr>
        <w:lastRenderedPageBreak/>
        <w:t>况、技术更新速度等；如果技术效果需要检测，还应当收集相关产品检测报告；</w:t>
      </w:r>
    </w:p>
    <w:p w14:paraId="21670F1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（三）与分析关键核心技术产品的适用范围、市场需求、市场前景及市场寿命、相关行业政策发展状况、宏观经济、同类产品的竞争状况、关键核心技术产品的获利能力等相关的信息、资料；</w:t>
      </w:r>
    </w:p>
    <w:p w14:paraId="09BAE75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（四）以往的评估和许可情况，包括关键核心技术实施许可合同及其他许可情况；</w:t>
      </w:r>
    </w:p>
    <w:p w14:paraId="624A6D8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（五）可比较的企业间过往的许可费授权协议；</w:t>
      </w:r>
    </w:p>
    <w:p w14:paraId="5C584A8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（六）如果关键核心技术的类别属于蜂窝技术，还需收集关键核心技术所处行业标准必要专利总族数、真正形成产品所需标准必要专利族数、行业累积费率。</w:t>
      </w:r>
    </w:p>
    <w:p w14:paraId="422FF44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（七）如果关键核心技术的类别为寡头技术，还需关注研发过程中的失败风险。</w:t>
      </w:r>
    </w:p>
    <w:p w14:paraId="44BA724D" w14:textId="08787B7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第二十条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蜂窝技术时，如采用自上而下法评估标准必要专利时，评估过程中除了收集上述信息、资料，还需收集关键核心技术所处行业标准必要专利总族数、真正形成产品所需标准必要专利族数；</w:t>
      </w:r>
    </w:p>
    <w:p w14:paraId="3FBFC425" w14:textId="459B91F8"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第二十一条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执行关键核心技术资产评估业务，当关键核心技术为寡头技术时，评估过程中除了收集上述信息、资料，还需收集：</w:t>
      </w:r>
    </w:p>
    <w:p w14:paraId="3AD4A6E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（一）关键核心技术转移时所处的阶段；</w:t>
      </w:r>
    </w:p>
    <w:p w14:paraId="0B14594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（二）关键核心技术产品研发成本、研发周期。</w:t>
      </w:r>
    </w:p>
    <w:p w14:paraId="26B25682" w14:textId="28AC06D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第二十二条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执行关键核心技术资产评估业务，应当尽可能获取与关键核心技术相关的财务数据及关键核心技术实施企业经审计的财务报表，对关键核心技术的相关财务数据进行分析。</w:t>
      </w:r>
    </w:p>
    <w:p w14:paraId="22AD7EE9" w14:textId="4F1349DA"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第二十三条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对影响关键核心技术资产的法律因素进行分析，通常包括关键核心技术的权利属性及权利限制、关键核心技术类别、关键核心技术的法律状态、关键核心技术剩余法定保护期限、关键核心技术的保护范围等。资产评估专业人员应当关注关键核心技术所有权与使用权的差异、关键核心技术使用权的具体形式、以往许可和转让的情况对关键核心技术资产的影响;应当关注关键核心技术是否涉及法律诉讼，以及关键核心技术有效性维持情况对关键核心技术资产的影响。</w:t>
      </w:r>
    </w:p>
    <w:p w14:paraId="74EA87A2" w14:textId="0F15B15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第二十四条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执行关键核心技术资产评估业务，应当对影响关键核心技术资产的</w:t>
      </w:r>
      <w:r>
        <w:rPr>
          <w:rFonts w:ascii="宋体" w:hAnsi="宋体" w:cs="宋体" w:hint="eastAsia"/>
          <w:color w:val="000000"/>
          <w:sz w:val="24"/>
          <w:szCs w:val="24"/>
          <w:lang w:bidi="ar"/>
        </w:rPr>
        <w:lastRenderedPageBreak/>
        <w:t>技术因素进行分析，通常包括技术可替代性、技术先进性、创新性、实用性、垄断性等。</w:t>
      </w:r>
    </w:p>
    <w:p w14:paraId="64624DA2" w14:textId="551FA2C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第二十五条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执行关键核心技术资产评估业务，当关键核心技术为蜂窝技术时，应当判断关键核心技术是否为标准必要专利（SEP，standardessentialpatent）。</w:t>
      </w:r>
    </w:p>
    <w:p w14:paraId="2A491C6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标准必要专利指从技术方面来说对于实施标准必不可少的专利,或指为实施某一技术标准而必须使用的专利。</w:t>
      </w:r>
    </w:p>
    <w:p w14:paraId="51D2E851"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根据国际标准化组织的规定，标准必要专利与普通专利有所不同，其许可费率的确定要符合FRAND原则，即公平、合理、无歧视原则。</w:t>
      </w:r>
    </w:p>
    <w:p w14:paraId="232749E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判断某一专利是否为标准必要专利时，需要把专利的权利要求和标准规范比较，如果权利要求的每个技术特征都可以在标准规范中找到对应，该权利要求则为“标准必要”；如权利要求有任何一个技术特征不能在标准规范中找到对应，该权利要求则为“非标准必要”。</w:t>
      </w:r>
    </w:p>
    <w:p w14:paraId="354B4B5C" w14:textId="61F859D0"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第二十六条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执行关键核心技术资产评估业务，当关键核心技术为蜂窝技术且为标准必要专利时，应当选择恰当的许可费率评估方法，标准必要专利的许可费率评估方法主要包括可比协议法和自上而下法两种方法。</w:t>
      </w:r>
    </w:p>
    <w:p w14:paraId="2496C87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可比协议法是利用企业间过往通过商业手段达成的许可费授权协议作为参照，对比目前专利许可情况并进行修正调整，进而计算出专利的许可费率。</w:t>
      </w:r>
    </w:p>
    <w:p w14:paraId="4796228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自上而下法是先确定某一特定标准所必需的所有专利的总使用费，然后根据一些合理的分配方法在专利的持有者之间分配这些使用费的方法。</w:t>
      </w:r>
    </w:p>
    <w:p w14:paraId="65B66017" w14:textId="08E28DCE"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第二十七条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选择自上而下法对标准必要专利进行评估时，应当统计技术领域内标准必要专利总族数，确定关键核心技术专利包中符合标准必要专利条件的专利的数量，运用标准专利族总数量和关键核心技术专利包中标准必要专利的数量，得到该项技术中标准必要专利的必要比例。</w:t>
      </w:r>
    </w:p>
    <w:p w14:paraId="20913929"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统计技术领域内标准必要专利总族数的统计分析过程应包括：</w:t>
      </w:r>
    </w:p>
    <w:p w14:paraId="7E4A9576"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（一）专利统计。主要步骤需包括数据的收集和去重、识别同族专利、专利族的技术分类；</w:t>
      </w:r>
    </w:p>
    <w:p w14:paraId="0E54B93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（二）标准必要性分析。需分析专利的权利要求，将权利要求与3GPP的标准技术规范文件进行对照分析。</w:t>
      </w:r>
    </w:p>
    <w:p w14:paraId="63525BCE" w14:textId="778CC382"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第二十八条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执行关键核心技术资产评估业务，运用自上而下法对标准必要专利</w:t>
      </w:r>
      <w:r>
        <w:rPr>
          <w:rFonts w:ascii="宋体" w:hAnsi="宋体" w:cs="宋体" w:hint="eastAsia"/>
          <w:color w:val="000000"/>
          <w:sz w:val="24"/>
          <w:szCs w:val="24"/>
          <w:lang w:bidi="ar"/>
        </w:rPr>
        <w:lastRenderedPageBreak/>
        <w:t>的中国费率进行资产评估时，自上而下法的基本公式为:</w:t>
      </w:r>
    </w:p>
    <w:p w14:paraId="6998CC18"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单族专利的中国费率=标准必要专利在中国的行业累积费率×单族专利的贡献占比</w:t>
      </w:r>
    </w:p>
    <w:p w14:paraId="25DAA1E4" w14:textId="5F47DCB4"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第二十九条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运用自上而下法对标准必要专利的中国费率进行资产评估时，单族专利的贡献占比可以按照单族专利数量在标准必要专利总族数的数量占比确定，也可以根据技术因素、市场因素、经济因素、法律因素等方面的指标综合确定。</w:t>
      </w:r>
    </w:p>
    <w:p w14:paraId="4F817441"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在技术因素方面影响单族专利的贡献占比的确定的指标通常包括技术替代性、技术更迭速度、技术复杂性、技术稳定性、技术实用性等；在市场因素方面的影响指标通常包括市场支配地位、市场竞争格局等；在经济因素方面的影响指标通常包括预期收益、经济利润等；在法律因素方面的影响指标通常包括法律权属状态、技术所属领域、专利保护范围等。</w:t>
      </w:r>
    </w:p>
    <w:p w14:paraId="3455C5F1" w14:textId="4FD3E018"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执行关键核心技术资产评估业务，当关键核心技术为寡头技术时，应当判断该项技术转移时所处的阶段或受让方介入时期。</w:t>
      </w:r>
    </w:p>
    <w:p w14:paraId="599790B5" w14:textId="3E134B86"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第三十一条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执行关键核心技术资产评估业务，当关键核心技术为寡头技术时，应当确定许可费的组成结构，许可使用费通常包括预付款项、里程碑款、销售收入提成费。</w:t>
      </w:r>
    </w:p>
    <w:p w14:paraId="269747A6" w14:textId="0AA4DBA4"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第三十二条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预付款项通常采用市场法以企业间过往通过商业手段达成的许可费授权协议作为参照，根据关键核心技术的情况进行对比调整，进而计算出关键核心技术的许可费预付款项。</w:t>
      </w:r>
    </w:p>
    <w:p w14:paraId="14A46142"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其中，作为参照的许可费授权协议所对应阶段应与关键核心技术相同。</w:t>
      </w:r>
    </w:p>
    <w:p w14:paraId="0133CC11" w14:textId="1AD23747"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第三十三条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执行关键核心技术资产评估业务，当关键核心技术为寡头技术时，应当确定里程碑款的种类、数量、支付时点、支付金额。里程碑款通常包括研发注册里程碑款、销售里程碑款。</w:t>
      </w:r>
    </w:p>
    <w:p w14:paraId="3B28464C"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里程碑款的种类、数量、支付时点、支付金额可采用市场法确定。</w:t>
      </w:r>
    </w:p>
    <w:p w14:paraId="131DAC34" w14:textId="2C8819D8"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第三十四条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执行关键核心技术资产评估业务，当关键核心技术为寡头技术时，销售收入提成费的基本公式为:</w:t>
      </w:r>
    </w:p>
    <w:p w14:paraId="7463F69E"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许可产品销售收入提成费=销售收入提成费率×许可产品在许可区域内的年度</w:t>
      </w:r>
      <w:r>
        <w:rPr>
          <w:rFonts w:ascii="宋体" w:hAnsi="宋体" w:cs="宋体" w:hint="eastAsia"/>
          <w:color w:val="000000"/>
          <w:sz w:val="24"/>
          <w:szCs w:val="24"/>
          <w:lang w:bidi="ar"/>
        </w:rPr>
        <w:lastRenderedPageBreak/>
        <w:t>净销售额</w:t>
      </w:r>
    </w:p>
    <w:p w14:paraId="39F9004A"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销售收入提成费率可采用市场法、综合判定法确定。</w:t>
      </w:r>
    </w:p>
    <w:p w14:paraId="208CD826" w14:textId="77777777" w:rsidR="00A320E6" w:rsidRDefault="00000000" w:rsidP="00AE0286">
      <w:pPr>
        <w:snapToGrid w:val="0"/>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采取综合判定法确定销售收入提成率，应当通过技术所属领域、替代技术、先进性、创新性、成熟度、应用范围、技术防御力及供求关系等来确定提成率的调整系数。再根据销售收入提成率的取值范围及调整系数来确定提成率。</w:t>
      </w:r>
    </w:p>
    <w:p w14:paraId="564CE54C"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综合判定法确定</w:t>
      </w:r>
      <w:r>
        <w:rPr>
          <w:rFonts w:ascii="宋体" w:hAnsi="宋体" w:cs="宋体" w:hint="eastAsia"/>
          <w:color w:val="000000"/>
          <w:sz w:val="24"/>
          <w:szCs w:val="24"/>
          <w:lang w:val="zh-CN" w:bidi="ar"/>
        </w:rPr>
        <w:t>销售收入提成率</w:t>
      </w:r>
      <w:r>
        <w:rPr>
          <w:rFonts w:ascii="宋体" w:hAnsi="宋体" w:cs="宋体" w:hint="eastAsia"/>
          <w:color w:val="000000"/>
          <w:sz w:val="24"/>
          <w:szCs w:val="24"/>
          <w:lang w:bidi="ar"/>
        </w:rPr>
        <w:t>的调整系数r的计算公式为：</w:t>
      </w:r>
    </w:p>
    <w:p w14:paraId="5F0576FD" w14:textId="77777777" w:rsidR="00A320E6" w:rsidRDefault="00000000" w:rsidP="00AE0286">
      <w:pPr>
        <w:snapToGrid w:val="0"/>
        <w:spacing w:line="360" w:lineRule="auto"/>
        <w:ind w:firstLineChars="200" w:firstLine="480"/>
        <w:rPr>
          <w:rFonts w:ascii="宋体" w:hAnsi="宋体" w:cs="宋体"/>
          <w:sz w:val="24"/>
          <w:szCs w:val="24"/>
          <w:vertAlign w:val="subscript"/>
        </w:rPr>
      </w:pPr>
      <w:r>
        <w:rPr>
          <w:rFonts w:ascii="宋体" w:hAnsi="宋体" w:cs="宋体" w:hint="eastAsia"/>
          <w:sz w:val="24"/>
          <w:szCs w:val="24"/>
        </w:rPr>
        <w:t>r=</w:t>
      </w:r>
      <w:r>
        <w:rPr>
          <w:rFonts w:ascii="宋体" w:hAnsi="宋体" w:cs="宋体" w:hint="eastAsia"/>
          <w:sz w:val="24"/>
          <w:szCs w:val="24"/>
        </w:rPr>
        <w:object w:dxaOrig="615" w:dyaOrig="660" w14:anchorId="0E2A3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3pt" o:ole="">
            <v:imagedata r:id="rId19" o:title="" embosscolor="white"/>
          </v:shape>
          <o:OLEObject Type="Embed" ProgID="Equation.3" ShapeID="_x0000_i1025" DrawAspect="Content" ObjectID="_1722843244" r:id="rId20"/>
        </w:object>
      </w:r>
      <w:r>
        <w:rPr>
          <w:rFonts w:ascii="宋体" w:hAnsi="宋体" w:cs="宋体" w:hint="eastAsia"/>
          <w:sz w:val="24"/>
          <w:szCs w:val="24"/>
        </w:rPr>
        <w:object w:dxaOrig="660" w:dyaOrig="690" w14:anchorId="039FF29C">
          <v:shape id="_x0000_i1026" type="#_x0000_t75" style="width:33pt;height:34.5pt" o:ole="">
            <v:imagedata r:id="rId21" o:title="" embosscolor="white"/>
          </v:shape>
          <o:OLEObject Type="Embed" ProgID="Equation.3" ShapeID="_x0000_i1026" DrawAspect="Content" ObjectID="_1722843245" r:id="rId22"/>
        </w:object>
      </w:r>
      <w:r>
        <w:rPr>
          <w:rFonts w:ascii="宋体" w:hAnsi="宋体" w:cs="宋体" w:hint="eastAsia"/>
          <w:sz w:val="24"/>
          <w:szCs w:val="24"/>
        </w:rPr>
        <w:t>×Y</w:t>
      </w:r>
      <w:r>
        <w:rPr>
          <w:rFonts w:ascii="宋体" w:hAnsi="宋体" w:cs="宋体" w:hint="eastAsia"/>
          <w:sz w:val="24"/>
          <w:szCs w:val="24"/>
          <w:vertAlign w:val="subscript"/>
        </w:rPr>
        <w:t>ij</w:t>
      </w:r>
    </w:p>
    <w:p w14:paraId="6FB2B4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式中:</w:t>
      </w:r>
    </w:p>
    <w:p w14:paraId="35CB53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Y</w:t>
      </w:r>
      <w:r>
        <w:rPr>
          <w:rFonts w:ascii="宋体" w:hAnsi="宋体" w:cs="宋体" w:hint="eastAsia"/>
          <w:sz w:val="24"/>
          <w:szCs w:val="24"/>
          <w:vertAlign w:val="subscript"/>
        </w:rPr>
        <w:t>ij</w:t>
      </w:r>
      <w:r>
        <w:rPr>
          <w:rFonts w:ascii="宋体" w:hAnsi="宋体" w:cs="宋体" w:hint="eastAsia"/>
          <w:sz w:val="24"/>
          <w:szCs w:val="24"/>
        </w:rPr>
        <w:t>——第i个影响因数中第j个指标的取值；</w:t>
      </w:r>
    </w:p>
    <w:p w14:paraId="5456F309" w14:textId="77777777" w:rsidR="00A320E6" w:rsidRDefault="00000000" w:rsidP="00AE0286">
      <w:pPr>
        <w:spacing w:line="360" w:lineRule="auto"/>
        <w:ind w:firstLineChars="200" w:firstLine="480"/>
        <w:rPr>
          <w:rFonts w:ascii="宋体" w:hAnsi="宋体" w:cs="宋体"/>
          <w:sz w:val="24"/>
          <w:szCs w:val="24"/>
          <w:vertAlign w:val="superscript"/>
        </w:rPr>
      </w:pPr>
      <w:r>
        <w:rPr>
          <w:rFonts w:ascii="宋体" w:hAnsi="宋体" w:cs="宋体" w:hint="eastAsia"/>
          <w:sz w:val="24"/>
          <w:szCs w:val="24"/>
        </w:rPr>
        <w:object w:dxaOrig="330" w:dyaOrig="360" w14:anchorId="2A2B09FD">
          <v:shape id="_x0000_i1027" type="#_x0000_t75" style="width:16.5pt;height:18pt" o:ole="">
            <v:imagedata r:id="rId23" o:title="" embosscolor="white"/>
          </v:shape>
          <o:OLEObject Type="Embed" ProgID="Equation.3" ShapeID="_x0000_i1027" DrawAspect="Content" ObjectID="_1722843246" r:id="rId24"/>
        </w:object>
      </w:r>
      <w:r>
        <w:rPr>
          <w:rFonts w:ascii="宋体" w:hAnsi="宋体" w:cs="宋体" w:hint="eastAsia"/>
          <w:sz w:val="24"/>
          <w:szCs w:val="24"/>
        </w:rPr>
        <w:t>——第i个影响因数中第j个指标的权重；</w:t>
      </w:r>
    </w:p>
    <w:p w14:paraId="26B6878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object w:dxaOrig="300" w:dyaOrig="330" w14:anchorId="502AF50B">
          <v:shape id="_x0000_i1028" type="#_x0000_t75" style="width:15pt;height:16.5pt" o:ole="">
            <v:imagedata r:id="rId25" o:title="" embosscolor="white"/>
          </v:shape>
          <o:OLEObject Type="Embed" ProgID="Equation.3" ShapeID="_x0000_i1028" DrawAspect="Content" ObjectID="_1722843247" r:id="rId26"/>
        </w:object>
      </w:r>
      <w:r>
        <w:rPr>
          <w:rFonts w:ascii="宋体" w:hAnsi="宋体" w:cs="宋体" w:hint="eastAsia"/>
          <w:sz w:val="24"/>
          <w:szCs w:val="24"/>
        </w:rPr>
        <w:t>——第i个影响因数的权重。</w:t>
      </w:r>
    </w:p>
    <w:p w14:paraId="4379DEB2" w14:textId="25F9E58C"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采用市场法对寡头技术进行评估时，调整修正的指标应当包括技术因素、市场因素、经济因素、法律因素、风险因素方面的指标。</w:t>
      </w:r>
    </w:p>
    <w:p w14:paraId="3561234A" w14:textId="56CEAFFA"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第三十六条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对影响关键核心技术资产的经济因素进行分析时，通常包括关键核心技术的预期销售收入、经济利润、销售成本等。</w:t>
      </w:r>
    </w:p>
    <w:p w14:paraId="6A93927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当关键核心技术为寡头技术时，还需分析关键核心技术研发过程中的风险性，即具体分析关键核心技术的研发时间、研发费用、研发人员数量。</w:t>
      </w:r>
    </w:p>
    <w:p w14:paraId="3A65DA9C" w14:textId="7AE7FAAB"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第三十七条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对影响关键核心技术资产的市场因素进行分析时，通常包括关键核心技术的市场规模情况、市场占有率、竞争情况、可替代技术的价格等。</w:t>
      </w:r>
    </w:p>
    <w:p w14:paraId="7080592D" w14:textId="53F0138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第三十八条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对影响关键核心技术资产的法律因素进行分析时，通常包括关键核心技术的法律权属状态、技术所属领域、专利保护范围等。</w:t>
      </w:r>
    </w:p>
    <w:p w14:paraId="06EA10A2" w14:textId="4214016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第三十九条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当关键核心技术与其他资产共同发挥作用时，资产评估专业人员应当分析关键核心技术的作用，确定该关键核心技术的价值。</w:t>
      </w:r>
    </w:p>
    <w:p w14:paraId="5C8CBEF0" w14:textId="2CC1E7B3"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第四十条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执行关键核心技术资产评估业务，应当关注应用场景、商业模式和经营条件等对关键核心技术作用和价值的影响。</w:t>
      </w:r>
    </w:p>
    <w:p w14:paraId="1E85DDD9" w14:textId="6AA141B8"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第四十一条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执行关键核心技术法律诉讼评估业务，应当关注相关案情基本情况、经过质证的资料以及关键核心技术的历史诉讼情况。</w:t>
      </w:r>
    </w:p>
    <w:p w14:paraId="109C8D73" w14:textId="713A2596"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bCs/>
          <w:color w:val="000000"/>
          <w:sz w:val="24"/>
          <w:szCs w:val="24"/>
          <w:lang w:bidi="ar"/>
        </w:rPr>
        <w:t>第四十二条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确定关键核心技术资产的评估方法包括市场法、收益法和成本法三</w:t>
      </w:r>
      <w:r>
        <w:rPr>
          <w:rFonts w:ascii="宋体" w:hAnsi="宋体" w:cs="宋体" w:hint="eastAsia"/>
          <w:color w:val="000000"/>
          <w:sz w:val="24"/>
          <w:szCs w:val="24"/>
          <w:lang w:bidi="ar"/>
        </w:rPr>
        <w:lastRenderedPageBreak/>
        <w:t>种基本方法及其衍生方法。执行关键核心技术资产评估业务，应当根据评估目的、评估对象、价值类型、资料收集等情况，分析上述三种基本方法的适用性，选择评估方法。</w:t>
      </w:r>
    </w:p>
    <w:p w14:paraId="60EB306B" w14:textId="781DE4F8"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第四十三条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运用收益法进行关键核心技术资产评估时，收益法的公式可以为：</w:t>
      </w:r>
    </w:p>
    <w:p w14:paraId="7673774F" w14:textId="77777777" w:rsidR="000B2928" w:rsidRDefault="000B2928" w:rsidP="000B2928">
      <m:oMathPara>
        <m:oMath>
          <m:r>
            <m:rPr>
              <m:sty m:val="p"/>
            </m:rPr>
            <w:rPr>
              <w:rFonts w:ascii="Cambria Math" w:hAnsi="Cambria Math" w:hint="eastAsia"/>
            </w:rPr>
            <m:t>P=</m:t>
          </m:r>
          <m:nary>
            <m:naryPr>
              <m:chr m:val="∑"/>
              <m:limLoc m:val="undOvr"/>
              <m:ctrlPr>
                <w:rPr>
                  <w:rFonts w:ascii="Cambria Math" w:hAnsi="Cambria Math" w:hint="eastAsia"/>
                </w:rPr>
              </m:ctrlPr>
            </m:naryPr>
            <m:sub>
              <m:r>
                <m:rPr>
                  <m:sty m:val="p"/>
                </m:rPr>
                <w:rPr>
                  <w:rFonts w:ascii="Cambria Math" w:hAnsi="Cambria Math" w:hint="eastAsia"/>
                </w:rPr>
                <m:t>t=1</m:t>
              </m:r>
            </m:sub>
            <m:sup>
              <m:r>
                <m:rPr>
                  <m:sty m:val="p"/>
                </m:rPr>
                <w:rPr>
                  <w:rFonts w:ascii="Cambria Math" w:hAnsi="Cambria Math" w:hint="eastAsia"/>
                </w:rPr>
                <m:t>n</m:t>
              </m:r>
            </m:sup>
            <m:e>
              <m:f>
                <m:fPr>
                  <m:ctrlPr>
                    <w:rPr>
                      <w:rFonts w:ascii="Cambria Math" w:hAnsi="Cambria Math" w:hint="eastAsia"/>
                    </w:rPr>
                  </m:ctrlPr>
                </m:fPr>
                <m:num>
                  <m:r>
                    <m:rPr>
                      <m:sty m:val="p"/>
                    </m:rPr>
                    <w:rPr>
                      <w:rFonts w:ascii="Cambria Math" w:hAnsi="Cambria Math" w:hint="eastAsia"/>
                    </w:rPr>
                    <m:t>K</m:t>
                  </m:r>
                  <m:sSub>
                    <m:sSubPr>
                      <m:ctrlPr>
                        <w:rPr>
                          <w:rFonts w:ascii="Cambria Math" w:hAnsi="Cambria Math" w:hint="eastAsia"/>
                        </w:rPr>
                      </m:ctrlPr>
                    </m:sSubPr>
                    <m:e>
                      <m:r>
                        <m:rPr>
                          <m:sty m:val="p"/>
                        </m:rPr>
                        <w:rPr>
                          <w:rFonts w:ascii="Cambria Math" w:hAnsi="Cambria Math" w:hint="eastAsia"/>
                        </w:rPr>
                        <m:t>S</m:t>
                      </m:r>
                    </m:e>
                    <m:sub>
                      <m:r>
                        <m:rPr>
                          <m:sty m:val="p"/>
                        </m:rPr>
                        <w:rPr>
                          <w:rFonts w:ascii="Cambria Math" w:hAnsi="Cambria Math" w:hint="eastAsia"/>
                        </w:rPr>
                        <m:t>t</m:t>
                      </m:r>
                    </m:sub>
                  </m:sSub>
                </m:num>
                <m:den>
                  <m:sSup>
                    <m:sSupPr>
                      <m:ctrlPr>
                        <w:rPr>
                          <w:rFonts w:ascii="Cambria Math" w:hAnsi="Cambria Math" w:hint="eastAsia"/>
                        </w:rPr>
                      </m:ctrlPr>
                    </m:sSupPr>
                    <m:e>
                      <m:d>
                        <m:dPr>
                          <m:ctrlPr>
                            <w:rPr>
                              <w:rFonts w:ascii="Cambria Math" w:hAnsi="Cambria Math" w:hint="eastAsia"/>
                            </w:rPr>
                          </m:ctrlPr>
                        </m:dPr>
                        <m:e>
                          <m:r>
                            <m:rPr>
                              <m:sty m:val="p"/>
                            </m:rPr>
                            <w:rPr>
                              <w:rFonts w:ascii="Cambria Math" w:hAnsi="Cambria Math" w:hint="eastAsia"/>
                            </w:rPr>
                            <m:t>1+r</m:t>
                          </m:r>
                        </m:e>
                      </m:d>
                    </m:e>
                    <m:sup>
                      <m:r>
                        <m:rPr>
                          <m:sty m:val="p"/>
                        </m:rPr>
                        <w:rPr>
                          <w:rFonts w:ascii="Cambria Math" w:hAnsi="Cambria Math" w:hint="eastAsia"/>
                        </w:rPr>
                        <m:t>n</m:t>
                      </m:r>
                    </m:sup>
                  </m:sSup>
                </m:den>
              </m:f>
            </m:e>
          </m:nary>
        </m:oMath>
      </m:oMathPara>
    </w:p>
    <w:p w14:paraId="4CA93AFE"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其中，P为关键核心技术资产评估价值；</w:t>
      </w:r>
    </w:p>
    <w:p w14:paraId="1348F2F9"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K为销售收入提成率；</w:t>
      </w:r>
    </w:p>
    <w:p w14:paraId="709E05FB"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S</w:t>
      </w:r>
      <w:r>
        <w:rPr>
          <w:rFonts w:ascii="宋体" w:hAnsi="宋体" w:cs="宋体" w:hint="eastAsia"/>
          <w:color w:val="000000"/>
          <w:sz w:val="24"/>
          <w:szCs w:val="24"/>
          <w:vertAlign w:val="subscript"/>
          <w:lang w:bidi="ar"/>
        </w:rPr>
        <w:t>t</w:t>
      </w:r>
      <w:r>
        <w:rPr>
          <w:rFonts w:ascii="宋体" w:hAnsi="宋体" w:cs="宋体" w:hint="eastAsia"/>
          <w:color w:val="000000"/>
          <w:sz w:val="24"/>
          <w:szCs w:val="24"/>
          <w:lang w:bidi="ar"/>
        </w:rPr>
        <w:t>为该项技术形成的产品或服务带来的预期收入；</w:t>
      </w:r>
    </w:p>
    <w:p w14:paraId="795871FB"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r为折现率；</w:t>
      </w:r>
    </w:p>
    <w:p w14:paraId="51199781"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n为收益年限。</w:t>
      </w:r>
    </w:p>
    <w:p w14:paraId="5DD60A4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运用收益法进行关键核心技术资产评估时，应当收集关键核心技术产品的相关收入、成本、费用等数据。</w:t>
      </w:r>
    </w:p>
    <w:p w14:paraId="77560F0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资产评估专业人员应当对委托人或者其他相关当事人提供的关键核心技术未来实施情况和收益状况的预测进行分析、判断和调整，确信相关预测的合理性。当根据关键核心技术的具体情况选择收益口径。</w:t>
      </w:r>
    </w:p>
    <w:p w14:paraId="3B8B5E54" w14:textId="4C2E2ACA"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第四十四条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采用收益法进行关键核心技术资产评估时，应当确定预期收入。</w:t>
      </w:r>
    </w:p>
    <w:p w14:paraId="6CAE8DC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关键核心技术的预期收入应当是使用关键核心技术形成的产品或服务带来的收入。确定预期收入时，应当关注关键核心技术产品或者服务所属行业的市场规模、市场地位及相关企业的经营情况。对于由少数几个关键技术对产品技术进行保护的形式，例如生物医药类关键核心技术，其预期收入通常为里程碑式收入和产品销售收入的分成两部分构成。</w:t>
      </w:r>
    </w:p>
    <w:p w14:paraId="7F834178" w14:textId="5969271A"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采用收益法进行关键核心技术资产评估时应当合理确定销售收入提成率。销售收入提成率可以按照关键核心技术所处行业许可费率情况乘以修正系数确定。</w:t>
      </w:r>
    </w:p>
    <w:p w14:paraId="6973A1C9"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对于由专利包或专利群的方式对产品技术进行保护的形式的蜂窝技术，修正系数可以按照关键核心技术资产评估指标体系或者评估对象中包含的国际标准必要专利数量占行业国际标准必要专利数量的比重确定。</w:t>
      </w:r>
    </w:p>
    <w:p w14:paraId="14128C57"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对于由少数几个关键技术对产品技术进行保护的形式的寡头技术。修正系数可</w:t>
      </w:r>
      <w:r>
        <w:rPr>
          <w:rFonts w:ascii="宋体" w:hAnsi="宋体" w:cs="宋体" w:hint="eastAsia"/>
          <w:color w:val="000000"/>
          <w:sz w:val="24"/>
          <w:szCs w:val="24"/>
          <w:lang w:bidi="ar"/>
        </w:rPr>
        <w:lastRenderedPageBreak/>
        <w:t>以通过关键核心技术资产评估指标体系进行修正。</w:t>
      </w:r>
    </w:p>
    <w:p w14:paraId="269EA3CC"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对于直接作用于相关设备的形式的设备技术不适用关键核心技术资产评估指标体系。</w:t>
      </w:r>
    </w:p>
    <w:p w14:paraId="2EFE99CF"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关键核心技术资产评估指标体系需要根据评估对象所处的行业情况进行调整。</w:t>
      </w:r>
    </w:p>
    <w:p w14:paraId="785F65B9" w14:textId="3FB3DD02"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第四十六条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收益法进行关键核心技术资产评估时应当合理确定关键核心技术收益期限。收益期限可以通过分析关键核心技术的技术寿命、技术成熟度、关键核心技术法定寿命及与关键核心技术相关的合同约定期限等确定。</w:t>
      </w:r>
    </w:p>
    <w:p w14:paraId="7ECE6E01" w14:textId="3A96B580"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第四十七条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采用收益法进行关键核心技术资产评估时应当合理确定折现率。</w:t>
      </w:r>
    </w:p>
    <w:p w14:paraId="505F09A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折现率可以通过分析评估基准日的利率、投资回报率，以及关键核心技术实施过程中的技术、经营、市场、资金等因素确定。关键核心技术折现率可以采用无风险报酬率加风险报酬率的方式确定。关键核心技术折现率应当与预期收入的口径保持一致。</w:t>
      </w:r>
    </w:p>
    <w:p w14:paraId="69035903" w14:textId="7DE710AD" w:rsidR="00A320E6" w:rsidRDefault="00EC0B72" w:rsidP="00AE0286">
      <w:pPr>
        <w:spacing w:line="360" w:lineRule="auto"/>
        <w:ind w:firstLineChars="200" w:firstLine="482"/>
        <w:rPr>
          <w:rFonts w:ascii="宋体" w:hAnsi="宋体" w:cs="宋体"/>
          <w:color w:val="000000"/>
          <w:sz w:val="24"/>
          <w:szCs w:val="24"/>
          <w:lang w:bidi="ar"/>
        </w:rPr>
      </w:pPr>
      <w:r w:rsidRPr="00EC0B72">
        <w:rPr>
          <w:rFonts w:ascii="宋体" w:hAnsi="宋体" w:cs="宋体" w:hint="eastAsia"/>
          <w:b/>
          <w:bCs/>
          <w:color w:val="000000"/>
          <w:sz w:val="24"/>
          <w:szCs w:val="24"/>
          <w:lang w:bidi="ar"/>
        </w:rPr>
        <w:t>第四十八条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采用市场法进行关键核心技术资产评估时，对资料收集和参数选取应当收集足够的可比案例，并对关键核心技术与可比案例之间的各种差异因素进行分析、比较和调整。</w:t>
      </w:r>
    </w:p>
    <w:p w14:paraId="407AAB25"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当关键核心技术为蜂窝技术时，采用市场法评估时需要利用企业间过往通过商业手段达成的许可费授权协议作为参照，来对比目前专利许可情况，进而计算出专利的许可费率。</w:t>
      </w:r>
    </w:p>
    <w:p w14:paraId="3D04893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当关键核心技术为寡头技术时，采用市场法评估时应当考虑在评估时点的状态酌情确定风险因素指标。以生物医药行业关键核心技术为例，生物医药行业关键核心技术许可主要是以预付款项+里程碑费+销售收入提成费的方式确定，许可费用确定时应当考虑该项技术转移时所处的阶段或受让方介入时期，即技术成药临床试验阶段和产品销售阶段。最后在所选择的阶段内企业间过往的许可费授权协议中的可比案例情况与该关键核心技术的各种差异因素进行分析、比较和调整。</w:t>
      </w:r>
    </w:p>
    <w:p w14:paraId="7211474A" w14:textId="5E611F38" w:rsidR="00A320E6" w:rsidRDefault="00B74663" w:rsidP="00AE0286">
      <w:pPr>
        <w:spacing w:line="360" w:lineRule="auto"/>
        <w:ind w:firstLineChars="200" w:firstLine="482"/>
        <w:rPr>
          <w:rFonts w:ascii="宋体" w:hAnsi="宋体" w:cs="宋体"/>
          <w:b/>
          <w:bCs/>
          <w:color w:val="000000"/>
          <w:sz w:val="24"/>
          <w:szCs w:val="24"/>
          <w:lang w:bidi="ar"/>
        </w:rPr>
      </w:pPr>
      <w:r w:rsidRPr="00B74663">
        <w:rPr>
          <w:rFonts w:ascii="宋体" w:hAnsi="宋体" w:cs="宋体" w:hint="eastAsia"/>
          <w:b/>
          <w:bCs/>
          <w:color w:val="000000"/>
          <w:sz w:val="24"/>
          <w:szCs w:val="24"/>
          <w:lang w:bidi="ar"/>
        </w:rPr>
        <w:t>第四十九条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采用市场法进行关键核心技术资产评估时，应当收集足够的可比实例。收集可比实例的信息一般包括：</w:t>
      </w:r>
    </w:p>
    <w:p w14:paraId="1BE8DE31"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（一）可比实例的基本状况，主要有：名称、研发完成时间、许可使用期限、技术特点、实施企业情况等；</w:t>
      </w:r>
    </w:p>
    <w:p w14:paraId="4FA0BE77"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（二）许可日期；</w:t>
      </w:r>
    </w:p>
    <w:p w14:paraId="64B7ABB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lastRenderedPageBreak/>
        <w:t>（三）许可使用费率，许可使用费总费率、里程碑阶段内的许可使用费总费率及许可使用费率计价方式；</w:t>
      </w:r>
    </w:p>
    <w:p w14:paraId="7542F560"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（四）付款方式；</w:t>
      </w:r>
    </w:p>
    <w:p w14:paraId="24CC4DA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（五）许可情况，主要有许可目的、许可方式、税费负担方式、许可方与被许可方之间的特殊利害关系、特殊许可动机等。</w:t>
      </w:r>
    </w:p>
    <w:p w14:paraId="4CCCAB9B" w14:textId="74BBDA6B" w:rsidR="00A320E6" w:rsidRDefault="00B74663" w:rsidP="00AE0286">
      <w:pPr>
        <w:spacing w:line="360" w:lineRule="auto"/>
        <w:ind w:firstLineChars="200" w:firstLine="482"/>
        <w:rPr>
          <w:rFonts w:ascii="宋体" w:hAnsi="宋体" w:cs="宋体"/>
          <w:color w:val="000000"/>
          <w:sz w:val="24"/>
          <w:szCs w:val="24"/>
          <w:lang w:bidi="ar"/>
        </w:rPr>
      </w:pPr>
      <w:r w:rsidRPr="00B74663">
        <w:rPr>
          <w:rFonts w:ascii="宋体" w:hAnsi="宋体" w:cs="宋体" w:hint="eastAsia"/>
          <w:b/>
          <w:bCs/>
          <w:color w:val="000000"/>
          <w:sz w:val="24"/>
          <w:szCs w:val="24"/>
          <w:lang w:bidi="ar"/>
        </w:rPr>
        <w:t>第五十条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采用市场法进行关键核心技术资产评估时，用作参照的可比实例应当具备下列条件：</w:t>
      </w:r>
    </w:p>
    <w:p w14:paraId="62E0374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（一）技术应用领域、技术有效性、技术成熟度、技术创新性、权利性质等方面与关键核心技术类似；</w:t>
      </w:r>
    </w:p>
    <w:p w14:paraId="4EB5235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（二）许可日期与评估基准日接近；</w:t>
      </w:r>
    </w:p>
    <w:p w14:paraId="161A83B3"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（三）许可类型与评估目的吻合；</w:t>
      </w:r>
    </w:p>
    <w:p w14:paraId="123B267F"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（四）许可使用费费率为正常许可使用费费率或者可修正为正常许可使用费费率。</w:t>
      </w:r>
    </w:p>
    <w:p w14:paraId="0240A005" w14:textId="1F8F3D4D" w:rsidR="00A320E6" w:rsidRDefault="00B74663" w:rsidP="00AE0286">
      <w:pPr>
        <w:spacing w:line="360" w:lineRule="auto"/>
        <w:ind w:firstLineChars="200" w:firstLine="482"/>
        <w:rPr>
          <w:rFonts w:ascii="宋体" w:hAnsi="宋体" w:cs="宋体"/>
          <w:color w:val="000000"/>
          <w:sz w:val="24"/>
          <w:szCs w:val="24"/>
          <w:lang w:bidi="ar"/>
        </w:rPr>
      </w:pPr>
      <w:r w:rsidRPr="00B74663">
        <w:rPr>
          <w:rFonts w:ascii="宋体" w:hAnsi="宋体" w:cs="宋体" w:hint="eastAsia"/>
          <w:b/>
          <w:bCs/>
          <w:color w:val="000000"/>
          <w:sz w:val="24"/>
          <w:szCs w:val="24"/>
          <w:lang w:bidi="ar"/>
        </w:rPr>
        <w:t>第五十一条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采用市场法进行关键核心技术资产评估时，应当进行许可使用情况修正、许可日期修正和关键核心技术状况修正。</w:t>
      </w:r>
    </w:p>
    <w:p w14:paraId="0447970B"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许可使用情况修正是将参照物实际许可使用情况下的许可使用费费率修正为正常许可使用费费率。交易日期修正是将可比实例许可日期的许可使用费费率修正为评估基准日的许可使用费费率。关键核心技术状况修正是将可比实例状况下的许可使用费费率修正为关键核心技术状况下的许可使用费费率，可以分为应用领域状况修正、权益状况修正和技术特点状况修正。</w:t>
      </w:r>
    </w:p>
    <w:p w14:paraId="497A2F74" w14:textId="59987810" w:rsidR="00A320E6" w:rsidRDefault="00B74663" w:rsidP="00AE0286">
      <w:pPr>
        <w:spacing w:line="360" w:lineRule="auto"/>
        <w:ind w:firstLineChars="200" w:firstLine="482"/>
        <w:rPr>
          <w:rFonts w:ascii="宋体" w:hAnsi="宋体" w:cs="宋体"/>
          <w:color w:val="000000"/>
          <w:sz w:val="24"/>
          <w:szCs w:val="24"/>
          <w:lang w:bidi="ar"/>
        </w:rPr>
      </w:pPr>
      <w:r w:rsidRPr="00B74663">
        <w:rPr>
          <w:rFonts w:ascii="宋体" w:hAnsi="宋体" w:cs="宋体" w:hint="eastAsia"/>
          <w:b/>
          <w:bCs/>
          <w:color w:val="000000"/>
          <w:sz w:val="24"/>
          <w:szCs w:val="24"/>
          <w:lang w:bidi="ar"/>
        </w:rPr>
        <w:t>第五十二条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采用成本法进行关键核心技术资产评估时，应当合理确定关键核心技术的重置成本。重置成本包括直接成本、间接费用、合理的利润及相关的税费等。</w:t>
      </w:r>
    </w:p>
    <w:p w14:paraId="6F7B5749" w14:textId="56B9C156"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bCs/>
          <w:color w:val="000000"/>
          <w:sz w:val="24"/>
          <w:szCs w:val="24"/>
          <w:lang w:bidi="ar"/>
        </w:rPr>
        <w:t>第五十三条</w:t>
      </w:r>
      <w:r w:rsidR="00C36EF7">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采用成本法进行关键核心技术资产评估时，应当合理确定贬值。</w:t>
      </w:r>
    </w:p>
    <w:p w14:paraId="69D07A7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第五章披露要求</w:t>
      </w:r>
    </w:p>
    <w:p w14:paraId="7DF7E7B2" w14:textId="4FAB7ED5" w:rsidR="00A320E6" w:rsidRDefault="00B74663" w:rsidP="00AE0286">
      <w:pPr>
        <w:spacing w:line="360" w:lineRule="auto"/>
        <w:ind w:firstLineChars="200" w:firstLine="482"/>
        <w:rPr>
          <w:rFonts w:ascii="宋体" w:hAnsi="宋体" w:cs="宋体"/>
          <w:sz w:val="24"/>
          <w:szCs w:val="24"/>
        </w:rPr>
      </w:pPr>
      <w:r w:rsidRPr="00B74663">
        <w:rPr>
          <w:rFonts w:ascii="宋体" w:hAnsi="宋体" w:cs="宋体" w:hint="eastAsia"/>
          <w:b/>
          <w:bCs/>
          <w:color w:val="000000"/>
          <w:sz w:val="24"/>
          <w:szCs w:val="24"/>
          <w:lang w:bidi="ar"/>
        </w:rPr>
        <w:t>第五十四条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编制关键核心技术资产评估报告应当反映关键核心技术的特点，通常包括下列内容：</w:t>
      </w:r>
    </w:p>
    <w:p w14:paraId="2A80932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（一）评估对象的详细情况，通常包括关键核心技术的权利属性、使用权具体形式、法律状态等；</w:t>
      </w:r>
    </w:p>
    <w:p w14:paraId="2199D978"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（二）关键核心技术的技术状况和实施状况；</w:t>
      </w:r>
    </w:p>
    <w:p w14:paraId="2638A11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lastRenderedPageBreak/>
        <w:t>（三）对影响关键核心技术资产的法律因素、技术因素、经济因素的分析过程；</w:t>
      </w:r>
    </w:p>
    <w:p w14:paraId="6587E62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（四）关键核心技术的实施经营条件；</w:t>
      </w:r>
    </w:p>
    <w:p w14:paraId="29959CB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（五）使用的评估假设和限制条件；</w:t>
      </w:r>
    </w:p>
    <w:p w14:paraId="6BA91E6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（六）关键核心技术许可、转让、诉讼、无效请求及质押情况；</w:t>
      </w:r>
    </w:p>
    <w:p w14:paraId="5200F33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（七）有关评估方法的主要内容，包括评估方法的选取及其理由，评估方法中的运算和逻辑推理方式，各重要参数的来源、分析、比较与测算过程，对测算结果进行分析并形成评估结论的过程；</w:t>
      </w:r>
    </w:p>
    <w:p w14:paraId="097E969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（八）其他必要信息。</w:t>
      </w:r>
    </w:p>
    <w:p w14:paraId="5864C985" w14:textId="77777777" w:rsidR="00A320E6" w:rsidRDefault="00000000" w:rsidP="00AE0286">
      <w:pPr>
        <w:spacing w:line="360" w:lineRule="auto"/>
        <w:ind w:firstLineChars="200" w:firstLine="482"/>
        <w:jc w:val="center"/>
        <w:rPr>
          <w:rFonts w:ascii="宋体" w:hAnsi="宋体" w:cs="宋体"/>
          <w:b/>
          <w:bCs/>
          <w:sz w:val="24"/>
          <w:szCs w:val="24"/>
        </w:rPr>
      </w:pPr>
      <w:r>
        <w:rPr>
          <w:rFonts w:ascii="宋体" w:hAnsi="宋体" w:cs="宋体" w:hint="eastAsia"/>
          <w:b/>
          <w:bCs/>
          <w:color w:val="000000"/>
          <w:sz w:val="24"/>
          <w:szCs w:val="24"/>
          <w:lang w:bidi="ar"/>
        </w:rPr>
        <w:t>第六章附则</w:t>
      </w:r>
    </w:p>
    <w:p w14:paraId="2D93CDE8" w14:textId="74B461F2" w:rsidR="00A320E6" w:rsidRDefault="00B74663" w:rsidP="00AE0286">
      <w:pPr>
        <w:pStyle w:val="15"/>
        <w:snapToGrid w:val="0"/>
        <w:spacing w:line="360" w:lineRule="auto"/>
        <w:ind w:firstLine="482"/>
        <w:rPr>
          <w:rFonts w:ascii="宋体" w:hAnsi="宋体" w:cs="宋体"/>
          <w:color w:val="000000"/>
          <w:sz w:val="24"/>
          <w:szCs w:val="24"/>
          <w:lang w:bidi="ar"/>
        </w:rPr>
      </w:pPr>
      <w:r w:rsidRPr="00B74663">
        <w:rPr>
          <w:rFonts w:ascii="宋体" w:hAnsi="宋体" w:cs="宋体" w:hint="eastAsia"/>
          <w:b/>
          <w:bCs/>
          <w:color w:val="000000"/>
          <w:sz w:val="24"/>
          <w:szCs w:val="24"/>
          <w:lang w:bidi="ar"/>
        </w:rPr>
        <w:t>第五十五条</w:t>
      </w:r>
      <w:r w:rsidR="00A45A13">
        <w:rPr>
          <w:rFonts w:ascii="宋体" w:hAnsi="宋体" w:cs="宋体" w:hint="eastAsia"/>
          <w:b/>
          <w:bCs/>
          <w:color w:val="000000"/>
          <w:sz w:val="24"/>
          <w:szCs w:val="24"/>
          <w:lang w:bidi="ar"/>
        </w:rPr>
        <w:t xml:space="preserve"> </w:t>
      </w:r>
      <w:r>
        <w:rPr>
          <w:rFonts w:ascii="宋体" w:hAnsi="宋体" w:cs="宋体" w:hint="eastAsia"/>
          <w:color w:val="000000"/>
          <w:sz w:val="24"/>
          <w:szCs w:val="24"/>
          <w:lang w:bidi="ar"/>
        </w:rPr>
        <w:t>本指导意见自年月日起施行。</w:t>
      </w:r>
    </w:p>
    <w:p w14:paraId="1A4F07EA" w14:textId="77777777" w:rsidR="00A320E6" w:rsidRDefault="00000000" w:rsidP="00AE0286">
      <w:pPr>
        <w:spacing w:line="360" w:lineRule="auto"/>
        <w:ind w:firstLineChars="200" w:firstLine="480"/>
        <w:rPr>
          <w:rFonts w:ascii="宋体" w:hAnsi="宋体" w:cs="宋体"/>
          <w:sz w:val="24"/>
          <w:szCs w:val="24"/>
        </w:rPr>
      </w:pPr>
      <w:bookmarkStart w:id="51" w:name="_Toc100831022"/>
      <w:r>
        <w:rPr>
          <w:rFonts w:ascii="宋体" w:hAnsi="宋体" w:cs="宋体" w:hint="eastAsia"/>
          <w:sz w:val="24"/>
          <w:szCs w:val="24"/>
        </w:rPr>
        <w:t>附</w:t>
      </w:r>
      <w:bookmarkEnd w:id="51"/>
    </w:p>
    <w:p w14:paraId="64EF4C2F" w14:textId="77777777" w:rsidR="00A320E6" w:rsidRDefault="00000000" w:rsidP="00AE0286">
      <w:pPr>
        <w:pStyle w:val="af"/>
        <w:widowControl w:val="0"/>
        <w:spacing w:line="360" w:lineRule="auto"/>
        <w:ind w:firstLine="480"/>
        <w:rPr>
          <w:rFonts w:hAnsi="宋体" w:cs="宋体"/>
          <w:sz w:val="24"/>
          <w:szCs w:val="24"/>
        </w:rPr>
      </w:pPr>
      <w:bookmarkStart w:id="52" w:name="_Toc100831023"/>
      <w:r>
        <w:rPr>
          <w:rFonts w:hAnsi="宋体" w:cs="宋体" w:hint="eastAsia"/>
          <w:sz w:val="24"/>
          <w:szCs w:val="24"/>
        </w:rPr>
        <w:t>相关资料</w:t>
      </w:r>
      <w:bookmarkEnd w:id="52"/>
    </w:p>
    <w:p w14:paraId="4B4A9F69" w14:textId="77777777" w:rsidR="00A320E6" w:rsidRDefault="00000000" w:rsidP="00AE0286">
      <w:pPr>
        <w:pStyle w:val="af"/>
        <w:widowControl w:val="0"/>
        <w:spacing w:line="360" w:lineRule="auto"/>
        <w:ind w:firstLine="480"/>
        <w:rPr>
          <w:rFonts w:hAnsi="宋体" w:cs="宋体"/>
          <w:color w:val="000000"/>
          <w:kern w:val="2"/>
          <w:sz w:val="24"/>
          <w:szCs w:val="24"/>
          <w:lang w:bidi="ar"/>
        </w:rPr>
      </w:pPr>
      <w:r>
        <w:rPr>
          <w:rFonts w:hAnsi="宋体" w:cs="宋体" w:hint="eastAsia"/>
          <w:color w:val="000000"/>
          <w:kern w:val="2"/>
          <w:sz w:val="24"/>
          <w:szCs w:val="24"/>
          <w:lang w:bidi="ar"/>
        </w:rPr>
        <w:t>一、名词解释</w:t>
      </w:r>
    </w:p>
    <w:p w14:paraId="08D24E0C" w14:textId="77777777" w:rsidR="00A320E6" w:rsidRDefault="00000000" w:rsidP="00AE0286">
      <w:pPr>
        <w:pStyle w:val="af"/>
        <w:widowControl w:val="0"/>
        <w:numPr>
          <w:ilvl w:val="255"/>
          <w:numId w:val="0"/>
        </w:numPr>
        <w:spacing w:line="360" w:lineRule="auto"/>
        <w:ind w:firstLineChars="200" w:firstLine="480"/>
        <w:rPr>
          <w:rFonts w:hAnsi="宋体" w:cs="宋体"/>
          <w:color w:val="000000"/>
          <w:sz w:val="24"/>
          <w:szCs w:val="24"/>
          <w:lang w:bidi="ar"/>
        </w:rPr>
      </w:pPr>
      <w:r>
        <w:rPr>
          <w:rFonts w:hAnsi="宋体" w:cs="宋体" w:hint="eastAsia"/>
          <w:color w:val="000000"/>
          <w:kern w:val="2"/>
          <w:sz w:val="24"/>
          <w:szCs w:val="24"/>
          <w:lang w:bidi="ar"/>
        </w:rPr>
        <w:t>蜂窝技术：本指导意见认为蜂窝技术</w:t>
      </w:r>
      <w:r>
        <w:rPr>
          <w:rFonts w:hAnsi="宋体" w:cs="宋体" w:hint="eastAsia"/>
          <w:color w:val="000000"/>
          <w:sz w:val="24"/>
          <w:szCs w:val="24"/>
          <w:lang w:bidi="ar"/>
        </w:rPr>
        <w:t>由专利包或专利群的方式对产品技术进行严密保护的关键核心技术，例如5G标准必要专利。</w:t>
      </w:r>
    </w:p>
    <w:p w14:paraId="0708E01B" w14:textId="77777777" w:rsidR="00A320E6" w:rsidRDefault="00000000" w:rsidP="00AE0286">
      <w:pPr>
        <w:pStyle w:val="af"/>
        <w:widowControl w:val="0"/>
        <w:numPr>
          <w:ilvl w:val="255"/>
          <w:numId w:val="0"/>
        </w:numPr>
        <w:spacing w:line="360" w:lineRule="auto"/>
        <w:ind w:firstLineChars="200" w:firstLine="480"/>
        <w:rPr>
          <w:rFonts w:hAnsi="宋体" w:cs="宋体"/>
          <w:color w:val="000000"/>
          <w:kern w:val="2"/>
          <w:sz w:val="24"/>
          <w:szCs w:val="24"/>
          <w:lang w:bidi="ar"/>
        </w:rPr>
      </w:pPr>
      <w:r>
        <w:rPr>
          <w:rFonts w:hAnsi="宋体" w:cs="宋体" w:hint="eastAsia"/>
          <w:color w:val="000000"/>
          <w:sz w:val="24"/>
          <w:szCs w:val="24"/>
          <w:lang w:bidi="ar"/>
        </w:rPr>
        <w:t>寡头技术：</w:t>
      </w:r>
      <w:r>
        <w:rPr>
          <w:rFonts w:hAnsi="宋体" w:cs="宋体" w:hint="eastAsia"/>
          <w:color w:val="000000"/>
          <w:kern w:val="2"/>
          <w:sz w:val="24"/>
          <w:szCs w:val="24"/>
          <w:lang w:bidi="ar"/>
        </w:rPr>
        <w:t>本指导意见认为</w:t>
      </w:r>
      <w:r>
        <w:rPr>
          <w:rFonts w:hAnsi="宋体" w:cs="宋体" w:hint="eastAsia"/>
          <w:color w:val="000000"/>
          <w:sz w:val="24"/>
          <w:szCs w:val="24"/>
          <w:lang w:bidi="ar"/>
        </w:rPr>
        <w:t>由少数几个关键专利对产品技术进行保护的关键核心技术。例如生物医药技术专利。</w:t>
      </w:r>
    </w:p>
    <w:p w14:paraId="7A8A12B1" w14:textId="77777777" w:rsidR="00A320E6" w:rsidRDefault="00000000" w:rsidP="00AE0286">
      <w:pPr>
        <w:pStyle w:val="af"/>
        <w:widowControl w:val="0"/>
        <w:numPr>
          <w:ilvl w:val="255"/>
          <w:numId w:val="0"/>
        </w:numPr>
        <w:spacing w:line="360" w:lineRule="auto"/>
        <w:ind w:firstLineChars="200" w:firstLine="480"/>
        <w:rPr>
          <w:rFonts w:hAnsi="宋体" w:cs="宋体"/>
          <w:color w:val="000000"/>
          <w:sz w:val="24"/>
          <w:szCs w:val="24"/>
        </w:rPr>
      </w:pPr>
      <w:r>
        <w:rPr>
          <w:rFonts w:hAnsi="宋体" w:cs="宋体" w:hint="eastAsia"/>
          <w:color w:val="000000"/>
          <w:sz w:val="24"/>
          <w:szCs w:val="24"/>
          <w:lang w:bidi="ar"/>
        </w:rPr>
        <w:t>3GPP标准：基于GSMMAP核心网</w:t>
      </w:r>
      <w:r>
        <w:rPr>
          <w:rFonts w:hAnsi="宋体" w:cs="宋体" w:hint="eastAsia"/>
          <w:color w:val="333333"/>
          <w:sz w:val="24"/>
          <w:szCs w:val="24"/>
          <w:lang w:bidi="ar"/>
        </w:rPr>
        <w:t>，以WCDMA为无线接口制定第三代移动通信标准，同时负责在无线接口上定义与ANSl-41核心网兼容的协议。</w:t>
      </w:r>
    </w:p>
    <w:p w14:paraId="1DFC1AEC" w14:textId="77777777" w:rsidR="00A320E6" w:rsidRDefault="00000000" w:rsidP="00AE0286">
      <w:pPr>
        <w:pStyle w:val="af"/>
        <w:widowControl w:val="0"/>
        <w:spacing w:line="360" w:lineRule="auto"/>
        <w:ind w:firstLine="480"/>
        <w:rPr>
          <w:rFonts w:hAnsi="宋体" w:cs="宋体"/>
          <w:color w:val="000000"/>
          <w:kern w:val="2"/>
          <w:sz w:val="24"/>
          <w:szCs w:val="24"/>
          <w:lang w:bidi="ar"/>
        </w:rPr>
      </w:pPr>
      <w:r>
        <w:rPr>
          <w:rFonts w:hAnsi="宋体" w:cs="宋体" w:hint="eastAsia"/>
          <w:color w:val="000000"/>
          <w:kern w:val="2"/>
          <w:sz w:val="24"/>
          <w:szCs w:val="24"/>
          <w:lang w:bidi="ar"/>
        </w:rPr>
        <w:t>二、</w:t>
      </w:r>
      <w:r>
        <w:rPr>
          <w:rFonts w:hAnsi="宋体" w:cs="宋体" w:hint="eastAsia"/>
          <w:color w:val="000000"/>
          <w:sz w:val="24"/>
          <w:szCs w:val="24"/>
          <w:lang w:bidi="ar"/>
        </w:rPr>
        <w:t>标准必要专利的中国费率计算实例</w:t>
      </w:r>
    </w:p>
    <w:p w14:paraId="6BA184B5"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以中国5G市场为例，根据自上而下法，5G标准必要专利的中国费率的计算公式为：</w:t>
      </w:r>
    </w:p>
    <w:p w14:paraId="2E6CFDB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单族专利的中国费率=5G标准必要专利在中国的行业累积费率×单族专利的贡献占比</w:t>
      </w:r>
    </w:p>
    <w:p w14:paraId="264DB63D"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其中，行业累积费率可以理解为一部通信设备所能承载的该标准相关技术专利的最大价值占该通信设备价格的比例，5G标准在中国的行业累积费率可以借鉴类似2G、3G、4G标准的确定方法，用5G标准公认的全球累积费率乘以产品在中国市场上的价值占比折算得到。</w:t>
      </w:r>
    </w:p>
    <w:p w14:paraId="0E54FF74" w14:textId="77777777" w:rsidR="00A320E6" w:rsidRDefault="00000000" w:rsidP="00AE0286">
      <w:pPr>
        <w:numPr>
          <w:ilvl w:val="255"/>
          <w:numId w:val="0"/>
        </w:num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三、技术转移时所处的阶段或受让方介入时期</w:t>
      </w:r>
    </w:p>
    <w:p w14:paraId="6DD8CEF1"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lastRenderedPageBreak/>
        <w:t>以中国生物医药市场为例，新药研发项目可以归结成三个阶段:临床前研究阶段、临床研究阶段、创新药注册后阶段。</w:t>
      </w:r>
    </w:p>
    <w:p w14:paraId="3187F088"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其中，临床前研究阶段包括靶点发现阶段、新药发现阶段、临床前研究阶段、IND审批排队阶段；</w:t>
      </w:r>
    </w:p>
    <w:p w14:paraId="47236A59"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临床研究阶段包括临床研究阶段临床I期、临床Ⅱ期、临床Ⅲ期。</w:t>
      </w:r>
    </w:p>
    <w:p w14:paraId="34B3A31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color w:val="000000"/>
          <w:sz w:val="24"/>
          <w:szCs w:val="24"/>
          <w:lang w:bidi="ar"/>
        </w:rPr>
        <w:t>四、里程碑款相关说明</w:t>
      </w:r>
    </w:p>
    <w:p w14:paraId="6A854DA6"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以中国生物医药市场为例，研发注册里程碑款可于许可产品在中国境内进入临床试验阶段、许可产品在中国境内提交上市注册申请、许可产品在中国境内获批上市等时点分别支付。销售里程碑款于许可产品在中国境内年度净销售额首次超过特定销售金额时支付。</w:t>
      </w:r>
    </w:p>
    <w:p w14:paraId="1700C966" w14:textId="77777777" w:rsidR="00A320E6" w:rsidRDefault="00000000" w:rsidP="00AE0286">
      <w:pPr>
        <w:pStyle w:val="a5"/>
        <w:spacing w:line="360" w:lineRule="auto"/>
        <w:ind w:left="0" w:firstLineChars="200" w:firstLine="480"/>
        <w:jc w:val="both"/>
        <w:rPr>
          <w:color w:val="000000"/>
          <w:lang w:bidi="ar"/>
        </w:rPr>
      </w:pPr>
      <w:r>
        <w:rPr>
          <w:rFonts w:hint="eastAsia"/>
          <w:color w:val="000000"/>
          <w:lang w:bidi="ar"/>
        </w:rPr>
        <w:t>五、市场法评估中需调整修正的指标</w:t>
      </w:r>
    </w:p>
    <w:p w14:paraId="143B1DB5"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以中国生物医药市场为例，市场法评估中需调整修正的指标包括：</w:t>
      </w:r>
    </w:p>
    <w:p w14:paraId="3AEF5F74"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（一）技术因素方面的指标：技术安全性、药物有效性、药物适用症、技术成熟度、技术创新性、技术复杂性；</w:t>
      </w:r>
    </w:p>
    <w:p w14:paraId="0C2DAF8C"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（二）经济因素方面的指标：预期销售收入、销售成本、经济利润、研发成本；</w:t>
      </w:r>
    </w:p>
    <w:p w14:paraId="4FB44F7F"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（三）市场因素方面的指标：市场规模情况、市场占有率、竞争情况、可替代技术的价格；</w:t>
      </w:r>
    </w:p>
    <w:p w14:paraId="535A9978" w14:textId="77777777" w:rsidR="00A320E6" w:rsidRDefault="00000000" w:rsidP="00AE0286">
      <w:pPr>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（四）法律因素方面的指标：法律权属状态、技术所属领域、专利保护范围、专利有效期限；</w:t>
      </w:r>
    </w:p>
    <w:p w14:paraId="55BE84BB" w14:textId="77777777" w:rsidR="00A320E6" w:rsidRDefault="00000000" w:rsidP="00AE0286">
      <w:pPr>
        <w:snapToGrid w:val="0"/>
        <w:spacing w:line="360" w:lineRule="auto"/>
        <w:ind w:firstLineChars="200" w:firstLine="480"/>
        <w:rPr>
          <w:rFonts w:ascii="宋体" w:hAnsi="宋体" w:cs="宋体"/>
          <w:color w:val="000000"/>
          <w:sz w:val="24"/>
          <w:szCs w:val="24"/>
          <w:lang w:bidi="ar"/>
        </w:rPr>
      </w:pPr>
      <w:r>
        <w:rPr>
          <w:rFonts w:ascii="宋体" w:hAnsi="宋体" w:cs="宋体" w:hint="eastAsia"/>
          <w:color w:val="000000"/>
          <w:sz w:val="24"/>
          <w:szCs w:val="24"/>
          <w:lang w:bidi="ar"/>
        </w:rPr>
        <w:t>（五）风险因素方面的指标：技术风险、市场风险、经济风险。</w:t>
      </w:r>
    </w:p>
    <w:p w14:paraId="08F6E89B" w14:textId="77777777" w:rsidR="00A320E6" w:rsidRDefault="00000000" w:rsidP="00EC761E">
      <w:pPr>
        <w:pStyle w:val="27"/>
        <w:rPr>
          <w:lang w:eastAsia="zh-Hans"/>
        </w:rPr>
      </w:pPr>
      <w:bookmarkStart w:id="53" w:name="_Toc112227361"/>
      <w:r>
        <w:rPr>
          <w:rFonts w:hint="eastAsia"/>
        </w:rPr>
        <w:t>监管机构-</w:t>
      </w:r>
      <w:r>
        <w:rPr>
          <w:rFonts w:hint="eastAsia"/>
          <w:lang w:eastAsia="zh-Hans"/>
        </w:rPr>
        <w:t>证监会</w:t>
      </w:r>
      <w:bookmarkEnd w:id="53"/>
    </w:p>
    <w:p w14:paraId="034640A7" w14:textId="77777777" w:rsidR="00A320E6" w:rsidRDefault="00000000" w:rsidP="00B40F35">
      <w:pPr>
        <w:spacing w:beforeLines="50" w:before="156" w:afterLines="20" w:after="62" w:line="360" w:lineRule="auto"/>
        <w:jc w:val="center"/>
        <w:outlineLvl w:val="2"/>
        <w:rPr>
          <w:rFonts w:ascii="宋体" w:hAnsi="宋体" w:cs="宋体"/>
          <w:b/>
          <w:bCs/>
          <w:sz w:val="24"/>
          <w:lang w:eastAsia="zh-Hans"/>
        </w:rPr>
      </w:pPr>
      <w:bookmarkStart w:id="54" w:name="_Toc112227362"/>
      <w:r>
        <w:rPr>
          <w:rFonts w:ascii="宋体" w:hAnsi="宋体" w:cs="宋体" w:hint="eastAsia"/>
          <w:b/>
          <w:bCs/>
          <w:sz w:val="24"/>
          <w:szCs w:val="24"/>
          <w:lang w:eastAsia="zh-Hans"/>
        </w:rPr>
        <w:t>证券服务机构从事</w:t>
      </w:r>
      <w:r w:rsidRPr="00944A38">
        <w:rPr>
          <w:rFonts w:ascii="宋体" w:hAnsi="宋体" w:cs="宋体" w:hint="eastAsia"/>
          <w:b/>
          <w:bCs/>
          <w:color w:val="000000"/>
          <w:kern w:val="0"/>
          <w:sz w:val="24"/>
          <w:szCs w:val="24"/>
          <w:lang w:bidi="ar"/>
        </w:rPr>
        <w:t>证券</w:t>
      </w:r>
      <w:r>
        <w:rPr>
          <w:rFonts w:ascii="宋体" w:hAnsi="宋体" w:cs="宋体" w:hint="eastAsia"/>
          <w:b/>
          <w:bCs/>
          <w:sz w:val="24"/>
          <w:szCs w:val="24"/>
          <w:lang w:eastAsia="zh-Hans"/>
        </w:rPr>
        <w:t>服务业务备案管理规定</w:t>
      </w:r>
      <w:bookmarkEnd w:id="54"/>
    </w:p>
    <w:p w14:paraId="392AFEF1" w14:textId="76210061" w:rsidR="00A320E6" w:rsidRDefault="00A45A13" w:rsidP="00AE0286">
      <w:pPr>
        <w:pStyle w:val="a3"/>
        <w:spacing w:line="360" w:lineRule="auto"/>
        <w:ind w:firstLine="482"/>
        <w:rPr>
          <w:rFonts w:ascii="宋体" w:hAnsi="宋体" w:cs="宋体"/>
          <w:sz w:val="24"/>
          <w:lang w:eastAsia="zh-Hans"/>
        </w:rPr>
      </w:pPr>
      <w:r w:rsidRPr="00A45A13">
        <w:rPr>
          <w:rFonts w:ascii="宋体" w:hAnsi="宋体" w:cs="宋体" w:hint="eastAsia"/>
          <w:b/>
          <w:sz w:val="24"/>
          <w:lang w:eastAsia="zh-Hans"/>
        </w:rPr>
        <w:t>第一条</w:t>
      </w:r>
      <w:r w:rsidR="00C36EF7">
        <w:rPr>
          <w:rFonts w:ascii="宋体" w:hAnsi="宋体" w:cs="宋体" w:hint="eastAsia"/>
          <w:sz w:val="24"/>
          <w:lang w:eastAsia="zh-Hans"/>
        </w:rPr>
        <w:t xml:space="preserve"> </w:t>
      </w:r>
      <w:r>
        <w:rPr>
          <w:rFonts w:ascii="宋体" w:hAnsi="宋体" w:cs="宋体" w:hint="eastAsia"/>
          <w:sz w:val="24"/>
          <w:lang w:eastAsia="zh-Hans"/>
        </w:rPr>
        <w:t>为加强对证券服务机构从事证券服务业务活动的监督管理，规范证券服务机构从事证券服务业务向中国证券监督管理委员会（以下简称中国证监会）和国务院有关主管部门备案的行为，维护证券市场秩序，根据《证券法》，制定本规定。</w:t>
      </w:r>
    </w:p>
    <w:p w14:paraId="418326D7" w14:textId="00162451" w:rsidR="00A320E6" w:rsidRDefault="00A45A13" w:rsidP="00AE0286">
      <w:pPr>
        <w:pStyle w:val="a3"/>
        <w:spacing w:line="360" w:lineRule="auto"/>
        <w:ind w:firstLine="482"/>
        <w:rPr>
          <w:rFonts w:ascii="宋体" w:hAnsi="宋体" w:cs="宋体"/>
          <w:sz w:val="24"/>
          <w:lang w:eastAsia="zh-Hans"/>
        </w:rPr>
      </w:pPr>
      <w:r w:rsidRPr="00A45A13">
        <w:rPr>
          <w:rFonts w:ascii="宋体" w:hAnsi="宋体" w:cs="宋体" w:hint="eastAsia"/>
          <w:b/>
          <w:sz w:val="24"/>
          <w:lang w:eastAsia="zh-Hans"/>
        </w:rPr>
        <w:t>第二条</w:t>
      </w:r>
      <w:r w:rsidR="00C36EF7">
        <w:rPr>
          <w:rFonts w:ascii="宋体" w:hAnsi="宋体" w:cs="宋体" w:hint="eastAsia"/>
          <w:sz w:val="24"/>
          <w:lang w:eastAsia="zh-Hans"/>
        </w:rPr>
        <w:t xml:space="preserve"> </w:t>
      </w:r>
      <w:r>
        <w:rPr>
          <w:rFonts w:ascii="宋体" w:hAnsi="宋体" w:cs="宋体" w:hint="eastAsia"/>
          <w:sz w:val="24"/>
          <w:lang w:eastAsia="zh-Hans"/>
        </w:rPr>
        <w:t>证券服务机构从事证券服务业务应当按照本规定备案。</w:t>
      </w:r>
    </w:p>
    <w:p w14:paraId="5F75D4E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本规定所称证券服务机构，是指会计师事务所、律师事务所以及从事资产评估、资信评级、财务顾问、信息技术系统服务的证券服务机构。</w:t>
      </w:r>
    </w:p>
    <w:p w14:paraId="46768B99" w14:textId="4E8F5CA4" w:rsidR="00A320E6" w:rsidRDefault="00A45A13" w:rsidP="00AE0286">
      <w:pPr>
        <w:pStyle w:val="a3"/>
        <w:spacing w:line="360" w:lineRule="auto"/>
        <w:ind w:firstLine="482"/>
        <w:rPr>
          <w:rFonts w:ascii="宋体" w:hAnsi="宋体" w:cs="宋体"/>
          <w:sz w:val="24"/>
          <w:lang w:eastAsia="zh-Hans"/>
        </w:rPr>
      </w:pPr>
      <w:r w:rsidRPr="00A45A13">
        <w:rPr>
          <w:rFonts w:ascii="宋体" w:hAnsi="宋体" w:cs="宋体" w:hint="eastAsia"/>
          <w:b/>
          <w:sz w:val="24"/>
          <w:lang w:eastAsia="zh-Hans"/>
        </w:rPr>
        <w:t>第三条</w:t>
      </w:r>
      <w:r w:rsidR="00C36EF7">
        <w:rPr>
          <w:rFonts w:ascii="宋体" w:hAnsi="宋体" w:cs="宋体" w:hint="eastAsia"/>
          <w:sz w:val="24"/>
          <w:lang w:eastAsia="zh-Hans"/>
        </w:rPr>
        <w:t xml:space="preserve"> </w:t>
      </w:r>
      <w:r>
        <w:rPr>
          <w:rFonts w:ascii="宋体" w:hAnsi="宋体" w:cs="宋体" w:hint="eastAsia"/>
          <w:sz w:val="24"/>
          <w:lang w:eastAsia="zh-Hans"/>
        </w:rPr>
        <w:t>中国证监会和国务院有关主管部门依法对证券服务机构从事证券服务</w:t>
      </w:r>
      <w:r>
        <w:rPr>
          <w:rFonts w:ascii="宋体" w:hAnsi="宋体" w:cs="宋体" w:hint="eastAsia"/>
          <w:sz w:val="24"/>
          <w:lang w:eastAsia="zh-Hans"/>
        </w:rPr>
        <w:lastRenderedPageBreak/>
        <w:t>业务的备案行为实施监督管理。</w:t>
      </w:r>
    </w:p>
    <w:p w14:paraId="4CD63D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中国证监会和国务院有关主管部门为证券服务机构从事证券服务业务备案，不代表对证券服务机构执业能力的认可。</w:t>
      </w:r>
    </w:p>
    <w:p w14:paraId="52139D85" w14:textId="1E0ADD7F" w:rsidR="00A320E6" w:rsidRDefault="00A45A13" w:rsidP="00AE0286">
      <w:pPr>
        <w:pStyle w:val="a3"/>
        <w:spacing w:line="360" w:lineRule="auto"/>
        <w:ind w:firstLine="482"/>
        <w:rPr>
          <w:rFonts w:ascii="宋体" w:hAnsi="宋体" w:cs="宋体"/>
          <w:sz w:val="24"/>
          <w:lang w:eastAsia="zh-Hans"/>
        </w:rPr>
      </w:pPr>
      <w:r w:rsidRPr="00A45A13">
        <w:rPr>
          <w:rFonts w:ascii="宋体" w:hAnsi="宋体" w:cs="宋体" w:hint="eastAsia"/>
          <w:b/>
          <w:sz w:val="24"/>
          <w:lang w:eastAsia="zh-Hans"/>
        </w:rPr>
        <w:t>第四条</w:t>
      </w:r>
      <w:r>
        <w:rPr>
          <w:rFonts w:ascii="宋体" w:hAnsi="宋体" w:cs="宋体" w:hint="eastAsia"/>
          <w:sz w:val="24"/>
          <w:lang w:eastAsia="zh-Hans"/>
        </w:rPr>
        <w:t xml:space="preserve"> 会计师事务所从事下列证券服务业务，应当按照本规定向中国证监会和国务院有关主管部门备案：</w:t>
      </w:r>
    </w:p>
    <w:p w14:paraId="558ED6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为证券的发行、上市、挂牌、交易等证券业务活动制作、出具财务报表审计报告、内部控制审计报告、内部控制鉴证报告、验资报告、盈利预测审核报告，以及中国证监会和国务院有关主管部门规定的其他文件；</w:t>
      </w:r>
    </w:p>
    <w:p w14:paraId="63B594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（二）为证券公司及其资产管理产品制作、出具财务报表审计报告、内部控制审计报告、内部控制鉴证报告、验资报告、盈利预测审核报告，以及中国证监会和国务院有关主管部门规定的其他文件。</w:t>
      </w:r>
    </w:p>
    <w:p w14:paraId="481A302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会计师事务所参与前款第（一）项相关主体重要组成部分或者其控制的主体的审计，其审计对象的资产总额、营业收入中的一项达到前款第（一）项相关主体最近一期经审计合并财务报表对应项目金额百分之十五的，视同从事证券服务业务。</w:t>
      </w:r>
    </w:p>
    <w:p w14:paraId="2FB6EE90" w14:textId="060B2133"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第五条</w:t>
      </w:r>
      <w:r w:rsidR="00A45A13">
        <w:rPr>
          <w:rFonts w:ascii="宋体" w:hAnsi="宋体" w:cs="宋体" w:hint="eastAsia"/>
          <w:sz w:val="24"/>
          <w:lang w:eastAsia="zh-Hans"/>
        </w:rPr>
        <w:t xml:space="preserve"> </w:t>
      </w:r>
      <w:r>
        <w:rPr>
          <w:rFonts w:ascii="宋体" w:hAnsi="宋体" w:cs="宋体" w:hint="eastAsia"/>
          <w:sz w:val="24"/>
          <w:lang w:eastAsia="zh-Hans"/>
        </w:rPr>
        <w:t>律师事务所为下列证券活动提供证券服务业务，制作、出具法律意见书，应当按照本规定向中国证监会和国务院有关主管部门备案：</w:t>
      </w:r>
    </w:p>
    <w:p w14:paraId="17EAD7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（一）首次公开发行股票、存托凭证及上市；</w:t>
      </w:r>
    </w:p>
    <w:p w14:paraId="2753F3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（二）上市公司发行证券及上市；</w:t>
      </w:r>
    </w:p>
    <w:p w14:paraId="5AC2BF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（三）上市公司及非上市公众公司收购、重大资产重组及股份回购；</w:t>
      </w:r>
    </w:p>
    <w:p w14:paraId="7C2D95A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（四）上市公司合并、分立及分拆；</w:t>
      </w:r>
    </w:p>
    <w:p w14:paraId="7BD4677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（五）上市公司及非上市公众公司实行股权激励计划或者员工持股计划；</w:t>
      </w:r>
    </w:p>
    <w:p w14:paraId="1E9120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（六）公开发行公司债券及上市交易；</w:t>
      </w:r>
    </w:p>
    <w:p w14:paraId="4089A5B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（七）境内企业直接或者间接到境外发行证券或者将其证券在境外上市交易（包括后续增发股份）；</w:t>
      </w:r>
    </w:p>
    <w:p w14:paraId="7BA74B9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（八）股份有限公司股票向特定对象转让导致股东累计超过200人，以及股份有限公司申请股票在全国中小企业股份转让系统挂牌并公开转让；</w:t>
      </w:r>
    </w:p>
    <w:p w14:paraId="5C0D136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（九）股份有限公司向特定对象发行股票导致股东累计超过200人，股东人数超过200人的非上市公众公司向特定对象发行股票，以及向不特定合格投资者公开发行股票。</w:t>
      </w:r>
    </w:p>
    <w:p w14:paraId="7CAE9EB3" w14:textId="18FEAA4E"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lastRenderedPageBreak/>
        <w:t>第六条</w:t>
      </w:r>
      <w:r w:rsidR="00A45A13">
        <w:rPr>
          <w:rFonts w:ascii="宋体" w:hAnsi="宋体" w:cs="宋体" w:hint="eastAsia"/>
          <w:sz w:val="24"/>
          <w:lang w:eastAsia="zh-Hans"/>
        </w:rPr>
        <w:t xml:space="preserve"> </w:t>
      </w:r>
      <w:r>
        <w:rPr>
          <w:rFonts w:ascii="宋体" w:hAnsi="宋体" w:cs="宋体" w:hint="eastAsia"/>
          <w:sz w:val="24"/>
          <w:lang w:eastAsia="zh-Hans"/>
        </w:rPr>
        <w:t>资产评估机构从事下列证券服务业务，应当按照本规定向中国证监会和国务院有关主管部门备案：</w:t>
      </w:r>
    </w:p>
    <w:p w14:paraId="520B27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（一）为证券发行、上市、挂牌、交易的主体及其控制的主体、并购标的等制作、出具资产评估报告，以及中国证监会和国务院有关主管部门规定的其他文件；</w:t>
      </w:r>
    </w:p>
    <w:p w14:paraId="10E4DD8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（二）为证券公司及其资产管理产品制作、出具资产评估报告，以及中国证监会和国务院有关主管部门规定的其他文件。</w:t>
      </w:r>
    </w:p>
    <w:p w14:paraId="371387C5" w14:textId="5134F3AA"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第七条</w:t>
      </w:r>
      <w:r w:rsidR="00A45A13">
        <w:rPr>
          <w:rFonts w:ascii="宋体" w:hAnsi="宋体" w:cs="宋体" w:hint="eastAsia"/>
          <w:sz w:val="24"/>
          <w:lang w:eastAsia="zh-Hans"/>
        </w:rPr>
        <w:t xml:space="preserve"> </w:t>
      </w:r>
      <w:r>
        <w:rPr>
          <w:rFonts w:ascii="宋体" w:hAnsi="宋体" w:cs="宋体" w:hint="eastAsia"/>
          <w:sz w:val="24"/>
          <w:lang w:eastAsia="zh-Hans"/>
        </w:rPr>
        <w:t>资信评级机构从事下列证券服务业务，应当按照本规定向中国证监会备案：</w:t>
      </w:r>
    </w:p>
    <w:p w14:paraId="034C507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（一）为经中国证监会依法注册发行的债券、资产支持证券制作、出具资信评级报告及提供相关评级服务；</w:t>
      </w:r>
    </w:p>
    <w:p w14:paraId="21B856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（二）为在证券交易所、国务院批准的其他全国性证券交易场所等上市交易或者挂牌转让的债券、资产支持证券（国债除外）制作、出具资信评级报告及提供相关评级服务；</w:t>
      </w:r>
    </w:p>
    <w:p w14:paraId="37CFC2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（三）为本条第（一）项和第（二）项规定的证券的发行人、发起机构、上市公司、非上市公众公司、证券公司制作、出具资信评级报告及提供相关评级服务；</w:t>
      </w:r>
    </w:p>
    <w:p w14:paraId="3860407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（四）为中国证监会规定的其他评级对象制作、出具资信评级报告及提供相关评级服务。</w:t>
      </w:r>
    </w:p>
    <w:p w14:paraId="5F96683A" w14:textId="5581FEE1"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第八条</w:t>
      </w:r>
      <w:r w:rsidR="00A45A13">
        <w:rPr>
          <w:rFonts w:ascii="宋体" w:hAnsi="宋体" w:cs="宋体" w:hint="eastAsia"/>
          <w:sz w:val="24"/>
          <w:lang w:eastAsia="zh-Hans"/>
        </w:rPr>
        <w:t xml:space="preserve"> </w:t>
      </w:r>
      <w:r>
        <w:rPr>
          <w:rFonts w:ascii="宋体" w:hAnsi="宋体" w:cs="宋体" w:hint="eastAsia"/>
          <w:sz w:val="24"/>
          <w:lang w:eastAsia="zh-Hans"/>
        </w:rPr>
        <w:t>财务顾问机构为上市公司收购、重大资产重组、合并、分立、分拆、股份回购、激励事项等对上市公司股权结构、资产和负债、收入和利润等具有重大影响的相关事项提供方案设计、出具专业意见等证券服务业务的，应当按照本规定向中国证监会备案。</w:t>
      </w:r>
    </w:p>
    <w:p w14:paraId="28296618" w14:textId="0D0BFD35"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第九条</w:t>
      </w:r>
      <w:r w:rsidR="00A45A13">
        <w:rPr>
          <w:rFonts w:ascii="宋体" w:hAnsi="宋体" w:cs="宋体" w:hint="eastAsia"/>
          <w:sz w:val="24"/>
          <w:lang w:eastAsia="zh-Hans"/>
        </w:rPr>
        <w:t xml:space="preserve"> </w:t>
      </w:r>
      <w:r>
        <w:rPr>
          <w:rFonts w:ascii="宋体" w:hAnsi="宋体" w:cs="宋体" w:hint="eastAsia"/>
          <w:sz w:val="24"/>
          <w:lang w:eastAsia="zh-Hans"/>
        </w:rPr>
        <w:t>信息技术系统服务机构从事下列证券服务业务，应当按照本规定向中国证监会备案：</w:t>
      </w:r>
    </w:p>
    <w:p w14:paraId="573E65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（一）重要信息系统的开发、测试、集成及测评；</w:t>
      </w:r>
    </w:p>
    <w:p w14:paraId="0FBD8E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（二）重要信息系统的运维及日常安全管理。</w:t>
      </w:r>
    </w:p>
    <w:p w14:paraId="761D160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前款所称重要信息系统，是指支撑证券交易场所、证券登记结算机构等证券市场核心机构，证券经营机构和证券专项业务服务机构关键业务系统，出现异常将对证券市场和投资者产生重大影响的信息系统。</w:t>
      </w:r>
    </w:p>
    <w:p w14:paraId="54E41C62" w14:textId="77777777" w:rsidR="00A320E6" w:rsidRDefault="00000000" w:rsidP="00AE0286">
      <w:pPr>
        <w:pStyle w:val="a3"/>
        <w:numPr>
          <w:ilvl w:val="0"/>
          <w:numId w:val="2"/>
        </w:numPr>
        <w:spacing w:line="360" w:lineRule="auto"/>
        <w:ind w:firstLine="480"/>
        <w:rPr>
          <w:rFonts w:ascii="宋体" w:hAnsi="宋体" w:cs="宋体"/>
          <w:sz w:val="24"/>
          <w:lang w:eastAsia="zh-Hans"/>
        </w:rPr>
      </w:pPr>
      <w:r>
        <w:rPr>
          <w:rFonts w:ascii="宋体" w:hAnsi="宋体" w:cs="宋体" w:hint="eastAsia"/>
          <w:sz w:val="24"/>
          <w:lang w:eastAsia="zh-Hans"/>
        </w:rPr>
        <w:t xml:space="preserve">　证券服务机构首次从事证券服务业务，应当在签订服务协议之日起10</w:t>
      </w:r>
      <w:r>
        <w:rPr>
          <w:rFonts w:ascii="宋体" w:hAnsi="宋体" w:cs="宋体" w:hint="eastAsia"/>
          <w:sz w:val="24"/>
          <w:lang w:eastAsia="zh-Hans"/>
        </w:rPr>
        <w:lastRenderedPageBreak/>
        <w:t>个工作日内备案，报送下列材料：</w:t>
      </w:r>
    </w:p>
    <w:p w14:paraId="4E21BA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（一）证券服务机构备案表；</w:t>
      </w:r>
    </w:p>
    <w:p w14:paraId="7F0978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（二）证券服务机构营业执照、在行业主管部门取得的执业许可或者备案文件；</w:t>
      </w:r>
    </w:p>
    <w:p w14:paraId="295D37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证券服务机构及其依照本规定备案的从业人员因执业行为涉嫌违法违规被立案调查，或者被司法机关立案侦查，以及近三年因执业行为受到刑事处罚、行政处罚、监督管理措施、自律监管措施和纪律处分的情况；</w:t>
      </w:r>
    </w:p>
    <w:p w14:paraId="782F9D7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（四）中国证监会和国务院有关主管部门规定的其他材料。</w:t>
      </w:r>
    </w:p>
    <w:p w14:paraId="55B9596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证券服务机构首次从事证券服务业务的实际时间早于签订服务协议时间的，应当在实际从事证券服务业务之日起10个工作日内备案。</w:t>
      </w:r>
    </w:p>
    <w:p w14:paraId="42A725C6" w14:textId="7754AF28"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第十一条</w:t>
      </w:r>
      <w:r w:rsidR="00C36EF7">
        <w:rPr>
          <w:rFonts w:ascii="宋体" w:hAnsi="宋体" w:cs="宋体" w:hint="eastAsia"/>
          <w:sz w:val="24"/>
          <w:lang w:eastAsia="zh-Hans"/>
        </w:rPr>
        <w:t xml:space="preserve"> </w:t>
      </w:r>
      <w:r>
        <w:rPr>
          <w:rFonts w:ascii="宋体" w:hAnsi="宋体" w:cs="宋体" w:hint="eastAsia"/>
          <w:sz w:val="24"/>
          <w:lang w:eastAsia="zh-Hans"/>
        </w:rPr>
        <w:t>会计师事务所、资产评估机构从事证券服务业务首次备案，除了提交本规定</w:t>
      </w:r>
      <w:r w:rsidRPr="00952A96">
        <w:rPr>
          <w:rFonts w:ascii="宋体" w:hAnsi="宋体" w:cs="宋体" w:hint="eastAsia"/>
          <w:bCs/>
          <w:sz w:val="24"/>
          <w:lang w:eastAsia="zh-Hans"/>
        </w:rPr>
        <w:t>第十条</w:t>
      </w:r>
      <w:r>
        <w:rPr>
          <w:rFonts w:ascii="宋体" w:hAnsi="宋体" w:cs="宋体" w:hint="eastAsia"/>
          <w:sz w:val="24"/>
          <w:lang w:eastAsia="zh-Hans"/>
        </w:rPr>
        <w:t>规定的备案材料外，还应当提交下列材料：</w:t>
      </w:r>
    </w:p>
    <w:p w14:paraId="2160EB9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（一）从事证券服务业务质量控制制度等内部管理制度及执行情况说明；</w:t>
      </w:r>
    </w:p>
    <w:p w14:paraId="1E3B688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（二）截至备案上月末注册会计师、资产评估师情况；</w:t>
      </w:r>
    </w:p>
    <w:p w14:paraId="68251C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（三）截至备案上月末合伙人（股东）情况；</w:t>
      </w:r>
    </w:p>
    <w:p w14:paraId="72D047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（四）上一年度财务报表审计报告；</w:t>
      </w:r>
    </w:p>
    <w:p w14:paraId="3B49AE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（五）职业责任保险保单信息（如有）。</w:t>
      </w:r>
    </w:p>
    <w:p w14:paraId="14BA247A" w14:textId="06D08214" w:rsidR="00A320E6" w:rsidRDefault="00977BD5" w:rsidP="00AE0286">
      <w:pPr>
        <w:pStyle w:val="a3"/>
        <w:spacing w:line="360" w:lineRule="auto"/>
        <w:ind w:firstLine="482"/>
        <w:rPr>
          <w:rFonts w:ascii="宋体" w:hAnsi="宋体" w:cs="宋体"/>
          <w:sz w:val="24"/>
          <w:lang w:eastAsia="zh-Hans"/>
        </w:rPr>
      </w:pPr>
      <w:r w:rsidRPr="00977BD5">
        <w:rPr>
          <w:rFonts w:ascii="宋体" w:hAnsi="宋体" w:cs="宋体" w:hint="eastAsia"/>
          <w:b/>
          <w:sz w:val="24"/>
          <w:lang w:eastAsia="zh-Hans"/>
        </w:rPr>
        <w:t>第十二条</w:t>
      </w:r>
      <w:r w:rsidR="00C36EF7">
        <w:rPr>
          <w:rFonts w:ascii="宋体" w:hAnsi="宋体" w:cs="宋体" w:hint="eastAsia"/>
          <w:sz w:val="24"/>
          <w:lang w:eastAsia="zh-Hans"/>
        </w:rPr>
        <w:t xml:space="preserve"> </w:t>
      </w:r>
      <w:r>
        <w:rPr>
          <w:rFonts w:ascii="宋体" w:hAnsi="宋体" w:cs="宋体" w:hint="eastAsia"/>
          <w:sz w:val="24"/>
          <w:lang w:eastAsia="zh-Hans"/>
        </w:rPr>
        <w:t>律师事务所从事证券服务业务首次备案，除了提交本规定</w:t>
      </w:r>
      <w:r w:rsidRPr="00952A96">
        <w:rPr>
          <w:rFonts w:ascii="宋体" w:hAnsi="宋体" w:cs="宋体" w:hint="eastAsia"/>
          <w:bCs/>
          <w:sz w:val="24"/>
          <w:lang w:eastAsia="zh-Hans"/>
        </w:rPr>
        <w:t>第十条</w:t>
      </w:r>
      <w:r>
        <w:rPr>
          <w:rFonts w:ascii="宋体" w:hAnsi="宋体" w:cs="宋体" w:hint="eastAsia"/>
          <w:sz w:val="24"/>
          <w:lang w:eastAsia="zh-Hans"/>
        </w:rPr>
        <w:t>规定的备案材料外，还应当提交下列材料：</w:t>
      </w:r>
    </w:p>
    <w:p w14:paraId="44161A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（一）从事证券法律业务风险控制制度等内部管理制度；</w:t>
      </w:r>
    </w:p>
    <w:p w14:paraId="1EF864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（二）负责证券法律业务风险控制的人员配备情况；</w:t>
      </w:r>
    </w:p>
    <w:p w14:paraId="3A400ED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（三）截至备案上月末从事证券法律业务的合伙人、执业律师情况。</w:t>
      </w:r>
    </w:p>
    <w:p w14:paraId="468676C5" w14:textId="081AE627"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第十三条</w:t>
      </w:r>
      <w:r w:rsidR="00C36EF7">
        <w:rPr>
          <w:rFonts w:ascii="宋体" w:hAnsi="宋体" w:cs="宋体" w:hint="eastAsia"/>
          <w:sz w:val="24"/>
          <w:lang w:eastAsia="zh-Hans"/>
        </w:rPr>
        <w:t xml:space="preserve"> </w:t>
      </w:r>
      <w:r>
        <w:rPr>
          <w:rFonts w:ascii="宋体" w:hAnsi="宋体" w:cs="宋体" w:hint="eastAsia"/>
          <w:sz w:val="24"/>
          <w:lang w:eastAsia="zh-Hans"/>
        </w:rPr>
        <w:t>资信评级机构从事证券服务业务首次备案，除了提交本规定</w:t>
      </w:r>
      <w:r w:rsidR="00977BD5" w:rsidRPr="00952A96">
        <w:rPr>
          <w:rFonts w:ascii="宋体" w:hAnsi="宋体" w:cs="宋体" w:hint="eastAsia"/>
          <w:bCs/>
          <w:sz w:val="24"/>
          <w:lang w:eastAsia="zh-Hans"/>
        </w:rPr>
        <w:t>第十条</w:t>
      </w:r>
      <w:r>
        <w:rPr>
          <w:rFonts w:ascii="宋体" w:hAnsi="宋体" w:cs="宋体" w:hint="eastAsia"/>
          <w:sz w:val="24"/>
          <w:lang w:eastAsia="zh-Hans"/>
        </w:rPr>
        <w:t>规定的备案材料外，还应当提交下列材料：</w:t>
      </w:r>
    </w:p>
    <w:p w14:paraId="2F87388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（一）公司章程；</w:t>
      </w:r>
    </w:p>
    <w:p w14:paraId="7190B8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（二）公司股权结构说明，包括注册资本、股东名单及其出资额或者所持股份，股东在本机构以外的实体持股情况，实际控制人、受益所有人情况；</w:t>
      </w:r>
    </w:p>
    <w:p w14:paraId="5810A8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（三）公司营业场所、组织机构设置及公司治理情况；</w:t>
      </w:r>
    </w:p>
    <w:p w14:paraId="1222517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（四）公司董事、监事、高级管理人员以及资信评级分析人员的情况说明和证明文件；</w:t>
      </w:r>
    </w:p>
    <w:p w14:paraId="499B99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lastRenderedPageBreak/>
        <w:t>（五）公司主要股东、实际控制人、受益所有人的信用报告；</w:t>
      </w:r>
    </w:p>
    <w:p w14:paraId="716131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（六）符合资信评级监管要求的机构和人员管理、业务规则、独立性、信息披露等方面的制度和执行情况说明。</w:t>
      </w:r>
    </w:p>
    <w:p w14:paraId="38AFBD5D" w14:textId="0AFC1214"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第十四条</w:t>
      </w:r>
      <w:r w:rsidR="00A45A13">
        <w:rPr>
          <w:rFonts w:ascii="宋体" w:hAnsi="宋体" w:cs="宋体" w:hint="eastAsia"/>
          <w:sz w:val="24"/>
          <w:lang w:eastAsia="zh-Hans"/>
        </w:rPr>
        <w:t xml:space="preserve"> </w:t>
      </w:r>
      <w:r>
        <w:rPr>
          <w:rFonts w:ascii="宋体" w:hAnsi="宋体" w:cs="宋体" w:hint="eastAsia"/>
          <w:sz w:val="24"/>
          <w:lang w:eastAsia="zh-Hans"/>
        </w:rPr>
        <w:t>财务顾问机构从事证券服务业务首次备案，除了提交本规定</w:t>
      </w:r>
      <w:r w:rsidR="00977BD5" w:rsidRPr="00952A96">
        <w:rPr>
          <w:rFonts w:ascii="宋体" w:hAnsi="宋体" w:cs="宋体" w:hint="eastAsia"/>
          <w:bCs/>
          <w:sz w:val="24"/>
          <w:lang w:eastAsia="zh-Hans"/>
        </w:rPr>
        <w:t>第十条</w:t>
      </w:r>
      <w:r>
        <w:rPr>
          <w:rFonts w:ascii="宋体" w:hAnsi="宋体" w:cs="宋体" w:hint="eastAsia"/>
          <w:sz w:val="24"/>
          <w:lang w:eastAsia="zh-Hans"/>
        </w:rPr>
        <w:t>规定的备案材料外，还应当提交下列材料：</w:t>
      </w:r>
    </w:p>
    <w:p w14:paraId="490066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（一）公司章程；</w:t>
      </w:r>
    </w:p>
    <w:p w14:paraId="2F79C9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（二）公司股权结构说明，包括注册资本、股东名单及其出资额或者所持股份；</w:t>
      </w:r>
    </w:p>
    <w:p w14:paraId="6E46258E" w14:textId="77777777" w:rsidR="00A320E6" w:rsidRDefault="00000000" w:rsidP="00AE0286">
      <w:pPr>
        <w:pStyle w:val="a3"/>
        <w:numPr>
          <w:ilvl w:val="0"/>
          <w:numId w:val="3"/>
        </w:numPr>
        <w:spacing w:line="360" w:lineRule="auto"/>
        <w:ind w:firstLine="480"/>
        <w:rPr>
          <w:rFonts w:ascii="宋体" w:hAnsi="宋体" w:cs="宋体"/>
          <w:sz w:val="24"/>
          <w:lang w:eastAsia="zh-Hans"/>
        </w:rPr>
      </w:pPr>
      <w:r>
        <w:rPr>
          <w:rFonts w:ascii="宋体" w:hAnsi="宋体" w:cs="宋体" w:hint="eastAsia"/>
          <w:sz w:val="24"/>
          <w:lang w:eastAsia="zh-Hans"/>
        </w:rPr>
        <w:t>公司主要股东、实际控制人，公司董事、监事、高级管理人员以及财务顾问主办人员的情况说明和证明文件；</w:t>
      </w:r>
    </w:p>
    <w:p w14:paraId="141B991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（四）公司组织机构、治理结构情况；</w:t>
      </w:r>
    </w:p>
    <w:p w14:paraId="01CD05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（五）从事财务顾问业务立项制度、质量控制制度、内核制度、合规管理制度、风险管理制度等内部控制制度及执行情况说明；</w:t>
      </w:r>
    </w:p>
    <w:p w14:paraId="3162CD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（六）公司上一年度财务报表审计报告。</w:t>
      </w:r>
    </w:p>
    <w:p w14:paraId="367B21C7" w14:textId="034E4DAE"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第十五条</w:t>
      </w:r>
      <w:r w:rsidR="00A45A13">
        <w:rPr>
          <w:rFonts w:ascii="宋体" w:hAnsi="宋体" w:cs="宋体" w:hint="eastAsia"/>
          <w:sz w:val="24"/>
          <w:lang w:eastAsia="zh-Hans"/>
        </w:rPr>
        <w:t xml:space="preserve"> </w:t>
      </w:r>
      <w:r>
        <w:rPr>
          <w:rFonts w:ascii="宋体" w:hAnsi="宋体" w:cs="宋体" w:hint="eastAsia"/>
          <w:sz w:val="24"/>
          <w:lang w:eastAsia="zh-Hans"/>
        </w:rPr>
        <w:t>信息技术系统服务机构从事证券服务业务首次备案，除了提交本规定</w:t>
      </w:r>
      <w:r w:rsidR="00977BD5" w:rsidRPr="00952A96">
        <w:rPr>
          <w:rFonts w:ascii="宋体" w:hAnsi="宋体" w:cs="宋体" w:hint="eastAsia"/>
          <w:bCs/>
          <w:sz w:val="24"/>
          <w:lang w:eastAsia="zh-Hans"/>
        </w:rPr>
        <w:t>第十条</w:t>
      </w:r>
      <w:r>
        <w:rPr>
          <w:rFonts w:ascii="宋体" w:hAnsi="宋体" w:cs="宋体" w:hint="eastAsia"/>
          <w:sz w:val="24"/>
          <w:lang w:eastAsia="zh-Hans"/>
        </w:rPr>
        <w:t>规定的备案材料外，还应当提交下列材料：</w:t>
      </w:r>
    </w:p>
    <w:p w14:paraId="2CCBAB8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（一）控股股东、实际控制人和从业人员情况；</w:t>
      </w:r>
    </w:p>
    <w:p w14:paraId="1C804A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（二）商业计划书；</w:t>
      </w:r>
    </w:p>
    <w:p w14:paraId="00C5AF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（三）合规管理制度；</w:t>
      </w:r>
    </w:p>
    <w:p w14:paraId="3ADA1F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（四）产品和服务情况；</w:t>
      </w:r>
    </w:p>
    <w:p w14:paraId="5D00FD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（五）产品类客户情况和服务类客户情况；</w:t>
      </w:r>
    </w:p>
    <w:p w14:paraId="0A00E9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（六）上一年度财务报表审计报告。</w:t>
      </w:r>
    </w:p>
    <w:p w14:paraId="601BFDB8" w14:textId="30E38B52"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第十六条</w:t>
      </w:r>
      <w:r w:rsidR="00A45A13">
        <w:rPr>
          <w:rFonts w:ascii="宋体" w:hAnsi="宋体" w:cs="宋体" w:hint="eastAsia"/>
          <w:sz w:val="24"/>
          <w:lang w:eastAsia="zh-Hans"/>
        </w:rPr>
        <w:t xml:space="preserve"> </w:t>
      </w:r>
      <w:r>
        <w:rPr>
          <w:rFonts w:ascii="宋体" w:hAnsi="宋体" w:cs="宋体" w:hint="eastAsia"/>
          <w:sz w:val="24"/>
          <w:lang w:eastAsia="zh-Hans"/>
        </w:rPr>
        <w:t>证券服务机构发生下列重大事项的，应当在10个工作日内备案：</w:t>
      </w:r>
    </w:p>
    <w:p w14:paraId="2CE1720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（一）证券服务机构的名称、住所及法定代表人或者主要负责人、质量控制负责人或者风险控制负责人发生变更；</w:t>
      </w:r>
    </w:p>
    <w:p w14:paraId="5FDF7B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（二）持有证券服务机构百分之五以上股份的股东，实际控制人，及其董事、监事或者高级管理人员，合伙人发生变更；</w:t>
      </w:r>
    </w:p>
    <w:p w14:paraId="1B8C60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（三）证券服务机构与证券服务业务有关的质量控制制度、风险控制制度等内部管理制度发生重大变更；</w:t>
      </w:r>
    </w:p>
    <w:p w14:paraId="73700C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（四）证券服务机构及其依照本规定备案的从业人员因执业行为涉嫌违法违规</w:t>
      </w:r>
      <w:r>
        <w:rPr>
          <w:rFonts w:ascii="宋体" w:hAnsi="宋体" w:cs="宋体" w:hint="eastAsia"/>
          <w:sz w:val="24"/>
          <w:lang w:eastAsia="zh-Hans"/>
        </w:rPr>
        <w:lastRenderedPageBreak/>
        <w:t>被立案调查，或者被司法机关立案侦查，以及因执业行为受到刑事处罚、行政处罚、监督管理措施、自律监管措施和纪律处分；</w:t>
      </w:r>
    </w:p>
    <w:p w14:paraId="2CA2AD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（五）证券服务机构及其依照本规定备案的从业人员因执业行为与委托人、投资者发生民事纠纷，进行诉讼或者仲裁；</w:t>
      </w:r>
    </w:p>
    <w:p w14:paraId="77D596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（六）设立或撤销分所或者分支机构；</w:t>
      </w:r>
    </w:p>
    <w:p w14:paraId="580430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（七）中国证监会和国务院有关主管部门规定的其他重大事项。</w:t>
      </w:r>
    </w:p>
    <w:p w14:paraId="33C8F496" w14:textId="17367DB1"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第十七条</w:t>
      </w:r>
      <w:r w:rsidR="00A45A13">
        <w:rPr>
          <w:rFonts w:ascii="宋体" w:hAnsi="宋体" w:cs="宋体" w:hint="eastAsia"/>
          <w:sz w:val="24"/>
          <w:lang w:eastAsia="zh-Hans"/>
        </w:rPr>
        <w:t xml:space="preserve"> </w:t>
      </w:r>
      <w:r>
        <w:rPr>
          <w:rFonts w:ascii="宋体" w:hAnsi="宋体" w:cs="宋体" w:hint="eastAsia"/>
          <w:sz w:val="24"/>
          <w:lang w:eastAsia="zh-Hans"/>
        </w:rPr>
        <w:t>证券服务机构应当于每年4月30日前提交年度备案材料，备案内容包括证券服务机构基本情况和经营情况、依照本规定备案的从业人员的变动情况、内部管理制度的执行情况和变动情况，以及中国证监会和国务院有关主管部门规定的其他事项。</w:t>
      </w:r>
    </w:p>
    <w:p w14:paraId="3F5BEF44" w14:textId="1305FF59"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证券服务机构连续一个自然年度未从事证券服务业务的，可以不按照本规定</w:t>
      </w:r>
      <w:r w:rsidR="00EC0B72" w:rsidRPr="00952A96">
        <w:rPr>
          <w:rFonts w:ascii="宋体" w:hAnsi="宋体" w:cs="宋体" w:hint="eastAsia"/>
          <w:bCs/>
          <w:sz w:val="24"/>
          <w:lang w:eastAsia="zh-Hans"/>
        </w:rPr>
        <w:t>第十六条</w:t>
      </w:r>
      <w:r>
        <w:rPr>
          <w:rFonts w:ascii="宋体" w:hAnsi="宋体" w:cs="宋体" w:hint="eastAsia"/>
          <w:sz w:val="24"/>
          <w:lang w:eastAsia="zh-Hans"/>
        </w:rPr>
        <w:t>和本条的规定进行重大事项备案和年度备案。未进行重大事项备案和年度备案的证券服务机构，再次从事证券服务业务的，需要按照本规定</w:t>
      </w:r>
      <w:r w:rsidR="00977BD5" w:rsidRPr="00952A96">
        <w:rPr>
          <w:rFonts w:ascii="宋体" w:hAnsi="宋体" w:cs="宋体" w:hint="eastAsia"/>
          <w:bCs/>
          <w:sz w:val="24"/>
          <w:lang w:eastAsia="zh-Hans"/>
        </w:rPr>
        <w:t>第十条</w:t>
      </w:r>
      <w:r>
        <w:rPr>
          <w:rFonts w:ascii="宋体" w:hAnsi="宋体" w:cs="宋体" w:hint="eastAsia"/>
          <w:sz w:val="24"/>
          <w:lang w:eastAsia="zh-Hans"/>
        </w:rPr>
        <w:t>的规定提交材料。</w:t>
      </w:r>
    </w:p>
    <w:p w14:paraId="44F6D633" w14:textId="2B7B4F38"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第十八条</w:t>
      </w:r>
      <w:r w:rsidR="00A45A13">
        <w:rPr>
          <w:rFonts w:ascii="宋体" w:hAnsi="宋体" w:cs="宋体" w:hint="eastAsia"/>
          <w:sz w:val="24"/>
          <w:lang w:eastAsia="zh-Hans"/>
        </w:rPr>
        <w:t xml:space="preserve"> </w:t>
      </w:r>
      <w:r>
        <w:rPr>
          <w:rFonts w:ascii="宋体" w:hAnsi="宋体" w:cs="宋体" w:hint="eastAsia"/>
          <w:sz w:val="24"/>
          <w:lang w:eastAsia="zh-Hans"/>
        </w:rPr>
        <w:t>中国证监会与国务院有关主管部门建立备案信息共享工作机制，加强数据信息的共享和运用。</w:t>
      </w:r>
    </w:p>
    <w:p w14:paraId="4C843BD7" w14:textId="025B4010" w:rsidR="00A320E6" w:rsidRDefault="00EC0B72" w:rsidP="00AE0286">
      <w:pPr>
        <w:pStyle w:val="a3"/>
        <w:spacing w:line="360" w:lineRule="auto"/>
        <w:ind w:firstLine="482"/>
        <w:rPr>
          <w:rFonts w:ascii="宋体" w:hAnsi="宋体" w:cs="宋体"/>
          <w:sz w:val="24"/>
          <w:lang w:eastAsia="zh-Hans"/>
        </w:rPr>
      </w:pPr>
      <w:r w:rsidRPr="00EC0B72">
        <w:rPr>
          <w:rFonts w:ascii="宋体" w:hAnsi="宋体" w:cs="宋体" w:hint="eastAsia"/>
          <w:b/>
          <w:sz w:val="24"/>
          <w:lang w:eastAsia="zh-Hans"/>
        </w:rPr>
        <w:t>第十九条</w:t>
      </w:r>
      <w:r w:rsidR="00A45A13">
        <w:rPr>
          <w:rFonts w:ascii="宋体" w:hAnsi="宋体" w:cs="宋体" w:hint="eastAsia"/>
          <w:sz w:val="24"/>
          <w:lang w:eastAsia="zh-Hans"/>
        </w:rPr>
        <w:t xml:space="preserve"> </w:t>
      </w:r>
      <w:r>
        <w:rPr>
          <w:rFonts w:ascii="宋体" w:hAnsi="宋体" w:cs="宋体" w:hint="eastAsia"/>
          <w:sz w:val="24"/>
          <w:lang w:eastAsia="zh-Hans"/>
        </w:rPr>
        <w:t>证券服务机构报送的备案材料不完备或者不符合规定的，中国证监会和国务院有关主管部门在接收备案材料10个工作日内一次性告知证券服务机构补正备案材料。证券服务机构应当在10个工作日内补正。</w:t>
      </w:r>
    </w:p>
    <w:p w14:paraId="07F894BB" w14:textId="493B9F62"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证券服务机构提供的备案材料完备的，中国证监会和国务院有关主管部门自收齐备案材料之日起20个工作日内，以通过网站公示证券服务机构基本情况的方式，为证券服务机构办结备案手续。证券服务机构提交补正材料的时间不计算在内。</w:t>
      </w:r>
      <w:r>
        <w:rPr>
          <w:rFonts w:ascii="宋体" w:hAnsi="宋体" w:cs="宋体" w:hint="eastAsia"/>
          <w:sz w:val="24"/>
          <w:lang w:eastAsia="zh-Hans"/>
        </w:rPr>
        <w:br/>
      </w:r>
      <w:r>
        <w:rPr>
          <w:rFonts w:ascii="宋体" w:hAnsi="宋体" w:cs="宋体"/>
          <w:sz w:val="24"/>
          <w:lang w:eastAsia="zh-Hans"/>
        </w:rPr>
        <w:t xml:space="preserve">    </w:t>
      </w:r>
      <w:r>
        <w:rPr>
          <w:rFonts w:ascii="宋体" w:hAnsi="宋体" w:cs="宋体" w:hint="eastAsia"/>
          <w:sz w:val="24"/>
          <w:lang w:eastAsia="zh-Hans"/>
        </w:rPr>
        <w:t>证券服务机构应当保证所报送的备案文件和信息真实、准确、完整。</w:t>
      </w:r>
      <w:r>
        <w:rPr>
          <w:rFonts w:ascii="宋体" w:hAnsi="宋体" w:cs="宋体" w:hint="eastAsia"/>
          <w:sz w:val="24"/>
          <w:lang w:eastAsia="zh-Hans"/>
        </w:rPr>
        <w:br/>
      </w:r>
      <w:r>
        <w:rPr>
          <w:rFonts w:ascii="宋体" w:hAnsi="宋体" w:cs="宋体"/>
          <w:sz w:val="24"/>
          <w:lang w:eastAsia="zh-Hans"/>
        </w:rPr>
        <w:t xml:space="preserve">    </w:t>
      </w:r>
      <w:r w:rsidR="00EC0B72" w:rsidRPr="00EC0B72">
        <w:rPr>
          <w:rFonts w:ascii="宋体" w:hAnsi="宋体" w:cs="宋体" w:hint="eastAsia"/>
          <w:b/>
          <w:sz w:val="24"/>
          <w:lang w:eastAsia="zh-Hans"/>
        </w:rPr>
        <w:t>第二十条</w:t>
      </w:r>
      <w:r w:rsidR="00A45A13">
        <w:rPr>
          <w:rFonts w:ascii="宋体" w:hAnsi="宋体" w:cs="宋体" w:hint="eastAsia"/>
          <w:sz w:val="24"/>
          <w:lang w:eastAsia="zh-Hans"/>
        </w:rPr>
        <w:t xml:space="preserve"> </w:t>
      </w:r>
      <w:r>
        <w:rPr>
          <w:rFonts w:ascii="宋体" w:hAnsi="宋体" w:cs="宋体" w:hint="eastAsia"/>
          <w:sz w:val="24"/>
          <w:lang w:eastAsia="zh-Hans"/>
        </w:rPr>
        <w:t>证券服务机构在本规定施行前已经签订服务协议，正在从事证券服务业务的，应当在本规定施行之日起10个工作日内按照本规定关于首次备案的要求进行备案。</w:t>
      </w:r>
      <w:r>
        <w:rPr>
          <w:rFonts w:ascii="宋体" w:hAnsi="宋体" w:cs="宋体" w:hint="eastAsia"/>
          <w:sz w:val="24"/>
          <w:lang w:eastAsia="zh-Hans"/>
        </w:rPr>
        <w:br/>
      </w:r>
      <w:r>
        <w:rPr>
          <w:rFonts w:ascii="宋体" w:hAnsi="宋体" w:cs="宋体"/>
          <w:sz w:val="24"/>
          <w:lang w:eastAsia="zh-Hans"/>
        </w:rPr>
        <w:t xml:space="preserve">    </w:t>
      </w:r>
      <w:r w:rsidR="00EC0B72" w:rsidRPr="00EC0B72">
        <w:rPr>
          <w:rFonts w:ascii="宋体" w:hAnsi="宋体" w:cs="宋体" w:hint="eastAsia"/>
          <w:b/>
          <w:sz w:val="24"/>
          <w:lang w:eastAsia="zh-Hans"/>
        </w:rPr>
        <w:t>第二十一条</w:t>
      </w:r>
      <w:r w:rsidR="00C36EF7">
        <w:rPr>
          <w:rFonts w:ascii="宋体" w:hAnsi="宋体" w:cs="宋体" w:hint="eastAsia"/>
          <w:sz w:val="24"/>
          <w:lang w:eastAsia="zh-Hans"/>
        </w:rPr>
        <w:t xml:space="preserve"> </w:t>
      </w:r>
      <w:r>
        <w:rPr>
          <w:rFonts w:ascii="宋体" w:hAnsi="宋体" w:cs="宋体" w:hint="eastAsia"/>
          <w:sz w:val="24"/>
          <w:lang w:eastAsia="zh-Hans"/>
        </w:rPr>
        <w:t>会计师事务所、资产评估机构、资信评级机构为基金期货经营机构及其发行的产品等提供本规定</w:t>
      </w:r>
      <w:r w:rsidR="00A45A13" w:rsidRPr="00952A96">
        <w:rPr>
          <w:rFonts w:ascii="宋体" w:hAnsi="宋体" w:cs="宋体" w:hint="eastAsia"/>
          <w:bCs/>
          <w:sz w:val="24"/>
          <w:lang w:eastAsia="zh-Hans"/>
        </w:rPr>
        <w:t>第四条</w:t>
      </w:r>
      <w:r>
        <w:rPr>
          <w:rFonts w:ascii="宋体" w:hAnsi="宋体" w:cs="宋体" w:hint="eastAsia"/>
          <w:sz w:val="24"/>
          <w:lang w:eastAsia="zh-Hans"/>
        </w:rPr>
        <w:t>第一款第（二）项、</w:t>
      </w:r>
      <w:r w:rsidR="00977BD5" w:rsidRPr="00952A96">
        <w:rPr>
          <w:rFonts w:ascii="宋体" w:hAnsi="宋体" w:cs="宋体" w:hint="eastAsia"/>
          <w:bCs/>
          <w:sz w:val="24"/>
          <w:lang w:eastAsia="zh-Hans"/>
        </w:rPr>
        <w:t>第六条</w:t>
      </w:r>
      <w:r>
        <w:rPr>
          <w:rFonts w:ascii="宋体" w:hAnsi="宋体" w:cs="宋体" w:hint="eastAsia"/>
          <w:sz w:val="24"/>
          <w:lang w:eastAsia="zh-Hans"/>
        </w:rPr>
        <w:t>第（二）项、</w:t>
      </w:r>
      <w:r w:rsidR="00977BD5" w:rsidRPr="00952A96">
        <w:rPr>
          <w:rFonts w:ascii="宋体" w:hAnsi="宋体" w:cs="宋体" w:hint="eastAsia"/>
          <w:bCs/>
          <w:sz w:val="24"/>
          <w:lang w:eastAsia="zh-Hans"/>
        </w:rPr>
        <w:t>第七条</w:t>
      </w:r>
      <w:r>
        <w:rPr>
          <w:rFonts w:ascii="宋体" w:hAnsi="宋体" w:cs="宋体" w:hint="eastAsia"/>
          <w:sz w:val="24"/>
          <w:lang w:eastAsia="zh-Hans"/>
        </w:rPr>
        <w:t>第（三）项规定的服务的，参照适用本规定，但法律、行政法规另有规定的除外。</w:t>
      </w:r>
      <w:r>
        <w:rPr>
          <w:rFonts w:ascii="宋体" w:hAnsi="宋体" w:cs="宋体" w:hint="eastAsia"/>
          <w:sz w:val="24"/>
          <w:lang w:eastAsia="zh-Hans"/>
        </w:rPr>
        <w:br/>
      </w:r>
      <w:r>
        <w:rPr>
          <w:rFonts w:ascii="宋体" w:hAnsi="宋体" w:cs="宋体"/>
          <w:sz w:val="24"/>
          <w:lang w:eastAsia="zh-Hans"/>
        </w:rPr>
        <w:lastRenderedPageBreak/>
        <w:t xml:space="preserve">    </w:t>
      </w:r>
      <w:r w:rsidR="00EC0B72" w:rsidRPr="00EC0B72">
        <w:rPr>
          <w:rFonts w:ascii="宋体" w:hAnsi="宋体" w:cs="宋体" w:hint="eastAsia"/>
          <w:b/>
          <w:sz w:val="24"/>
          <w:lang w:eastAsia="zh-Hans"/>
        </w:rPr>
        <w:t>第二十二条</w:t>
      </w:r>
      <w:r w:rsidR="00C36EF7">
        <w:rPr>
          <w:rFonts w:ascii="宋体" w:hAnsi="宋体" w:cs="宋体" w:hint="eastAsia"/>
          <w:sz w:val="24"/>
          <w:lang w:eastAsia="zh-Hans"/>
        </w:rPr>
        <w:t xml:space="preserve"> </w:t>
      </w:r>
      <w:r>
        <w:rPr>
          <w:rFonts w:ascii="宋体" w:hAnsi="宋体" w:cs="宋体" w:hint="eastAsia"/>
          <w:sz w:val="24"/>
          <w:lang w:eastAsia="zh-Hans"/>
        </w:rPr>
        <w:t>从事证券服务业务依法应当经中国证监会核准的，不适用本规定。</w:t>
      </w:r>
      <w:r>
        <w:rPr>
          <w:rFonts w:ascii="宋体" w:hAnsi="宋体" w:cs="宋体" w:hint="eastAsia"/>
          <w:sz w:val="24"/>
          <w:lang w:eastAsia="zh-Hans"/>
        </w:rPr>
        <w:br/>
      </w:r>
      <w:r>
        <w:rPr>
          <w:rFonts w:ascii="宋体" w:hAnsi="宋体" w:cs="宋体"/>
          <w:sz w:val="24"/>
          <w:lang w:eastAsia="zh-Hans"/>
        </w:rPr>
        <w:t xml:space="preserve">    </w:t>
      </w:r>
      <w:r w:rsidR="00EC0B72" w:rsidRPr="00EC0B72">
        <w:rPr>
          <w:rFonts w:ascii="宋体" w:hAnsi="宋体" w:cs="宋体" w:hint="eastAsia"/>
          <w:b/>
          <w:sz w:val="24"/>
          <w:lang w:eastAsia="zh-Hans"/>
        </w:rPr>
        <w:t>第二十三条</w:t>
      </w:r>
      <w:r w:rsidR="00C36EF7">
        <w:rPr>
          <w:rFonts w:ascii="宋体" w:hAnsi="宋体" w:cs="宋体" w:hint="eastAsia"/>
          <w:sz w:val="24"/>
          <w:lang w:eastAsia="zh-Hans"/>
        </w:rPr>
        <w:t xml:space="preserve"> </w:t>
      </w:r>
      <w:r>
        <w:rPr>
          <w:rFonts w:ascii="宋体" w:hAnsi="宋体" w:cs="宋体" w:hint="eastAsia"/>
          <w:sz w:val="24"/>
          <w:lang w:eastAsia="zh-Hans"/>
        </w:rPr>
        <w:t>本规定自2020年8月24日起施行。</w:t>
      </w:r>
    </w:p>
    <w:p w14:paraId="666E7371"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55" w:name="_Toc112227363"/>
      <w:r>
        <w:rPr>
          <w:rFonts w:ascii="宋体" w:hAnsi="宋体" w:cs="宋体" w:hint="eastAsia"/>
          <w:b/>
          <w:bCs/>
          <w:sz w:val="24"/>
          <w:szCs w:val="24"/>
        </w:rPr>
        <w:t>资产评估机构从事证券服务业务备案办法</w:t>
      </w:r>
      <w:bookmarkEnd w:id="55"/>
    </w:p>
    <w:p w14:paraId="364FA805" w14:textId="77777777" w:rsidR="00A320E6" w:rsidRDefault="00000000" w:rsidP="00952A96">
      <w:pPr>
        <w:pStyle w:val="13"/>
        <w:spacing w:before="62" w:after="62"/>
      </w:pPr>
      <w:r>
        <w:rPr>
          <w:rFonts w:hint="eastAsia"/>
        </w:rPr>
        <w:t>第一章 总则</w:t>
      </w:r>
    </w:p>
    <w:p w14:paraId="28ED85DC" w14:textId="28A5370E"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加强对资产评估机构从事证券服务业务的监督管理，规范资产评估机构从事证券服务业务备案行为，推动形成市场化筛选及科学管理格局，根据《中华人民共和国资产评估法》、《中华人民共和国证券法》等规定，制定本办法。</w:t>
      </w:r>
    </w:p>
    <w:p w14:paraId="3B350BAF" w14:textId="66742E2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资产评估机构从事证券服务业务，应当遵守《资产评估行业财政监督管理办法》有关规定。</w:t>
      </w:r>
    </w:p>
    <w:p w14:paraId="7D0E0C57" w14:textId="2DA6E355"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资产评估机构从事证券服务业务备案应当贯彻落实国务院“放管服”改革要求，根据《国务院关于加快推进“互联网+政务服务”工作的指导意见》（国发〔2016〕55号文），优化办事服务，加强信息共享，资产评估机构无需重复提交材料。</w:t>
      </w:r>
    </w:p>
    <w:p w14:paraId="1EFC68A8" w14:textId="04A4C6E9"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资产评估机构从事下列证券服务业务，应当按照本办法进行备案：</w:t>
      </w:r>
    </w:p>
    <w:p w14:paraId="5447C3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（一）为证券发行、上市、挂牌、交易的主体及其控制的主体、并购标的等制作、出具资产评估报告。</w:t>
      </w:r>
    </w:p>
    <w:p w14:paraId="6011E7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（二）为证券公司及其资产管理产品制作、出具资产评估报告。</w:t>
      </w:r>
    </w:p>
    <w:p w14:paraId="29DC42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（三）财政部、证监会规定的其他业务。</w:t>
      </w:r>
    </w:p>
    <w:p w14:paraId="01E5FDEC" w14:textId="77777777" w:rsidR="00A320E6" w:rsidRDefault="00000000" w:rsidP="00952A96">
      <w:pPr>
        <w:pStyle w:val="13"/>
        <w:spacing w:before="62" w:after="62"/>
      </w:pPr>
      <w:r>
        <w:rPr>
          <w:rFonts w:hint="eastAsia"/>
        </w:rPr>
        <w:t>第二章 备案材料和备案方式</w:t>
      </w:r>
    </w:p>
    <w:p w14:paraId="6F4AFF74" w14:textId="0D7DC350"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资产评估机构从事证券服务业务备案按业务环节分为首次从事证券服务业务备案、重大事项备案、年度备案。</w:t>
      </w:r>
    </w:p>
    <w:p w14:paraId="2B36F23D" w14:textId="70894E0B"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资产评估机构从事证券服务业务，应当向财政部、证监会备案，并保证备案材料和信息真实、准确、完整、及时。</w:t>
      </w:r>
    </w:p>
    <w:p w14:paraId="75F7EA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财政部、证监会建立信息共享工作机制，切实加强数据信息的共享和运用。</w:t>
      </w:r>
    </w:p>
    <w:p w14:paraId="42F39504" w14:textId="47EF8F56"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资产评估机构首次从事证券服务业务，应当在订立委托合同之日（不含）起10个工作日内，报送下列材料：</w:t>
      </w:r>
    </w:p>
    <w:p w14:paraId="15A899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（一）资产评估机构首次从事证券服务业务备案表（附1）；</w:t>
      </w:r>
    </w:p>
    <w:p w14:paraId="0005CA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（二）从事证券服务业务质量控制制度及执行情况说明；</w:t>
      </w:r>
    </w:p>
    <w:p w14:paraId="793BD3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（三）资产评估机构营业执照及从事资产评估业务的备案公告信息；</w:t>
      </w:r>
    </w:p>
    <w:p w14:paraId="0737C6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（四）截至备案上月末资产评估师及股东（合伙人）情况表（附2）；</w:t>
      </w:r>
    </w:p>
    <w:p w14:paraId="01B572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资产评估机构及其资产评估专业人员因执业行为涉嫌违法违规被立案调查，或者被司法机关侦查，以及近三年因执业行为受到刑事处罚、行政处罚、监督管理措施、自律监管措施、纪律处分的情况（附3）；</w:t>
      </w:r>
    </w:p>
    <w:p w14:paraId="28F5B4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（六）上一年度财务报表审计报告；</w:t>
      </w:r>
    </w:p>
    <w:p w14:paraId="75166D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（七）职业责任保险保单信息（如有）；</w:t>
      </w:r>
    </w:p>
    <w:p w14:paraId="786514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（八）财政部、证监会规定的其他材料。</w:t>
      </w:r>
    </w:p>
    <w:p w14:paraId="58CAB5A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资产评估机构首次从事证券服务业务的实际时间早于订立委托合同时间的，应当在实际从事证券服务业务之日起 10 个工作日内备案。</w:t>
      </w:r>
    </w:p>
    <w:p w14:paraId="73A7DCB3" w14:textId="02ED91A6"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在2020年3月1日前取得从事证券、期货相关业务资格的资产评估机构，拟继续从事证券服务业务的，应当在本办法实施之日（不含）起10个工作日内进行备案。</w:t>
      </w:r>
    </w:p>
    <w:p w14:paraId="09CAA3BC" w14:textId="5DFC478D"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资产评估机构从事证券服务业务，发生下列重大事项的，应当进行备案：</w:t>
      </w:r>
    </w:p>
    <w:p w14:paraId="3DF81B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（一）名称变更；</w:t>
      </w:r>
    </w:p>
    <w:p w14:paraId="724673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（二）法定代表人（执行合伙事务的合伙人）变更；</w:t>
      </w:r>
    </w:p>
    <w:p w14:paraId="13C315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（三）合伙人或持有百分之五以上股份的股东变更；</w:t>
      </w:r>
    </w:p>
    <w:p w14:paraId="3E166A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（四）经营场所变更；</w:t>
      </w:r>
    </w:p>
    <w:p w14:paraId="7D0147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（五）组织形式变更；</w:t>
      </w:r>
    </w:p>
    <w:p w14:paraId="352D96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（六）设立或撤销分支机构；</w:t>
      </w:r>
    </w:p>
    <w:p w14:paraId="30E87B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（七）质量控制负责人变更；</w:t>
      </w:r>
    </w:p>
    <w:p w14:paraId="61E017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（八）与证券服务业务有关的质量控制制度发生重大变更；</w:t>
      </w:r>
    </w:p>
    <w:p w14:paraId="6D0446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（九）资产评估机构及其资产评估专业人员因执业行为涉嫌违法违规被立案调查，或者被司法机关侦查，以及因执业行为受到刑事处罚、行政处罚、监督管理措施、自律监管措施、纪律处分；</w:t>
      </w:r>
    </w:p>
    <w:p w14:paraId="581D32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（十）资产评估机构及其资产评估专业人员因执业行为与委托人、投资者发生民事纠纷，进行诉讼或仲裁；</w:t>
      </w:r>
    </w:p>
    <w:p w14:paraId="731958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（十一）财政部、证监会规定的其他重大事项。</w:t>
      </w:r>
    </w:p>
    <w:p w14:paraId="2E6DEC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资产评估机构发生上述第（一）至（六）项重大事项，应当按照规定在财政部门履行相关变更程序后10个工作日内进行证券服务业务重大事项备案；发生其他重</w:t>
      </w:r>
      <w:r>
        <w:rPr>
          <w:rFonts w:ascii="宋体" w:hAnsi="宋体" w:cs="宋体" w:hint="eastAsia"/>
          <w:sz w:val="24"/>
        </w:rPr>
        <w:lastRenderedPageBreak/>
        <w:t>大事项的，应当在该事项发生之日起10个工作日内进行证券服务业务重大事项备案。</w:t>
      </w:r>
    </w:p>
    <w:p w14:paraId="4A291427" w14:textId="5792154D"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资产评估机构从事证券服务业务，应当在每年4月30日前提交年度备案表（附4）。</w:t>
      </w:r>
    </w:p>
    <w:p w14:paraId="24F6F4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年度备案内容包括资产评估机构基本情况和经营情况、资产评估专业人员变动情况、从事证券服务业务质量控制制度执行情况和变动情况，以及财政部、证监会规定的其他事项。</w:t>
      </w:r>
    </w:p>
    <w:p w14:paraId="31009FA2" w14:textId="75858589" w:rsidR="00A320E6" w:rsidRPr="00952A96" w:rsidRDefault="00000000" w:rsidP="00AE0286">
      <w:pPr>
        <w:pStyle w:val="a3"/>
        <w:spacing w:line="360" w:lineRule="auto"/>
        <w:ind w:firstLine="480"/>
        <w:rPr>
          <w:rFonts w:ascii="宋体" w:hAnsi="宋体" w:cs="宋体"/>
          <w:sz w:val="24"/>
        </w:rPr>
      </w:pPr>
      <w:r w:rsidRPr="00952A96">
        <w:rPr>
          <w:rFonts w:ascii="宋体" w:hAnsi="宋体" w:cs="宋体" w:hint="eastAsia"/>
          <w:sz w:val="24"/>
        </w:rPr>
        <w:t>资产评估机构连续一个自然年度未从事证券服务业务的，可以不按本办法</w:t>
      </w:r>
      <w:r w:rsidR="00977BD5" w:rsidRPr="00952A96">
        <w:rPr>
          <w:rFonts w:ascii="宋体" w:hAnsi="宋体" w:cs="宋体" w:hint="eastAsia"/>
          <w:sz w:val="24"/>
        </w:rPr>
        <w:t>第九条</w:t>
      </w:r>
      <w:r w:rsidRPr="00952A96">
        <w:rPr>
          <w:rFonts w:ascii="宋体" w:hAnsi="宋体" w:cs="宋体" w:hint="eastAsia"/>
          <w:sz w:val="24"/>
        </w:rPr>
        <w:t>和</w:t>
      </w:r>
      <w:r w:rsidR="00977BD5" w:rsidRPr="00952A96">
        <w:rPr>
          <w:rFonts w:ascii="宋体" w:hAnsi="宋体" w:cs="宋体" w:hint="eastAsia"/>
          <w:sz w:val="24"/>
        </w:rPr>
        <w:t>第十条</w:t>
      </w:r>
      <w:r w:rsidRPr="00952A96">
        <w:rPr>
          <w:rFonts w:ascii="宋体" w:hAnsi="宋体" w:cs="宋体" w:hint="eastAsia"/>
          <w:sz w:val="24"/>
        </w:rPr>
        <w:t>的规定进行重大事项备案和年度备案。未进行重大事项备案和年度备案的资产评估机构，再次从事证券服务业务的，应当按本办法</w:t>
      </w:r>
      <w:r w:rsidR="00977BD5" w:rsidRPr="00952A96">
        <w:rPr>
          <w:rFonts w:ascii="宋体" w:hAnsi="宋体" w:cs="宋体" w:hint="eastAsia"/>
          <w:sz w:val="24"/>
        </w:rPr>
        <w:t>第七条</w:t>
      </w:r>
      <w:r w:rsidRPr="00952A96">
        <w:rPr>
          <w:rFonts w:ascii="宋体" w:hAnsi="宋体" w:cs="宋体" w:hint="eastAsia"/>
          <w:sz w:val="24"/>
        </w:rPr>
        <w:t>的规定提交材料。</w:t>
      </w:r>
    </w:p>
    <w:p w14:paraId="7FF8D72D" w14:textId="77777777" w:rsidR="00A320E6" w:rsidRDefault="00000000" w:rsidP="00952A96">
      <w:pPr>
        <w:pStyle w:val="13"/>
        <w:spacing w:before="62" w:after="62"/>
      </w:pPr>
      <w:r>
        <w:rPr>
          <w:rFonts w:hint="eastAsia"/>
        </w:rPr>
        <w:t>第三章 备案核验和公告</w:t>
      </w:r>
    </w:p>
    <w:p w14:paraId="0863C493" w14:textId="6AC84B2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财政部、证监会发现首次从事证券服务业务的备案材料不完备或者不符合规定的，应当在收到材料之日（不含）起10个工作日内一次性告知资产评估机构补正备案材料，资产评估机构应当在被告知之日（不含）起10个工作日内补正。逾期未补正的，视为未提交备案材料。</w:t>
      </w:r>
    </w:p>
    <w:p w14:paraId="7678EC2D" w14:textId="5FFF85BB"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资产评估机构提供的备案材料完备且符合规定的，自收齐备案材料之日（不含）起20个工作日内，财政部、证监会沟通一致后分别通过网站等方式，同时公告各备案资产评估机构名单及相关基本信息。</w:t>
      </w:r>
    </w:p>
    <w:p w14:paraId="180984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为资产评估机构从事证券服务业务备案，不代表对其从事证券服务业务执业能力的认可。</w:t>
      </w:r>
    </w:p>
    <w:p w14:paraId="401C549F" w14:textId="786C5F4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资产评估机构应当在每年5月31日前按财政部、证监会规定的格式公开上一年度基本情况、诚信记录、执业情况等相关信息。</w:t>
      </w:r>
    </w:p>
    <w:p w14:paraId="19E72670" w14:textId="77777777" w:rsidR="00A320E6" w:rsidRDefault="00000000" w:rsidP="00952A96">
      <w:pPr>
        <w:pStyle w:val="13"/>
        <w:spacing w:before="62" w:after="62"/>
      </w:pPr>
      <w:r>
        <w:rPr>
          <w:rFonts w:hint="eastAsia"/>
        </w:rPr>
        <w:t>第四章 法律责任</w:t>
      </w:r>
    </w:p>
    <w:p w14:paraId="53BA65E3" w14:textId="2B2D3FD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资产评估机构未按照本办法规定备案的，依法承担法律责任。</w:t>
      </w:r>
    </w:p>
    <w:p w14:paraId="30E38F15" w14:textId="03BE8E2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财政部、证监会及其工作人员在资产评估机构从事证券服务业务备案相关工作中，存在违反本办法规定的行为，以及其他滥用职权、玩忽职守、徇私舞弊等违纪违法行为的，按照《中华人民共和国公务员法》、《中华人民共和国监察法》、《中华人民共和国证券法》等国家有关规定追究相应责任。构成犯罪的，依法追究刑事责任。</w:t>
      </w:r>
    </w:p>
    <w:p w14:paraId="24F4D566" w14:textId="77777777" w:rsidR="00A320E6" w:rsidRDefault="00000000" w:rsidP="00952A96">
      <w:pPr>
        <w:pStyle w:val="13"/>
        <w:spacing w:before="62" w:after="62"/>
      </w:pPr>
      <w:r>
        <w:rPr>
          <w:rFonts w:hint="eastAsia"/>
        </w:rPr>
        <w:lastRenderedPageBreak/>
        <w:t>第五章 附则</w:t>
      </w:r>
    </w:p>
    <w:p w14:paraId="5FAB6971" w14:textId="2A5A001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本办法自2020年11月9日起施行。《财政部 证监会关于从事证券期货相关业务的资产评估机构有关管理问题的通知》（财企〔2008〕81号）、《财政部 证监会关于加强证券评估机构后续管理有关问题的通知》（财企〔2009〕235号）同时废止。</w:t>
      </w:r>
    </w:p>
    <w:p w14:paraId="4DF90784" w14:textId="03980AF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资产评估机构为基金期货经营机构及其发行的产品等提供证券服务业务的，参照适用本规定。</w:t>
      </w:r>
    </w:p>
    <w:p w14:paraId="65A22945"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56" w:name="_Toc112227364"/>
      <w:r>
        <w:rPr>
          <w:rFonts w:ascii="宋体" w:hAnsi="宋体" w:cs="宋体" w:hint="eastAsia"/>
          <w:b/>
          <w:bCs/>
          <w:sz w:val="24"/>
          <w:szCs w:val="24"/>
        </w:rPr>
        <w:t>非上市公众公司监督管理办法</w:t>
      </w:r>
      <w:bookmarkEnd w:id="56"/>
    </w:p>
    <w:p w14:paraId="19161F80" w14:textId="77777777" w:rsidR="00A320E6" w:rsidRDefault="00000000" w:rsidP="00952A96">
      <w:pPr>
        <w:pStyle w:val="13"/>
        <w:spacing w:before="62" w:after="62"/>
      </w:pPr>
      <w:r>
        <w:rPr>
          <w:rFonts w:hint="eastAsia"/>
        </w:rPr>
        <w:t>第一章 总则</w:t>
      </w:r>
    </w:p>
    <w:p w14:paraId="59A4FA09" w14:textId="02BA79AA" w:rsidR="00A320E6" w:rsidRDefault="00A45A13" w:rsidP="001E602B">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为了规范非上市公众公司股票转让和发行行为，保护投资者合法权益，维护社会公共利益，根据《证券法》、《公司法》及相关法律法规的规定，制定本办法。</w:t>
      </w:r>
    </w:p>
    <w:p w14:paraId="3F9843CD" w14:textId="46DA0ED4" w:rsidR="00A320E6" w:rsidRDefault="00A45A13" w:rsidP="001E602B">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本办法所称非上市公众公司（以下简称公众公司）是指有下列情形之一且其股票未在证券交易所上市交易的股份有限公司：</w:t>
      </w:r>
    </w:p>
    <w:p w14:paraId="4F6DDD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（一）股票向特定对象发行或者转让导致股东累计超过200人；</w:t>
      </w:r>
    </w:p>
    <w:p w14:paraId="44C508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（二）股票公开转让。</w:t>
      </w:r>
    </w:p>
    <w:p w14:paraId="31A5E8E9" w14:textId="3677AAF8" w:rsidR="00A320E6" w:rsidRDefault="00A45A13" w:rsidP="001E602B">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公众公司应当按照法律、行政法规、本办法和公司章程的规定，做到股权明晰，合法规范经营，公司治理机制健全，履行信息披露义务。</w:t>
      </w:r>
    </w:p>
    <w:p w14:paraId="2050D76A" w14:textId="27E6AF4E" w:rsidR="00A320E6" w:rsidRDefault="00A45A13" w:rsidP="001E602B">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公众公司公开转让股票应当在全国中小企业股份转让系统（以下简称全国股转系统）进行，公开转让的公众公司股票应当在中国证券登记结算公司集中登记存管。</w:t>
      </w:r>
    </w:p>
    <w:p w14:paraId="2AE93995" w14:textId="57E01A8D"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公众公司可以依法进行股权融资、债权融资、资产重组等。</w:t>
      </w:r>
    </w:p>
    <w:p w14:paraId="5052C8E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公众公司发行优先股、可转换公司债券等证券品种，应当遵守法律、行政法规和中国证券监督管理委员会（以下简称中国证监会）的相关规定。</w:t>
      </w:r>
    </w:p>
    <w:p w14:paraId="5FC9E7A4" w14:textId="4B677D8C"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为公司出具专项文件的证券公司、律师事务所、会计师事务所及其他证券服务机构，应当勤勉尽责、诚实守信，认真履行审慎核查义务，按照依法制定的业务规则、行业执业规范和职业道德准则发表专业意见，保证所出具文件的真实性、准确性和完整性，并接受中国证监会的监管。</w:t>
      </w:r>
    </w:p>
    <w:p w14:paraId="5FC863E1" w14:textId="77777777" w:rsidR="00A320E6" w:rsidRDefault="00000000" w:rsidP="00952A96">
      <w:pPr>
        <w:pStyle w:val="13"/>
        <w:spacing w:before="62" w:after="62"/>
      </w:pPr>
      <w:r>
        <w:rPr>
          <w:rFonts w:hint="eastAsia"/>
        </w:rPr>
        <w:lastRenderedPageBreak/>
        <w:t>第二章 公司治理</w:t>
      </w:r>
    </w:p>
    <w:p w14:paraId="6A534128" w14:textId="5C483408"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公众公司应当依法制定公司章程。</w:t>
      </w:r>
    </w:p>
    <w:p w14:paraId="16F77C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中国证监会依法对公众公司章程必备条款作出具体规定，规范公司章程的制定和修改。</w:t>
      </w:r>
    </w:p>
    <w:p w14:paraId="339C60C0" w14:textId="5900FE62"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公众公司应当建立兼顾公司特点和公司治理机制基本要求的股东大会、董事会、监事会制度，明晰职责和议事规则。</w:t>
      </w:r>
    </w:p>
    <w:p w14:paraId="3D86CC6B" w14:textId="162BC986"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公众公司的治理结构应当确保所有股东，特别是中小股东充分行使法律、行政法规和公司章程规定的合法权利。</w:t>
      </w:r>
    </w:p>
    <w:p w14:paraId="775CFE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股东对法律、行政法规和公司章程规定的公司重大事项，享有知情权和参与权。</w:t>
      </w:r>
    </w:p>
    <w:p w14:paraId="45A73D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公众公司应当建立健全投资者关系管理，保护投资者的合法权益。</w:t>
      </w:r>
    </w:p>
    <w:p w14:paraId="4D4D953A" w14:textId="28DEDDF1"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公众公司股东大会、董事会、监事会的召集、提案审议、通知时间、召开程序、授权委托、表决和决议等应当符合法律、行政法规和公司章程的规定；会议记录应当完整并安全保存。</w:t>
      </w:r>
    </w:p>
    <w:p w14:paraId="3462BC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东大会的提案审议应当符合规定程序，保障股东的知情权、参与权、质询权和表决权；董事会应当在职权范围和股东大会授权范围内对审议事项作出决议，不得代替股东大会对超出董事会职权范围和授权范围的事项进行决议。</w:t>
      </w:r>
    </w:p>
    <w:p w14:paraId="411F5F8B" w14:textId="08F52C3D"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公众公司董事会应当对公司的治理机制是否给所有的股东提供合适的保护和平等权利等情况进行充分讨论、评估。</w:t>
      </w:r>
    </w:p>
    <w:p w14:paraId="21282AD7" w14:textId="40AED0CA" w:rsidR="00A320E6" w:rsidRDefault="00977BD5" w:rsidP="001E602B">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公众公司应当强化内部管理，按照相关规定建立会计核算体系、财务管理和风险控制等制度，确保公司财务报告真实可靠及行为合法合规。</w:t>
      </w:r>
    </w:p>
    <w:p w14:paraId="2D31A429" w14:textId="0D8CAACE"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公众公司进行关联交易应当遵循平等、自愿、等价、有偿的原则，保证交易公平、公允，维护公司的合法权益，根据法律、行政法规、中国证监会的规定和公司章程，履行相应的审议程序。</w:t>
      </w:r>
    </w:p>
    <w:p w14:paraId="64738D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关联交易不得损害公众公司利益。</w:t>
      </w:r>
    </w:p>
    <w:p w14:paraId="2A5DC65B" w14:textId="68815702"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公众公司应当采取有效措施防止股东及其关联方以各种形式占用或者转移公司的资金、资产及其他资源。</w:t>
      </w:r>
    </w:p>
    <w:p w14:paraId="6A8F6A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公众公司股东、实际控制人、董事、监事及高级管理人员不得实施侵占公司资产、利益输送等损害公众公司利益的行为。</w:t>
      </w:r>
    </w:p>
    <w:p w14:paraId="1AFC2B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未经董事会或股东大会批准或授权，公众公司不得对外提供担保。</w:t>
      </w:r>
    </w:p>
    <w:p w14:paraId="502B117C" w14:textId="44F3CE14"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lastRenderedPageBreak/>
        <w:t>第十五条</w:t>
      </w:r>
      <w:r w:rsidR="00A45A13">
        <w:rPr>
          <w:rFonts w:ascii="宋体" w:hAnsi="宋体" w:cs="宋体" w:hint="eastAsia"/>
          <w:sz w:val="24"/>
        </w:rPr>
        <w:t xml:space="preserve"> </w:t>
      </w:r>
      <w:r>
        <w:rPr>
          <w:rFonts w:ascii="宋体" w:hAnsi="宋体" w:cs="宋体" w:hint="eastAsia"/>
          <w:sz w:val="24"/>
        </w:rPr>
        <w:t>公众公司实施并购重组行为，应当按照法律、行政法规、中国证监会的规定和公司章程，履行相应的决策程序并聘请证券公司和相关证券服务机构出具专业意见。</w:t>
      </w:r>
    </w:p>
    <w:p w14:paraId="1F4A985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任何单位和个人不得利用并购重组损害公众公司及其股东的合法权益。</w:t>
      </w:r>
    </w:p>
    <w:p w14:paraId="7AEF183D" w14:textId="5835B3C0"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进行公众公司收购，收购人或者其实际控制人应当具有健全的公司治理机制和良好的诚信记录。收购人不得以任何形式从被收购公司获得财务资助，不得利用收购活动损害被收购公司及其股东的合法权益。</w:t>
      </w:r>
    </w:p>
    <w:p w14:paraId="4181E5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在公众公司收购中，收购人持有的被收购公司的股份，在收购完成后12个月内不得转让。</w:t>
      </w:r>
    </w:p>
    <w:p w14:paraId="6C6F916C" w14:textId="1F3DA877"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公众公司实施重大资产重组，重组的相关资产应当权属清晰、定价公允，重组后的公众公司治理机制健全，不得损害公众公司和股东的合法权益。</w:t>
      </w:r>
    </w:p>
    <w:p w14:paraId="791594EA" w14:textId="1B749D4C"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公众公司应当按照法律的规定，同时结合公司的实际情况在章程中约定建立表决权回避制度。</w:t>
      </w:r>
    </w:p>
    <w:p w14:paraId="0B6E5D1F" w14:textId="63C32BB2"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公众公司应当在章程中约定纠纷解决机制。股东有权按照法律、行政法规和公司章程的规定，通过仲裁、民事诉讼或者其他法律手段保护其合法权益。</w:t>
      </w:r>
    </w:p>
    <w:p w14:paraId="5C7CAE52" w14:textId="5170499E"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股票公开转让的科技创新公司存在特别表决权股份的，应当在公司章程中规定以下事项：</w:t>
      </w:r>
    </w:p>
    <w:p w14:paraId="363861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（一）特别表决权股份的持有人资格；</w:t>
      </w:r>
    </w:p>
    <w:p w14:paraId="2BF59A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（二）特别表决权股份拥有的表决权数量与普通股份拥有的表决权数量的比例安排；</w:t>
      </w:r>
    </w:p>
    <w:p w14:paraId="0825903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（三）持有人所持特别表决权股份能够参与表决的股东大会事项范围;</w:t>
      </w:r>
    </w:p>
    <w:p w14:paraId="241B68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（四）特别表决权股份锁定安排及转让限制；</w:t>
      </w:r>
    </w:p>
    <w:p w14:paraId="4A7A3A6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（五）特别表决权股份与普通股份的转换情形；</w:t>
      </w:r>
    </w:p>
    <w:p w14:paraId="4E1F90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（六）其他事项。</w:t>
      </w:r>
    </w:p>
    <w:p w14:paraId="2BFB68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全国股转系统应对存在特别表决权股份的公司表决权差异的设置、存续、调整、信息披露和投资者保护等事项制定具体规定。</w:t>
      </w:r>
    </w:p>
    <w:p w14:paraId="66E76FD8" w14:textId="77777777" w:rsidR="00A320E6" w:rsidRDefault="00000000" w:rsidP="00A70BC1">
      <w:pPr>
        <w:pStyle w:val="13"/>
        <w:spacing w:before="62" w:after="62"/>
      </w:pPr>
      <w:r>
        <w:rPr>
          <w:rFonts w:hint="eastAsia"/>
        </w:rPr>
        <w:t>第三章 信息披露</w:t>
      </w:r>
    </w:p>
    <w:p w14:paraId="2E3C5C4F" w14:textId="5BC51933"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公司及其他信息披露义务人应当按照法律、行政法规和中国证监会的规定履行信息披露义务，所披露的信息应当真实、准确、完整，不得有虚假记载、</w:t>
      </w:r>
      <w:r>
        <w:rPr>
          <w:rFonts w:ascii="宋体" w:hAnsi="宋体" w:cs="宋体" w:hint="eastAsia"/>
          <w:sz w:val="24"/>
        </w:rPr>
        <w:lastRenderedPageBreak/>
        <w:t>误导性陈述或者重大遗漏。公司及其他信息披露义务人应当及时、公平地向所有投资者披露信息。</w:t>
      </w:r>
    </w:p>
    <w:p w14:paraId="5CADFE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公司的董事、监事、高级管理人员应当忠实、勤勉地履行职责，保证公司披露信息的真实、准确、完整。</w:t>
      </w:r>
    </w:p>
    <w:p w14:paraId="6644F911" w14:textId="33649B76"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信息披露文件主要包括公开转让说明书、定向转让说明书、定向发行说明书、发行情况报告书、定期报告和临时报告等。具体的内容与格式、编制规则及披露要求，由中国证监会另行制定。</w:t>
      </w:r>
    </w:p>
    <w:p w14:paraId="3C43C665" w14:textId="35ACC0DB"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股票公开转让与定向发行的公众公司应当报送年度报告、中期报告，并予公告。年度报告中的财务会计报告应当经符合《证券法》规定的会计师事务所审计。</w:t>
      </w:r>
    </w:p>
    <w:p w14:paraId="0F1EEB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股票向特定对象转让导致股东累计超过200人的公众公司，应当报送年度报告，并予公告。年度报告中的财务会计报告应当经会计师事务所审计。</w:t>
      </w:r>
    </w:p>
    <w:p w14:paraId="57061058" w14:textId="3F6F53DF"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公众公司董事、高级管理人员应当对定期报告签署书面确认意见；对报告内容有异议的，应当单独陈述理由，并与定期报告同时披露。公众公司不得以董事、高级管理人员对定期报告内容有异议为由不按时披露定期报告。</w:t>
      </w:r>
    </w:p>
    <w:p w14:paraId="1EADD2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众公司监事会应当对董事会编制的定期报告进行审核并提出书面审核意见，说明董事会对定期报告的编制和审核程序是否符合法律、行政法规、中国证监会的规定和公司章程，报告的内容是否能够真实、准确、完整地反映公司实际情况。监事应当签署书面确认意见。</w:t>
      </w:r>
    </w:p>
    <w:p w14:paraId="667217C9" w14:textId="2CF16256"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证券公司，律师事务所、会计师事务所及其他证券服务机构出具的文件和其他有关的重要文件应当作为备查文件，予以披露。</w:t>
      </w:r>
    </w:p>
    <w:p w14:paraId="32957DA4" w14:textId="43564C4B"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发生可能对股票价格产生较大影响的重大事件，投资者尚未得知时，公众公司应当立即将有关该重大事件的情况向中国证监会和全国股转系统报送临时报告，并予以公告，说明事件的起因、目前的状态和可能产生的后果。</w:t>
      </w:r>
    </w:p>
    <w:p w14:paraId="5B9D2EC9" w14:textId="60B9A4EC"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中国证监会对公众公司实行差异化信息披露管理，具体规定由中国证监会另行制定。</w:t>
      </w:r>
    </w:p>
    <w:p w14:paraId="28A520D1" w14:textId="4CF8DD1B"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公众公司实施并购重组的，相关信息披露义务人应当依法严格履行公告义务。</w:t>
      </w:r>
    </w:p>
    <w:p w14:paraId="61E8B5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参与并购重组的相关单位和人员，应当及时、准确地向公众公司通报有关信息，</w:t>
      </w:r>
      <w:r>
        <w:rPr>
          <w:rFonts w:ascii="宋体" w:hAnsi="宋体" w:cs="宋体" w:hint="eastAsia"/>
          <w:sz w:val="24"/>
        </w:rPr>
        <w:lastRenderedPageBreak/>
        <w:t>配合公众公司真实、准确、完整地进行披露，在并购重组的信息依法披露前负有保密义务，禁止利用该信息进行内幕交易。</w:t>
      </w:r>
    </w:p>
    <w:p w14:paraId="6DDDCE20" w14:textId="024739D1"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公众公司应当制定信息披露事务管理制度并指定具有相关专业知识的人员负责信息披露事务。</w:t>
      </w:r>
    </w:p>
    <w:p w14:paraId="49E5807E" w14:textId="0181B4B6"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除监事会公告外，公众公司披露的信息应当以董事会公告的形式发布。董事、监事、高级管理人员非经董事会书面授权，不得对外发布未披露的信息。</w:t>
      </w:r>
    </w:p>
    <w:p w14:paraId="1DF6E08A" w14:textId="67FE5CEB"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公司及其他信息披露义务人依法披露的信息，应当在符合《证券法》规定的信息披露平台公布。公司及其他信息披露义务人可在公司网站或者其他公众媒体上刊登依本办法必须披露的信息，但披露的内容应当完全一致，且不得早于在上述信息披露平台披露的时间。</w:t>
      </w:r>
    </w:p>
    <w:p w14:paraId="2310D9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股票向特定对象转让导致股东累计超过200人的公众公司可以在公司章程中约定其他信息披露方式；在《证券法》规定的信息披露平台披露相关信息的，应当符合本条第一款的要求。</w:t>
      </w:r>
    </w:p>
    <w:p w14:paraId="7EAE9E06" w14:textId="243F9A0E"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公司及其他信息披露义务人应当将信息披露公告文稿和相关备查文件置备于公司住所、全国股转系统（如适用）供社会公众查阅。</w:t>
      </w:r>
    </w:p>
    <w:p w14:paraId="41B04D12" w14:textId="3705C708"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第三十三条</w:t>
      </w:r>
      <w:r w:rsidR="00C36EF7">
        <w:rPr>
          <w:rFonts w:ascii="宋体" w:hAnsi="宋体" w:cs="宋体" w:hint="eastAsia"/>
          <w:sz w:val="24"/>
        </w:rPr>
        <w:t xml:space="preserve"> </w:t>
      </w:r>
      <w:r>
        <w:rPr>
          <w:rFonts w:ascii="宋体" w:hAnsi="宋体" w:cs="宋体" w:hint="eastAsia"/>
          <w:sz w:val="24"/>
        </w:rPr>
        <w:t>公司应当配合为其提供服务的证券公司及律师事务所、会计师事务所等证券服务机构的工作，按要求提供所需资料，不得要求证券公司、证券服务机构出具与客观事实不符的文件或者阻碍其工作。</w:t>
      </w:r>
    </w:p>
    <w:p w14:paraId="238992CB" w14:textId="77777777" w:rsidR="00A320E6" w:rsidRDefault="00000000" w:rsidP="00952A96">
      <w:pPr>
        <w:pStyle w:val="13"/>
        <w:spacing w:before="62" w:after="62"/>
      </w:pPr>
      <w:r>
        <w:rPr>
          <w:rFonts w:hint="eastAsia"/>
        </w:rPr>
        <w:t>第四章 股票转让</w:t>
      </w:r>
    </w:p>
    <w:p w14:paraId="47E1ED76" w14:textId="73B13D5E"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第三十四条</w:t>
      </w:r>
      <w:r w:rsidR="00A45A13">
        <w:rPr>
          <w:rFonts w:ascii="宋体" w:hAnsi="宋体" w:cs="宋体" w:hint="eastAsia"/>
          <w:sz w:val="24"/>
        </w:rPr>
        <w:t xml:space="preserve"> </w:t>
      </w:r>
      <w:r>
        <w:rPr>
          <w:rFonts w:ascii="宋体" w:hAnsi="宋体" w:cs="宋体" w:hint="eastAsia"/>
          <w:sz w:val="24"/>
        </w:rPr>
        <w:t>股票向特定对象转让导致股东累计超过200人的股份有限公司，应当自上述行为发生之日起3个月内，按照中国证监会有关规定制作申请文件，申请文件应当包括但不限于：定向转让说明书、律师事务所出具的法律意见书、会计师事务所出具的审计报告。股份有限公司持申请文件向中国证监会申请核准。在提交申请文件前，股份有限公司应当将相关情况通知所有股东。</w:t>
      </w:r>
    </w:p>
    <w:p w14:paraId="415FB2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在3个月内股东人数降至200人以内的，可以不提出申请。</w:t>
      </w:r>
    </w:p>
    <w:p w14:paraId="0F5AD0F1" w14:textId="5B633C5E"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股票向特定对象转让应当以非公开方式协议转让。申请股票挂牌公开转让的，按照本办法</w:t>
      </w:r>
      <w:r w:rsidR="00EC0B72" w:rsidRPr="00A70BC1">
        <w:rPr>
          <w:rFonts w:ascii="宋体" w:hAnsi="宋体" w:cs="宋体" w:hint="eastAsia"/>
          <w:bCs/>
          <w:sz w:val="24"/>
        </w:rPr>
        <w:t>第三十五条</w:t>
      </w:r>
      <w:r w:rsidRPr="00A70BC1">
        <w:rPr>
          <w:rFonts w:ascii="宋体" w:hAnsi="宋体" w:cs="宋体" w:hint="eastAsia"/>
          <w:bCs/>
          <w:sz w:val="24"/>
        </w:rPr>
        <w:t>、</w:t>
      </w:r>
      <w:r w:rsidR="00EC0B72" w:rsidRPr="00A70BC1">
        <w:rPr>
          <w:rFonts w:ascii="宋体" w:hAnsi="宋体" w:cs="宋体" w:hint="eastAsia"/>
          <w:bCs/>
          <w:sz w:val="24"/>
        </w:rPr>
        <w:t>第三十六条</w:t>
      </w:r>
      <w:r>
        <w:rPr>
          <w:rFonts w:ascii="宋体" w:hAnsi="宋体" w:cs="宋体" w:hint="eastAsia"/>
          <w:sz w:val="24"/>
        </w:rPr>
        <w:t>的规定办理。</w:t>
      </w:r>
    </w:p>
    <w:p w14:paraId="07873A5F" w14:textId="718C3994"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第三十五条</w:t>
      </w:r>
      <w:r w:rsidR="00A45A13">
        <w:rPr>
          <w:rFonts w:ascii="宋体" w:hAnsi="宋体" w:cs="宋体" w:hint="eastAsia"/>
          <w:sz w:val="24"/>
        </w:rPr>
        <w:t xml:space="preserve"> </w:t>
      </w:r>
      <w:r>
        <w:rPr>
          <w:rFonts w:ascii="宋体" w:hAnsi="宋体" w:cs="宋体" w:hint="eastAsia"/>
          <w:sz w:val="24"/>
        </w:rPr>
        <w:t>公司申请其股票挂牌公开转让的，董事会应当依法就股票挂牌公开转让的具体方案作出决议，并提请股东大会批准，股东大会决议必须经出席会议的</w:t>
      </w:r>
      <w:r>
        <w:rPr>
          <w:rFonts w:ascii="宋体" w:hAnsi="宋体" w:cs="宋体" w:hint="eastAsia"/>
          <w:sz w:val="24"/>
        </w:rPr>
        <w:lastRenderedPageBreak/>
        <w:t>股东所持表决权的2/3以上通过。</w:t>
      </w:r>
    </w:p>
    <w:p w14:paraId="69D6F6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董事会和股东大会决议中还应当包括以下内容：</w:t>
      </w:r>
    </w:p>
    <w:p w14:paraId="76BF2C3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（一）按照中国证监会的相关规定修改公司章程；</w:t>
      </w:r>
    </w:p>
    <w:p w14:paraId="1F1106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（二）按照法律、行政法规和公司章程的规定建立健全公司治理机制；</w:t>
      </w:r>
    </w:p>
    <w:p w14:paraId="6B254E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（三）履行信息披露义务，按照相关规定披露公开转让说明书、年度报告、中期报告及其他信息披露内容。</w:t>
      </w:r>
    </w:p>
    <w:p w14:paraId="114CB9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公司申请其股票挂牌公开转让时，可以按照本办法第五章规定申请发行股票。</w:t>
      </w:r>
    </w:p>
    <w:p w14:paraId="46DB02AE" w14:textId="2B89DB7A"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第三十六条</w:t>
      </w:r>
      <w:r w:rsidR="00A45A13">
        <w:rPr>
          <w:rFonts w:ascii="宋体" w:hAnsi="宋体" w:cs="宋体" w:hint="eastAsia"/>
          <w:sz w:val="24"/>
        </w:rPr>
        <w:t xml:space="preserve"> </w:t>
      </w:r>
      <w:r>
        <w:rPr>
          <w:rFonts w:ascii="宋体" w:hAnsi="宋体" w:cs="宋体" w:hint="eastAsia"/>
          <w:sz w:val="24"/>
        </w:rPr>
        <w:t>股东人数超过200人的公司申请其股票挂牌公开转让，应当按照中国证监会有关规定制作公开转让的申请文件，申请文件应当包括但不限于：公开转让说明书、符合《证券法》规定的律师事务所出具的法律意见书、符合《证券法》规定的会计师事务所出具的审计报告、证券公司出具的推荐文件、全国股转系统的自律监管意见。公司持申请文件向中国证监会申请核准。</w:t>
      </w:r>
    </w:p>
    <w:p w14:paraId="5B0295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公开转让说明书应当在公开转让前披露。</w:t>
      </w:r>
    </w:p>
    <w:p w14:paraId="1E7ADD1B" w14:textId="62B5A2C5"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第三十七条</w:t>
      </w:r>
      <w:r w:rsidR="00A45A13">
        <w:rPr>
          <w:rFonts w:ascii="宋体" w:hAnsi="宋体" w:cs="宋体" w:hint="eastAsia"/>
          <w:sz w:val="24"/>
        </w:rPr>
        <w:t xml:space="preserve"> </w:t>
      </w:r>
      <w:r>
        <w:rPr>
          <w:rFonts w:ascii="宋体" w:hAnsi="宋体" w:cs="宋体" w:hint="eastAsia"/>
          <w:sz w:val="24"/>
        </w:rPr>
        <w:t>股东人数未超过200人的公司申请其股票挂牌公开转让，中国证监会豁免核准，由全国股转系统进行审查。</w:t>
      </w:r>
    </w:p>
    <w:p w14:paraId="754CB17D" w14:textId="6D325C65"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第三十八条</w:t>
      </w:r>
      <w:r w:rsidR="00A45A13">
        <w:rPr>
          <w:rFonts w:ascii="宋体" w:hAnsi="宋体" w:cs="宋体" w:hint="eastAsia"/>
          <w:sz w:val="24"/>
        </w:rPr>
        <w:t xml:space="preserve"> </w:t>
      </w:r>
      <w:r>
        <w:rPr>
          <w:rFonts w:ascii="宋体" w:hAnsi="宋体" w:cs="宋体" w:hint="eastAsia"/>
          <w:sz w:val="24"/>
        </w:rPr>
        <w:t>中国证监会受理申请文件后，依法对公司治理和信息披露进行审核，在20个工作日内作出核准、中止审核、终止审核、不予核准的决定。</w:t>
      </w:r>
    </w:p>
    <w:p w14:paraId="6F4643C0" w14:textId="400F800F"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第三十九条</w:t>
      </w:r>
      <w:r w:rsidR="00A45A13">
        <w:rPr>
          <w:rFonts w:ascii="宋体" w:hAnsi="宋体" w:cs="宋体" w:hint="eastAsia"/>
          <w:sz w:val="24"/>
        </w:rPr>
        <w:t xml:space="preserve"> </w:t>
      </w:r>
      <w:r>
        <w:rPr>
          <w:rFonts w:ascii="宋体" w:hAnsi="宋体" w:cs="宋体" w:hint="eastAsia"/>
          <w:sz w:val="24"/>
        </w:rPr>
        <w:t>公司及其董事、监事、高级管理人员，应当对公开转让说明书、定向转让说明书签署书面确认意见，保证所披露的信息真实、准确、完整。</w:t>
      </w:r>
    </w:p>
    <w:p w14:paraId="67D027DD" w14:textId="2DB0928C"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第四十条</w:t>
      </w:r>
      <w:r w:rsidR="00A45A13">
        <w:rPr>
          <w:rFonts w:ascii="宋体" w:hAnsi="宋体" w:cs="宋体" w:hint="eastAsia"/>
          <w:sz w:val="24"/>
        </w:rPr>
        <w:t xml:space="preserve"> </w:t>
      </w:r>
      <w:r>
        <w:rPr>
          <w:rFonts w:ascii="宋体" w:hAnsi="宋体" w:cs="宋体" w:hint="eastAsia"/>
          <w:sz w:val="24"/>
        </w:rPr>
        <w:t>申请股票挂牌公开转让的公司应当聘请证券公司推荐其股票挂牌公开转让。证券公司应当对所推荐的股票公开转让的公众公司进行持续督导，督促公司诚实守信、及时履行信息披露义务、完善公司治理、提高规范运作水平。</w:t>
      </w:r>
    </w:p>
    <w:p w14:paraId="379644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股票公开转让的公众公司应当配合证券公司持续督导工作，接受证券公司的指导和督促。</w:t>
      </w:r>
    </w:p>
    <w:p w14:paraId="22BE1005" w14:textId="69F2C931"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第四十一条</w:t>
      </w:r>
      <w:r w:rsidR="00C36EF7">
        <w:rPr>
          <w:rFonts w:ascii="宋体" w:hAnsi="宋体" w:cs="宋体" w:hint="eastAsia"/>
          <w:sz w:val="24"/>
        </w:rPr>
        <w:t xml:space="preserve"> </w:t>
      </w:r>
      <w:r>
        <w:rPr>
          <w:rFonts w:ascii="宋体" w:hAnsi="宋体" w:cs="宋体" w:hint="eastAsia"/>
          <w:sz w:val="24"/>
        </w:rPr>
        <w:t>本办法施行前股东人数超过200人的股份有限公司，符合条件的，可以申请在全国股转系统挂牌公开转让股票、首次公开发行并在证券交易所上市。</w:t>
      </w:r>
    </w:p>
    <w:p w14:paraId="70794610" w14:textId="77777777" w:rsidR="00A320E6" w:rsidRDefault="00000000" w:rsidP="001E602B">
      <w:pPr>
        <w:pStyle w:val="13"/>
        <w:spacing w:before="62" w:after="62"/>
      </w:pPr>
      <w:r>
        <w:rPr>
          <w:rFonts w:hint="eastAsia"/>
        </w:rPr>
        <w:t>第五章 定向发行</w:t>
      </w:r>
    </w:p>
    <w:p w14:paraId="47DB0FCA" w14:textId="221D4FD1"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第四十二条</w:t>
      </w:r>
      <w:r w:rsidR="00C36EF7">
        <w:rPr>
          <w:rFonts w:ascii="宋体" w:hAnsi="宋体" w:cs="宋体" w:hint="eastAsia"/>
          <w:sz w:val="24"/>
        </w:rPr>
        <w:t xml:space="preserve"> </w:t>
      </w:r>
      <w:r>
        <w:rPr>
          <w:rFonts w:ascii="宋体" w:hAnsi="宋体" w:cs="宋体" w:hint="eastAsia"/>
          <w:sz w:val="24"/>
        </w:rPr>
        <w:t>本办法所称定向发行包括股份有限公司向特定对象发行股票导致股东累计超过200人，以及公众公司向特定对象发行股票两种情形。</w:t>
      </w:r>
    </w:p>
    <w:p w14:paraId="39F99B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前款所称特定对象的范围包括下列机构或者自然人：</w:t>
      </w:r>
    </w:p>
    <w:p w14:paraId="37CFD6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（一）公司股东；</w:t>
      </w:r>
    </w:p>
    <w:p w14:paraId="3B5EBB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（二）公司的董事、监事、高级管理人员、核心员工；</w:t>
      </w:r>
    </w:p>
    <w:p w14:paraId="3C3B77D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（三）符合投资者适当性管理规定的自然人投资者、法人投资者及其他经济组织。</w:t>
      </w:r>
    </w:p>
    <w:p w14:paraId="5071EF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股票未公开转让的公司确定发行对象时，符合本条第二款第（三）项规定的投资者合计不得超过35名。</w:t>
      </w:r>
    </w:p>
    <w:p w14:paraId="3E1098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核心员工的认定，应当由公司董事会提名，并向全体员工公示和征求意见，由监事会发表明确意见后，经股东大会审议批准。</w:t>
      </w:r>
    </w:p>
    <w:p w14:paraId="1DAAB2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投资者适当性管理规定由中国证监会另行制定。</w:t>
      </w:r>
    </w:p>
    <w:p w14:paraId="01302135" w14:textId="598BD7CC"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第四十三条</w:t>
      </w:r>
      <w:r w:rsidR="00C36EF7">
        <w:rPr>
          <w:rFonts w:ascii="宋体" w:hAnsi="宋体" w:cs="宋体" w:hint="eastAsia"/>
          <w:sz w:val="24"/>
        </w:rPr>
        <w:t xml:space="preserve"> </w:t>
      </w:r>
      <w:r>
        <w:rPr>
          <w:rFonts w:ascii="宋体" w:hAnsi="宋体" w:cs="宋体" w:hint="eastAsia"/>
          <w:sz w:val="24"/>
        </w:rPr>
        <w:t>公司应当对发行对象的身份进行确认，有充分理由确信发行对象符合本办法和公司的相关规定。</w:t>
      </w:r>
    </w:p>
    <w:p w14:paraId="2E769D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公司应当与发行对象签订包含风险揭示条款的认购协议，发行过程中不得采取公开路演、询价等方式。</w:t>
      </w:r>
    </w:p>
    <w:p w14:paraId="2A380F6F" w14:textId="64E282E6"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第四十四条</w:t>
      </w:r>
      <w:r w:rsidR="00A45A13">
        <w:rPr>
          <w:rFonts w:ascii="宋体" w:hAnsi="宋体" w:cs="宋体" w:hint="eastAsia"/>
          <w:sz w:val="24"/>
        </w:rPr>
        <w:t xml:space="preserve"> </w:t>
      </w:r>
      <w:r>
        <w:rPr>
          <w:rFonts w:ascii="宋体" w:hAnsi="宋体" w:cs="宋体" w:hint="eastAsia"/>
          <w:sz w:val="24"/>
        </w:rPr>
        <w:t>公司董事会应当依法就本次股票发行的具体方案作出决议，并提请股东大会批准，股东大会决议必须经出席会议的股东所持表决权的2/3以上通过。</w:t>
      </w:r>
    </w:p>
    <w:p w14:paraId="43B4DC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监事会应当对董事会编制的股票发行文件进行审核并提出书面审核意见。监事应当签署书面确认意见。</w:t>
      </w:r>
    </w:p>
    <w:p w14:paraId="0C891F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股东大会就股票发行作出的决议，至少应当包括下列事项：</w:t>
      </w:r>
    </w:p>
    <w:p w14:paraId="038C34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（一）本次发行股票的种类和数量（数量上限）；</w:t>
      </w:r>
    </w:p>
    <w:p w14:paraId="34C8AD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（二）发行对象或范围、现有股东优先认购安排；</w:t>
      </w:r>
    </w:p>
    <w:p w14:paraId="11C48F5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（三）定价方式或发行价格（区间）；</w:t>
      </w:r>
    </w:p>
    <w:p w14:paraId="3CBB28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（四）限售情况；</w:t>
      </w:r>
    </w:p>
    <w:p w14:paraId="730091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（五）募集资金用途；</w:t>
      </w:r>
    </w:p>
    <w:p w14:paraId="77E9F8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（六）决议的有效期；</w:t>
      </w:r>
    </w:p>
    <w:p w14:paraId="65F6C4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（七）对董事会办理本次发行具体事宜的授权；</w:t>
      </w:r>
    </w:p>
    <w:p w14:paraId="46D44B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（八）发行前滚存利润的分配方案；</w:t>
      </w:r>
    </w:p>
    <w:p w14:paraId="595E95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（九）其他必须明确的事项。</w:t>
      </w:r>
    </w:p>
    <w:p w14:paraId="1CAA6C3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申请向特定对象发行股票导致股东累计超过200人的股份有限公司，董事会和</w:t>
      </w:r>
      <w:r>
        <w:rPr>
          <w:rFonts w:ascii="宋体" w:hAnsi="宋体" w:cs="宋体" w:hint="eastAsia"/>
          <w:sz w:val="24"/>
        </w:rPr>
        <w:lastRenderedPageBreak/>
        <w:t>股东大会决议中还应当包括以下内容：</w:t>
      </w:r>
    </w:p>
    <w:p w14:paraId="5105EF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（一）按照中国证监会的相关规定修改公司章程；</w:t>
      </w:r>
    </w:p>
    <w:p w14:paraId="6BB5FE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（二）按照法律、行政法规和公司章程的规定建立健全公司治理机制；</w:t>
      </w:r>
    </w:p>
    <w:p w14:paraId="3FF6E3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（三）履行信息披露义务，按照相关规定披露定向发行说明书、发行情况报告书、年度报告、中期报告及其他信息披露内容。</w:t>
      </w:r>
    </w:p>
    <w:p w14:paraId="1FB42253" w14:textId="60C4B0EE"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第四十五条</w:t>
      </w:r>
      <w:r w:rsidR="00A45A13">
        <w:rPr>
          <w:rFonts w:ascii="宋体" w:hAnsi="宋体" w:cs="宋体" w:hint="eastAsia"/>
          <w:sz w:val="24"/>
        </w:rPr>
        <w:t xml:space="preserve"> </w:t>
      </w:r>
      <w:r>
        <w:rPr>
          <w:rFonts w:ascii="宋体" w:hAnsi="宋体" w:cs="宋体" w:hint="eastAsia"/>
          <w:sz w:val="24"/>
        </w:rPr>
        <w:t>董事会、股东大会决议确定具体发行对象的，董事、股东参与认购或者与认购对象存在关联关系的，应当回避表决。</w:t>
      </w:r>
    </w:p>
    <w:p w14:paraId="5C959B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出席董事会的无关联关系董事人数不足三人的，应将该事项提交公司股东大会审议。</w:t>
      </w:r>
    </w:p>
    <w:p w14:paraId="20E5326D" w14:textId="74C49291"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第四十六条</w:t>
      </w:r>
      <w:r w:rsidR="00A45A13">
        <w:rPr>
          <w:rFonts w:ascii="宋体" w:hAnsi="宋体" w:cs="宋体" w:hint="eastAsia"/>
          <w:sz w:val="24"/>
        </w:rPr>
        <w:t xml:space="preserve"> </w:t>
      </w:r>
      <w:r>
        <w:rPr>
          <w:rFonts w:ascii="宋体" w:hAnsi="宋体" w:cs="宋体" w:hint="eastAsia"/>
          <w:sz w:val="24"/>
        </w:rPr>
        <w:t>公司应当按照中国证监会有关规定制作定向发行的申请文件，申请文件应当包括但不限于：定向发行说明书、符合《证券法》规定的律师事务所出具的法律意见书、符合《证券法》规定的会计师事务所出具的审计报告、证券公司出具的推荐文件。</w:t>
      </w:r>
    </w:p>
    <w:p w14:paraId="1ED84EA9" w14:textId="3437CB66"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第四十七条</w:t>
      </w:r>
      <w:r w:rsidR="00A45A13">
        <w:rPr>
          <w:rFonts w:ascii="宋体" w:hAnsi="宋体" w:cs="宋体" w:hint="eastAsia"/>
          <w:sz w:val="24"/>
        </w:rPr>
        <w:t xml:space="preserve"> </w:t>
      </w:r>
      <w:r>
        <w:rPr>
          <w:rFonts w:ascii="宋体" w:hAnsi="宋体" w:cs="宋体" w:hint="eastAsia"/>
          <w:sz w:val="24"/>
        </w:rPr>
        <w:t>股票公开转让的公众公司向公司前十名股东、实际控制人、董事、监事、高级管理人员及核心员工定向发行股票，连续12个月内发行的股份未超过公司总股本10%且融资总额不超过2000万元的，无需提供证券公司出具的推荐文件以及律师事务所出具的法律意见书。</w:t>
      </w:r>
    </w:p>
    <w:p w14:paraId="6B4E5C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按照前款规定发行股票的，董事会决议中应当明确发行对象、发行价格和发行数量，且公司不得存在以下情形：</w:t>
      </w:r>
    </w:p>
    <w:p w14:paraId="3836A9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（一）认购人以非现金资产认购的；</w:t>
      </w:r>
    </w:p>
    <w:p w14:paraId="2419CB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（二）发行股票导致公司控制权发生变动的；</w:t>
      </w:r>
    </w:p>
    <w:p w14:paraId="0CB382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（三）本次发行中存在特殊投资条款安排的；</w:t>
      </w:r>
    </w:p>
    <w:p w14:paraId="5D91F2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（四）公司或其控股股东、实际控制人、董事、监事、高级管理人员最近12个月内被中国证监会给予行政处罚或采取监管措施、被全国股转系统采取纪律处分的。</w:t>
      </w:r>
    </w:p>
    <w:p w14:paraId="7A65F786" w14:textId="5B82D24F" w:rsidR="00A320E6" w:rsidRDefault="00EC0B72" w:rsidP="001E602B">
      <w:pPr>
        <w:pStyle w:val="a3"/>
        <w:spacing w:line="360" w:lineRule="auto"/>
        <w:ind w:firstLine="482"/>
        <w:rPr>
          <w:rFonts w:ascii="宋体" w:hAnsi="宋体" w:cs="宋体"/>
          <w:sz w:val="24"/>
        </w:rPr>
      </w:pPr>
      <w:r w:rsidRPr="00EC0B72">
        <w:rPr>
          <w:rFonts w:ascii="宋体" w:hAnsi="宋体" w:cs="宋体" w:hint="eastAsia"/>
          <w:b/>
          <w:sz w:val="24"/>
        </w:rPr>
        <w:t>第四十八条</w:t>
      </w:r>
      <w:r w:rsidR="00A45A13">
        <w:rPr>
          <w:rFonts w:ascii="宋体" w:hAnsi="宋体" w:cs="宋体" w:hint="eastAsia"/>
          <w:sz w:val="24"/>
        </w:rPr>
        <w:t xml:space="preserve"> </w:t>
      </w:r>
      <w:r>
        <w:rPr>
          <w:rFonts w:ascii="宋体" w:hAnsi="宋体" w:cs="宋体" w:hint="eastAsia"/>
          <w:sz w:val="24"/>
        </w:rPr>
        <w:t>向特定对象发行股票后股东累计超过200人的公司，应当持申请文件向中国证监会申请核准。股票公开转让的公众公司提交的申请文件还应当包括全国股转系统的自律监管意见。</w:t>
      </w:r>
    </w:p>
    <w:p w14:paraId="34D5BB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股票公开转让的公众公司向特定对象发行股票后股东累计不超过200人的，中国证监会豁免核准，由全国股转系统自律管理。</w:t>
      </w:r>
    </w:p>
    <w:p w14:paraId="5DA1CB58" w14:textId="44CAFAC3"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lastRenderedPageBreak/>
        <w:t>第四十九条</w:t>
      </w:r>
      <w:r w:rsidR="00A45A13">
        <w:rPr>
          <w:rFonts w:ascii="宋体" w:hAnsi="宋体" w:cs="宋体" w:hint="eastAsia"/>
          <w:sz w:val="24"/>
        </w:rPr>
        <w:t xml:space="preserve"> </w:t>
      </w:r>
      <w:r>
        <w:rPr>
          <w:rFonts w:ascii="宋体" w:hAnsi="宋体" w:cs="宋体" w:hint="eastAsia"/>
          <w:sz w:val="24"/>
        </w:rPr>
        <w:t>中国证监会受理申请文件后，依法对公司治理和信息披露以及发行对象情况进行审核，在20个工作日内作出核准、中止审核、终止审核、不予核准的决定。</w:t>
      </w:r>
    </w:p>
    <w:p w14:paraId="41568B66" w14:textId="3A02F16B"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第五十条</w:t>
      </w:r>
      <w:r w:rsidR="00A45A13">
        <w:rPr>
          <w:rFonts w:ascii="宋体" w:hAnsi="宋体" w:cs="宋体" w:hint="eastAsia"/>
          <w:sz w:val="24"/>
        </w:rPr>
        <w:t xml:space="preserve"> </w:t>
      </w:r>
      <w:r>
        <w:rPr>
          <w:rFonts w:ascii="宋体" w:hAnsi="宋体" w:cs="宋体" w:hint="eastAsia"/>
          <w:sz w:val="24"/>
        </w:rPr>
        <w:t>公司申请定向发行股票，可申请一次核准，分期发行。自中国证监会予以核准之日起，公司应当在3个月内首期发行，剩余数量应当在12个月内发行完毕。超过核准文件限定的有效期未发行的，须重新经中国证监会核准后方可发行。首期发行数量应当不少于总发行数量的50%，剩余各期发行的数量由公司自行确定，每期发行后5个工作日内将发行情况报中国证监会备案。</w:t>
      </w:r>
    </w:p>
    <w:p w14:paraId="095E9059" w14:textId="1DF462E6"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第五十一条</w:t>
      </w:r>
      <w:r w:rsidR="00C36EF7">
        <w:rPr>
          <w:rFonts w:ascii="宋体" w:hAnsi="宋体" w:cs="宋体" w:hint="eastAsia"/>
          <w:sz w:val="24"/>
        </w:rPr>
        <w:t xml:space="preserve"> </w:t>
      </w:r>
      <w:r>
        <w:rPr>
          <w:rFonts w:ascii="宋体" w:hAnsi="宋体" w:cs="宋体" w:hint="eastAsia"/>
          <w:sz w:val="24"/>
        </w:rPr>
        <w:t>股票发行结束后，公众公司应当按照中国证监会的有关要求编制并披露发行情况报告书。申请分期发行的公众公司应在每期发行后按照中国证监会的有关要求进行披露，并在全部发行结束或者超过核准文件有效期后按照中国证监会的有关要求编制并披露发行情况报告书。</w:t>
      </w:r>
    </w:p>
    <w:p w14:paraId="0BD45D8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豁免向中国证监会申请核准定向发行的公众公司，应当在发行结束后按照中国证监会的有关要求编制并披露发行情况报告书。</w:t>
      </w:r>
    </w:p>
    <w:p w14:paraId="7C0E91EE" w14:textId="4382E0E7"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第五十二条</w:t>
      </w:r>
      <w:r w:rsidR="00C36EF7">
        <w:rPr>
          <w:rFonts w:ascii="宋体" w:hAnsi="宋体" w:cs="宋体" w:hint="eastAsia"/>
          <w:sz w:val="24"/>
        </w:rPr>
        <w:t xml:space="preserve"> </w:t>
      </w:r>
      <w:r>
        <w:rPr>
          <w:rFonts w:ascii="宋体" w:hAnsi="宋体" w:cs="宋体" w:hint="eastAsia"/>
          <w:sz w:val="24"/>
        </w:rPr>
        <w:t>公司及其董事、监事、高级管理人员，应当对定向发行说明书、发行情况报告书签署书面确认意见，保证所披露的信息真实、准确、完整。</w:t>
      </w:r>
    </w:p>
    <w:p w14:paraId="0DA0DA18" w14:textId="0EFAE579"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第五十三条</w:t>
      </w:r>
      <w:r w:rsidR="00C36EF7">
        <w:rPr>
          <w:rFonts w:ascii="宋体" w:hAnsi="宋体" w:cs="宋体" w:hint="eastAsia"/>
          <w:sz w:val="24"/>
        </w:rPr>
        <w:t xml:space="preserve"> </w:t>
      </w:r>
      <w:r>
        <w:rPr>
          <w:rFonts w:ascii="宋体" w:hAnsi="宋体" w:cs="宋体" w:hint="eastAsia"/>
          <w:sz w:val="24"/>
        </w:rPr>
        <w:t>公众公司定向发行股份购买资产的，按照本章有关规定办理。</w:t>
      </w:r>
    </w:p>
    <w:p w14:paraId="6EDB78B9" w14:textId="77777777" w:rsidR="00A320E6" w:rsidRDefault="00000000" w:rsidP="001E602B">
      <w:pPr>
        <w:pStyle w:val="13"/>
        <w:spacing w:before="62" w:after="62"/>
      </w:pPr>
      <w:r>
        <w:rPr>
          <w:rFonts w:hint="eastAsia"/>
        </w:rPr>
        <w:t>第六章 监督管理</w:t>
      </w:r>
    </w:p>
    <w:p w14:paraId="1B8F5A31" w14:textId="7E9BFDF4"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第五十四条</w:t>
      </w:r>
      <w:r w:rsidR="00A45A13">
        <w:rPr>
          <w:rFonts w:ascii="宋体" w:hAnsi="宋体" w:cs="宋体" w:hint="eastAsia"/>
          <w:sz w:val="24"/>
        </w:rPr>
        <w:t xml:space="preserve"> </w:t>
      </w:r>
      <w:r>
        <w:rPr>
          <w:rFonts w:ascii="宋体" w:hAnsi="宋体" w:cs="宋体" w:hint="eastAsia"/>
          <w:sz w:val="24"/>
        </w:rPr>
        <w:t>中国证监会会同国务院有关部门、地方人民政府，依照法律法规和国务院有关规定，各司其职，分工协作，对公众公司进行持续监管，防范风险，维护证券市场秩序。</w:t>
      </w:r>
    </w:p>
    <w:p w14:paraId="0AF85359" w14:textId="416A63F7"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第五十五条</w:t>
      </w:r>
      <w:r w:rsidR="00A45A13">
        <w:rPr>
          <w:rFonts w:ascii="宋体" w:hAnsi="宋体" w:cs="宋体" w:hint="eastAsia"/>
          <w:sz w:val="24"/>
        </w:rPr>
        <w:t xml:space="preserve"> </w:t>
      </w:r>
      <w:r>
        <w:rPr>
          <w:rFonts w:ascii="宋体" w:hAnsi="宋体" w:cs="宋体" w:hint="eastAsia"/>
          <w:sz w:val="24"/>
        </w:rPr>
        <w:t>中国证监会依法履行对公司股票转让、股票发行、信息披露的监管职责，有权对公司、证券公司、证券服务机构等采取《证券法》规定的有关措施。</w:t>
      </w:r>
    </w:p>
    <w:p w14:paraId="2EC7576D" w14:textId="2989CAFB"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第五十六条</w:t>
      </w:r>
      <w:r w:rsidR="00A45A13">
        <w:rPr>
          <w:rFonts w:ascii="宋体" w:hAnsi="宋体" w:cs="宋体" w:hint="eastAsia"/>
          <w:sz w:val="24"/>
        </w:rPr>
        <w:t xml:space="preserve"> </w:t>
      </w:r>
      <w:r>
        <w:rPr>
          <w:rFonts w:ascii="宋体" w:hAnsi="宋体" w:cs="宋体" w:hint="eastAsia"/>
          <w:sz w:val="24"/>
        </w:rPr>
        <w:t>全国股转系统应当发挥自律管理作用，对股票公开转让的公众公司及相关信息披露义务人披露信息进行监督，督促其依法及时、准确地披露信息。发现股票公开转让的公众公司及相关信息披露义务人有违反法律、行政法规和中国证监会相关规定的行为，应当向中国证监会报告，并采取自律管理措施。</w:t>
      </w:r>
    </w:p>
    <w:p w14:paraId="3071C0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全国股转系统可以依据相关规则对股票公开转让的公众公司进行检查。</w:t>
      </w:r>
    </w:p>
    <w:p w14:paraId="3EE2953F" w14:textId="263CC744"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第五十七条</w:t>
      </w:r>
      <w:r w:rsidR="00A45A13">
        <w:rPr>
          <w:rFonts w:ascii="宋体" w:hAnsi="宋体" w:cs="宋体" w:hint="eastAsia"/>
          <w:sz w:val="24"/>
        </w:rPr>
        <w:t xml:space="preserve"> </w:t>
      </w:r>
      <w:r>
        <w:rPr>
          <w:rFonts w:ascii="宋体" w:hAnsi="宋体" w:cs="宋体" w:hint="eastAsia"/>
          <w:sz w:val="24"/>
        </w:rPr>
        <w:t>中国证券业协会应当发挥自律管理作用，对从事公司股票转让和股</w:t>
      </w:r>
      <w:r>
        <w:rPr>
          <w:rFonts w:ascii="宋体" w:hAnsi="宋体" w:cs="宋体" w:hint="eastAsia"/>
          <w:sz w:val="24"/>
        </w:rPr>
        <w:lastRenderedPageBreak/>
        <w:t>票发行业务的证券公司进行监督，督促其勤勉尽责地履行尽职调查和督导职责。发现证券公司有违反法律、行政法规和中国证监会相关规定的行为，应当向中国证监会报告，并采取自律管理措施。</w:t>
      </w:r>
    </w:p>
    <w:p w14:paraId="10BE976E" w14:textId="04B54B81"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第五十八条</w:t>
      </w:r>
      <w:r w:rsidR="00A45A13">
        <w:rPr>
          <w:rFonts w:ascii="宋体" w:hAnsi="宋体" w:cs="宋体" w:hint="eastAsia"/>
          <w:sz w:val="24"/>
        </w:rPr>
        <w:t xml:space="preserve"> </w:t>
      </w:r>
      <w:r>
        <w:rPr>
          <w:rFonts w:ascii="宋体" w:hAnsi="宋体" w:cs="宋体" w:hint="eastAsia"/>
          <w:sz w:val="24"/>
        </w:rPr>
        <w:t>中国证监会可以要求公司及其他信息披露义务人或者其董事、监事、高级管理人员对有关信息披露问题作出解释、说明或者提供相关资料，并要求公司提供证券公司或者证券服务机构的专业意见。</w:t>
      </w:r>
    </w:p>
    <w:p w14:paraId="7AC41F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中国证监会对证券公司和证券服务机构出具文件的真实性、准确性、完整性有疑义的，可以要求相关机构作出解释、补充，并调阅其工作底稿。</w:t>
      </w:r>
    </w:p>
    <w:p w14:paraId="64A92ED1" w14:textId="3A1E5880"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第五十九条</w:t>
      </w:r>
      <w:r w:rsidR="00A45A13">
        <w:rPr>
          <w:rFonts w:ascii="宋体" w:hAnsi="宋体" w:cs="宋体" w:hint="eastAsia"/>
          <w:sz w:val="24"/>
        </w:rPr>
        <w:t xml:space="preserve"> </w:t>
      </w:r>
      <w:r>
        <w:rPr>
          <w:rFonts w:ascii="宋体" w:hAnsi="宋体" w:cs="宋体" w:hint="eastAsia"/>
          <w:sz w:val="24"/>
        </w:rPr>
        <w:t>证券公司在从事股票转让、股票发行等业务活动中，应当按照中国证监会的有关规定勤勉尽责地进行尽职调查，规范履行内核程序，认真编制相关文件，并持续督导所推荐公司及时履行信息披露义务、完善公司治理。</w:t>
      </w:r>
    </w:p>
    <w:p w14:paraId="4DA1A880" w14:textId="3935E8AA"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第六十条</w:t>
      </w:r>
      <w:r w:rsidR="00A45A13">
        <w:rPr>
          <w:rFonts w:ascii="宋体" w:hAnsi="宋体" w:cs="宋体" w:hint="eastAsia"/>
          <w:sz w:val="24"/>
        </w:rPr>
        <w:t xml:space="preserve"> </w:t>
      </w:r>
      <w:r>
        <w:rPr>
          <w:rFonts w:ascii="宋体" w:hAnsi="宋体" w:cs="宋体" w:hint="eastAsia"/>
          <w:sz w:val="24"/>
        </w:rPr>
        <w:t>证券服务机构为公司的股票转让、股票发行等活动出具审计报告、资产评估报告或者法律意见书等文件的，应当严格履行法定职责，遵循勤勉尽责和诚实信用原则，对公司的主体资格、股本情况、规范运作、财务状况、公司治理、信息披露等内容的真实性、准确性、完整性进行充分的核查和验证，并保证其出具的文件不存在虚假记载、误导性陈述或者重大遗漏。</w:t>
      </w:r>
    </w:p>
    <w:p w14:paraId="5B8E4F07" w14:textId="642B8424"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第六十一条</w:t>
      </w:r>
      <w:r w:rsidR="00C36EF7">
        <w:rPr>
          <w:rFonts w:ascii="宋体" w:hAnsi="宋体" w:cs="宋体" w:hint="eastAsia"/>
          <w:sz w:val="24"/>
        </w:rPr>
        <w:t xml:space="preserve"> </w:t>
      </w:r>
      <w:r>
        <w:rPr>
          <w:rFonts w:ascii="宋体" w:hAnsi="宋体" w:cs="宋体" w:hint="eastAsia"/>
          <w:sz w:val="24"/>
        </w:rPr>
        <w:t>中国证监会依法对公司及其他信息披露义务人、证券公司、证券服务机构进行监督检查或者调查，被检查或者调查对象有义务提供相关文件资料。对于发现问题的单位和个人，中国证监会可以采取责令改正、监管谈话、责令公开说明、出具警示函等监管措施，并记入诚信档案；涉嫌违法、犯罪的，应当立案调查或者移送司法机关。</w:t>
      </w:r>
    </w:p>
    <w:p w14:paraId="7D7A9D5A" w14:textId="77777777" w:rsidR="00A320E6" w:rsidRDefault="00000000" w:rsidP="001E602B">
      <w:pPr>
        <w:pStyle w:val="13"/>
        <w:spacing w:before="62" w:after="62"/>
      </w:pPr>
      <w:r>
        <w:rPr>
          <w:rFonts w:hint="eastAsia"/>
        </w:rPr>
        <w:t>第七章 法律责任</w:t>
      </w:r>
    </w:p>
    <w:p w14:paraId="0D06411A" w14:textId="458B45AB"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第六十二条</w:t>
      </w:r>
      <w:r w:rsidR="00C36EF7">
        <w:rPr>
          <w:rFonts w:ascii="宋体" w:hAnsi="宋体" w:cs="宋体" w:hint="eastAsia"/>
          <w:sz w:val="24"/>
        </w:rPr>
        <w:t xml:space="preserve"> </w:t>
      </w:r>
      <w:r>
        <w:rPr>
          <w:rFonts w:ascii="宋体" w:hAnsi="宋体" w:cs="宋体" w:hint="eastAsia"/>
          <w:sz w:val="24"/>
        </w:rPr>
        <w:t>公司在其公告的股票挂牌公开转让、股票发行文件中隐瞒重要事实或者编造重要虚假内容的，除依照《证券法》有关规定进行处罚外，中国证监会可视情节轻重，依法采取责令改正、监管谈话、出具警示函等监管措施；情节严重的，中国证监会可以对有关责任人员采取证券市场禁入的措施。</w:t>
      </w:r>
    </w:p>
    <w:p w14:paraId="43FC45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公司擅自改动已提交的股票转让、股票发行申请文件的，或发生重大事项未及时报告或者未及时披露的，中国证监会可视情节轻重，依法采取责令改正、监管谈话、出具警示函等监管措施。</w:t>
      </w:r>
    </w:p>
    <w:p w14:paraId="339416FA" w14:textId="0AFC9920"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lastRenderedPageBreak/>
        <w:t>第六十三条</w:t>
      </w:r>
      <w:r w:rsidR="00C36EF7">
        <w:rPr>
          <w:rFonts w:ascii="宋体" w:hAnsi="宋体" w:cs="宋体" w:hint="eastAsia"/>
          <w:sz w:val="24"/>
        </w:rPr>
        <w:t xml:space="preserve"> </w:t>
      </w:r>
      <w:r>
        <w:rPr>
          <w:rFonts w:ascii="宋体" w:hAnsi="宋体" w:cs="宋体" w:hint="eastAsia"/>
          <w:sz w:val="24"/>
        </w:rPr>
        <w:t>公司向不符合本办法规定条件的投资者发行股票的，中国证监会可以责令改正。</w:t>
      </w:r>
    </w:p>
    <w:p w14:paraId="2FF91047" w14:textId="178B1899"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第六十四条</w:t>
      </w:r>
      <w:r w:rsidR="00A45A13">
        <w:rPr>
          <w:rFonts w:ascii="宋体" w:hAnsi="宋体" w:cs="宋体" w:hint="eastAsia"/>
          <w:sz w:val="24"/>
        </w:rPr>
        <w:t xml:space="preserve"> </w:t>
      </w:r>
      <w:r>
        <w:rPr>
          <w:rFonts w:ascii="宋体" w:hAnsi="宋体" w:cs="宋体" w:hint="eastAsia"/>
          <w:sz w:val="24"/>
        </w:rPr>
        <w:t>公司未依照本办法</w:t>
      </w:r>
      <w:r w:rsidR="00EC0B72" w:rsidRPr="00A70BC1">
        <w:rPr>
          <w:rFonts w:ascii="宋体" w:hAnsi="宋体" w:cs="宋体" w:hint="eastAsia"/>
          <w:bCs/>
          <w:sz w:val="24"/>
        </w:rPr>
        <w:t>第三十四条</w:t>
      </w:r>
      <w:r w:rsidRPr="00A70BC1">
        <w:rPr>
          <w:rFonts w:ascii="宋体" w:hAnsi="宋体" w:cs="宋体" w:hint="eastAsia"/>
          <w:bCs/>
          <w:sz w:val="24"/>
        </w:rPr>
        <w:t>、</w:t>
      </w:r>
      <w:r w:rsidR="00EC0B72" w:rsidRPr="00A70BC1">
        <w:rPr>
          <w:rFonts w:ascii="宋体" w:hAnsi="宋体" w:cs="宋体" w:hint="eastAsia"/>
          <w:bCs/>
          <w:sz w:val="24"/>
        </w:rPr>
        <w:t>第三十六条</w:t>
      </w:r>
      <w:r w:rsidRPr="00A70BC1">
        <w:rPr>
          <w:rFonts w:ascii="宋体" w:hAnsi="宋体" w:cs="宋体" w:hint="eastAsia"/>
          <w:bCs/>
          <w:sz w:val="24"/>
        </w:rPr>
        <w:t>、</w:t>
      </w:r>
      <w:r w:rsidR="00EC0B72" w:rsidRPr="00A70BC1">
        <w:rPr>
          <w:rFonts w:ascii="宋体" w:hAnsi="宋体" w:cs="宋体" w:hint="eastAsia"/>
          <w:bCs/>
          <w:sz w:val="24"/>
        </w:rPr>
        <w:t>第四十八条</w:t>
      </w:r>
      <w:r>
        <w:rPr>
          <w:rFonts w:ascii="宋体" w:hAnsi="宋体" w:cs="宋体" w:hint="eastAsia"/>
          <w:sz w:val="24"/>
        </w:rPr>
        <w:t>规定，擅自转让或者发行股票的，依照《证券法》有关规定进行处罚。</w:t>
      </w:r>
    </w:p>
    <w:p w14:paraId="68546BA5" w14:textId="4E3B735B"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第六十五条</w:t>
      </w:r>
      <w:r w:rsidR="00A45A13">
        <w:rPr>
          <w:rFonts w:ascii="宋体" w:hAnsi="宋体" w:cs="宋体" w:hint="eastAsia"/>
          <w:sz w:val="24"/>
        </w:rPr>
        <w:t xml:space="preserve"> </w:t>
      </w:r>
      <w:r>
        <w:rPr>
          <w:rFonts w:ascii="宋体" w:hAnsi="宋体" w:cs="宋体" w:hint="eastAsia"/>
          <w:sz w:val="24"/>
        </w:rPr>
        <w:t>公众公司违反本办法</w:t>
      </w:r>
      <w:r w:rsidR="00EC0B72" w:rsidRPr="00A70BC1">
        <w:rPr>
          <w:rFonts w:ascii="宋体" w:hAnsi="宋体" w:cs="宋体" w:hint="eastAsia"/>
          <w:bCs/>
          <w:sz w:val="24"/>
        </w:rPr>
        <w:t>第十三条</w:t>
      </w:r>
      <w:r w:rsidRPr="00A70BC1">
        <w:rPr>
          <w:rFonts w:ascii="宋体" w:hAnsi="宋体" w:cs="宋体" w:hint="eastAsia"/>
          <w:bCs/>
          <w:sz w:val="24"/>
        </w:rPr>
        <w:t>、</w:t>
      </w:r>
      <w:r w:rsidR="00EC0B72" w:rsidRPr="00A70BC1">
        <w:rPr>
          <w:rFonts w:ascii="宋体" w:hAnsi="宋体" w:cs="宋体" w:hint="eastAsia"/>
          <w:bCs/>
          <w:sz w:val="24"/>
        </w:rPr>
        <w:t>第十四条</w:t>
      </w:r>
      <w:r>
        <w:rPr>
          <w:rFonts w:ascii="宋体" w:hAnsi="宋体" w:cs="宋体" w:hint="eastAsia"/>
          <w:sz w:val="24"/>
        </w:rPr>
        <w:t>规定的，中国证监会可以责令改正，对相关责任主体给予警告，单处或者并处3万元以下的罚款。</w:t>
      </w:r>
    </w:p>
    <w:p w14:paraId="21DE1246" w14:textId="59C558BA"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第六十六条</w:t>
      </w:r>
      <w:r w:rsidR="00A45A13">
        <w:rPr>
          <w:rFonts w:ascii="宋体" w:hAnsi="宋体" w:cs="宋体" w:hint="eastAsia"/>
          <w:sz w:val="24"/>
        </w:rPr>
        <w:t xml:space="preserve"> </w:t>
      </w:r>
      <w:r>
        <w:rPr>
          <w:rFonts w:ascii="宋体" w:hAnsi="宋体" w:cs="宋体" w:hint="eastAsia"/>
          <w:sz w:val="24"/>
        </w:rPr>
        <w:t>公司及其他信息披露义务人未按照规定披露信息，或者所披露的信息有虚假记载、误导性陈述或者重大遗漏的，依照《证券法》有关规定进行处罚。</w:t>
      </w:r>
    </w:p>
    <w:p w14:paraId="5C314A26" w14:textId="02E9BC47"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第六十七条</w:t>
      </w:r>
      <w:r w:rsidR="00A45A13">
        <w:rPr>
          <w:rFonts w:ascii="宋体" w:hAnsi="宋体" w:cs="宋体" w:hint="eastAsia"/>
          <w:sz w:val="24"/>
        </w:rPr>
        <w:t xml:space="preserve"> </w:t>
      </w:r>
      <w:r>
        <w:rPr>
          <w:rFonts w:ascii="宋体" w:hAnsi="宋体" w:cs="宋体" w:hint="eastAsia"/>
          <w:sz w:val="24"/>
        </w:rPr>
        <w:t>信息披露义务人及其董事、监事、高级管理人员，公司控股股东、实际控制人，为信息披露义务人出具专项文件的证券公司、证券服务机构及其工作人员，违反《证券法》、行政法规和中国证监会相关规定的，中国证监会可以依法采取责令改正、监管谈话、出具警示函等监管措施，并记入诚信档案；情节严重的，中国证监会可以对有关责任人员采取证券市场禁入的措施。</w:t>
      </w:r>
    </w:p>
    <w:p w14:paraId="3287CEAF" w14:textId="5BE8A810"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第六十八条</w:t>
      </w:r>
      <w:r w:rsidR="00A45A13">
        <w:rPr>
          <w:rFonts w:ascii="宋体" w:hAnsi="宋体" w:cs="宋体" w:hint="eastAsia"/>
          <w:sz w:val="24"/>
        </w:rPr>
        <w:t xml:space="preserve"> </w:t>
      </w:r>
      <w:r>
        <w:rPr>
          <w:rFonts w:ascii="宋体" w:hAnsi="宋体" w:cs="宋体" w:hint="eastAsia"/>
          <w:sz w:val="24"/>
        </w:rPr>
        <w:t>公众公司内幕信息知情人或非法获取内幕信息的人，在对公众公司股票价格有重大影响的信息公开前，泄露该信息、买卖或者建议他人买卖该股票的，依照《证券法》有关规定进行处罚。</w:t>
      </w:r>
    </w:p>
    <w:p w14:paraId="67F3EC60" w14:textId="07845778"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第六十九条</w:t>
      </w:r>
      <w:r w:rsidR="00A45A13">
        <w:rPr>
          <w:rFonts w:ascii="宋体" w:hAnsi="宋体" w:cs="宋体" w:hint="eastAsia"/>
          <w:sz w:val="24"/>
        </w:rPr>
        <w:t xml:space="preserve"> </w:t>
      </w:r>
      <w:r>
        <w:rPr>
          <w:rFonts w:ascii="宋体" w:hAnsi="宋体" w:cs="宋体" w:hint="eastAsia"/>
          <w:sz w:val="24"/>
        </w:rPr>
        <w:t>股票公开转让的公众公司及其股东、实际控制人未按本办法规定配合证券公司、证券服务机构尽职调查、持续督导等工作的，中国证监会可以依法采取责令改正、监管谈话、出具警示函等监管措施，并记入诚信档案。</w:t>
      </w:r>
    </w:p>
    <w:p w14:paraId="48BD9EBE" w14:textId="7B1C3F0D" w:rsidR="00A320E6" w:rsidRDefault="00B74663" w:rsidP="001E602B">
      <w:pPr>
        <w:pStyle w:val="a3"/>
        <w:spacing w:line="360" w:lineRule="auto"/>
        <w:ind w:firstLine="482"/>
        <w:rPr>
          <w:rFonts w:ascii="宋体" w:hAnsi="宋体" w:cs="宋体"/>
          <w:sz w:val="24"/>
        </w:rPr>
      </w:pPr>
      <w:r w:rsidRPr="00B74663">
        <w:rPr>
          <w:rFonts w:ascii="宋体" w:hAnsi="宋体" w:cs="宋体" w:hint="eastAsia"/>
          <w:b/>
          <w:sz w:val="24"/>
        </w:rPr>
        <w:t>第七十条</w:t>
      </w:r>
      <w:r w:rsidR="00A45A13">
        <w:rPr>
          <w:rFonts w:ascii="宋体" w:hAnsi="宋体" w:cs="宋体" w:hint="eastAsia"/>
          <w:sz w:val="24"/>
        </w:rPr>
        <w:t xml:space="preserve"> </w:t>
      </w:r>
      <w:r>
        <w:rPr>
          <w:rFonts w:ascii="宋体" w:hAnsi="宋体" w:cs="宋体" w:hint="eastAsia"/>
          <w:sz w:val="24"/>
        </w:rPr>
        <w:t>证券公司及其工作人员未按本办法规定履行持续督导责任，情节严重的，中国证监会可以依法采取责令改正、监管谈话、出具警示函等监管措施。</w:t>
      </w:r>
    </w:p>
    <w:p w14:paraId="1B05C3E1" w14:textId="05ABD93A"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C36EF7" w:rsidRPr="00B74663">
        <w:rPr>
          <w:rFonts w:ascii="宋体" w:hAnsi="宋体" w:cs="宋体" w:hint="eastAsia"/>
          <w:b/>
          <w:sz w:val="24"/>
        </w:rPr>
        <w:t xml:space="preserve">一条 </w:t>
      </w:r>
      <w:r>
        <w:rPr>
          <w:rFonts w:ascii="宋体" w:hAnsi="宋体" w:cs="宋体" w:hint="eastAsia"/>
          <w:sz w:val="24"/>
        </w:rPr>
        <w:t>证券公司、证券服务机构出具的文件有虚假记载、误导性陈述或者重大遗漏的，除依照《证券法》及相关法律法规的规定处罚外，中国证监会可以依法采取责令改正、监管谈话、出具警示函等监管措施；情节严重的，中国证监会可以对有关责任人员采取证券市场禁入的措施。</w:t>
      </w:r>
    </w:p>
    <w:p w14:paraId="546AE87D" w14:textId="2CB93128"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C36EF7" w:rsidRPr="00B74663">
        <w:rPr>
          <w:rFonts w:ascii="宋体" w:hAnsi="宋体" w:cs="宋体" w:hint="eastAsia"/>
          <w:b/>
          <w:sz w:val="24"/>
        </w:rPr>
        <w:t xml:space="preserve">二条 </w:t>
      </w:r>
      <w:r>
        <w:rPr>
          <w:rFonts w:ascii="宋体" w:hAnsi="宋体" w:cs="宋体" w:hint="eastAsia"/>
          <w:sz w:val="24"/>
        </w:rPr>
        <w:t>证券公司、证券服务机构擅自改动已提交的股票转让、股票发行申请文件的，或发生重大事项未及时报告或者未及时披露的，中国证监会可视情节轻重，依法采取责令改正、监管谈话、出具警示函等监管措施。</w:t>
      </w:r>
    </w:p>
    <w:p w14:paraId="2465DE13" w14:textId="77777777" w:rsidR="00A320E6" w:rsidRDefault="00000000" w:rsidP="001E602B">
      <w:pPr>
        <w:pStyle w:val="13"/>
        <w:spacing w:before="62" w:after="62"/>
      </w:pPr>
      <w:r>
        <w:rPr>
          <w:rFonts w:hint="eastAsia"/>
        </w:rPr>
        <w:lastRenderedPageBreak/>
        <w:t>第八章 附则</w:t>
      </w:r>
    </w:p>
    <w:p w14:paraId="2DEE10EC" w14:textId="579F9004"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C36EF7" w:rsidRPr="00B74663">
        <w:rPr>
          <w:rFonts w:ascii="宋体" w:hAnsi="宋体" w:cs="宋体" w:hint="eastAsia"/>
          <w:b/>
          <w:sz w:val="24"/>
        </w:rPr>
        <w:t xml:space="preserve">三条 </w:t>
      </w:r>
      <w:r>
        <w:rPr>
          <w:rFonts w:ascii="宋体" w:hAnsi="宋体" w:cs="宋体" w:hint="eastAsia"/>
          <w:sz w:val="24"/>
        </w:rPr>
        <w:t>公众公司申请在证券交易所上市的，应当遵守中国证监会和证券交易所的相关规定。</w:t>
      </w:r>
    </w:p>
    <w:p w14:paraId="646BF101" w14:textId="628AE459"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A45A13" w:rsidRPr="00B74663">
        <w:rPr>
          <w:rFonts w:ascii="宋体" w:hAnsi="宋体" w:cs="宋体" w:hint="eastAsia"/>
          <w:b/>
          <w:sz w:val="24"/>
        </w:rPr>
        <w:t xml:space="preserve">四条 </w:t>
      </w:r>
      <w:r>
        <w:rPr>
          <w:rFonts w:ascii="宋体" w:hAnsi="宋体" w:cs="宋体" w:hint="eastAsia"/>
          <w:sz w:val="24"/>
        </w:rPr>
        <w:t>注册在境内的境外上市公司在境内定向发行股份、将境内股份在全国股转系统挂牌公开转让，按照本办法相关规定执行。</w:t>
      </w:r>
    </w:p>
    <w:p w14:paraId="39ADE532" w14:textId="05671E1A"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A45A13" w:rsidRPr="00B74663">
        <w:rPr>
          <w:rFonts w:ascii="宋体" w:hAnsi="宋体" w:cs="宋体" w:hint="eastAsia"/>
          <w:b/>
          <w:sz w:val="24"/>
        </w:rPr>
        <w:t xml:space="preserve">五条 </w:t>
      </w:r>
      <w:r>
        <w:rPr>
          <w:rFonts w:ascii="宋体" w:hAnsi="宋体" w:cs="宋体" w:hint="eastAsia"/>
          <w:sz w:val="24"/>
        </w:rPr>
        <w:t>本办法施行前股东人数超过200人的股份有限公司，不在全国股转系统挂牌公开转让股票或证券交易所上市的，应当按相关要求规范后申请纳入非上市公众公司监管。</w:t>
      </w:r>
    </w:p>
    <w:p w14:paraId="7C06C972" w14:textId="5FFA70E8"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A45A13" w:rsidRPr="00B74663">
        <w:rPr>
          <w:rFonts w:ascii="宋体" w:hAnsi="宋体" w:cs="宋体" w:hint="eastAsia"/>
          <w:b/>
          <w:sz w:val="24"/>
        </w:rPr>
        <w:t xml:space="preserve">六条 </w:t>
      </w:r>
      <w:r>
        <w:rPr>
          <w:rFonts w:ascii="宋体" w:hAnsi="宋体" w:cs="宋体" w:hint="eastAsia"/>
          <w:sz w:val="24"/>
        </w:rPr>
        <w:t>公司发行优先股、可转换公司债券的，应当符合中国证监会和全国股转系统的有关规定，普通股、优先股、可转换公司债券持有人数合并计算，并按照本办法第五章有关规定办理。</w:t>
      </w:r>
    </w:p>
    <w:p w14:paraId="48A39D3B" w14:textId="25CA6D98"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A45A13" w:rsidRPr="00B74663">
        <w:rPr>
          <w:rFonts w:ascii="宋体" w:hAnsi="宋体" w:cs="宋体" w:hint="eastAsia"/>
          <w:b/>
          <w:sz w:val="24"/>
        </w:rPr>
        <w:t xml:space="preserve">七条 </w:t>
      </w:r>
      <w:r>
        <w:rPr>
          <w:rFonts w:ascii="宋体" w:hAnsi="宋体" w:cs="宋体" w:hint="eastAsia"/>
          <w:sz w:val="24"/>
        </w:rPr>
        <w:t>本办法所称股份有限公司是指首次申请股票转让或定向发行的股份有限公司；所称公司包括非上市公众公司和首次申请股票转让或定向发行的股份有限公司。</w:t>
      </w:r>
    </w:p>
    <w:p w14:paraId="1E78D9CE" w14:textId="61DB169D" w:rsidR="00A320E6" w:rsidRPr="001E602B" w:rsidRDefault="00000000" w:rsidP="001E602B">
      <w:pPr>
        <w:pStyle w:val="a3"/>
        <w:spacing w:line="360" w:lineRule="auto"/>
        <w:ind w:firstLine="482"/>
        <w:rPr>
          <w:rFonts w:ascii="宋体" w:hAnsi="宋体" w:cs="宋体"/>
          <w:b/>
          <w:sz w:val="24"/>
        </w:rPr>
      </w:pPr>
      <w:r w:rsidRPr="00B74663">
        <w:rPr>
          <w:rFonts w:ascii="宋体" w:hAnsi="宋体" w:cs="宋体" w:hint="eastAsia"/>
          <w:b/>
          <w:sz w:val="24"/>
        </w:rPr>
        <w:t>第七十</w:t>
      </w:r>
      <w:r w:rsidR="00A45A13" w:rsidRPr="00B74663">
        <w:rPr>
          <w:rFonts w:ascii="宋体" w:hAnsi="宋体" w:cs="宋体" w:hint="eastAsia"/>
          <w:b/>
          <w:sz w:val="24"/>
        </w:rPr>
        <w:t xml:space="preserve">八条 </w:t>
      </w:r>
      <w:r>
        <w:rPr>
          <w:rFonts w:ascii="宋体" w:hAnsi="宋体" w:cs="宋体" w:hint="eastAsia"/>
          <w:sz w:val="24"/>
        </w:rPr>
        <w:t>本办法自2013年1月1日起施行。</w:t>
      </w:r>
    </w:p>
    <w:p w14:paraId="1D487AB8"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57" w:name="_Toc112227365"/>
      <w:r>
        <w:rPr>
          <w:rFonts w:ascii="宋体" w:hAnsi="宋体" w:cs="宋体" w:hint="eastAsia"/>
          <w:b/>
          <w:bCs/>
          <w:sz w:val="24"/>
          <w:szCs w:val="24"/>
        </w:rPr>
        <w:t>上海证券交易所科创板上市公司</w:t>
      </w:r>
      <w:r w:rsidRPr="00944A38">
        <w:rPr>
          <w:rFonts w:ascii="宋体" w:hAnsi="宋体" w:cs="宋体" w:hint="eastAsia"/>
          <w:b/>
          <w:bCs/>
          <w:color w:val="000000"/>
          <w:kern w:val="0"/>
          <w:sz w:val="24"/>
          <w:szCs w:val="24"/>
          <w:lang w:bidi="ar"/>
        </w:rPr>
        <w:t>重大</w:t>
      </w:r>
      <w:r>
        <w:rPr>
          <w:rFonts w:ascii="宋体" w:hAnsi="宋体" w:cs="宋体" w:hint="eastAsia"/>
          <w:b/>
          <w:bCs/>
          <w:sz w:val="24"/>
          <w:szCs w:val="24"/>
        </w:rPr>
        <w:t>资产重组审核规则（2021年修订）</w:t>
      </w:r>
      <w:bookmarkEnd w:id="57"/>
    </w:p>
    <w:p w14:paraId="0098B83E" w14:textId="1430F67E" w:rsidR="00A320E6" w:rsidRDefault="00A70BC1" w:rsidP="00A70BC1">
      <w:pPr>
        <w:pStyle w:val="13"/>
        <w:spacing w:before="62" w:after="62"/>
      </w:pPr>
      <w:r>
        <w:rPr>
          <w:rFonts w:hint="eastAsia"/>
        </w:rPr>
        <w:t>第三章 重组信息披露要求</w:t>
      </w:r>
    </w:p>
    <w:p w14:paraId="7DE0DC5D" w14:textId="78A6AB1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第十八条</w:t>
      </w:r>
      <w:r w:rsidR="00A45A13">
        <w:rPr>
          <w:rFonts w:ascii="宋体" w:hAnsi="宋体" w:cs="宋体" w:hint="eastAsia"/>
          <w:b/>
          <w:bCs/>
          <w:sz w:val="24"/>
        </w:rPr>
        <w:t xml:space="preserve"> </w:t>
      </w:r>
      <w:r>
        <w:rPr>
          <w:rFonts w:ascii="宋体" w:hAnsi="宋体" w:cs="宋体" w:hint="eastAsia"/>
          <w:sz w:val="24"/>
        </w:rPr>
        <w:t>会计师事务所、律师事务所、资产评估机构等证券服务机构应当诚实守信、勤勉尽责，保证其出具文件的真实、准确、完整。</w:t>
      </w:r>
    </w:p>
    <w:p w14:paraId="3672E4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证券服务机构应当严格遵守相关法律法规、业务规则、行业自律规范，严格执行内部控制制度，对与其专业职责有关的业务事项进行核查验证，履行特别注意义务，审慎发表专业意见。</w:t>
      </w:r>
    </w:p>
    <w:p w14:paraId="70BBC731" w14:textId="1E07CC6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第二十三条</w:t>
      </w:r>
      <w:r w:rsidR="00C36EF7">
        <w:rPr>
          <w:rFonts w:ascii="宋体" w:hAnsi="宋体" w:cs="宋体" w:hint="eastAsia"/>
          <w:b/>
          <w:bCs/>
          <w:sz w:val="24"/>
        </w:rPr>
        <w:t xml:space="preserve"> </w:t>
      </w:r>
      <w:r>
        <w:rPr>
          <w:rFonts w:ascii="宋体" w:hAnsi="宋体" w:cs="宋体" w:hint="eastAsia"/>
          <w:sz w:val="24"/>
        </w:rPr>
        <w:t>科创公司应当充分披露本次交易资产定价的合理性，至少包括下列事项：</w:t>
      </w:r>
    </w:p>
    <w:p w14:paraId="6ED596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（一）资产定价过程是否经过充分的市场博弈，交易价格是否显失公允；</w:t>
      </w:r>
    </w:p>
    <w:p w14:paraId="1306A4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（二）所选取的评估或者估值方法与标的资产特征的匹配度，评估或者估值参数选取的合理性；</w:t>
      </w:r>
    </w:p>
    <w:p w14:paraId="00D2D98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（三）标的资产交易作价与历史交易作价是否存在重大差异及存在重大差异的合理性；</w:t>
      </w:r>
    </w:p>
    <w:p w14:paraId="33F101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（四）相同或者类似资产在可比交易中的估值水平；</w:t>
      </w:r>
    </w:p>
    <w:p w14:paraId="3FD112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（五）商誉确认是否符合会计准则的规定，是否足额确认可辨认无形资产。</w:t>
      </w:r>
    </w:p>
    <w:p w14:paraId="52B65AE2" w14:textId="24C0E8E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第二十九条</w:t>
      </w:r>
      <w:r w:rsidR="00A45A13">
        <w:rPr>
          <w:rFonts w:ascii="宋体" w:hAnsi="宋体" w:cs="宋体" w:hint="eastAsia"/>
          <w:b/>
          <w:bCs/>
          <w:sz w:val="24"/>
        </w:rPr>
        <w:t xml:space="preserve"> </w:t>
      </w:r>
      <w:r>
        <w:rPr>
          <w:rFonts w:ascii="宋体" w:hAnsi="宋体" w:cs="宋体" w:hint="eastAsia"/>
          <w:sz w:val="24"/>
        </w:rPr>
        <w:t>科创公司实施发行股份购买资产或者重组上市的，应当按照规定聘请独立财务顾问，并委托独立财务顾问在股东大会作出重大资产重组决议后3个工作日内，通过本所并购重组审核业务系统报送下列申请文件：</w:t>
      </w:r>
    </w:p>
    <w:p w14:paraId="38C97D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（一）重大资产重组报告书及相关文件；</w:t>
      </w:r>
    </w:p>
    <w:p w14:paraId="24E612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（二）独立财务顾问报告及相关文件；</w:t>
      </w:r>
    </w:p>
    <w:p w14:paraId="295571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（三）法律意见书、审计报告及资产评估报告或者估值报告等证券服务机构出具的文件；</w:t>
      </w:r>
    </w:p>
    <w:p w14:paraId="4DE9FA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（四）中国证监会或者本所要求的其他文件。</w:t>
      </w:r>
    </w:p>
    <w:p w14:paraId="2441058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申请文件的内容与格式应当符合中国证监会和本所的相关规定。</w:t>
      </w:r>
    </w:p>
    <w:p w14:paraId="6D7CC182" w14:textId="33714E8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第三十一条</w:t>
      </w:r>
      <w:r w:rsidR="00C36EF7">
        <w:rPr>
          <w:rFonts w:ascii="宋体" w:hAnsi="宋体" w:cs="宋体" w:hint="eastAsia"/>
          <w:b/>
          <w:bCs/>
          <w:sz w:val="24"/>
        </w:rPr>
        <w:t xml:space="preserve"> </w:t>
      </w:r>
      <w:r>
        <w:rPr>
          <w:rFonts w:ascii="宋体" w:hAnsi="宋体" w:cs="宋体" w:hint="eastAsia"/>
          <w:sz w:val="24"/>
        </w:rPr>
        <w:t>存在下列情形之一的，本所不予受理申请文件：</w:t>
      </w:r>
    </w:p>
    <w:p w14:paraId="661899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（一）重大资产重组报告书、独立财务顾问报告、法律意见书、财务报告、审计报告及资产评估报告或者估值报告等申请文件不齐备且未按要求补正；</w:t>
      </w:r>
    </w:p>
    <w:p w14:paraId="58C1E3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（二）独立财务顾问、证券服务机构及其相关人员因证券违法违规被采取认定为不适当人选、限制业务活动、一定期限内不接受其出具的相关文件等相关措施,尚未解除；</w:t>
      </w:r>
    </w:p>
    <w:p w14:paraId="2152D1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独立财务顾问、证券服务机构或者相关签字人员因首次公开发行并上市、上市公司发行证券、并购重组业务涉嫌违法违规，或者其他业务涉嫌违法违规且对市场有重大影响被中国证监会立案调查，或者被司法机关立案侦查，尚未结案；</w:t>
      </w:r>
    </w:p>
    <w:p w14:paraId="014838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（四）本次交易涉嫌内幕交易被中国证监会立案调查或者被司法机关立案侦查，尚未结案，但中国证监会另有规定的除外；</w:t>
      </w:r>
    </w:p>
    <w:p w14:paraId="4AA7F2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（五）中国证监会及本所规定的其他情形。</w:t>
      </w:r>
    </w:p>
    <w:p w14:paraId="280740A1" w14:textId="1BC350D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第三十二条</w:t>
      </w:r>
      <w:r w:rsidR="00C36EF7">
        <w:rPr>
          <w:rFonts w:ascii="宋体" w:hAnsi="宋体" w:cs="宋体" w:hint="eastAsia"/>
          <w:b/>
          <w:bCs/>
          <w:sz w:val="24"/>
        </w:rPr>
        <w:t xml:space="preserve"> </w:t>
      </w:r>
      <w:r>
        <w:rPr>
          <w:rFonts w:ascii="宋体" w:hAnsi="宋体" w:cs="宋体" w:hint="eastAsia"/>
          <w:sz w:val="24"/>
        </w:rPr>
        <w:t>申请文件一经受理，科创公司、交易对方及有关各方，以及为本次交易提供服务的独立财务顾问、证券服务机构及其相关人员即须承担相应的法律责任。</w:t>
      </w:r>
    </w:p>
    <w:p w14:paraId="394718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所受理申请文件后至中国证监会作出注册决定前，科创公司、独立财务顾问、证券服务机构应当按照本规则的规定，对披露的重大资产重组报告书、独立财务顾问报告、法律意见书、财务报告、审计报告、资产评估报告或者估值报告等文件予</w:t>
      </w:r>
      <w:r>
        <w:rPr>
          <w:rFonts w:ascii="宋体" w:hAnsi="宋体" w:cs="宋体" w:hint="eastAsia"/>
          <w:sz w:val="24"/>
        </w:rPr>
        <w:lastRenderedPageBreak/>
        <w:t>以修改、补充。</w:t>
      </w:r>
    </w:p>
    <w:p w14:paraId="778234A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未经本所同意，申请文件不得更改。</w:t>
      </w:r>
    </w:p>
    <w:p w14:paraId="4AA163AA" w14:textId="560E6E1E" w:rsidR="00A320E6" w:rsidRDefault="00000000" w:rsidP="00B40F35">
      <w:pPr>
        <w:spacing w:beforeLines="50" w:before="156" w:afterLines="20" w:after="62" w:line="360" w:lineRule="auto"/>
        <w:jc w:val="center"/>
        <w:outlineLvl w:val="2"/>
        <w:rPr>
          <w:rFonts w:ascii="宋体" w:hAnsi="宋体" w:cs="宋体"/>
          <w:b/>
          <w:bCs/>
          <w:sz w:val="24"/>
        </w:rPr>
      </w:pPr>
      <w:bookmarkStart w:id="58" w:name="_Toc112227366"/>
      <w:r>
        <w:rPr>
          <w:rFonts w:ascii="宋体" w:hAnsi="宋体" w:cs="宋体" w:hint="eastAsia"/>
          <w:b/>
          <w:bCs/>
          <w:sz w:val="24"/>
          <w:szCs w:val="24"/>
        </w:rPr>
        <w:t>深圳证券交易所创业板上市公司重大资产</w:t>
      </w:r>
      <w:r w:rsidRPr="00B40F35">
        <w:rPr>
          <w:rFonts w:ascii="宋体" w:hAnsi="宋体" w:cs="宋体" w:hint="eastAsia"/>
          <w:b/>
          <w:bCs/>
          <w:color w:val="000000"/>
          <w:kern w:val="0"/>
          <w:sz w:val="24"/>
          <w:szCs w:val="24"/>
          <w:lang w:bidi="ar"/>
        </w:rPr>
        <w:t>重组</w:t>
      </w:r>
      <w:r>
        <w:rPr>
          <w:rFonts w:ascii="宋体" w:hAnsi="宋体" w:cs="宋体" w:hint="eastAsia"/>
          <w:b/>
          <w:bCs/>
          <w:sz w:val="24"/>
          <w:szCs w:val="24"/>
        </w:rPr>
        <w:t>审核规则 （2021 年修订）</w:t>
      </w:r>
      <w:bookmarkEnd w:id="58"/>
    </w:p>
    <w:p w14:paraId="2C79565D" w14:textId="4AF28DA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第十八条</w:t>
      </w:r>
      <w:r w:rsidR="00A45A13">
        <w:rPr>
          <w:rFonts w:ascii="宋体" w:hAnsi="宋体" w:cs="宋体" w:hint="eastAsia"/>
          <w:b/>
          <w:bCs/>
          <w:sz w:val="24"/>
        </w:rPr>
        <w:t xml:space="preserve"> </w:t>
      </w:r>
      <w:r>
        <w:rPr>
          <w:rFonts w:ascii="宋体" w:hAnsi="宋体" w:cs="宋体" w:hint="eastAsia"/>
          <w:sz w:val="24"/>
        </w:rPr>
        <w:t>会计师事务所、律师事务所、资产评估机构等证券服务机构应当诚实守信、勤勉尽责，保证其出具文件的真实、准确、完整。</w:t>
      </w:r>
    </w:p>
    <w:p w14:paraId="45F2EC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应当严格遵守法律法规、中国证监会依法制定的监管规则、执业准则、职业道德守则、本所依法制定的业务规则及其他相关规定，建立并保持有效的质量控制体系、独立性管理和投资者保护机制，严格执行内部控制制度，对与其专业职责有关的业务事项进行核查验证，履行特别注意义务，审慎发表专业意见。</w:t>
      </w:r>
    </w:p>
    <w:p w14:paraId="137904D7" w14:textId="28154C8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第二十三条</w:t>
      </w:r>
      <w:r w:rsidR="00C36EF7">
        <w:rPr>
          <w:rFonts w:ascii="宋体" w:hAnsi="宋体" w:cs="宋体" w:hint="eastAsia"/>
          <w:b/>
          <w:bCs/>
          <w:sz w:val="24"/>
        </w:rPr>
        <w:t xml:space="preserve"> </w:t>
      </w:r>
      <w:r>
        <w:rPr>
          <w:rFonts w:ascii="宋体" w:hAnsi="宋体" w:cs="宋体" w:hint="eastAsia"/>
          <w:sz w:val="24"/>
        </w:rPr>
        <w:t>上市公司应当充分披露本次交易资产定价的合理性，至少包括下列事项：</w:t>
      </w:r>
    </w:p>
    <w:p w14:paraId="24BB68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（一）资产定价过程是否经过充分的市场博弈，交易价格是否显失公允；</w:t>
      </w:r>
    </w:p>
    <w:p w14:paraId="44A1D98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（二）所选取的评估或者估值方法与标的资产特征的匹配度，评估或者估值参数选取的合理性；</w:t>
      </w:r>
    </w:p>
    <w:p w14:paraId="102368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（三）标的资产交易作价与历史交易作价是否存在重大差异及存在重大差异的合理性；</w:t>
      </w:r>
    </w:p>
    <w:p w14:paraId="397E79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（四）相同或者类似资产在可比交易中的估值水平；</w:t>
      </w:r>
    </w:p>
    <w:p w14:paraId="44058F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（五）商誉确认是否符合会计准则的规定，是否足额确认可辨认无形资产。</w:t>
      </w:r>
    </w:p>
    <w:p w14:paraId="246DB4E8" w14:textId="5BC0BB0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第二十九条</w:t>
      </w:r>
      <w:r w:rsidR="00A45A13">
        <w:rPr>
          <w:rFonts w:ascii="宋体" w:hAnsi="宋体" w:cs="宋体" w:hint="eastAsia"/>
          <w:b/>
          <w:bCs/>
          <w:sz w:val="24"/>
        </w:rPr>
        <w:t xml:space="preserve"> </w:t>
      </w:r>
      <w:r>
        <w:rPr>
          <w:rFonts w:ascii="宋体" w:hAnsi="宋体" w:cs="宋体" w:hint="eastAsia"/>
          <w:sz w:val="24"/>
        </w:rPr>
        <w:t>上市公司实施发行股份购买资产或者重组上市的，应当按照规定聘请独立财务顾问，并委托独立财务顾问在股东大会作出重大资产重组决议后 3 个工作日内，通过本所并购重组审核业务系统报送下列申请文件：</w:t>
      </w:r>
    </w:p>
    <w:p w14:paraId="1FC200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（一）重大资产重组报告书及相关文件；</w:t>
      </w:r>
    </w:p>
    <w:p w14:paraId="7087B4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（二）独立财务顾问报告及相关文件；</w:t>
      </w:r>
    </w:p>
    <w:p w14:paraId="212685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（三）法律意见书、审计报告及资产评估报告或者估值报告等证券服务机构出具的文件；</w:t>
      </w:r>
    </w:p>
    <w:p w14:paraId="5DD3B8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（四）中国证监会或者本所要求的其他文件。</w:t>
      </w:r>
    </w:p>
    <w:p w14:paraId="1E5DD4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申请文件的内容与格式应当符合中国证监会和本所的相关规定。</w:t>
      </w:r>
    </w:p>
    <w:p w14:paraId="10AFC838" w14:textId="6F9C2DC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第三十一条</w:t>
      </w:r>
      <w:r w:rsidR="00C36EF7">
        <w:rPr>
          <w:rFonts w:ascii="宋体" w:hAnsi="宋体" w:cs="宋体" w:hint="eastAsia"/>
          <w:b/>
          <w:bCs/>
          <w:sz w:val="24"/>
        </w:rPr>
        <w:t xml:space="preserve"> </w:t>
      </w:r>
      <w:r>
        <w:rPr>
          <w:rFonts w:ascii="宋体" w:hAnsi="宋体" w:cs="宋体" w:hint="eastAsia"/>
          <w:sz w:val="24"/>
        </w:rPr>
        <w:t xml:space="preserve">存在下列情形之一的，本所不予受理申请文件： </w:t>
      </w:r>
    </w:p>
    <w:p w14:paraId="42A0B9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（一）重大资产重组报告书、独立财务顾问报告、法律意见书、财务报告、审</w:t>
      </w:r>
      <w:r>
        <w:rPr>
          <w:rFonts w:ascii="宋体" w:hAnsi="宋体" w:cs="宋体" w:hint="eastAsia"/>
          <w:sz w:val="24"/>
        </w:rPr>
        <w:lastRenderedPageBreak/>
        <w:t xml:space="preserve">计报告及资产评估报告或者估值报告等申请文件不齐备且未按要求补正； </w:t>
      </w:r>
    </w:p>
    <w:p w14:paraId="2AEBD8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（二）独立财务顾问、证券服务机构及其相关人员因证券违 </w:t>
      </w:r>
    </w:p>
    <w:p w14:paraId="34DC62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法违规被采取认定为不适当人选、限制业务活动、一定期限内不接受其出具的相关文件等相关措施，尚未解除； </w:t>
      </w:r>
    </w:p>
    <w:p w14:paraId="05BB28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独立财务顾问、证券服务机构或者相关签字人员因首次公开发行并上市、上市公司发行证券、并购重组业务涉嫌违法违规，或者其他业务涉嫌违法违规且对市场有重大影响正在被中国证监会立案调查，或者正在被司法机关立案侦查，尚未结案； </w:t>
      </w:r>
    </w:p>
    <w:p w14:paraId="781387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（四）本次交易涉嫌内幕交易正在被中国证监会立案调查或者正在被司法机关立案侦查，尚未结案，但中国证监会另有规定的除外； </w:t>
      </w:r>
    </w:p>
    <w:p w14:paraId="203A7F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（五）中国证监会及本所规定的其他情形。 </w:t>
      </w:r>
    </w:p>
    <w:p w14:paraId="7F439614" w14:textId="5D2088D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bCs/>
          <w:sz w:val="24"/>
        </w:rPr>
        <w:t>第三十二条</w:t>
      </w:r>
      <w:r w:rsidR="00C36EF7">
        <w:rPr>
          <w:rFonts w:ascii="宋体" w:hAnsi="宋体" w:cs="宋体" w:hint="eastAsia"/>
          <w:b/>
          <w:bCs/>
          <w:sz w:val="24"/>
        </w:rPr>
        <w:t xml:space="preserve"> </w:t>
      </w:r>
      <w:r>
        <w:rPr>
          <w:rFonts w:ascii="宋体" w:hAnsi="宋体" w:cs="宋体" w:hint="eastAsia"/>
          <w:sz w:val="24"/>
        </w:rPr>
        <w:t xml:space="preserve">申请文件一经受理，上市公司、交易对方及有关各方，以及为本次交易提供服务的独立财务顾问、证券服务机构及其相关人员即须承担相应的法律责任。 </w:t>
      </w:r>
    </w:p>
    <w:p w14:paraId="5EE179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所受理申请文件后至中国证监会作出注册决定前，上市公司、独立财务顾问、证券服务机构应当按照本规则的规定，对披露的重大资产重组报告书、独立财务顾问报告、法律意见书、财务报告、审计报告、资产评估报告或者估值报告等文件予以修改、补充。</w:t>
      </w:r>
    </w:p>
    <w:p w14:paraId="0AF91D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未经本所同意，申请文件不得更改。</w:t>
      </w:r>
    </w:p>
    <w:p w14:paraId="11E8E81C" w14:textId="77777777" w:rsidR="00A320E6" w:rsidRPr="00944A38"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59" w:name="_Toc112227367"/>
      <w:r w:rsidRPr="00944A38">
        <w:rPr>
          <w:rFonts w:ascii="宋体" w:hAnsi="宋体" w:cs="宋体" w:hint="eastAsia"/>
          <w:b/>
          <w:bCs/>
          <w:color w:val="000000"/>
          <w:kern w:val="0"/>
          <w:sz w:val="24"/>
          <w:szCs w:val="24"/>
          <w:lang w:bidi="ar"/>
        </w:rPr>
        <w:t>监管规则适用指引——评估类第1号</w:t>
      </w:r>
      <w:bookmarkEnd w:id="59"/>
    </w:p>
    <w:p w14:paraId="2F1D33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规范收益法评估中折现率的测算，督促资产评估机构勤勉尽责执业，中国资产评估协会发布了《资产评估专家指引第12号——收益法评估企业价值中折现率的测算》（以下简称《专家指引》），我会结合证券评估业务特点及执业要求，现就折现率测算涉及的关键参数作出以下监管规范。资产评估机构从事证券服务业务时，应当按照《专家指引》和本指引的要求测算折现率；如存在特殊情形未按要求或优先方法测算的，应当在资产评估报告中充分说明理由。</w:t>
      </w:r>
    </w:p>
    <w:p w14:paraId="0E58C06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仅针对运用资本资产定价模型（CAPM）和加权平均资本成本（WACC）测算折现率涉及的参数确定，具体包括无风险利率、市场风险溢价、贝塔系数、资本结构、特定风险报酬率、债权期望报酬率等。采用风险累加等其他方法测算折现率</w:t>
      </w:r>
      <w:r>
        <w:rPr>
          <w:rFonts w:ascii="宋体" w:hAnsi="宋体" w:cs="宋体" w:hint="eastAsia"/>
          <w:sz w:val="24"/>
        </w:rPr>
        <w:lastRenderedPageBreak/>
        <w:t>时可以参照本指引。</w:t>
      </w:r>
    </w:p>
    <w:p w14:paraId="7DD8DD3E" w14:textId="77777777" w:rsidR="00A320E6" w:rsidRDefault="00000000" w:rsidP="001E602B">
      <w:pPr>
        <w:pStyle w:val="1a"/>
      </w:pPr>
      <w:r>
        <w:rPr>
          <w:rFonts w:hint="eastAsia"/>
        </w:rPr>
        <w:t>一、基本要求</w:t>
      </w:r>
    </w:p>
    <w:p w14:paraId="03AC80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资产评估机构执行证券评估业务，在收益法折现率测算时应当遵循以下基本要求：</w:t>
      </w:r>
    </w:p>
    <w:p w14:paraId="0BC959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一是资产评估机构应当研究制定内部统一的测算原则及方法，且一经确定不得随意变更。在执业过程中应当按照制定的统一要求，保持折现率测算原则及方法的一致性。</w:t>
      </w:r>
    </w:p>
    <w:p w14:paraId="46804D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二是执行延续性评估项目时，应当关注不同基准日折现率测算的合理性，特别是具体参数等较前次评估基准日发生明显变化的，应当在资产评估报告中充分说明理由。</w:t>
      </w:r>
    </w:p>
    <w:p w14:paraId="4333BD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确保折现率口径与预期收益口径的一致性，资本资产定价模型（CAPM）匹配股权自由现金流，加权平均资本成本（WACC）匹配企业自由现金流。各项参数测算时，应当充分关注不同参数在样本选取、风险考量、参数匹配等方面的一致性。</w:t>
      </w:r>
    </w:p>
    <w:p w14:paraId="33092A20" w14:textId="77777777" w:rsidR="00A320E6" w:rsidRDefault="00000000" w:rsidP="001E602B">
      <w:pPr>
        <w:pStyle w:val="1a"/>
      </w:pPr>
      <w:r>
        <w:rPr>
          <w:rFonts w:hint="eastAsia"/>
        </w:rPr>
        <w:t>二、无风险利率</w:t>
      </w:r>
    </w:p>
    <w:p w14:paraId="01A1D3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384E33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无风险利率时，通常参考中国国债利率确定，但在债券期限、利率、范围选择等方面存在差异。一是债券期限，存在距离评估基准日剩余年限10年期以上、10年期、5年期以上、5年期等不同情形。二是债券利率，存在票面利率或到期收益率等不同情形。三是债券范围，存在选取全部国债、多支国债、单支国债等不同情形。</w:t>
      </w:r>
    </w:p>
    <w:p w14:paraId="2B1B98B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5CBF4F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持续经营假设前提下的企业价值评估中，无风险利率可以采用剩余到期年限10年期或10年期以上国债的到期收益率。</w:t>
      </w:r>
    </w:p>
    <w:p w14:paraId="326038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3055F7C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资产评估机构执行证券评估业务，在确定无风险利率时应当遵循以下要求：</w:t>
      </w:r>
    </w:p>
    <w:p w14:paraId="6D0F19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一是应当关注国债剩余到期年限与企业现金流时间期限的匹配性，持续经营假设前提下应当选择剩余到期年限10年期或10年期以上的国债。</w:t>
      </w:r>
    </w:p>
    <w:p w14:paraId="775AFA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二是应当选择国债的到期收益率作为无风险利率，并明确国债的选取范围。</w:t>
      </w:r>
    </w:p>
    <w:p w14:paraId="784D57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三是应当在资产评估报告中充分披露国债选取的期限、利率、范围、确定方式、</w:t>
      </w:r>
      <w:r>
        <w:rPr>
          <w:rFonts w:ascii="宋体" w:hAnsi="宋体" w:cs="宋体" w:hint="eastAsia"/>
          <w:sz w:val="24"/>
        </w:rPr>
        <w:lastRenderedPageBreak/>
        <w:t>数据来源等。</w:t>
      </w:r>
    </w:p>
    <w:p w14:paraId="4A260DC0" w14:textId="77777777" w:rsidR="00A320E6" w:rsidRDefault="00000000" w:rsidP="001E602B">
      <w:pPr>
        <w:pStyle w:val="1a"/>
      </w:pPr>
      <w:r>
        <w:rPr>
          <w:rFonts w:hint="eastAsia"/>
        </w:rPr>
        <w:t>三、市场风险溢价</w:t>
      </w:r>
    </w:p>
    <w:p w14:paraId="30EA6D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2C6907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市场风险溢价时，在计算方法、样本选择、数据引用等方面存在差异。一是计算方法，存在参照中国证券市场数据计算、采用其他成熟国家证券市场数据加中国国家风险补偿等不同情形。二是样本数据，参照中国证券市场数据计算时，样本数据在指数类型、时间跨度、数据频率、平均方法等方面均存在不同情形。如指数类型存在上证综指、沪深300、深证成指、上证180、深证100等，时间跨度存在10年期、10年期以上等，数据频率存在日数据、周数据、月数据等，平均方法存在几何平均和算数平均等不同情形。三是引用数据，存在引用达摩达兰教授（AswathDamodaran）、伊博森公司（IbbotsonAssociates）、道衡公司（Duff&amp;Phelps）等不同专家学者或专业机构发布的研究数据等不同情形。</w:t>
      </w:r>
    </w:p>
    <w:p w14:paraId="5441EC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0019C61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中国市场风险溢价通常可以利用中国证券市场指数的历史风险溢价数据计算、采用其他成熟资本市场风险溢价调整方法、引用相关专家学者或专业机构研究发布的数据。</w:t>
      </w:r>
    </w:p>
    <w:p w14:paraId="77D1E6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4A7479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资产评估机构执行证券评估业务，在确定市场风险溢价时应当遵循以下要求：</w:t>
      </w:r>
    </w:p>
    <w:p w14:paraId="715917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一是如果被评估企业主要经营业务在中国境内，应当优先选择利用中国证券市场指数的历史风险溢价数据进行计算。</w:t>
      </w:r>
    </w:p>
    <w:p w14:paraId="01D807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二是计算时应当综合考虑样本的市场代表性、与被评估企业的相关性，以及与无风险利率的匹配性，合理确定样本数据的指数类型、时间跨度、数据频率、平均方法等。</w:t>
      </w:r>
    </w:p>
    <w:p w14:paraId="57B4F4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三是应当在资产评估报告中充分披露市场风险溢价的计算方法、样本选取标准、数据来源等。</w:t>
      </w:r>
    </w:p>
    <w:p w14:paraId="54027DB8" w14:textId="77777777" w:rsidR="00A320E6" w:rsidRDefault="00000000" w:rsidP="00827111">
      <w:pPr>
        <w:pStyle w:val="1a"/>
      </w:pPr>
      <w:r>
        <w:rPr>
          <w:rFonts w:hint="eastAsia"/>
        </w:rPr>
        <w:t>四、贝塔系数</w:t>
      </w:r>
    </w:p>
    <w:p w14:paraId="7E9DF0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0C121E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资产评估机构测算贝塔系数时，在可比公司、贝塔周期、数据调整等方面存在差异。一是可比公司，在行业分类、样本数量等方面存在不同情形，如行业分类存</w:t>
      </w:r>
      <w:r>
        <w:rPr>
          <w:rFonts w:ascii="宋体" w:hAnsi="宋体" w:cs="宋体" w:hint="eastAsia"/>
          <w:sz w:val="24"/>
        </w:rPr>
        <w:lastRenderedPageBreak/>
        <w:t>在证监会、Wind、申万等不同分类，可比公司数量存在5家及以下、5-10家、10家及以上等不同情形。二是贝塔周期，存在100周、2年、3年、5年等不同情形。三是数据调整，在布鲁姆调整法、异常值剔除等方面存在不同情形。</w:t>
      </w:r>
    </w:p>
    <w:p w14:paraId="2E2C89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7DAD97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非上市公司的股权贝塔系数，通常由多家可比上市公司的平均股权贝塔系数调整得到。其中，可比上市公司的股权贝塔系数可以通过回归方法计算得到，也可以从相关数据平台查询获取。</w:t>
      </w:r>
    </w:p>
    <w:p w14:paraId="07988E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02A7DE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资产评估机构执行证券评估业务，在确定贝塔系数时应当遵循以下要求：</w:t>
      </w:r>
    </w:p>
    <w:p w14:paraId="7D06C4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应当综合考虑可比公司与被评估企业在业务类型、企业规模、盈利能力、成长性、行业竞争力、企业发展阶段等多方面的可比性，合理确定关键可比指标，选取恰当的可比公司，并应当充分考虑可比公司数量与可比性的平衡。</w:t>
      </w:r>
    </w:p>
    <w:p w14:paraId="079DD4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二是应当结合可比公司数量、可比性、上市年限等因素，选取合理时间跨度的贝塔数据。</w:t>
      </w:r>
    </w:p>
    <w:p w14:paraId="4CEAD5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三是应当在资产评估报告中充分披露可比公司的选取标准及公司情况、贝塔系数的确定过程及结果、数据来源等。</w:t>
      </w:r>
    </w:p>
    <w:p w14:paraId="680C8388" w14:textId="77777777" w:rsidR="00A320E6" w:rsidRDefault="00000000" w:rsidP="00827111">
      <w:pPr>
        <w:pStyle w:val="1a"/>
      </w:pPr>
      <w:r>
        <w:rPr>
          <w:rFonts w:hint="eastAsia"/>
        </w:rPr>
        <w:t>五、资本结构</w:t>
      </w:r>
    </w:p>
    <w:p w14:paraId="431EECE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1473DE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资本结构时，在确定方法、债权股权取值等方面存在差异。一是确定方法，存在目标资本结构、企业真实资本结构、固定或变动资本结构等不同情形。二是债权股权取值，存在市场价值、账面价值等不同情形。</w:t>
      </w:r>
    </w:p>
    <w:p w14:paraId="3C2C64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0E1517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资本结构一般可以采用被评估企业评估基准日的真实资本结构，也可以参考可比公司、行业资本结构水平采用目标资本结构；债权和股权的比例，建议采用市场价值计算。</w:t>
      </w:r>
    </w:p>
    <w:p w14:paraId="5A20CC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3751E8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资产评估机构执行证券评估业务，在确定资本结构时应当遵循以下要求：</w:t>
      </w:r>
    </w:p>
    <w:p w14:paraId="5C3EF7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一是如果采用目标资本结构，应当合理分析被评估企业与可比公司在融资能力、融资成本等方面的差异，并结合被评估企业未来年度的融资情况，确定合理的资本</w:t>
      </w:r>
      <w:r>
        <w:rPr>
          <w:rFonts w:ascii="宋体" w:hAnsi="宋体" w:cs="宋体" w:hint="eastAsia"/>
          <w:sz w:val="24"/>
        </w:rPr>
        <w:lastRenderedPageBreak/>
        <w:t>结构；如果采用真实资本结构，其前提是企业的发展趋于稳定；如果采用变动资本结构，应当明确选取理由以及不同资本结构的划分标准、时点等；确定资本结构时，应当考虑与债权期望报酬率的匹配性以及在计算模型中应用的一致性。</w:t>
      </w:r>
    </w:p>
    <w:p w14:paraId="76A556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二是应当采用市场价值计算债权和股权的比例；采用账面价值计算的，应当在资产评估报告中充分说明理由。如果被评估企业涉及优先股、可转换债券等，应当予以特别关注。</w:t>
      </w:r>
    </w:p>
    <w:p w14:paraId="3FE8B6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三是应当在资产评估报告中充分披露资本结构的确定方法、分析过程、预测依据等。</w:t>
      </w:r>
    </w:p>
    <w:p w14:paraId="5D9DBEC2" w14:textId="77777777" w:rsidR="00A320E6" w:rsidRDefault="00000000" w:rsidP="00827111">
      <w:pPr>
        <w:pStyle w:val="1a"/>
      </w:pPr>
      <w:r>
        <w:rPr>
          <w:rFonts w:hint="eastAsia"/>
        </w:rPr>
        <w:t>六、特定风险报酬率</w:t>
      </w:r>
    </w:p>
    <w:p w14:paraId="07ABF9B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6B9872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特定风险报酬率时，在确定方法、判断方式等方面存在差异。一是确定方法，存在回归分析、拆分确定、经验判断等不同情形。二是判断方式，特定风险报酬率通常依赖资产评估人员的专业判断，存在主观性差异。</w:t>
      </w:r>
    </w:p>
    <w:p w14:paraId="52658E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1D1E43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特定风险报酬率一般可以通过多因素回归分析等数理统计方法计算得出，也可以拆分为规模溢价和其他特定风险溢价进行确定，还可以在综合分析企业规模、核心竞争力、大客户和关键供应商依赖等因素的基础上根据经验进行判断。</w:t>
      </w:r>
    </w:p>
    <w:p w14:paraId="2D07035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0118A5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资产评估机构执行证券评估业务，在确定特定风险报酬率时应当遵循以下要求：</w:t>
      </w:r>
    </w:p>
    <w:p w14:paraId="299AD1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一是应当明确采用的具体方法，涉及专业判断时应当综合考虑被评估企业的风险特征、企业规模、业务模式、所处经营阶段、核心竞争力、主要客户及供应商依赖等因素，确定合理的特定风险报酬率。</w:t>
      </w:r>
    </w:p>
    <w:p w14:paraId="3361EC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二是应当综合考虑特定风险报酬率的取值，其在股权折现率整体中的权重应当具有合理性。</w:t>
      </w:r>
    </w:p>
    <w:p w14:paraId="4EB86A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三是应当在资产评估报告中充分披露特定风险报酬率的确定方法、分析过程、预测依据等。</w:t>
      </w:r>
    </w:p>
    <w:p w14:paraId="13E80D72" w14:textId="77777777" w:rsidR="00A320E6" w:rsidRDefault="00000000" w:rsidP="00827111">
      <w:pPr>
        <w:pStyle w:val="1a"/>
      </w:pPr>
      <w:r>
        <w:rPr>
          <w:rFonts w:hint="eastAsia"/>
        </w:rPr>
        <w:t>七、债权期望报酬率</w:t>
      </w:r>
    </w:p>
    <w:p w14:paraId="48587A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（一）现行做法</w:t>
      </w:r>
    </w:p>
    <w:p w14:paraId="057085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资产评估机构测算债权期望报酬率时，在利率选取方面存在参考银行贷款市场</w:t>
      </w:r>
      <w:r>
        <w:rPr>
          <w:rFonts w:ascii="宋体" w:hAnsi="宋体" w:cs="宋体" w:hint="eastAsia"/>
          <w:sz w:val="24"/>
        </w:rPr>
        <w:lastRenderedPageBreak/>
        <w:t>利率、被评估企业实际债务利率等不同情形。</w:t>
      </w:r>
    </w:p>
    <w:p w14:paraId="48BF65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（二）专家指引</w:t>
      </w:r>
    </w:p>
    <w:p w14:paraId="7194C2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债权期望报酬率一般可以全国银行间同业拆借中心公布的贷款市场报价利率（LPR）为基础调整得出；也可以采用被评估企业的实际债务利率，但其前提是其利率水平与市场利率不存在较大偏差。</w:t>
      </w:r>
    </w:p>
    <w:p w14:paraId="72EAD8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（三）监管要求</w:t>
      </w:r>
    </w:p>
    <w:p w14:paraId="368156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资产评估机构执行证券评估业务，在确定债权期望报酬率时应当遵循以下要求：</w:t>
      </w:r>
    </w:p>
    <w:p w14:paraId="1AF0E8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如果参考银行贷款市场利率（LPR），应当充分考虑被评估企业的经营业绩、资本结构、信用风险、抵质押以及第三方担保等因素；如果采用非市场利率，应当综合考虑被评估企业的融资渠道、债务成本、偿债能力以及与市场利率的偏差等因素，确定合理的债权期望报酬率。</w:t>
      </w:r>
    </w:p>
    <w:p w14:paraId="272612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二是应当在资产评估报告中充分披露债权期望报酬率的确定方法、分析过程、数据来源等。</w:t>
      </w:r>
    </w:p>
    <w:p w14:paraId="7AB063E9" w14:textId="77777777" w:rsidR="00A320E6" w:rsidRDefault="00000000" w:rsidP="00827111">
      <w:pPr>
        <w:pStyle w:val="1a"/>
      </w:pPr>
      <w:r>
        <w:rPr>
          <w:rFonts w:hint="eastAsia"/>
        </w:rPr>
        <w:t>八、附则</w:t>
      </w:r>
    </w:p>
    <w:p w14:paraId="5BF5D7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（一）商誉减值测试等以财务报告为目的的评估，涉及收益法折现率测算的应当遵照相关执业准则要求并参照本指引。</w:t>
      </w:r>
    </w:p>
    <w:p w14:paraId="016204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（二）会计师事务所等其他机构从事证券服务业务，涉及收益法折现率测算的应当遵照相关执业准则要求并参照本指引。</w:t>
      </w:r>
    </w:p>
    <w:p w14:paraId="28653E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本指引自发布之日起施行。</w:t>
      </w:r>
    </w:p>
    <w:bookmarkStart w:id="60" w:name="_Toc112227368"/>
    <w:p w14:paraId="4F08E177" w14:textId="77777777" w:rsidR="00A320E6" w:rsidRDefault="00000000" w:rsidP="00B40F35">
      <w:pPr>
        <w:spacing w:beforeLines="50" w:before="156" w:afterLines="20" w:after="62" w:line="360" w:lineRule="auto"/>
        <w:jc w:val="center"/>
        <w:outlineLvl w:val="2"/>
        <w:rPr>
          <w:rFonts w:ascii="宋体" w:hAnsi="宋体" w:cs="宋体"/>
          <w:b/>
          <w:bCs/>
          <w:sz w:val="24"/>
          <w:szCs w:val="24"/>
          <w:lang w:val="zh-CN"/>
        </w:rPr>
      </w:pPr>
      <w:sdt>
        <w:sdtPr>
          <w:rPr>
            <w:rFonts w:ascii="宋体" w:hAnsi="宋体" w:cs="宋体" w:hint="eastAsia"/>
            <w:b/>
            <w:bCs/>
            <w:sz w:val="24"/>
            <w:szCs w:val="24"/>
            <w:lang w:val="zh-CN"/>
          </w:rPr>
          <w:id w:val="805903381"/>
          <w:showingPlcHdr/>
        </w:sdtPr>
        <w:sdtContent/>
      </w:sdt>
      <w:r>
        <w:rPr>
          <w:rFonts w:ascii="宋体" w:hAnsi="宋体" w:cs="宋体" w:hint="eastAsia"/>
          <w:b/>
          <w:bCs/>
          <w:sz w:val="24"/>
          <w:szCs w:val="24"/>
          <w:lang w:val="zh-CN"/>
        </w:rPr>
        <w:t>监管规则</w:t>
      </w:r>
      <w:r w:rsidRPr="00B40F35">
        <w:rPr>
          <w:rFonts w:ascii="宋体" w:hAnsi="宋体" w:cs="宋体" w:hint="eastAsia"/>
          <w:b/>
          <w:bCs/>
          <w:color w:val="000000"/>
          <w:kern w:val="0"/>
          <w:sz w:val="24"/>
          <w:szCs w:val="24"/>
          <w:lang w:bidi="ar"/>
        </w:rPr>
        <w:t>适用</w:t>
      </w:r>
      <w:r>
        <w:rPr>
          <w:rFonts w:ascii="宋体" w:hAnsi="宋体" w:cs="宋体" w:hint="eastAsia"/>
          <w:b/>
          <w:bCs/>
          <w:sz w:val="24"/>
          <w:szCs w:val="24"/>
          <w:lang w:val="zh-CN"/>
        </w:rPr>
        <w:t>指引——会计类第1号</w:t>
      </w:r>
      <w:bookmarkEnd w:id="60"/>
    </w:p>
    <w:p w14:paraId="22BE788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1-1特殊股权投资的确认与分类</w:t>
      </w:r>
    </w:p>
    <w:p w14:paraId="00235AA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1-2重大影响的判断</w:t>
      </w:r>
    </w:p>
    <w:p w14:paraId="67591F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1-3特殊事项下权益法的应用</w:t>
      </w:r>
    </w:p>
    <w:p w14:paraId="61285CC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1-4子公司以未分配利润转增资本时，母公司的会计处理</w:t>
      </w:r>
    </w:p>
    <w:p w14:paraId="647BC09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1-5同一控制下企业合并的认定</w:t>
      </w:r>
    </w:p>
    <w:p w14:paraId="7A99391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1-6同一控制下企业合并的会计处理</w:t>
      </w:r>
    </w:p>
    <w:p w14:paraId="632F794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1-7非同一控制下企业合并的或有对价</w:t>
      </w:r>
    </w:p>
    <w:p w14:paraId="2F4C578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1-8反向购买</w:t>
      </w:r>
    </w:p>
    <w:p w14:paraId="1EC5F15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1-9控制的判断</w:t>
      </w:r>
    </w:p>
    <w:p w14:paraId="2AC86BA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1-10集团内部交易的抵销</w:t>
      </w:r>
    </w:p>
    <w:p w14:paraId="65D69F5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1-11不丧失控制权情况下处置子公司部分股权计算子公司净资产份额时如何考虑商誉</w:t>
      </w:r>
    </w:p>
    <w:p w14:paraId="75AC876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1-12集团内股份支付</w:t>
      </w:r>
    </w:p>
    <w:p w14:paraId="76D270D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1-13一次授予、分期行权的股份支付计划</w:t>
      </w:r>
    </w:p>
    <w:p w14:paraId="0240222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1-14与股权激励计划相关的递延所得税</w:t>
      </w:r>
    </w:p>
    <w:p w14:paraId="716B0C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1-15按总额或净额确认收入</w:t>
      </w:r>
    </w:p>
    <w:p w14:paraId="32CF795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1-16重大融资成分的确定</w:t>
      </w:r>
    </w:p>
    <w:p w14:paraId="5C6FDAA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1-17区分合同负债和金融负债</w:t>
      </w:r>
    </w:p>
    <w:p w14:paraId="4A23E16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1-18风险投资机构对联营企业或合营企业投资的分类</w:t>
      </w:r>
    </w:p>
    <w:p w14:paraId="5D8C0B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1-19嵌入衍生工具的分拆与计量</w:t>
      </w:r>
    </w:p>
    <w:p w14:paraId="60A6208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1-20债务重组收益的确认</w:t>
      </w:r>
    </w:p>
    <w:p w14:paraId="603BF35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1-21资产负债表日后事项的性质与分类</w:t>
      </w:r>
    </w:p>
    <w:p w14:paraId="76F2AE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1-22权益性交易</w:t>
      </w:r>
    </w:p>
    <w:p w14:paraId="570F5F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1-23政府补贴收入的性质和确认条件</w:t>
      </w:r>
    </w:p>
    <w:p w14:paraId="03D4D1D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1-24区分会计估计变更和差错更正</w:t>
      </w:r>
    </w:p>
    <w:p w14:paraId="16833F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1-25现金流量的分类</w:t>
      </w:r>
    </w:p>
    <w:p w14:paraId="44208C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1-26非经常性损益的认定</w:t>
      </w:r>
    </w:p>
    <w:p w14:paraId="2FBAB2F6" w14:textId="77777777" w:rsidR="00A320E6" w:rsidRPr="00A70BC1" w:rsidRDefault="00000000" w:rsidP="00A70BC1">
      <w:pPr>
        <w:pStyle w:val="1a"/>
      </w:pPr>
      <w:r w:rsidRPr="00A70BC1">
        <w:rPr>
          <w:rFonts w:hint="eastAsia"/>
        </w:rPr>
        <w:t>1-1特殊股权投资的确认与分类</w:t>
      </w:r>
    </w:p>
    <w:p w14:paraId="2870648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 xml:space="preserve">　　长期股权投资，是指投资方对被投资方实施控制、共同控制或重大影响的权益性投资。该定义包含两个核心要素：一是该投资为权益性投资，二是投资方应对被投资方具有控制、共同控制或重大影响。</w:t>
      </w:r>
    </w:p>
    <w:p w14:paraId="7ACC7A3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监管实践发现，部分公司在一些特殊股权投资的确认与分类方面，对准则的理解存在偏差和分歧。现就具体事项如何适用上述原则的意见如下：</w:t>
      </w:r>
    </w:p>
    <w:p w14:paraId="117A33A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一、附回售条款的股权投资</w:t>
      </w:r>
    </w:p>
    <w:p w14:paraId="181D52A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附回售条款的股权投资，投资方除拥有与普通股股东一致的投票权及分红权等权利之外，还拥有一项回售权，例如投资方与被投资方约定，若被投资方未能满足特定目标，投资方有权要求按投资成本加年化10%收益（假设代表被投资方在市场上的借款利率水平）的对价将该股权回售给被投资方。该回售条款导致被投资方</w:t>
      </w:r>
      <w:r>
        <w:rPr>
          <w:rFonts w:ascii="宋体" w:hAnsi="宋体" w:cs="宋体" w:hint="eastAsia"/>
          <w:sz w:val="24"/>
          <w:szCs w:val="24"/>
        </w:rPr>
        <w:lastRenderedPageBreak/>
        <w:t>存在无法避免向投资方交付现金的合同义务。基于投资方对被投资方的持股比例和影响程度不同，区分为以下两种情形：</w:t>
      </w:r>
    </w:p>
    <w:p w14:paraId="37F7E21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情形1：投资方持有被投资方股权比例为3%，对被投资方没有重大影响；</w:t>
      </w:r>
    </w:p>
    <w:p w14:paraId="3BA8C8D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情形2：投资方持有被投资方股权比例为30%，对被投资方有重大影响。</w:t>
      </w:r>
    </w:p>
    <w:p w14:paraId="552DED6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现就上述两种情形下被投资方和投资方的会计处理意见如下：</w:t>
      </w:r>
    </w:p>
    <w:p w14:paraId="5DFA11B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情形1：</w:t>
      </w:r>
    </w:p>
    <w:p w14:paraId="5D8760C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从被投资方角度看，由于被投资方存在无法避免的向投资方交付现金的合同义务，应分类为金融负债进行会计处理。</w:t>
      </w:r>
    </w:p>
    <w:p w14:paraId="2D9828A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从投资方角度看，投资方对被投资方没有重大影响，该项投资应适用金融工具准则。因该项投资不满足权益工具定义，合同现金流量特征不满足仅为对本金和以未偿付本金金额为基础的利息的支付，应分类为以公允价值计量且其变动计入当期损益的金融资产。</w:t>
      </w:r>
    </w:p>
    <w:p w14:paraId="415B71C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情形2：</w:t>
      </w:r>
    </w:p>
    <w:p w14:paraId="6C285EC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被投资方的会计处理同情形1。</w:t>
      </w:r>
    </w:p>
    <w:p w14:paraId="63C87AF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从投资方角度看，长期股权投资准则所规范的投资为权益性投资，因该准则中并没有对权益性投资进行定义，企业需要遵照实质重于形式的原则，结合相关事实和情况进行分析和判断。投资方应考虑该特殊股权投资附带的回售权以及回售权需满足的特定目标是否表明其风险和报酬特征明显不同于普通股。如果投资方实质上承担的风险和报酬与普通股股东明显不同，该项投资应当整体作为金融工具核算，相关会计处理同情形1。如果投资方承担的风险和报酬与普通股股东实质相同，因对被投资方具有重大影响，应分类为长期股权投资，回售权应视为一项嵌入衍生工具，并进行分拆处理。对投资方而言，持有上述附回售条款的股权投资期间所获得的股利，应按该股权投资的分类，适用具体会计准则规定进行处理。</w:t>
      </w:r>
    </w:p>
    <w:p w14:paraId="1D232A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二、认缴制下尚未出资的股权投资</w:t>
      </w:r>
    </w:p>
    <w:p w14:paraId="691F94B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认缴制下，投资方在未实际出资前是否应确认与所认缴出资相关的股权投资，应结合法律法规规定与具体合同协议确定，若合同协议有具体约定的，按照合同约定进行会计处理；合同协议没有具体约定的，则应根据《公司法》等法律法规的相关规定进行会计处理。对于投资的初始确认，若合同明确约定认缴出资的时间和金额，且投资方按认缴比例享有股东权利，则投资方应确认一项金融负债及相应的资</w:t>
      </w:r>
      <w:r>
        <w:rPr>
          <w:rFonts w:ascii="宋体" w:hAnsi="宋体" w:cs="宋体" w:hint="eastAsia"/>
          <w:sz w:val="24"/>
          <w:szCs w:val="24"/>
        </w:rPr>
        <w:lastRenderedPageBreak/>
        <w:t>产；若合同没有明确约定，则属于一项未来的出资承诺，不确认金融负债及相应的资产。</w:t>
      </w:r>
    </w:p>
    <w:p w14:paraId="7B998A72" w14:textId="77777777" w:rsidR="00A320E6" w:rsidRDefault="00000000" w:rsidP="00A70BC1">
      <w:pPr>
        <w:pStyle w:val="1a"/>
      </w:pPr>
      <w:r>
        <w:rPr>
          <w:rFonts w:hint="eastAsia"/>
        </w:rPr>
        <w:t>1-2重大影响的判断</w:t>
      </w:r>
    </w:p>
    <w:p w14:paraId="4C6120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重大影响，是指对被投资单位的财务和经营政策有参与决策的权力。</w:t>
      </w:r>
    </w:p>
    <w:p w14:paraId="4521824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监管实践发现，部分公司在判断对被投资单位是否具有重大影响时对准则的理解存在偏差和分歧。现就该事项的意见如下：</w:t>
      </w:r>
    </w:p>
    <w:p w14:paraId="319039E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重大影响的判断关键是分析投资方是否有实质性的参与权而不是决定权。另外，值得注意的是，重大影响为对被投资单位的财务和经营政策有“参与决策的权力”而非“正在行使的权力”（例如，投资方已派驻董事并积极参与被投资方的经营管理），其判断的核心应当是投资方是否具备参与并施加重大影响的权力，而投资方是否正在实际行使该权力并不是判断的关键所在。</w:t>
      </w:r>
    </w:p>
    <w:p w14:paraId="050B52A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方有权力向被投资单位委派董事，一般可认为对被投资单位具有重大影响，除非有明确的证据表明其不能参与被投资单位的财务和经营决策。投资方向被投资单位派驻了董事，但存在明确的证据表明其不能实际参与被投资单位的财务和经营决策时，不应认定为对被投资单位具有重大影响，例如，存在被投资单位控股股东等积极反对投资方欲对其施加影响的事实，可能表明投资方不能实质参与被投资单位的经营决策。</w:t>
      </w:r>
    </w:p>
    <w:p w14:paraId="1E6DA4E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一般而言，在被投资单位的股权结构以及投资方的持股比例等未发生实质变化的情况下，投资方不应在不同的会计期间，就是否对被投资单位具有重大影响，作出不同的会计判断。</w:t>
      </w:r>
    </w:p>
    <w:p w14:paraId="6F5D325F" w14:textId="77777777" w:rsidR="00A320E6" w:rsidRDefault="00000000" w:rsidP="00A70BC1">
      <w:pPr>
        <w:pStyle w:val="1a"/>
      </w:pPr>
      <w:r>
        <w:rPr>
          <w:rFonts w:hint="eastAsia"/>
        </w:rPr>
        <w:t>1-3特殊事项下权益法的应用</w:t>
      </w:r>
    </w:p>
    <w:p w14:paraId="656266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采用权益法对长期股权投资进行核算时，投资方按照持股比例确认被投资单位实现的净损益、其他综合收益以及所有者权益的其他变动。</w:t>
      </w:r>
    </w:p>
    <w:p w14:paraId="0B086C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监管实践发现，部分公司在对被投资单位因同一控制下企业合并等特殊事项导致净资产发生变动时如何应用权益法，对准则的理解存在偏差和分歧。现就以下特殊事项应用权益法的意见如下：</w:t>
      </w:r>
    </w:p>
    <w:p w14:paraId="5D34A36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一、联营企业发生同一控制下企业合并</w:t>
      </w:r>
    </w:p>
    <w:p w14:paraId="476DB8C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当联营企业发生同一控制下企业合并，并调整其财务报表的比较信息时，投资方不应当调整财务报表的比较信息。联营企业发生同一控制下企业合并导致投资方</w:t>
      </w:r>
      <w:r>
        <w:rPr>
          <w:rFonts w:ascii="宋体" w:hAnsi="宋体" w:cs="宋体" w:hint="eastAsia"/>
          <w:sz w:val="24"/>
          <w:szCs w:val="24"/>
        </w:rPr>
        <w:lastRenderedPageBreak/>
        <w:t>股权被稀释（如联营企业以发行股份作为对价进行企业合并），且稀释后投资方仍采用权益法核算时，投资方应以持股比例变更日（即联营企业的合并日）为界分段进行会计处理：在联营企业的合并日，先按照联营企业重组前的净利润与原股权比例确认投资收益并调整长期股权投资账面价值，再以调整后的长期股权投资账面价值为基础，计算联营企业重组所导致的股权稀释的影响，并将该影响作为联营企业所有者权益的其他变动，计入资本公积（其他资本公积）；变更日之后按照联营企业重组后的净利润与新持股比例确认投资收益。</w:t>
      </w:r>
    </w:p>
    <w:p w14:paraId="5755942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二、因被动稀释导致持股比例下降时，“内含商誉”的结转</w:t>
      </w:r>
    </w:p>
    <w:p w14:paraId="0920DC4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因其他投资方对被投资单位增资而导致投资方的持股比例被稀释，且稀释后投资方仍对被投资单位采用权益法核算的情况下，投资方在调整相关长期股权投资的账面价值时，面临是否应当按比例结转初始投资时形成的“内含商誉”问题。其中，“内含商誉”是指长期股权投资的初始投资成本大于投资时享有的被投资单位可辨认净资产公允价值份额的差额。投资方因股权比例被动稀释而“间接”处置长期股权投资的情况下，相关“内含商誉”的结转应当比照投资方直接处置长期股权投资处理，即应当按比例结转初始投资时形成的“内含商誉”，并将相关股权稀释影响计入资本公积（其他资本公积）。</w:t>
      </w:r>
    </w:p>
    <w:p w14:paraId="4CAE85C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三、因股权被动稀释产生的损失</w:t>
      </w:r>
    </w:p>
    <w:p w14:paraId="5E4EE6C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采用权益法核算的长期股权投资，若因股权被动稀释而使得投资方产生损失，投资方首先应将产生股权稀释损失作为股权投资发生减值的迹象之一，对该笔股权投资进行减值测试。投资方对该笔股权投资进行减值测试后，若发生减值，应先对该笔股权投资确认减值损失并调减长期股权投资账面价值，再计算股权稀释产生的影响并进行相应会计处理。</w:t>
      </w:r>
    </w:p>
    <w:p w14:paraId="13F939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投资方进行减值测试并确认减值损失（如有）后，应当将相关股权稀释损失计入资本公积（其他资本公积）借方，当资本公积贷方余额不够冲减时，仍应继续计入资本公积借方。</w:t>
      </w:r>
    </w:p>
    <w:p w14:paraId="5B22232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四、联营企业在未实缴出资时已发生亏损</w:t>
      </w:r>
    </w:p>
    <w:p w14:paraId="47AB60D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公司法》的规定，若股东之间没有关于分红的具体约定且公司章程中也没有明确规定，则股东之间的分红应以实缴比例为基础。对于投资方未实缴出资前联营企业发生亏损的，如果根据合同条款具体约定或者法律规定，投资方需承担联</w:t>
      </w:r>
      <w:r>
        <w:rPr>
          <w:rFonts w:ascii="宋体" w:hAnsi="宋体" w:cs="宋体" w:hint="eastAsia"/>
          <w:sz w:val="24"/>
          <w:szCs w:val="24"/>
        </w:rPr>
        <w:lastRenderedPageBreak/>
        <w:t>营企业的亏损，即使其尚未实缴出资，投资方也应当在联营企业产生亏损的年度确认该义务，不应等到以后年度实缴出资之后再一次性确认。</w:t>
      </w:r>
    </w:p>
    <w:p w14:paraId="14AEF17F" w14:textId="77777777" w:rsidR="00A320E6" w:rsidRDefault="00000000" w:rsidP="00A70BC1">
      <w:pPr>
        <w:pStyle w:val="1a"/>
      </w:pPr>
      <w:r>
        <w:rPr>
          <w:rFonts w:hint="eastAsia"/>
        </w:rPr>
        <w:t>1-4子公司以未分配利润转增资本时，母公司的会计处理</w:t>
      </w:r>
    </w:p>
    <w:p w14:paraId="1673635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在不存在等值的现金选择权的情况下，子公司以未分配利润转增资本，与资本公积转增资本的实质一致，仅为子公司自身权益结构的重分类，母公司不应在个别财务报表中确认相关的投资收益。</w:t>
      </w:r>
    </w:p>
    <w:p w14:paraId="63B7B28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监管实践发现，部分公司对于子公司以未分配利润转增资本且提供现金选择权情况下，母公司如何进行会计处理存在分歧。现就该事项的意见如下：</w:t>
      </w:r>
    </w:p>
    <w:p w14:paraId="1949241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若子公司在未分配利润转增资本时，向包括母公司在内的所有股东提供了等值的现金选择权，该交易实质上相当于子公司已经向投资方宣告分配了现金股利。在这种情况下，母公司在个别财务报表中应当调整其对子公司长期股权投资的账面价值，同时确认投资收益。若母公司并未行使现金选择权，则可以将该交易理解为，子公司先向母公司分配现金股利，然后母公司立刻将收取的现金股利对子公司进行增资。</w:t>
      </w:r>
    </w:p>
    <w:p w14:paraId="25FB270E" w14:textId="77777777" w:rsidR="00A320E6" w:rsidRDefault="00000000" w:rsidP="00A70BC1">
      <w:pPr>
        <w:pStyle w:val="1a"/>
      </w:pPr>
      <w:r>
        <w:rPr>
          <w:rFonts w:hint="eastAsia"/>
        </w:rPr>
        <w:t>1-5同一控制下企业合并的认定</w:t>
      </w:r>
    </w:p>
    <w:p w14:paraId="2F1618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同一控制下企业合并的定义包含两个核心要素：一是合并方与被合并方在合并前后受同一方或相同的多方最终控制，二是该最终控制并非暂时性的（通常指一年以上）。</w:t>
      </w:r>
    </w:p>
    <w:p w14:paraId="7DBAC7F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监管实践发现，关于同一控制下企业合并的认定，部分公司对准则的理解存在偏差和分歧。现就具体事项如何适用上述原则的意见如下：</w:t>
      </w:r>
    </w:p>
    <w:p w14:paraId="0195A6B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一、家族成员之间转让股权形成的企业合并</w:t>
      </w:r>
    </w:p>
    <w:p w14:paraId="6529BAF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同一控制下企业合并的认定标准较为严格，一般情况下，家族成员之间的股权转让不能直接认定为同一控制下企业合并，除非基于交易的商业实质，依据实质重于形式的原则，能够将家族成员之间转让股权的交易认定为“代持还原”。所谓“代持还原”是指，其他家族成员此前虽然在法律形式上持有股权，但实质上是代某一特定家族成员持有，该特定家族成员享有股权相关的主要风险和报酬，本次股权转让使得交易的法律形式与实质相统一。“代持还原”的认定，需要获取充分的证据，综合公司设立时的资金来源、交易股权对应的决策权的行使情况、交易价格的确定等因素进行判断。</w:t>
      </w:r>
    </w:p>
    <w:p w14:paraId="0CF71CB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二、新设主体取得集团内其他公司控制权的交易</w:t>
      </w:r>
    </w:p>
    <w:p w14:paraId="7F16064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某些交易中，集团出于内部重组目的设立一个新主体，新主体作为合并方取得同一集团内其他部分公司的控制权，且集团拟短期内将新主体对外出售。在这种情况下，新主体取得集团内其他公司控制权的交易能否作为同一控制下的企业合并处理，取决于新主体的合并财务报表是作为原控股股东的延伸还是作为新控股股东的延伸。如果集团内部重组交易完全由原控股股东主导，无论其在一年内能否成功将新主体出售，该重组交易均不会被撤销，则新主体的合并财务报表作为原控股股东的延伸，按照同一控制下企业合并处理较为合理。反之，如果该重组交易与原控股股东后续丧失对新主体的控制权的交易互为前提，构成“一揽子交易”，若原控股股东最终未将新主体成功出售，新主体取得集团内其他公司控制权的交易将全部撤销的情况下，则新主体的合并财务报表作为新控股股东的延伸，按照非同一控制下企业合并处理较为合理。</w:t>
      </w:r>
    </w:p>
    <w:p w14:paraId="0AFCA60C" w14:textId="77777777" w:rsidR="00A320E6" w:rsidRDefault="00000000" w:rsidP="00A70BC1">
      <w:pPr>
        <w:pStyle w:val="1a"/>
      </w:pPr>
      <w:r>
        <w:rPr>
          <w:rFonts w:hint="eastAsia"/>
        </w:rPr>
        <w:t>1-6同一控制下企业合并的会计处理</w:t>
      </w:r>
    </w:p>
    <w:p w14:paraId="197AC76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同一控制下的企业合并，应当采用权益结合法进行会计处理。合并方在编制合并财务报表时，应当对期初数和比较报表进行调整，视同合并后的报告主体在以前期间一直存在。</w:t>
      </w:r>
    </w:p>
    <w:p w14:paraId="1640278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监管实践发现，部分公司在对同一控制下企业合并应用权益结合法进行会计处理时对准则的理解存在偏差和分歧。现就具体事项如何适用上述原则的意见如下：</w:t>
      </w:r>
    </w:p>
    <w:p w14:paraId="3639954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一、同时向控股股东和第三方购买股权达成的企业合并</w:t>
      </w:r>
    </w:p>
    <w:p w14:paraId="5A217F5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同时向控股股东和第三方购买股权形成的同一控制下企业合并交易中，合并方自控股股东购买股权，应当作为同一控制下的企业合并处理；合并方自第三方购买股权，应当作为购买子公司少数股东权益处理。合并方在编制合并财务报表的比较信息时，在比较期间应只合并自控股股东购买的股权份额，被合并方的其余股权应作为少数股东权益列报；合并日收购被合并方的其余股权时，作为购买子公司少数股东权益处理。</w:t>
      </w:r>
    </w:p>
    <w:p w14:paraId="521F1AA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合并方在个别财务报表中，对于自控股股东购买的股权，其初始投资成本应等于被合并方合并日的净资产账面价值乘以自控股股东购买的股权比例，初始投资成本与合并方向控股股东支付对价的账面价值（或发行股份的面值）的差额，应当调整资本公积，资本公积不足冲减的，则冲减留存收益；对于自第三方购买的股权，</w:t>
      </w:r>
      <w:r>
        <w:rPr>
          <w:rFonts w:ascii="宋体" w:hAnsi="宋体" w:cs="宋体" w:hint="eastAsia"/>
          <w:sz w:val="24"/>
          <w:szCs w:val="24"/>
        </w:rPr>
        <w:lastRenderedPageBreak/>
        <w:t>其初始投资成本应等于实际支付给第三方股东的对价。</w:t>
      </w:r>
    </w:p>
    <w:p w14:paraId="0E4F322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二、同一控制下企业合并同时购买少数股东权益的交易中，少数股东作出的业绩承诺</w:t>
      </w:r>
    </w:p>
    <w:p w14:paraId="0F4474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同一控制下企业合并同时购买少数股东权益的交易中，对于少数股东作出的业绩承诺，在合并日的合并财务报表中，应当以公允价值进行初始确认并将其作为少数股东权益购买对价的一部分；在后续资产负债表日的合并财务报表中，若该或有对价属于一项金融工具，则应根据金融工具准则的相关规定，将其公允价值的后续变动计入当期损益。</w:t>
      </w:r>
    </w:p>
    <w:p w14:paraId="5044029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三、同一控制下企业合并股权置换涉及的所得税问题</w:t>
      </w:r>
    </w:p>
    <w:p w14:paraId="5C23956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合并方以原有子公司股权置换同一控制下其他公司股权并取得控制权的，该交易构成同一控制下企业合并，合并方在该交易过程中可能会因股权处置所得缴纳企业所得税。股权处置所得应当分为股权持有期间产生的利润和股权增值所得两部分分别考虑相关所得税的会计处理。在合并财务报表中，当合并方对子公司股权的持有意图由长期持有变为对外出售时，不再满足不确认递延所得税的特殊情况，即投资企业能够控制暂时性差异转回的时间，且该暂时性差异在可预见的未来很可能不会转回。因此，合并方应就该子公司股权与持有期间产生的利润相关的暂时性差异确认递延所得税，并计入当期损益。针对股权增值所得部分，由于同一控制下股权置换交易属于权益性交易，与直接计入所有者权益的交易或者事项相关的当期所得税和递延所得税应当计入所有者权益。</w:t>
      </w:r>
    </w:p>
    <w:p w14:paraId="5C273548" w14:textId="77777777" w:rsidR="00A320E6" w:rsidRDefault="00000000" w:rsidP="00A70BC1">
      <w:pPr>
        <w:pStyle w:val="1a"/>
      </w:pPr>
      <w:r>
        <w:rPr>
          <w:rFonts w:hint="eastAsia"/>
        </w:rPr>
        <w:t>1-7非同一控制下企业合并的或有对价</w:t>
      </w:r>
    </w:p>
    <w:p w14:paraId="6733F31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非同一控制下企业合并中的或有对价构成金融资产或金融负债的，应当以公允价值计量并将其变动计入当期损益；或有对价属于权益性质的，应作为权益性交易进行会计处理。</w:t>
      </w:r>
    </w:p>
    <w:p w14:paraId="4F0143F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监管实践发现，部分公司在核算非同一控制下企业合并的或有对价时对准则的理解存在偏差和分歧。现就具体事项如何适用上述原则的意见如下：</w:t>
      </w:r>
    </w:p>
    <w:p w14:paraId="7E9A5F8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一、或有对价的公允价值</w:t>
      </w:r>
    </w:p>
    <w:p w14:paraId="034FD2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购买方在购买日和后续资产负债表日确定或有对价的公允价值时，应当综合考虑标的企业未来业绩预测情况、或有对价支付方信用风险及偿付能力、其他方连带担保责任、货币时间价值等因素。涉及股份补偿的，或有对价的公允价值应当以根</w:t>
      </w:r>
      <w:r>
        <w:rPr>
          <w:rFonts w:ascii="宋体" w:hAnsi="宋体" w:cs="宋体" w:hint="eastAsia"/>
          <w:sz w:val="24"/>
          <w:szCs w:val="24"/>
        </w:rPr>
        <w:lastRenderedPageBreak/>
        <w:t>据协议确定的补偿股份数，乘以或有对价确认时该股份的市价（而非购买协议中约定的发行价格）计算，并同时考虑上述因素。</w:t>
      </w:r>
    </w:p>
    <w:p w14:paraId="2853054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值得注意的是，或有对价公允价值的变化即使发生在购买日后12个月内，也不属于计量期间的调整事项，不应对购买日合并成本及商誉的金额进行调整。</w:t>
      </w:r>
    </w:p>
    <w:p w14:paraId="13FD5B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二、以自身股份结算的或有对价的后续计量</w:t>
      </w:r>
    </w:p>
    <w:p w14:paraId="79ABC93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企业合并形成的或有对价中，若购买方根据标的公司的业绩情况确定收回自身股份的数量，该或有对价在购买日不满足“固定换固定”的条件，不属于一项权益工具，而是属于一项金融资产。因此，购买方应当在购买日将该或有对价分类为以公允价值计量且其变动计入损益的金融资产。随着标的公司实际业绩的确定，购买方能够确定当期应收回的自身股份的具体数量，则在当期资产负债表日，该或有对价满足“固定换固定”的条件，应将其重分类为权益工具（其他权益工具），以重分类日相关股份的公允价值计量，并不再核算相关股份的后续公允价值变动。在实际收到并注销股份时，终止确认上述其他权益工具，并相应调整股本和资本公积等。</w:t>
      </w:r>
    </w:p>
    <w:p w14:paraId="4E521D2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三、以标的公司少数股权结算的或有对价</w:t>
      </w:r>
    </w:p>
    <w:p w14:paraId="3F35AF4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以标的公司少数股权结算的或有对价，在合并报表层面，同样适用上述会计处理原则。具体而言，当标的公司实际业绩确定时，将因或有对价确认的金融资产重分类为权益工具（其他权益工具），不再核算相关股份的后续公允价值变动；当购买方实际收到业绩承诺人补偿的标的公司少数股权时，应作为收购少数股东权益处理，即终止确认上述其他权益工具，并相应冲减少数股东权益，差额计入资本公积，资本公积不足冲减的，则冲减留存收益。</w:t>
      </w:r>
    </w:p>
    <w:p w14:paraId="0992C4B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四、向股权转让方以外的标的公司其他股东支付业绩补偿</w:t>
      </w:r>
    </w:p>
    <w:p w14:paraId="5E9051C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企业合并的业绩对赌安排中，购买方可能向标的公司的股权转让方以外的其他股东支付业绩补偿，且不是为了获取其他股东的商品或服务。尽管该业绩补偿安排中包括对非交易对手方的业绩承诺，但作为企业合并交易达成的条件，其实质是购买方为了获得标的公司股权而支付的对价，应作为企业合并的或有对价处理。</w:t>
      </w:r>
    </w:p>
    <w:p w14:paraId="619D2D55" w14:textId="77777777" w:rsidR="00A320E6" w:rsidRDefault="00000000" w:rsidP="00A70BC1">
      <w:pPr>
        <w:pStyle w:val="1a"/>
      </w:pPr>
      <w:r>
        <w:rPr>
          <w:rFonts w:hint="eastAsia"/>
        </w:rPr>
        <w:t>1-8反向购买</w:t>
      </w:r>
    </w:p>
    <w:p w14:paraId="65E0F6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反向购买中，被购买方（即上市公司）构成业务的，购买方应按照非同一控制</w:t>
      </w:r>
      <w:r>
        <w:rPr>
          <w:rFonts w:ascii="宋体" w:hAnsi="宋体" w:cs="宋体" w:hint="eastAsia"/>
          <w:sz w:val="24"/>
          <w:szCs w:val="24"/>
        </w:rPr>
        <w:lastRenderedPageBreak/>
        <w:t>下企业合并的原则进行处理。被购买方不构成业务的，购买方应按照权益性交易的原则进行处理，不得确认商誉或当期损益。</w:t>
      </w:r>
    </w:p>
    <w:p w14:paraId="024AACA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监管实践发现，部分公司在应用反向购买的会计处理原则时对准则的理解存在偏差和分歧。现就反向购买交易中具体事项的会计处理意见如下：</w:t>
      </w:r>
    </w:p>
    <w:p w14:paraId="05CE5B2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一、被购买的上市公司不构成业务的常见情形</w:t>
      </w:r>
    </w:p>
    <w:p w14:paraId="588BFB3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下述三种情形一般可以认定为被购买的上市公司不构成业务，购买方按照权益性交易的原则进行处理：</w:t>
      </w:r>
    </w:p>
    <w:p w14:paraId="0D31CDE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一是上市公司通过一定的交易安排置出全部资产负债（即“空壳”上市公司），非上市公司的股东以持有的股权或资产认购上市公司向其定向发行的股票，成为发行后上市公司的控股股东；</w:t>
      </w:r>
    </w:p>
    <w:p w14:paraId="4AB512C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二是上市公司除现金和金融资产外无其他非货币性资产，非上市公司的股东以持有的股权或资产认购上市公司向其定向发行的股票，成为发行后上市公司的控股股东；</w:t>
      </w:r>
    </w:p>
    <w:p w14:paraId="1F9E197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是上市公司和非上市公司进行重大资产置换，在上市公司向非上市公司的股东出售其全部资产负债的同时，上市公司从非上市公司的股东处购入其持有的非上市公司的股权，上述两项交易的价款差额由上市公司向非上市公司的股东定向发行股票进行支付，发行后非上市公司的股东成为上市公司的控股股东。</w:t>
      </w:r>
    </w:p>
    <w:p w14:paraId="0F42998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二、注入上市公司的并非一个法律实体</w:t>
      </w:r>
    </w:p>
    <w:p w14:paraId="0909BB7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在反向购买的定义中，并未要求会计上的购买方是一个法律实体，应该更关注其是否构成会计主体，不能仅因为会计上的购买方不是一个法律主体就判断交易不是反向购买。</w:t>
      </w:r>
    </w:p>
    <w:p w14:paraId="5568DC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三、涉及现金对价的反向购买</w:t>
      </w:r>
    </w:p>
    <w:p w14:paraId="32E3F82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某些反向购买交易中，上市公司（法律上的母公司/会计上的被购买方）支付的对价既包括发行股份又包括现金对价。虽然针对反向购买编制的合并财务报表以法律上的母公司（会计上的被购买方）的名义发布，但实质为法律上的子公司（会计上的购买方）财务报表的延续。因此，上市公司在反向购买中支付的现金对价，应在购买日作为合并主体对会计上的购买方（法律上的子公司）的原股东利润分配进行会计处理。</w:t>
      </w:r>
    </w:p>
    <w:p w14:paraId="6EB2F150" w14:textId="77777777" w:rsidR="00A320E6" w:rsidRDefault="00000000" w:rsidP="00A70BC1">
      <w:pPr>
        <w:pStyle w:val="1a"/>
      </w:pPr>
      <w:r>
        <w:rPr>
          <w:rFonts w:hint="eastAsia"/>
        </w:rPr>
        <w:lastRenderedPageBreak/>
        <w:t>1-9控制的判断</w:t>
      </w:r>
    </w:p>
    <w:p w14:paraId="61E0766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合并财务报表的范围应当以控制为基础予以确定。控制的定义包含三个核心要素：一是投资方拥有对被投资方的权力，有能力主导被投资方的相关活动；二是投资方对被投资方享有可变回报；三是投资方有能力运用对被投资方的权力影响其回报金额。</w:t>
      </w:r>
    </w:p>
    <w:p w14:paraId="7B2B66C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监管实践发现，部分公司在判断是否对被投资方拥有控制时对准则的理解存在偏差和分歧。现就具体事项如何适用上述原则的意见如下：</w:t>
      </w:r>
    </w:p>
    <w:p w14:paraId="4B1372F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一、委托、受托经营业务</w:t>
      </w:r>
    </w:p>
    <w:p w14:paraId="442EDD2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公司在判断对受托经营的业务（即标的公司）是否拥有控制时，需重点关注以下问题：</w:t>
      </w:r>
    </w:p>
    <w:p w14:paraId="54E5FB9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是关于对标的公司拥有权力的认定。在判断是否对标的公司拥有权力时，除日常运营活动相关的权力外，还应当考虑是否拥有主导对标的公司价值产生重大影响的决策事项的能力和权力。例如，部分委托经营协议中约定，标的公司进行重大资产购建、处置、重大投融资行为等可能对标的公司价值具有重大影响的决策时，需经委托方同意。这种情况下，受托方不具有主导对标的公司价值产生重大影响的活动的权力，不应认定受托方对标的公司拥有权力。又如，部分委托受托经营业务中，委托方或双方并无长期保持委托关系的意图，部分委托协议中赋予当事一方随时终止委托关系的权力等。前述情况下，受托方仅能在较短或不确定的期间内对标的公司施加影响，不应认定受托方对标的公司拥有权力。</w:t>
      </w:r>
    </w:p>
    <w:p w14:paraId="15F1264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是关于享有可变回报的认定。从标的公司获得的可变回报，不仅包括分享的基于受托经营期间损益分配的回报，还应考虑所分享和承担的标的公司整体价值变动的报酬和风险。例如，部分委托经营协议中虽然约定委托期间标的公司损益的绝大部分比例由受托方享有或承担，但若标的公司经营状况恶化则受托方到期不再续约，这表明受托方实际上并不承担标的公司价值变动的主要报酬或风险，不应认为受托方享有标的公司的重大可变回报。又如，部分委托经营协议中虽然约定受托方享有标的公司的可变回报，但回报的具体计量方式、给付方式等并未作明确约定，有关回报能否实际给付存在不确定性，根据实质重于形式的原则，也不应认定受托方享有可变回报。</w:t>
      </w:r>
    </w:p>
    <w:p w14:paraId="5F56062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二、有固定期限的一致行动协议</w:t>
      </w:r>
    </w:p>
    <w:p w14:paraId="0237AF6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一致行动协议带有期限，且期限结束后投资方不拥有对被投资方控制权的，很可能表明投资方无法对被投资方可变回报具有重大影响的事项（如重大资产的购建、处置、重大投融资等）进行决策。这种情况下，投资方不具有主导对被投资方价值产生重大影响的活动的权力，不应因一致行动协议而认定对被投资方拥有控制。</w:t>
      </w:r>
    </w:p>
    <w:p w14:paraId="2D51186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三、非营利性组织</w:t>
      </w:r>
    </w:p>
    <w:p w14:paraId="1B22D9C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会计准则对于“控制”的定义和判断并不拘泥于被投资单位的法律形式。学校、养老院及医疗机构等非营利性组织无法进行利润分配，也并不必然代表投资方无法获取可变回报。投资方需要结合非营利性组织的设立目的、对非营利性组织日常活动拥有的权力、享有的相关经济利益（例如产品销售利得、收取管理费、收取技术许可使用费等）等进行判断。</w:t>
      </w:r>
    </w:p>
    <w:p w14:paraId="230A73E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四、处于清算阶段的子公司</w:t>
      </w:r>
    </w:p>
    <w:p w14:paraId="630D240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主动清算的情况下，母公司对进入清算阶段的子公司能够继续实施控制，仍应将其纳入合并财务报表范围。在破产清算的情况下，进入清算阶段子公司相关活动的决策权移交给破产管理人（非原母公司及其控制的主体）时，原母公司对其已丧失控制权，不应再将其纳入合并财务报表范围。</w:t>
      </w:r>
    </w:p>
    <w:p w14:paraId="0A2B3852" w14:textId="77777777" w:rsidR="00A320E6" w:rsidRDefault="00000000" w:rsidP="00474926">
      <w:pPr>
        <w:pStyle w:val="1a"/>
      </w:pPr>
      <w:r>
        <w:rPr>
          <w:rFonts w:hint="eastAsia"/>
        </w:rPr>
        <w:t>1-10集团内部交易的抵销</w:t>
      </w:r>
    </w:p>
    <w:p w14:paraId="371C623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合并财务报表反映的是由母公司和其全部子公司组成的会计主体的整体财务状况、经营成果和现金流量。一般情况下，需抵销母公司与子公司、子公司相互之间发生的内部交易对合并财务报表的影响。</w:t>
      </w:r>
    </w:p>
    <w:p w14:paraId="56F12D0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监管实践发现，部分公司在抵销集团内部交易时对准则的理解存在偏差和分歧。现就具体事项的会计处理意见如下：</w:t>
      </w:r>
    </w:p>
    <w:p w14:paraId="7D58425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一、集团内转让房地产缴纳的土地增值税</w:t>
      </w:r>
    </w:p>
    <w:p w14:paraId="3DF6390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土地增值税是按照纳税人转让房地产所取得的增值额和对应税率计算缴纳的，土地增值税的确认应与房地产增值的实现相对应。因此，在转让方的个别财务报表中，应在转让房地产取得增值额的当期，将土地增值税计入损益。</w:t>
      </w:r>
    </w:p>
    <w:p w14:paraId="29F5D22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集团为了出售目的而持有房地产的，在合并财务报表中，集团内部转让房地产的期间，由于内部交易未实现损益已被抵销，集团层面没有实现房地产增值，因而合并利润表中没有反映该项转让交易的利得。相应地，集团内公司缴纳的土地增值税也不应确认为当期损益，而应在合并资产负债表中将其作为一项资产列示；待房</w:t>
      </w:r>
      <w:r>
        <w:rPr>
          <w:rFonts w:ascii="宋体" w:hAnsi="宋体" w:cs="宋体" w:hint="eastAsia"/>
          <w:sz w:val="24"/>
          <w:szCs w:val="24"/>
        </w:rPr>
        <w:lastRenderedPageBreak/>
        <w:t>地产从该集团出售给第三方，在集团合并利润表中实现增值利得时，再将已缴纳的土地增值税转入当期损益。</w:t>
      </w:r>
    </w:p>
    <w:p w14:paraId="568AEBA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二、集团内交易中产生的单方计提的增值税</w:t>
      </w:r>
    </w:p>
    <w:p w14:paraId="2A7EE08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纳入合并财务报表范围内的公司之间发生交易，其中一方将自产产品销售给另一方，如按照税法规定，出售方属增值税免税项目，销售自产产品免征增值税，而购入方属增值税应税项目，其购入产品过程中可以计算相应的增值税进项税额用于抵扣。由于税项是法定事项，在集团内部企业间进行产品转移时，进项税抵扣的权利已经成立，原则上不应抵销，在合并财务报表层面应体现为一项资产。另外，在内部交易涉及的产品出售给第三方之前，对合并财务报表而言，该交易本身并未实现利润。因此，在编制合并财务报表并抵销出售方对有关产品的未实现内部销售损益与购入方相应的存货账面价值时，该部分因增值税进项税额产生的差额在合并财务报表中可以确认为一项递延收益，并随着后续产品实现向第三方销售时再转入当期损益。</w:t>
      </w:r>
    </w:p>
    <w:p w14:paraId="607753E2" w14:textId="77777777" w:rsidR="00A320E6" w:rsidRDefault="00000000" w:rsidP="00474926">
      <w:pPr>
        <w:pStyle w:val="1a"/>
      </w:pPr>
      <w:r>
        <w:rPr>
          <w:rFonts w:hint="eastAsia"/>
        </w:rPr>
        <w:t>1-11不丧失控制权情况下处置子公司部分股权计算子公司</w:t>
      </w:r>
    </w:p>
    <w:p w14:paraId="5CD9E69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净资产份额时如何考虑商誉</w:t>
      </w:r>
    </w:p>
    <w:p w14:paraId="2E6FC80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母公司在不丧失控制权情况下处置子公司部分股权时，在合并财务报表中，处置价款与处置股权相对应的子公司净资产份额之间的差额，应当调整资本公积（资本公积不足冲减的，调整留存收益）。</w:t>
      </w:r>
    </w:p>
    <w:p w14:paraId="1159B5F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监管实践发现，部分公司对于上述情形下确定子公司净资产份额时如何考虑商誉存在分歧。现就该事项的会计处理意见如下：</w:t>
      </w:r>
    </w:p>
    <w:p w14:paraId="39A5D2F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母公司不丧失控制权情况下处置子公司部分股权时，在合并财务报表中，可以把子公司净资产分为两部分，一是归属于母公司的所有者权益（包含子公司净资产和商誉），二是少数股东权益（包含子公司净资产，但不包含商誉）。母公司购买或出售子公司部分股权时，为两类所有者之间的交易。当母公司购买少数股权时，按比例把少数股东权益（包含子公司净资产，但不包含商誉）的账面价值调整至归属于母公司的所有者权益。反之，当母公司出售部分股权时，按比例把归属于母公司的所有者权益（包含子公司净资产和商誉）的账面价值调整至少数股东权益。</w:t>
      </w:r>
    </w:p>
    <w:p w14:paraId="299C181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值得注意的是，母公司不丧失控制权情况下处置子公司部分股权时，不应终止确认所处置股权对应的商誉。</w:t>
      </w:r>
    </w:p>
    <w:p w14:paraId="6454FE93" w14:textId="77777777" w:rsidR="00A320E6" w:rsidRDefault="00000000" w:rsidP="00474926">
      <w:pPr>
        <w:pStyle w:val="1a"/>
      </w:pPr>
      <w:r>
        <w:rPr>
          <w:rFonts w:hint="eastAsia"/>
        </w:rPr>
        <w:lastRenderedPageBreak/>
        <w:t>1-12集团内股份支付</w:t>
      </w:r>
    </w:p>
    <w:p w14:paraId="2BB72D8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企业集团（由母公司和其全部子公司构成）内发生股份支付交易的，接受服务企业应确认股份支付费用；结算企业是接受服务企业母公司的，应确认对接受服务企业的长期股权投资。</w:t>
      </w:r>
    </w:p>
    <w:p w14:paraId="2D5ABC5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监管实践发现，部分公司在认定集团内股份支付的范围并进行会计处理时对准则的理解存在偏差和分歧。现就具体事项如何适用上述原则的意见如下：</w:t>
      </w:r>
    </w:p>
    <w:p w14:paraId="0CF7E15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一、母公司向子公司高管授予股份支付时，合并财务报表中子公司股权激励费用的分摊</w:t>
      </w:r>
    </w:p>
    <w:p w14:paraId="1C8DC0D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母公司向子公司高管授予股份支付，在计算子公司少数股东损益时，虽然子公司的股权激励全部是由母公司结算，子公司少数股东损益中应包含按照少数股东持股比例分享的子公司股权激励费用。</w:t>
      </w:r>
    </w:p>
    <w:p w14:paraId="052BF55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二、受激励高管在集团内调动</w:t>
      </w:r>
    </w:p>
    <w:p w14:paraId="026EC58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如果受到激励的高管在集团内调动导致接受服务的企业变更，但高管人员应取得的股权激励并未发生实质性变化，则应根据受益情况，在等待期内按照合理的标准（例如按服务时间）在原接受服务的企业与新接受服务的企业间分摊该高管的股权激励费用。即谁受益，谁确认费用。</w:t>
      </w:r>
    </w:p>
    <w:p w14:paraId="6E9D4A4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三、非控股股东授予职工公司股份</w:t>
      </w:r>
    </w:p>
    <w:p w14:paraId="2337450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集团内股份支付，包括集团内任何主体的任何股东，并未限定结算的主体为控股股东；非控股股东授予职工公司的权益工具满足股份支付条件时，也应当视同集团内股份支付进行处理。</w:t>
      </w:r>
    </w:p>
    <w:p w14:paraId="1A604084" w14:textId="77777777" w:rsidR="00A320E6" w:rsidRDefault="00000000" w:rsidP="00474926">
      <w:pPr>
        <w:pStyle w:val="1a"/>
      </w:pPr>
      <w:r>
        <w:rPr>
          <w:rFonts w:hint="eastAsia"/>
        </w:rPr>
        <w:t>1-13一次授予、分期行权的股份支付计划</w:t>
      </w:r>
    </w:p>
    <w:p w14:paraId="7997BE0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股份支付相关的费用，应当在等待期内分摊计入损益。其中，等待期是指可行权条件得到满足的期间。</w:t>
      </w:r>
    </w:p>
    <w:p w14:paraId="4D62D81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监管实践发现，部分公司在确定等待期时对准则的理解存在偏差和分歧。现就具体事项如何适用上述原则的意见如下：</w:t>
      </w:r>
    </w:p>
    <w:p w14:paraId="6409667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次授予、分期行权”，即在授予日一次授予给员工若干权益工具，之后每年分批达到可行权条件。每个批次是否可行权的结果通常是相对独立的，即每一期是否达到可行权条件并不会直接影响其他几期是否能够达到可行权条件。在会计处理时应将其作为同时授予的几个独立的股份支付计划。例如，在一次授予、分三年</w:t>
      </w:r>
      <w:r>
        <w:rPr>
          <w:rFonts w:ascii="宋体" w:hAnsi="宋体" w:cs="宋体" w:hint="eastAsia"/>
          <w:sz w:val="24"/>
          <w:szCs w:val="24"/>
        </w:rPr>
        <w:lastRenderedPageBreak/>
        <w:t>行权的股份支付计划中，应当将其视同为三个独立的股份支付计划，分别确定每个计划的等待期。公司应根据每个计划在授予日的公允价值估计股份支付费用，在其相应的等待期内，按照各计划在某会计期间内等待期长度占整个等待期长度的比例进行分摊。</w:t>
      </w:r>
    </w:p>
    <w:p w14:paraId="57ADABB7" w14:textId="77777777" w:rsidR="00A320E6" w:rsidRDefault="00000000" w:rsidP="00474926">
      <w:pPr>
        <w:pStyle w:val="1a"/>
      </w:pPr>
      <w:r>
        <w:rPr>
          <w:rFonts w:hint="eastAsia"/>
        </w:rPr>
        <w:t>1-14与股权激励计划相关的递延所得税</w:t>
      </w:r>
    </w:p>
    <w:p w14:paraId="3CA1714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监管实践发现，部分公司对与股权激励计划相关递延所得税的处理存在分歧。现就该事项的意见如下：</w:t>
      </w:r>
    </w:p>
    <w:p w14:paraId="1884B7C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相关税法规定，对于附有业绩条件或服务条件的股权激励计划，企业按照会计准则的相关规定确认的成本费用在等待期内不得税前抵扣，待股权激励计划可行权时方可抵扣，可抵扣的金额为实际行权时的股票公允价值与激励对象支付的行权金额之间的差额。因此，公司未来可以在税前抵扣的金额与等待期内确认的成本费用金额很可能存在差异。公司应根据期末的股票价格估计未来可以税前抵扣的金额，以未来期间很可能取得的应纳税所得额为限确认递延所得税资产。此外，如果预计未来期间可抵扣的金额超过等待期内确认的成本费用，超出部分形成的递延所得税资产应直接计入所有者权益，而不是计入当期损益。</w:t>
      </w:r>
    </w:p>
    <w:p w14:paraId="368AD2C3" w14:textId="77777777" w:rsidR="00A320E6" w:rsidRDefault="00000000" w:rsidP="00474926">
      <w:pPr>
        <w:pStyle w:val="1a"/>
      </w:pPr>
      <w:r>
        <w:rPr>
          <w:rFonts w:hint="eastAsia"/>
        </w:rPr>
        <w:t>1-15按总额或净额确认收入</w:t>
      </w:r>
    </w:p>
    <w:p w14:paraId="06C466A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收入准则的相关规定，企业向客户销售商品或提供劳务涉及其他方参与其中时，应当根据合同条款和交易实质，判断其身份是主要责任人还是代理人。企业在将特定商品或服务转让给客户之前控制该商品或服务的，即企业能够主导该商品或服务的使用并从中获得几乎全部的经济利益，为主要责任人，否则为代理人。在判断是否为主要责任人时，企业应当综合考虑其是否对客户承担主要责任、是否承担存货风险、是否拥有定价权以及其他相关事实和情况进行判断。企业应当按照有权向客户收取的对价金额确定交易价格，并计量收入。主要责任人应当按照已收或应收的对价总额确认收入，代理人应当按照预期有权收取的佣金或手续费（即净额）确认收入。</w:t>
      </w:r>
    </w:p>
    <w:p w14:paraId="37A29FA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监管实践发现，部分公司在按照总额或净额确认收入方面，存在判断和理解上的分歧。现就具体事项如何适用上述原则的意见如下：</w:t>
      </w:r>
    </w:p>
    <w:p w14:paraId="74D4CAF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一、零售百货行业联营模式下的收入确认</w:t>
      </w:r>
    </w:p>
    <w:p w14:paraId="227AA5F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联营模式是零售百货行业普遍采用的业务模式。该业务模式下，供应商在百货</w:t>
      </w:r>
      <w:r>
        <w:rPr>
          <w:rFonts w:ascii="宋体" w:hAnsi="宋体" w:cs="宋体" w:hint="eastAsia"/>
          <w:sz w:val="24"/>
          <w:szCs w:val="24"/>
        </w:rPr>
        <w:lastRenderedPageBreak/>
        <w:t>商场分配的专柜向顾客销售商品，百货商场根据约定的分成比例与供应商进行结算，部分供应商对商场收取的分成有保底承诺。百货商场与供应商签订合同，约定各自的权利义务。商品向顾客售出之前，所有权属于供应商，供应商负责保管商品，并承担商品毁损和灭失的风险。供应商有权决定商品的上架和下架时间，以及在不同的门店或专柜之间调换货物。商品价格主要由供应商制定，有时需要经过百货商场的审核，其主要目的是避免供应商定价过高或过度打折，从而对该商品在本商场的销售情况或商场的整体商业定位造成不利影响。百货商场举办促销活动时，促销方案和价格主要由百货商场主导，供应商可以选择参加或不参加，如参加，则可能需要和百货商场共同承担相关费用。专柜销售人员由供应商直接委派，但需要接受商场的培训，遵循商场的管理要求并接受商场的监督。百货商场为供应商提供经营场地以及相应的综合管理服务，监督进店的商品，并提供统一收银等服务。顾客在百货商场购物时，通常取得以百货商场抬头开具的销售凭证。供应商在商场售出的商品出现质量问题，百货商场负责先行赔付，随后再根据与供应商的协议约定向供应商进行追偿。假定上述联营模式安排中不包含租赁。</w:t>
      </w:r>
    </w:p>
    <w:p w14:paraId="563DDEE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实务中，虽然百货商场按照商品的销售金额向客户开具销售凭证，但是，在确认收入时，应当按照收入准则中有关主要责任人和代理人的原则判断收入确认金额。在上述联营模式下，顾客直接在供应商的专柜购买商品，在此之前，商品的所有权归属于供应商，供应商有权主导商品的销售活动，例如决定商品的上架和下架时间，是否在不同的门店、专柜之间调换货物，主导商品定价以及促销方式等，并获取销售商品的经济利益，也承担因商品滞销或打折销售等造成的损失。相反，在商品销售给顾客之前，百货商场不能决定如何销售这些商品，不能自行或者要求供应商将商品用于其他用途，也不能禁止供应商把商品用于其他用途；某些情况下，虽然百货商场可能有权对供应商销售的商品进行干预，例如新增商品品牌需要经过百货商场认可，滞销或过季的商品应及时下架等，但其目的主要是为了维护百货商场的商业定位和形象，并不表明百货商场能够主导这些商品的销售。</w:t>
      </w:r>
    </w:p>
    <w:p w14:paraId="1E9D2C8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因此，特定商品在销售给顾客之前由供应商控制，供应商有权主导商品的使用并获取其经济利益；百货商场并未取得商品的控制权，其身份是协助供应商销售特定商品，应被认定为代理人，按照净额确认收入。</w:t>
      </w:r>
    </w:p>
    <w:p w14:paraId="0EC1B3A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除零售百货业务外，代为执行采购或销售的供应链企业、代理外贸进出口或跨</w:t>
      </w:r>
      <w:r>
        <w:rPr>
          <w:rFonts w:ascii="宋体" w:hAnsi="宋体" w:cs="宋体" w:hint="eastAsia"/>
          <w:sz w:val="24"/>
          <w:szCs w:val="24"/>
        </w:rPr>
        <w:lastRenderedPageBreak/>
        <w:t>境业务企业、大宗商品配送或医药配送企业、电子商务平台企业及以电商平台为依托开展电商业务的企业等，应参照上述原则和分析，结合业务模式和合同约定，判断在将商品销售给客户之前是否取得对商品的控制，并确定是以总额还是净额确认收入。</w:t>
      </w:r>
    </w:p>
    <w:p w14:paraId="3816A0A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二、以购销合同方式进行的委托加工收入确认</w:t>
      </w:r>
    </w:p>
    <w:p w14:paraId="571E185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公司（委托方）与无关联第三方公司（加工方）通过签订销售合同的形式将原材料“销售”给加工方并委托其进行加工，同时，与加工方签订商品采购合同将加工后的商品购回。在这种情况下，公司应根据合同条款和业务实质判断加工方是否已经取得待加工原材料的控制权，即加工方是否有权主导该原材料的使用并获得几乎全部经济利益，例如原材料的性质是否为委托方的产品所特有、加工方是否有权按照自身意愿使用或处置该原材料、是否承担除因其保管不善之外的原因导致的该原材料毁损灭失的风险、是否承担该原材料价格变动的风险、是否能够取得与该原材料所有权有关的报酬等。如果加工方并未取得待加工原材料的控制权，该原材料仍然属于委托方的存货，委托方不应确认销售原材料的收入，而应将整个业务作为购买委托加工服务进行处理；相应地，加工方实质是为委托方提供受托加工服务，应当按照净额确认受托加工服务费收入。</w:t>
      </w:r>
    </w:p>
    <w:p w14:paraId="389863C6" w14:textId="77777777" w:rsidR="00A320E6" w:rsidRDefault="00000000" w:rsidP="00474926">
      <w:pPr>
        <w:pStyle w:val="1a"/>
      </w:pPr>
      <w:r>
        <w:rPr>
          <w:rFonts w:hint="eastAsia"/>
        </w:rPr>
        <w:t>1-16重大融资成分的确定</w:t>
      </w:r>
    </w:p>
    <w:p w14:paraId="4938762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收入准则的相关规定，合同中包含重大融资成分的，企业在确定交易价格时，应当剔除合同约定价款中包含的重大融资成分的影响，按照现销价格确认收入。企业向客户转让商品或服务的时间与客户付款的时间间隔不超过一年的，可以不考虑合同中存在的融资成分的影响；超过一年的，如果相关事实和情况表明合同中约定的付款时间并未向客户或企业就转让商品或服务的交易提供重大融资利益，则认为合同中没有包含重大融资成分。</w:t>
      </w:r>
    </w:p>
    <w:p w14:paraId="161A6E9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某些交易中，公司向客户转让商品或服务的时间与收款的时间间隔可能较长，例如，公司从事光伏发电业务，作为发电收入对价组成部分的可再生能源上网电价补贴款收取时间与公司并网发电并确认发电收入的时间间隔可能超过一年；又如，公司从事新能源汽车的生产与销售，作为新能源汽车销售对价组成部分的新能源汽车补贴款的收取时间与公司销售新能源汽车并确认收入的时间间隔可能超过一年等，部分公司对于上述情形是否存在重大融资成分的判断存在分歧。</w:t>
      </w:r>
      <w:r>
        <w:rPr>
          <w:rFonts w:ascii="宋体" w:hAnsi="宋体" w:cs="宋体" w:hint="eastAsia"/>
          <w:sz w:val="24"/>
          <w:szCs w:val="24"/>
        </w:rPr>
        <w:lastRenderedPageBreak/>
        <w:t>如果相关事实和情况表明，导致该时间间隔的主要原因是国家有关部门需要履行相关的审批程序，且该时间间隔是履行上述程序所需经历的必要时间，其性质并非是提供融资利益，可认为公司取得的前述可再生能源电价补贴款和新能源汽车补贴款等款项不存在重大融资成分。</w:t>
      </w:r>
    </w:p>
    <w:p w14:paraId="0F128E2D" w14:textId="77777777" w:rsidR="00A320E6" w:rsidRDefault="00000000" w:rsidP="00474926">
      <w:pPr>
        <w:pStyle w:val="1a"/>
      </w:pPr>
      <w:r>
        <w:rPr>
          <w:rFonts w:hint="eastAsia"/>
        </w:rPr>
        <w:t>1-17区分合同负债和金融负债</w:t>
      </w:r>
    </w:p>
    <w:p w14:paraId="55E5019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根据收入准则和金融工具准则的相关规定，企业已收或应收客户对价而承担的应向客户转让商品的义务构成合同负债；企业承担的不可避免的向其他方交付现金或其他金融资产的合同义务构成金融负债。</w:t>
      </w:r>
    </w:p>
    <w:p w14:paraId="4D7B660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监管实践发现，部分公司向客户授予奖励积分，分摊至奖励积分的合同价款应确认为合同负债还是金融负债的理解存在分歧。现就该事项如何适用上述原则的意见如下：</w:t>
      </w:r>
    </w:p>
    <w:p w14:paraId="1207239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向购买其商品的客户授予奖励积分，客户可以选择使用该积分兑换该企业或其他方销售的商品。客户选择兑换其他方销售的商品时，企业承担向其他方支付相关商品价款的义务。企业授予客户的奖励积分向其提供了一项额外购买选择权，且构成重大权利时，应当作为一项单独的履约义务。企业需要将销售商品收取的价款在销售商品和奖励积分之间按照单独售价的相对比例进行分摊。客户选择使用奖励积分兑换其他方销售的商品时，企业虽然承担了向其他方交付现金的义务，但由于该义务产生于客户购买商品并取得奖励积分的行为，适用收入准则进行会计处理。企业收到的合同价款中，分摊至奖励积分的部分（无论客户未来选择兑换该企业或其他方的商品），应当先确认为合同负债；等到客户选择兑换其他方销售的商品时，企业的积分兑换义务解除，此时公司应将有义务支付给其他方的款项从合同负债重分类为金融负债。</w:t>
      </w:r>
    </w:p>
    <w:p w14:paraId="36EE39E4" w14:textId="77777777" w:rsidR="00A320E6" w:rsidRDefault="00000000" w:rsidP="00474926">
      <w:pPr>
        <w:pStyle w:val="1a"/>
      </w:pPr>
      <w:r>
        <w:rPr>
          <w:rFonts w:hint="eastAsia"/>
        </w:rPr>
        <w:t>1-18风险投资机构对联营企业或合营企业投资的分类</w:t>
      </w:r>
    </w:p>
    <w:p w14:paraId="6C2FC35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风险投资机构、共同基金以及类似主体可以根据长期股权投资准则，将其持有的对联营企业或合营企业投资在初始确认时，确认为以公允价值计量且其变动计入当期损益的金融资产，以向财务报表使用者提供比权益法更有用的信息。对于金融资产，企业可以根据金融工具准则的相关规定，选择在初始确认时将非交易性权益工具投资指定为以公允价值计量且其变动计入其他综合收益的金融资产。</w:t>
      </w:r>
    </w:p>
    <w:p w14:paraId="7F65761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监管实践发现，部分公司对风险投资机构能否将联营企业或合营企业的投资指</w:t>
      </w:r>
      <w:r>
        <w:rPr>
          <w:rFonts w:ascii="宋体" w:hAnsi="宋体" w:cs="宋体" w:hint="eastAsia"/>
          <w:sz w:val="24"/>
          <w:szCs w:val="24"/>
        </w:rPr>
        <w:lastRenderedPageBreak/>
        <w:t>定为以公允价值计量且其变动计入其他综合收益的金融资产的理解存在分歧。风险投资机构、共同基金以及类似主体可将其持有的联营企业或合营企业投资在初始确认时，选择以公允价值计量且其变动计入当期损益的金融资产的处理，仅是长期股权投资准则对于这种特定机构持有的联营企业或合营企业投资的特殊规定，不能指定为以公允价值计量且其变动计入其他综合收益的金融资产。</w:t>
      </w:r>
    </w:p>
    <w:p w14:paraId="7270EF1A" w14:textId="77777777" w:rsidR="00A320E6" w:rsidRDefault="00000000" w:rsidP="00474926">
      <w:pPr>
        <w:pStyle w:val="1a"/>
      </w:pPr>
      <w:r>
        <w:rPr>
          <w:rFonts w:hint="eastAsia"/>
        </w:rPr>
        <w:t>1-19嵌入衍生工具的分拆与计量</w:t>
      </w:r>
    </w:p>
    <w:p w14:paraId="7191BE0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存在嵌入衍生工具的混合合同，如果主合同不是一项由金融工具准则规范的资产，企业需要考虑是否应从混合合同中分拆嵌入衍生工具，将其作为单独存在的衍生工具处理；如果嵌入衍生工具的经济特征和风险与主合同的经济特征和风险紧密相关，则不需要分拆。企业也可以考虑是否将其整体指定为以公允价值计量且其变动计入当期损益的金融工具。</w:t>
      </w:r>
    </w:p>
    <w:p w14:paraId="7F3480B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企业在与供应商签订大宗商品购买合同时会约定延迟定价条款（如定价机制为装船后第4个月的大宗商品伦敦市场的现货交易价格），部分公司对延迟定价条款性质的理解及如何进行会计处理存在分歧。现就该事项如何适用上述原则的意见如下：</w:t>
      </w:r>
    </w:p>
    <w:p w14:paraId="1C3BBD4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上述延迟定价条款使企业进口贸易中所需支付的金额随着未来所挂钩商品价格的变动而变动，属于嵌入衍生工具。在商品的控制权转移前，延迟定价条款与商品待执行采购合同紧密相关，因而无须拆分；而在商品的控制权转移后，企业需就该商品确认存货及相关应付账款，延迟定价条款与主合同(应付账款)不紧密相关，应从主合同中拆分并作为衍生工具单独核算，或者将延迟定价条款与主合同(应付账款)整体指定为以公允价值计量且其变动计入当期损益的金融负债。</w:t>
      </w:r>
    </w:p>
    <w:p w14:paraId="3AD95F47" w14:textId="77777777" w:rsidR="00A320E6" w:rsidRDefault="00000000" w:rsidP="00474926">
      <w:pPr>
        <w:pStyle w:val="1a"/>
      </w:pPr>
      <w:r>
        <w:rPr>
          <w:rFonts w:hint="eastAsia"/>
        </w:rPr>
        <w:t>1-20债务重组收益的确认</w:t>
      </w:r>
    </w:p>
    <w:p w14:paraId="402904C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债务重组方式包括债务人以资产清偿债务、将债务转为权益工具、修改其他条款，以及前述一种以上方式的组合等四种方式。债务人应将所清偿债务账面价值与抵债资产账面价值、发行的权益工具确认金额之间的差额，或者因修改其他条款形成的损益作为债务重组损益计入当期损益。</w:t>
      </w:r>
    </w:p>
    <w:p w14:paraId="00A8316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监管实践发现，部分上市公司因破产重整而进行债务重组交易，对何时确认债务重组收益的理解存在偏差和分歧。现就该事项如何适用上述原则的意见如下：</w:t>
      </w:r>
    </w:p>
    <w:p w14:paraId="4F7C660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对于上市公司因破产重整而进行的债务重组交易，由于涉及破产重整的债务重</w:t>
      </w:r>
      <w:r>
        <w:rPr>
          <w:rFonts w:ascii="宋体" w:hAnsi="宋体" w:cs="宋体" w:hint="eastAsia"/>
          <w:sz w:val="24"/>
          <w:szCs w:val="24"/>
        </w:rPr>
        <w:lastRenderedPageBreak/>
        <w:t>组协议执行过程及结果存在重大不确定性，因此，上市公司通常应在破产重整协议履行完毕后确认债务重组收益，除非有确凿证据表明上述重大不确定性已经消除。</w:t>
      </w:r>
    </w:p>
    <w:p w14:paraId="726409EA" w14:textId="77777777" w:rsidR="00A320E6" w:rsidRDefault="00000000" w:rsidP="00474926">
      <w:pPr>
        <w:pStyle w:val="1a"/>
      </w:pPr>
      <w:r>
        <w:rPr>
          <w:rFonts w:hint="eastAsia"/>
        </w:rPr>
        <w:t>1-21资产负债表日后事项的性质与分类</w:t>
      </w:r>
    </w:p>
    <w:p w14:paraId="02DD51B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将资产负债表日至财务报告批准报出日之间发生的有利或不利事项区分为资产负债表日后调整事项或资产负债表日后非调整事项，从而确定是否应当调整资产负债表日的财务报表。判断资产负债表日后事项是调整事项还是非调整事项的主要原则是该事项表明的情况在资产负债表日或以前是否已经存在。</w:t>
      </w:r>
    </w:p>
    <w:p w14:paraId="7F94AF1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监管实践发现，部分公司对于资产负债表日后期间与债权人达成债务重组协议是调整事项还是非调整事项的理解存在偏差和分歧。现就该事项如何适用上述原则的意见如下：</w:t>
      </w:r>
    </w:p>
    <w:p w14:paraId="060F29B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上市公司在报告期资产负债表日已经存在的债务，在其资产负债表日后期间与债权人达成的债务重组交易不属于资产负债表日后调整事项，不能据以调整报告期资产、负债项目的确认和计量。在报告期资产负债表中，债务重组中涉及的相关负债仍应按照达成债务重组协议前具有法律效力的有关协议等约定进行确认和计量。</w:t>
      </w:r>
    </w:p>
    <w:p w14:paraId="0EBFCF76" w14:textId="77777777" w:rsidR="00A320E6" w:rsidRDefault="00000000" w:rsidP="00474926">
      <w:pPr>
        <w:pStyle w:val="1a"/>
      </w:pPr>
      <w:r>
        <w:rPr>
          <w:rFonts w:hint="eastAsia"/>
        </w:rPr>
        <w:t>1-22权益性交易</w:t>
      </w:r>
    </w:p>
    <w:p w14:paraId="6F8699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上市公司与其控股股东或者其他关联方之间可能以多种形式进行权益性交易，其主要特征概括如下:</w:t>
      </w:r>
    </w:p>
    <w:p w14:paraId="19A8FC4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1.权益性交易的交易对象。权益性交易除所有者以其所有者身份与主体之间的交易外，还包括不同所有者之间的交易，且后者多为合并财务报表层面不同所有者(母公司与子公司少数股东)之间。</w:t>
      </w:r>
    </w:p>
    <w:p w14:paraId="02E40BB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2.权益性交易对主体权益总额的影响。主体与所有者之间的权益性交易会导致主体权益总额发生增减变动，所有者之间的权益性交易不影响权益总额，但会改变权益内部各项目金额。</w:t>
      </w:r>
    </w:p>
    <w:p w14:paraId="01A1202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3.权益性交易的会计处理结果。与权益性交易有关的利得和损失应直接计入权益，不会影响当期损益。</w:t>
      </w:r>
    </w:p>
    <w:p w14:paraId="1D5A468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所有者之间的权益性交易，如果涉及合并财务报表的，应从合并财务报表主体的范围来界定其是否属于权益性交易。如果母公司因转让子公司股权（权益）而丧失控制权的，被转让公司不再纳入合并财务报表范围，母公司不以所有者身份</w:t>
      </w:r>
      <w:r>
        <w:rPr>
          <w:rFonts w:ascii="宋体" w:hAnsi="宋体" w:cs="宋体" w:hint="eastAsia"/>
          <w:sz w:val="24"/>
          <w:szCs w:val="24"/>
        </w:rPr>
        <w:lastRenderedPageBreak/>
        <w:t>进行交易；如果母公司转让子公司股权（权益）但未丧失控制权，该子公司仍然纳入合并财务报表范围，就合并财务报表主体而言，母公司以子公司所有者身份与其他所有者之间进行的交易应作为权益性交易处理。</w:t>
      </w:r>
    </w:p>
    <w:p w14:paraId="2B500D1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监管实践发现，部分公司对于权益性交易的认定和会计处理存在偏差和分歧。现就如何适用上述原则的意见如下：</w:t>
      </w:r>
    </w:p>
    <w:p w14:paraId="3912FB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上市公司的股东、股东控制的其他关联方、上市公司的实际控制人对上市公司进行直接或间接的捐赠、债务豁免等单方面的利益输送行为，由于交易是基于双方的特殊身份才得以发生，且使得上市公司明显的、单方面的从中获益，因此，应认定其经济实质具有资本投入性质，形成的利得应计入所有者权益。上市公司在判断是否属于权益性交易时应分析该交易是否公允以及商业上是否存在合理性。上市公司与潜在股东之间发生的上述交易，应比照上述原则进行处理。</w:t>
      </w:r>
    </w:p>
    <w:p w14:paraId="2849C175" w14:textId="77777777" w:rsidR="00A320E6" w:rsidRDefault="00000000" w:rsidP="00474926">
      <w:pPr>
        <w:pStyle w:val="1a"/>
      </w:pPr>
      <w:r>
        <w:rPr>
          <w:rFonts w:hint="eastAsia"/>
        </w:rPr>
        <w:t>1-23政府补贴收入的性质和确认条件</w:t>
      </w:r>
    </w:p>
    <w:p w14:paraId="308F642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从政府取得的经济资源，应区分政府补助、政府以投资者身份向企业投入资本、政府购买服务等交易进行处理。政府补助是指企业从政府无偿取得货币性资产或非货币性资产。政府补助主要形式包括政府对企业的无偿拨款、税收返还、财政贴息，以及无偿给予非货币性资产。政府以投资者身份向企业投入资本，享有相应的所有者权益，政府与企业之间是投资者与被投资者的关系，应按权益性交易进行处理。如果取得的补贴收入与企业销售商品或提供服务等活动密切相关，且是企业商品或服务的对价或者是对价的组成部分，应当适用收入准则。</w:t>
      </w:r>
    </w:p>
    <w:p w14:paraId="0801B39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监管实践发现，部分企业对政府补贴收入的性质和确认条件的理解存在偏差和分歧。现就具体事项如何适用上述原则的意见如下：</w:t>
      </w:r>
    </w:p>
    <w:p w14:paraId="44535AA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一、新能源汽车财政补贴</w:t>
      </w:r>
    </w:p>
    <w:p w14:paraId="4CC9BEB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对新能源汽车厂商而言，如果没有政府的新能源汽车财政补贴，企业通常不会以低于成本的价格进行销售，政府补贴实际上是新能源汽车销售对价的组成部分。</w:t>
      </w:r>
    </w:p>
    <w:p w14:paraId="72A64A9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新能源汽车厂商从政府取得的补贴，与其销售新能源汽车密切相关,且是新能源汽车销售对价的组成部分。中央和地方财政补贴实质上是为消费者购买新能源汽车承担和支付了部分销售价款，其拨付的补贴金额应属于新能源汽车厂商销售商品的资金流入，在性质上属于收入。因此，新能源汽车厂商应当按照收入准则的规定进行会计处理，在款项满足收入确认条件时应将其确认为收入，并根据中央和地方的</w:t>
      </w:r>
      <w:r>
        <w:rPr>
          <w:rFonts w:ascii="宋体" w:hAnsi="宋体" w:cs="宋体" w:hint="eastAsia"/>
          <w:sz w:val="24"/>
          <w:szCs w:val="24"/>
        </w:rPr>
        <w:lastRenderedPageBreak/>
        <w:t>相关补贴政策合理估计未来补贴款的金额。</w:t>
      </w:r>
    </w:p>
    <w:p w14:paraId="70889A6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二、政府补助以应收金额计量的条件</w:t>
      </w:r>
    </w:p>
    <w:p w14:paraId="43997FD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政府补助通常在企业能够满足政府补助所附条件以及企业能够收到政府补助时才能予以确认。判断企业能够收到政府补助，应着眼于分析和落实企业能够符合财政扶持政策规定的相关条件且预计能够收到财政扶持资金的“确凿证据”，例如，关注政府补助的发放主体是否具备相应的权力和资质，补助文件中索引的政策依据是否适用，申请政府补助的流程是否合法合规，是否已经履行完毕补助文件中的要求，实际收取资金前是否需要政府部门的实质性审核，同类型政府补助过往实际发放情况，补助文件是否有明确的支付时间，政府是否具备履行支付义务的能力等因素。</w:t>
      </w:r>
    </w:p>
    <w:p w14:paraId="72CA747B" w14:textId="77777777" w:rsidR="00A320E6" w:rsidRDefault="00000000" w:rsidP="00474926">
      <w:pPr>
        <w:pStyle w:val="1a"/>
      </w:pPr>
      <w:r>
        <w:rPr>
          <w:rFonts w:hint="eastAsia"/>
        </w:rPr>
        <w:t>1-24区分会计估计变更和差错更正</w:t>
      </w:r>
    </w:p>
    <w:p w14:paraId="5BE38BE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在对财务报表项目进行计量时，往往需要进行会计估计，该估计应当以最近可以获得的可靠信息为基础。随着时间的推移，如果会计估计的基础发生变化，或者企业取得了新的信息、积累了更多的经验，导致需要对前期会计估计进行变更，属于会计估计变更。企业在进行会计估计时，如果没有恰当运用当时能够取得的可靠信息，则属于前期差错。会计估计变更应当采用未来适用法进行会计处理，而前期差错更正通常应当采用追溯重述法进行会计处理。</w:t>
      </w:r>
    </w:p>
    <w:p w14:paraId="437B8C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监管实践发现，会计估计变更与前期差错更正有时难以区分，尤其是难以区分会计估计变更和由于会计估计错误导致的前期差错更正。现就具体事项如何适用上述原则的意见如下：</w:t>
      </w:r>
    </w:p>
    <w:p w14:paraId="75C2C0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不应简单将会计估计与实际结果对比认定存在差错。如果企业前期作出会计估计时，未能合理使用报表编报时已经存在且能够取得的可靠信息，导致前期会计估计结果未恰当反映当时情况，则应属于前期差错，应当适用前期差错更正的会计处理方法；反之，如果企业前期的会计估计是以当时存在且预期能够取得的可靠信息为基础作出的，随后因资产和负债的当前状况及预期经济利益和义务发生了变化而变更会计估计的，则属于会计估计变更，应当适用会计估计变更的会计处理方法。</w:t>
      </w:r>
    </w:p>
    <w:p w14:paraId="4B4D22F5" w14:textId="77777777" w:rsidR="00A320E6" w:rsidRDefault="00000000" w:rsidP="00474926">
      <w:pPr>
        <w:pStyle w:val="1a"/>
      </w:pPr>
      <w:r>
        <w:rPr>
          <w:rFonts w:hint="eastAsia"/>
        </w:rPr>
        <w:t>1-25现金流量的分类</w:t>
      </w:r>
    </w:p>
    <w:p w14:paraId="6942F22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企业应当以实际收付的现金及现金等价物为基础编制现金流量表，并且将现金</w:t>
      </w:r>
      <w:r>
        <w:rPr>
          <w:rFonts w:ascii="宋体" w:hAnsi="宋体" w:cs="宋体" w:hint="eastAsia"/>
          <w:sz w:val="24"/>
          <w:szCs w:val="24"/>
        </w:rPr>
        <w:lastRenderedPageBreak/>
        <w:t>流量划分为经营活动现金流量、投资活动现金流量和筹资活动现金流量。投资活动是指购建长期资产以及现金等价物之外的投资与处置；筹资活动是指导致资本及债务规模和构成发生变化的活动；投资活动和筹资活动之外的所有交易和事项属于经营活动。企业应当结合行业特点判断相关业务活动产生的现金流量的分类。不同形式现金之间的转换以及现金与现金等价物之间的转换均不产生现金流量。</w:t>
      </w:r>
    </w:p>
    <w:p w14:paraId="4851E57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监管实践发现，部分公司在编制现金流量表时，对于某些交易和事项产生的现金流量的分类存在理解上的偏差和分歧。现就具体事项如何适用上述原则的意见如下：</w:t>
      </w:r>
    </w:p>
    <w:p w14:paraId="08DCF1C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一、因银行承兑汇票贴现而取得的现金</w:t>
      </w:r>
    </w:p>
    <w:p w14:paraId="1F3345B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若银行承兑汇票贴现不符合金融资产终止确认条件，因票据贴现取得的现金在资产负债表中应确认为一项借款，该现金流入在现金流量表中相应分类为筹资活动现金流量；若银行承兑汇票贴现符合金融资产终止确认的条件，相关现金流入则分类为经营活动现金流量。</w:t>
      </w:r>
    </w:p>
    <w:p w14:paraId="0D05633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若银行承兑汇票贴现不符合金融资产终止确认条件，后续票据到期偿付等导致应收票据和借款终止确认时，因不涉及现金收付，在编制现金流量表时，不得虚拟现金流量。公司发生以银行承兑汇票背书购买原材料等业务时，比照该原则处理。</w:t>
      </w:r>
    </w:p>
    <w:p w14:paraId="22BB9BC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二、定期存单的质押与解除质押业务</w:t>
      </w:r>
    </w:p>
    <w:p w14:paraId="1255067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首先应当结合定期存单是否存在限制、是否能够随时支取等因素，判断其是否属于现金及现金等价物。如果定期存单本身不属于现金及现金等价物，其质押或解除质押不会产生现金流量；如果定期存单本身属于现金及现金等价物，被用于质押不再满足现金及现金等价物的定义，以及质押解除后重新符合现金及现金等价物的定义，均会产生现金流量。</w:t>
      </w:r>
    </w:p>
    <w:p w14:paraId="62E64B9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后者情况下，对相关现金流量进行分类时，应当根据企业所属行业特点进行判断。如果企业属于金融行业，通过定期存款质押获取短期借款的活动可能属于经营活动，相关现金流量分类为经营活动现金流量；如果企业为一般非金融企业，通过定期存款质押获取短期借款的活动属于筹资活动，相关现金流量应被分类为筹资活动现金流量。</w:t>
      </w:r>
    </w:p>
    <w:p w14:paraId="37EEAE75" w14:textId="77777777" w:rsidR="00A320E6" w:rsidRDefault="00000000" w:rsidP="00474926">
      <w:pPr>
        <w:pStyle w:val="1a"/>
      </w:pPr>
      <w:r>
        <w:rPr>
          <w:rFonts w:hint="eastAsia"/>
        </w:rPr>
        <w:t>1-26非经常性损益的认定</w:t>
      </w:r>
    </w:p>
    <w:p w14:paraId="5AA786B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根据《公开发行证券的公司信息披露解释性公告第1号——非经常性损益》（以</w:t>
      </w:r>
      <w:r>
        <w:rPr>
          <w:rFonts w:ascii="宋体" w:hAnsi="宋体" w:cs="宋体" w:hint="eastAsia"/>
          <w:sz w:val="24"/>
          <w:szCs w:val="24"/>
        </w:rPr>
        <w:lastRenderedPageBreak/>
        <w:t>下简称解释1号）的规定，非经常性损益是指与公司正常经营业务无直接关系，以及虽与正常经营业务相关，但由于其性质特殊和偶发性，影响报表使用人对公司经营业绩和盈利能力作出正常判断的各项交易和事项产生的损益。</w:t>
      </w:r>
    </w:p>
    <w:p w14:paraId="67E8B80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经常性损益的界定，应以非经常性损益的定义为依据，考虑其定义中的三个要素，即“与正常经营业务的相关性”、“性质特殊和偶发性”以及“体现公司正常的经营业绩和盈利能力”，同时应结合公司实际情况，参考列举项目，进行综合判断，而不应简单地把解释1号中列举的项目认定为非经常性损益，或者把解释1号中未列举的项目认定为不属于非经常性损益。</w:t>
      </w:r>
    </w:p>
    <w:p w14:paraId="65E8EDA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如果公司把解释1号中列举的项目认定为不属于非经常性损益的，应当在附注中披露该项目的名称、金额及原因；如果公司把解释1号中未列举的项目认定为非经常性损益的，若金额不重大，应将其计入“其他符合非经常性损益定义的损益项目”列报，若金额重大，则应单列其项目名称和金额，同时还应在附注中披露该项目的名称、金额及原因。</w:t>
      </w:r>
    </w:p>
    <w:p w14:paraId="33F255A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监管实践发现，部分公司在认定非经常性损益时对解释1号的理解存在偏差和分歧。现就具体事项如何适用上述原则的意见如下：</w:t>
      </w:r>
    </w:p>
    <w:p w14:paraId="72CD62D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一、软件产品增值税退税款</w:t>
      </w:r>
    </w:p>
    <w:p w14:paraId="4C55337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公司收到的软件产品增值税退税是否属于非经常性损益，判断的关键，一是该增值税退税是否与公司正常经营业务密切相关，二是其是否属于定额定量的政府补助。非经常性损益判断标准中的定额定量标准侧重于此项政府补助是否属于国家持续的产业政策扶持，是否具有可持续性。如果公司收到的增值税退税与其主营业务密切相关、金额可确定且能够持续取得，其能够体现公司正常的经营业绩和盈利能力，则不属于非经常性损益。</w:t>
      </w:r>
    </w:p>
    <w:p w14:paraId="7BA4049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二、因重组标的业绩未达承诺确认的业绩补偿和计提的商誉减值</w:t>
      </w:r>
    </w:p>
    <w:p w14:paraId="5E51F7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并购重组交易安排中，交易标的出售方一般会对交易完成后交易标的在一定期间的利润作出承诺。标的资产未按预期实现承诺利润时，出售方会以股份或现金方式对收购方给予补偿。由于上述补偿仅针对并购重组交易完成后的特定期间，正常经营情况下，企业取得业绩补偿款不具有持续性，应作为非经常性损益。同时，因并购重组产生的商誉，其减值与企业的其他长期资产(例如固定资产、无形资产等)减值性质相同，属于企业日常经营活动产生，不应认定为非经常性损益。</w:t>
      </w:r>
    </w:p>
    <w:p w14:paraId="09934B5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三、实施重大资产重组发生的中介机构服务费</w:t>
      </w:r>
    </w:p>
    <w:p w14:paraId="72BD53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解释1号中列举的企业重组费用，主要包括安置职工的支出、整合费用等，并不包括重大资产重组的中介机构费用。并购重组是企业的正常经济活动，涉及的资产也属于经营性资产，券商、会计师等中介机构的费用是发生此类交易的必要合理支出，不应认定为非经常性损益。</w:t>
      </w:r>
    </w:p>
    <w:p w14:paraId="644745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四、募集资金使用之前产生的定期存款利息</w:t>
      </w:r>
    </w:p>
    <w:p w14:paraId="1D475DE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募集资金产生定期存款的利息虽然与公司的日常活动无关，且存在偶发性，但公司发行股份募集资金本质上属于一种融资行为，在募集资金投入使用之前和之后，分别以定期存款和形成的募投项目为企业带来收益，两者只是资产以不同的形态存在从而带来不同的收益。此外，如果将募集资金产生的存款利息收入扣除，会导致计算净资产收益率和每股收益等指标时，出现分子和分母不匹配的结果。因此，募集资金在使用之前产生的定期存款利息不属于非经常性损益。</w:t>
      </w:r>
    </w:p>
    <w:p w14:paraId="55EA18A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五、非金融企业收取的资金占用费</w:t>
      </w:r>
    </w:p>
    <w:p w14:paraId="10C1495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解释1号中列举的项目虽然包括“计入当期损益的对非金融企业收取的资金占用费”，但并不意味着资金占用费性质的收入必然属于非经常性损益，公司仍可以依据自身情况做出具体判断。如果产生资金占用费的业务与公司的日常经营活动直接相关，且并非临时性和偶发性，该资金占用费可不认定为非经常性损益。</w:t>
      </w:r>
    </w:p>
    <w:p w14:paraId="622753B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六、房地产企业出售项目公司股权产生的处置损益</w:t>
      </w:r>
    </w:p>
    <w:p w14:paraId="19C272E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出于税收或者其他一些因素的考虑，房地产企业可能以转让子公司股权的形式，实现对房地产存货或其他物业资产的转让。在判断相关处置损益是否构成非经常性损益时，不能简单地认为处置公司股权产生的损益一概属于非经常性损益，而应视具体情况结合非经常性损益定义进行判断。具体分析时，公司应穿透该股权形式，根据项目公司所开发基础资产的性质和类别，分析该项转让是否与公司常规业务相同。通常而言，基础资产在合并财务报表可能的资产类别包括存货(开发成本、开发产品等)、固定资产、无形资产和投资性房地产等。如果公司常规业务是房地产项目开发完成后出售，则通过转让股权方式把一项待开发的土地使用权和部分开发成本一次性出售所取得的投资收益，应当作为非经常性损益，这与公司处置固定资产或投资性房地产等长期资产适用的判断类似。但是，如果转让股权所对应的基础资产实质上是已开发完成的房屋存货，出售开发完成的房屋属于公司的常规业务，且公</w:t>
      </w:r>
      <w:r>
        <w:rPr>
          <w:rFonts w:ascii="宋体" w:hAnsi="宋体" w:cs="宋体" w:hint="eastAsia"/>
          <w:sz w:val="24"/>
          <w:szCs w:val="24"/>
        </w:rPr>
        <w:lastRenderedPageBreak/>
        <w:t>司能提供充足的证据(例如近年来出售类似项目子公司股权的频率足够高、金额足够大等)证明其为常规业务，公司均是通过这种方式来获利，则股权处置损益可不认定为非经常性损益。</w:t>
      </w:r>
    </w:p>
    <w:p w14:paraId="53BF24A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七、企业集团中关于非经常性损益的判断</w:t>
      </w:r>
    </w:p>
    <w:p w14:paraId="66EE8DA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公司在编制合并财务报表时，应当将整个企业集团视为一个会计主体，按照统一的会计政策，反映企业集团整体财务状况、经营成果和现金流量。然而，在界定非经常性损益项目时，对于企业集团内的损益项目应基于单独公司进行判断。例如，企业集团内的母公司取得某项收益与其日常经营业务无关，被认定为非经常性损益。在合并财务报表中，该项收益并不能因为合并范围内有子公司存在相关经营范围而被重新认定不属于非经常性损益。</w:t>
      </w:r>
    </w:p>
    <w:p w14:paraId="68BD688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本指引自发布之日起施行。《上市公司执行企业会计准则监管问题解答》（第1至8期）同时废止。</w:t>
      </w:r>
    </w:p>
    <w:p w14:paraId="4560F976" w14:textId="77777777" w:rsidR="00A320E6" w:rsidRPr="00944A38"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61" w:name="_Toc112227369"/>
      <w:r w:rsidRPr="00944A38">
        <w:rPr>
          <w:rFonts w:ascii="宋体" w:hAnsi="宋体" w:cs="宋体" w:hint="eastAsia"/>
          <w:b/>
          <w:bCs/>
          <w:color w:val="000000"/>
          <w:kern w:val="0"/>
          <w:sz w:val="24"/>
          <w:szCs w:val="24"/>
          <w:lang w:bidi="ar"/>
        </w:rPr>
        <w:t>监管规则适用指引——会计类第2号</w:t>
      </w:r>
      <w:bookmarkEnd w:id="61"/>
    </w:p>
    <w:p w14:paraId="344EF09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2-1识别履约义务时商品或服务是否具有高度关联性的判断</w:t>
      </w:r>
    </w:p>
    <w:p w14:paraId="5370D10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2-2客户能够控制企业履约过程中在建商品或服务的判断</w:t>
      </w:r>
    </w:p>
    <w:p w14:paraId="2A10FE1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2-3应付客户对价的判断</w:t>
      </w:r>
    </w:p>
    <w:p w14:paraId="68F1C4A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2-4暂定价格销售合同中可变对价的判断</w:t>
      </w:r>
    </w:p>
    <w:p w14:paraId="1E1208E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2-5销售返利的会计处理</w:t>
      </w:r>
    </w:p>
    <w:p w14:paraId="34EC04F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2-6运输费用的确认与列报</w:t>
      </w:r>
    </w:p>
    <w:p w14:paraId="5D8683E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2-7授予知识产权许可收入确认时点的判断</w:t>
      </w:r>
    </w:p>
    <w:p w14:paraId="0C7EA2B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2-8定制化产品相关研发支出的会计处理</w:t>
      </w:r>
    </w:p>
    <w:p w14:paraId="7134F4A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2-9应收账款预期信用损失的计量</w:t>
      </w:r>
    </w:p>
    <w:p w14:paraId="1799E6D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2-10金融资产管理业务模式中“出售”的判断标准</w:t>
      </w:r>
    </w:p>
    <w:p w14:paraId="063A511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2-11业绩承诺期内修订业绩补偿条款的会计处理</w:t>
      </w:r>
    </w:p>
    <w:p w14:paraId="064526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2-12一揽子交易分步实现非同一控制下企业合并的会计处理</w:t>
      </w:r>
    </w:p>
    <w:p w14:paraId="25F0A16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2-13购买少数股东权益后商誉减值的会计处理</w:t>
      </w:r>
    </w:p>
    <w:p w14:paraId="1B6D0AA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2-14与递延所得税适用税率相关的非经常性损益认定</w:t>
      </w:r>
    </w:p>
    <w:p w14:paraId="413F0D93" w14:textId="249FD94B" w:rsidR="00A320E6" w:rsidRDefault="00474926" w:rsidP="00474926">
      <w:pPr>
        <w:pStyle w:val="1a"/>
      </w:pPr>
      <w:r>
        <w:rPr>
          <w:rFonts w:hint="eastAsia"/>
        </w:rPr>
        <w:t>2</w:t>
      </w:r>
      <w:r>
        <w:t>-1</w:t>
      </w:r>
      <w:r>
        <w:rPr>
          <w:rFonts w:hint="eastAsia"/>
        </w:rPr>
        <w:t>识别履约义务时商品或服务是否具有高度关联性的判断</w:t>
      </w:r>
    </w:p>
    <w:p w14:paraId="2AF896D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在识别单项履约义务时，企业应判断其向客户承诺转让的商品或服务本身是否</w:t>
      </w:r>
      <w:r>
        <w:rPr>
          <w:rFonts w:ascii="宋体" w:hAnsi="宋体" w:cs="宋体" w:hint="eastAsia"/>
          <w:sz w:val="24"/>
          <w:szCs w:val="24"/>
        </w:rPr>
        <w:lastRenderedPageBreak/>
        <w:t>能够明确区分，以及商品或服务在合同层面是否能够明确区分。若合同中承诺的多项商品或服务之间具有高度关联性，导致相关商品或服务在合同层面不可明确区分，企业应将相关商品或服务整体识别为一项履约义务。</w:t>
      </w:r>
    </w:p>
    <w:p w14:paraId="1DC0B40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监管实践发现，部分公司对于前述高度关联性存在理解上的偏差和分歧。现就该事项的意见如下：</w:t>
      </w:r>
    </w:p>
    <w:p w14:paraId="04C6D07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高度关联性是指合同中承诺的各单项商品或服务之间会受到彼此的重大影响，而非仅存在功能上的单方面依赖。例如，企业在同一合同中为客户设计、生产某新产品专用模具，并使用该模具为客户生产若干样品，不应仅由于后续生产需要使用模具而认为模具与样品之间存在高度关联性。若企业在后续生产过程中，需要根据客户对样品的使用情况持续修正模具，基于修正后的模具再生产样品，最终将符合客户要求的模具及样品转让给客户，表明设计生产专用模具和生产样品之间互相受到彼此的重大影响，二者在合同层面不能明确区分，应将其识别为一项履约义务。</w:t>
      </w:r>
    </w:p>
    <w:p w14:paraId="5A3895AF" w14:textId="77777777" w:rsidR="00A320E6" w:rsidRDefault="00000000" w:rsidP="00474926">
      <w:pPr>
        <w:pStyle w:val="1a"/>
      </w:pPr>
      <w:r>
        <w:rPr>
          <w:rFonts w:hint="eastAsia"/>
        </w:rPr>
        <w:t>2-2客户能够控制企业履约过程中在建商品或服务的判断</w:t>
      </w:r>
    </w:p>
    <w:p w14:paraId="47D351B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如果客户能够控制企业履约过程中在建的商品或服务，该履约义务属于在某一时段内履行的履约义务，应当在该履约义务履行的期间内确认收入。</w:t>
      </w:r>
    </w:p>
    <w:p w14:paraId="10F2859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监管实践发现，部分公司对于如何理解客户能够控制履约过程中在建商品或服务存在分歧。现就该事项的意见如下：</w:t>
      </w:r>
    </w:p>
    <w:p w14:paraId="42FCB15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客户能够控制企业履约过程中在建的商品或服务，是指在企业生产商品或者提供服务过程中，客户拥有现时权利，能够主导在建商品或服务的使用，并且获得几乎全部经济利益。其中，商品或服务的经济利益既包括未来现金流入的增加，也包括未来现金流出的减少。例如，根据合同约定，客户拥有企业履约过程中在建商品的法定所有权，假定客户在企业终止履约后更换为其他企业继续履行合同，其他企业实质上无需重新执行前期企业累计至今已经完成的工作，表明客户可通过主导在建商品的使用，节约前期企业已履约部分的现金流出，获得相关经济利益。</w:t>
      </w:r>
    </w:p>
    <w:p w14:paraId="732C90F3" w14:textId="77777777" w:rsidR="00A320E6" w:rsidRDefault="00000000" w:rsidP="00474926">
      <w:pPr>
        <w:pStyle w:val="1a"/>
      </w:pPr>
      <w:r>
        <w:rPr>
          <w:rFonts w:hint="eastAsia"/>
        </w:rPr>
        <w:t>2-3应付客户对价的判断</w:t>
      </w:r>
    </w:p>
    <w:p w14:paraId="0FC1B08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在向客户转让商品或提供服务的同时，需要向客户支付对价的，应当将该应付对价冲减交易价格，但应付客户对价是为了自客户取得其他可明确区分商品或服务的除外。监管实践发现，部分公司对于支付给客户的款项是否应冲减销售收入存在理解上的偏差和分歧。现就该事项的意见如下：</w:t>
      </w:r>
    </w:p>
    <w:p w14:paraId="149D83B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企业应分析其向客户支付对价的目的，若企业自客户取得了可明确区分的商品或服务，并且能够从主导相关商品或服务的使用中获益，企业通常应将其支付给客户的款项作为向客户购买商品或服务（而非应付客户对价）处理。例如，对于企业基于自身宣传需要支付给超市等客户的推广支出，如果有明确证据表明企业向客户支付对价是为了取得明确可区分的推广服务，并且能够主导推广服务的使用（如主导商品上架区域、堆放位置，以及展示时间、频率、方式等），企业应将其作为从客户购买推广服务处理，按照支付对价中与推广服务公允价值相当的部分确认销售费用，支付对价超过推广服务公允价值的部分冲减销售收入。</w:t>
      </w:r>
    </w:p>
    <w:p w14:paraId="79D282BA" w14:textId="77777777" w:rsidR="00A320E6" w:rsidRDefault="00000000" w:rsidP="00474926">
      <w:pPr>
        <w:pStyle w:val="1a"/>
      </w:pPr>
      <w:r>
        <w:rPr>
          <w:rFonts w:hint="eastAsia"/>
        </w:rPr>
        <w:t>2-4暂定价格销售合同中可变对价的判断</w:t>
      </w:r>
    </w:p>
    <w:p w14:paraId="1BEE20D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可变对价指的是企业与客户的合同中约定的对价金额可能因折扣、价格折让、返利、退款、奖励积分、激励措施、业绩奖金、索赔等因素而变化。此外，企业有权收取的对价金额，将根据一项或多项或有事项的发生有所不同的情况，也属于可变对价的情形。</w:t>
      </w:r>
    </w:p>
    <w:p w14:paraId="196DC68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监管实践发现，部分公司对于暂定价格的销售合同中可变对价的判断存在理解上的偏差和分歧。现就该事项的意见如下：</w:t>
      </w:r>
    </w:p>
    <w:p w14:paraId="2365B8E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暂定价格的销售合同通常是指在商品控制权转移时，销售价格尚未最终确定的安排。例如，大宗商品贸易中的点价交易，即以约定时点的期货价格为基准加减双方协商的升贴水来确定双方买卖现货商品价格；金属加工业务中，双方约定合同对价以控制权转移之后某个时点的金属市价加上加工费来确定；某些金属矿的贸易价格将根据产品验收后的品相检验结果进行调整等。</w:t>
      </w:r>
    </w:p>
    <w:p w14:paraId="1074496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暂定销售价格的交易安排中，企业应分析导致应收合同对价发生变动的具体原因。其中，与交易双方履约情况相关的变动（如基于商品交付数量、质量等进行的价格调整）通常属于可变对价，企业应按照可变对价原则进行会计处理；与定价挂钩的商品或原材料价值相关的变动（如定价挂钩不受双方控制的商品或原材料价格指数，因指数变动导致的价款变化）不属于可变对价，企业应将其视为合同对价中嵌入一项衍生金融工具进行会计处理，通常应按所挂钩商品或原材料在客户取得相关商品控制权日的价格计算确认收入，客户取得相关商品控制权后上述所挂钩商品或原材料价格后续变动对企业可收取款项的影响，应按照金融工具准则有关规定进行处理，不应计入交易对价。</w:t>
      </w:r>
    </w:p>
    <w:p w14:paraId="5831683C" w14:textId="77777777" w:rsidR="00A320E6" w:rsidRDefault="00000000" w:rsidP="00474926">
      <w:pPr>
        <w:pStyle w:val="1a"/>
      </w:pPr>
      <w:r>
        <w:rPr>
          <w:rFonts w:hint="eastAsia"/>
        </w:rPr>
        <w:lastRenderedPageBreak/>
        <w:t>2-5销售返利的会计处理</w:t>
      </w:r>
    </w:p>
    <w:p w14:paraId="7A78A1E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企业对客户的销售返利形式多样，有现金返利、货物返利等，返利的条款安排也各不相同。</w:t>
      </w:r>
    </w:p>
    <w:p w14:paraId="00E73E0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监管实践发现，部分公司对销售返利的会计处理存在理解上的偏差和分歧。现就该事项的意见如下：</w:t>
      </w:r>
    </w:p>
    <w:p w14:paraId="4242A39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当基于返利的形式和合同条款的约定，考虑相关条款安排是否会导致企业未来需要向客户提供可明确区分的商品或服务，在此基础上判断相关返利属于可变对价还是提供给客户的重大权利。一般而言，对基于客户采购情况等给予的现金返利，企业应当按照可变对价原则进行会计处理；对基于客户一定采购数量的实物返利或仅适用于未来采购的价格折扣，业应当按照附有额外购买选择权的销售进行会计处理，评估该返利是否构成一项重大权利，以确定是否将其作为单项履约义务并分摊交易对价。</w:t>
      </w:r>
    </w:p>
    <w:p w14:paraId="118A17DF" w14:textId="77777777" w:rsidR="00A320E6" w:rsidRDefault="00000000" w:rsidP="00474926">
      <w:pPr>
        <w:pStyle w:val="1a"/>
      </w:pPr>
      <w:r>
        <w:rPr>
          <w:rFonts w:hint="eastAsia"/>
        </w:rPr>
        <w:t>2-6运输费用的确认与列报</w:t>
      </w:r>
    </w:p>
    <w:p w14:paraId="79C2804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对于存货生产、销售过程中发生的运输费用，企业应当基于运输活动的发生环节及目的，恰当区分运输费用的性质，根据企业会计准则的规定进行会计处理。</w:t>
      </w:r>
    </w:p>
    <w:p w14:paraId="35C1165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监管实践发现，部分公司对于运输费用的确认与列报存在理解上的偏差和分歧。现就该事项的意见如下：</w:t>
      </w:r>
    </w:p>
    <w:p w14:paraId="4B81DD2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对于与履行客户合同无关的运输费用，若运输费用属于使存货达到目前场所和状态的必要支出，形成了预期会给企业带来经济利益的资源时，运输费用应当计入存货成本，否则应计入期间费用。</w:t>
      </w:r>
    </w:p>
    <w:p w14:paraId="500DA55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为履行客户合同而发生的运输费用，属于收入准则规范下的合同履约成本。若运输活动发生在商品的控制权转移之前，其通常不构成单项履约义务，企业应将相关支出作为与商品销售相关的成本计入合同履约成本，最终计入营业成本并予以恰当披露。若运输活动发生在商品控制权转移之后，其通常构成单项履约义务，企业应在确认运输服务收入的同时，将相关支出计入运输服务成本并予以恰当披露。</w:t>
      </w:r>
    </w:p>
    <w:p w14:paraId="368DC13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企业应结合自身经营活动情况并基于重要性和成本效益原则，建立和实施运输活动相关内部控制，充分完整地归集运输活动相关支出，并在各产品、各销售合同以及各履约义务之间实现合理分配。</w:t>
      </w:r>
    </w:p>
    <w:p w14:paraId="78D4A0B9" w14:textId="77777777" w:rsidR="00474926" w:rsidRDefault="00000000" w:rsidP="00474926">
      <w:pPr>
        <w:pStyle w:val="1a"/>
      </w:pPr>
      <w:r>
        <w:rPr>
          <w:rFonts w:hint="eastAsia"/>
        </w:rPr>
        <w:lastRenderedPageBreak/>
        <w:t>2-7授予知识产权许可收入确认时点的判断</w:t>
      </w:r>
    </w:p>
    <w:p w14:paraId="773A526A" w14:textId="35437B0E"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授予知识产权许可不属于在某一时段内履行的履约义务的，应当作为在某一时点履行的履约义务。在客户能够主导使用该知识产权许可并开始从中获利之前，企业不能对该知识产权许可确认收入。</w:t>
      </w:r>
    </w:p>
    <w:p w14:paraId="13789AE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监管实践发现，部分公司对于知识产权许可收入确认时点的判断存在理解上的偏差和分歧。现就该事项的意见如下：</w:t>
      </w:r>
    </w:p>
    <w:p w14:paraId="14DA72A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授予知识产权许可业务中，知识产权许可载体的实物交付，并不必然导致商品控制权的转移。企业应根据合同条款约定，分析客户是否有能力主导知识产权许可的使用，并获得几乎全部的经济利益。例如，企业在向客户（如播放平台）交付影视剧母带时，若双方在合同中对影视剧初始播放时间等进行限制性约定，导致客户尚不能主导母带的使用（如播放该影视剧）以获得经济利益，则企业不应在母带交付时确认影视剧版权许可收入。</w:t>
      </w:r>
    </w:p>
    <w:p w14:paraId="1B6CF3AB" w14:textId="77777777" w:rsidR="00A320E6" w:rsidRDefault="00000000" w:rsidP="00474926">
      <w:pPr>
        <w:pStyle w:val="1a"/>
      </w:pPr>
      <w:r>
        <w:rPr>
          <w:rFonts w:hint="eastAsia"/>
        </w:rPr>
        <w:t>2-8定制化产品相关研发支出的会计处理</w:t>
      </w:r>
    </w:p>
    <w:p w14:paraId="3DCCA4C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为履行合同发生的成本，不属于其他企业会计准则（如存货、无形资产、固定资产等）规范范围且同时满足相关条件的，应当作为合同履约成本确认为一项资产，采用与该资产相关的商品收入确认相同的基础进行摊销，计入当期损益。</w:t>
      </w:r>
    </w:p>
    <w:p w14:paraId="6EDA9FAA"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监管实践发现，部分公司对定制化产品相关研发支出的会计处理存在理解上的偏差和分歧。现就该事项的意见如下：</w:t>
      </w:r>
    </w:p>
    <w:p w14:paraId="542C252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与客户签订合同，为客户研发、生产定制化产品。客户向企业提出产品研发需求，企业按照客户需求进行产品设计与研发。产品研发成功后，企业按合同约定采购量为客户生产定制化产品。对于履行前述定制化产品客户合同过程中发生的研发支出，若企业无法控制相关研发成果，如研发成果仅可用于该合同、无法用于其他合同，企业应按照收入准则中合同履约成本的规定进行处理，最终计入营业成本。若综合考虑历史经验、行业惯例、法律法规等因素后，企业有充分证据表明能够控制相关研发成果，并且预期能够带来经济利益流入，企业应按照无形资产准则相关规定将符合条件的研发支出予以资本化。</w:t>
      </w:r>
    </w:p>
    <w:p w14:paraId="3C99643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企业应当建立和完善相关内部控制，合理识别并归集研发费用与合同履约成本，恰当确认计入无形资产的研发支出。</w:t>
      </w:r>
    </w:p>
    <w:p w14:paraId="63A75EA9" w14:textId="77777777" w:rsidR="00A320E6" w:rsidRDefault="00000000" w:rsidP="00474926">
      <w:pPr>
        <w:pStyle w:val="1a"/>
      </w:pPr>
      <w:r>
        <w:rPr>
          <w:rFonts w:hint="eastAsia"/>
        </w:rPr>
        <w:lastRenderedPageBreak/>
        <w:t>2-9应收账款预期信用损失的计量</w:t>
      </w:r>
    </w:p>
    <w:p w14:paraId="26E765D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在计量应收账款预期信用损失时，可以信用风险特征为依据，基于历史经验对细分客户群体发生损失情况进行分析判断，从而对客户群体进行恰当分组。在分组基础上，企业可运用简便方法，参照历史损失经验，编制应收账款逾期天数与固定准备率对照表，计算预期信用损失。当应收账款信用风险特征发生变化时，企业应当对应收账款组合进行相应调整。</w:t>
      </w:r>
    </w:p>
    <w:p w14:paraId="1639D66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监管实践发现，部分公司对如何以组合方式计量应收账款预期信用损失存在理解上的偏差和分歧。现就该事项的意见如下：</w:t>
      </w:r>
    </w:p>
    <w:p w14:paraId="43E2C7D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当企业采用简便方法以账龄为基础计量应收账款预期信用损失时，企业应充分考虑客户的类型、所处行业、信用风险评级、历史回款情况等信息，判断同一账龄组合中的客户是否具有共同的信用风险特征。若某一客户信用风险特征与组合中其他客户显著不同，或该客户信用风险特征发生显著变化，企业不应继续将应收该客户款项纳入原账龄组合计量预期信用损失。</w:t>
      </w:r>
    </w:p>
    <w:p w14:paraId="6E1A6E0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实务中，因部分客户信用风险发生显著变化，企业与客户协商调整回款方式，如将应收账款转为对客户的股权投资、由客户以非货币性资产偿还等方式收回应收账款。上述回款方式的变化，表明该类客户的信用风险特征与组合中其他客户的信用风险显著不同，企业在计量应收账款预期信用损失时，不应将该类客户继续纳入原组合中。</w:t>
      </w:r>
    </w:p>
    <w:p w14:paraId="06FD0A3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企业应基于重要性和成本效益原则建立和实施与应收账款相关的内部控制，识别、调整应收账款组合并恰当计量预期信用损失。</w:t>
      </w:r>
    </w:p>
    <w:p w14:paraId="347CE46D" w14:textId="77777777" w:rsidR="00A320E6" w:rsidRDefault="00000000" w:rsidP="00474926">
      <w:pPr>
        <w:pStyle w:val="1a"/>
      </w:pPr>
      <w:r>
        <w:rPr>
          <w:rFonts w:hint="eastAsia"/>
        </w:rPr>
        <w:t>2-10金融资产管理业务模式中“出售”的判断标准</w:t>
      </w:r>
    </w:p>
    <w:p w14:paraId="3653EF4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应当根据其管理金融资产的业务模式和金融资产的合同现金流量特征，对金融资产进行划分。其中，企业管理金融资产的业务模式，是指企业如何管理其金融资产以产生现金流量。业务模式决定企业所管理金融资产现金流量的来源是收取合同现金流量、出售金融资产还是两者兼有。</w:t>
      </w:r>
    </w:p>
    <w:p w14:paraId="4D0F742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监管实践发现，部分公司对于上述出售金融资产中的“出售”如何理解存在偏差和分歧。现就该事项的意见如下：</w:t>
      </w:r>
    </w:p>
    <w:p w14:paraId="64E7AB39"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如果一项金融资产对外“出售”但并未终止确认，意味着企业仍将通过收取该金融资产存续期内合同现金流量的方式实现经济利益，该种业务模式不满足“通过</w:t>
      </w:r>
      <w:r>
        <w:rPr>
          <w:rFonts w:ascii="宋体" w:hAnsi="宋体" w:cs="宋体" w:hint="eastAsia"/>
          <w:sz w:val="24"/>
          <w:szCs w:val="24"/>
        </w:rPr>
        <w:lastRenderedPageBreak/>
        <w:t>持有并出售金融资产产生整体回报”的情形。因此，金融资产管理业务模式中“出售”，应当是满足会计终止确认条件下的金融资产出售行为。</w:t>
      </w:r>
    </w:p>
    <w:p w14:paraId="26A0863F" w14:textId="77777777" w:rsidR="00A320E6" w:rsidRDefault="00000000" w:rsidP="00474926">
      <w:pPr>
        <w:pStyle w:val="1a"/>
      </w:pPr>
      <w:r>
        <w:rPr>
          <w:rFonts w:hint="eastAsia"/>
        </w:rPr>
        <w:t>2-11业绩承诺期内修订业绩补偿条款的会计处理</w:t>
      </w:r>
    </w:p>
    <w:p w14:paraId="774ADED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非同一控制下企业合并中，购买方应当将业绩补偿条款产生的或有对价作为合并成本的一部分，按照其在购买日的公允价值计入企业合并成本，或有对价公允价值的后续变动计入当期损益。</w:t>
      </w:r>
    </w:p>
    <w:p w14:paraId="0E5515D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监管实践发现，部分公司对于在业绩承诺期内交易双方修订业绩补偿条款的会计处理存在分歧。现就该事项的意见如下：</w:t>
      </w:r>
    </w:p>
    <w:p w14:paraId="713474B5"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企业合并购买日后的业绩承诺期内，在法律法规允许的前提下，交易双方协商对业绩补偿的金额、支付时间、支付方式等进行修订，且已就该事项严格履行了股东大会等必要内部决策流程。这种情况下，购买方应将业绩补偿条款修订导致的或有对价公允价值变动计入当期损益。</w:t>
      </w:r>
    </w:p>
    <w:p w14:paraId="046E3127" w14:textId="77777777" w:rsidR="00A320E6" w:rsidRDefault="00000000" w:rsidP="00474926">
      <w:pPr>
        <w:pStyle w:val="1a"/>
      </w:pPr>
      <w:r>
        <w:rPr>
          <w:rFonts w:hint="eastAsia"/>
        </w:rPr>
        <w:t>2-12一揽子交易分步实现非同一控制下企业合并的会计处理</w:t>
      </w:r>
    </w:p>
    <w:p w14:paraId="1260602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非同一控制下的企业合并，购买方在购买日应当按照企业会计准则的规定计算确定合并成本，并将其作为长期股权投资的初始投资成本。</w:t>
      </w:r>
    </w:p>
    <w:p w14:paraId="1654F6A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监管实践发现，部分公司对于一揽子交易分步实现非同一控制下企业合并时相关投资应如何进行会计处理存在理解上的偏差和分歧。现就该事项的意见如下：</w:t>
      </w:r>
    </w:p>
    <w:p w14:paraId="5488547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购买方以一揽子交易方式分步取得对被投资单位的控制权，双方协议约定，若购买方最终未取得控制权，一揽子交易将整体撤销，并返还购买方已支付价款。这种情况下，购买方应按照相关规定恰当确定购买日和企业合并成本，在取得控制权时确认长期股权投资，取得控制权之前已支付的款项应作为预付投资款项处理。</w:t>
      </w:r>
    </w:p>
    <w:p w14:paraId="084F1CC4" w14:textId="77777777" w:rsidR="00474926" w:rsidRDefault="00000000" w:rsidP="00474926">
      <w:pPr>
        <w:pStyle w:val="1a"/>
      </w:pPr>
      <w:r>
        <w:rPr>
          <w:rFonts w:hint="eastAsia"/>
        </w:rPr>
        <w:t>2-13购买少数股东权益后商誉减值的会计处理</w:t>
      </w:r>
    </w:p>
    <w:p w14:paraId="0D1E331A" w14:textId="2BAF8A08"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企业在对与商誉相关的资产组进行减值测试时，应当调整资产组的账面价值，将归属于少数股东权益的商誉包括在内，根据调整后的资产组账面价值与其可收回金额进行比较，以确定包含商誉的资产组是否发生减值。</w:t>
      </w:r>
    </w:p>
    <w:p w14:paraId="5A9B314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监管实践发现，部分公司对购买少数股东权益后应当如何进行商誉减值测试存在理解上的偏差和分歧。现就该事项的意见如下：</w:t>
      </w:r>
    </w:p>
    <w:p w14:paraId="0EBF546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合并报表中反映的商誉，是企业取得子公司控制权时按其持股比例确定的商誉，不包括子公司少数股东权益对应的商誉。收购少数股东权益属于权益性交易，未形</w:t>
      </w:r>
      <w:r>
        <w:rPr>
          <w:rFonts w:ascii="宋体" w:hAnsi="宋体" w:cs="宋体" w:hint="eastAsia"/>
          <w:sz w:val="24"/>
          <w:szCs w:val="24"/>
        </w:rPr>
        <w:lastRenderedPageBreak/>
        <w:t>成新的企业合并，合并报表中反映的商誉仍然为前期取得控制权时按当时的持股比例计算的金额。企业在进行商誉减值测试时，应先将合并报表中的商誉按照前期取得控制权时的持股比例恢复为全部商誉（即100%股权对应的商誉），并调整商誉相关资产组的账面价值，再比较调整后的资产组账面价值与其可收回金额，以确定包含商誉的资产组是否发生减值。若商誉发生减值，企业应按前期取得控制权时的持股比例计算确定归属于母公司的商誉减值损失。</w:t>
      </w:r>
    </w:p>
    <w:p w14:paraId="5D15CFCE" w14:textId="77777777" w:rsidR="00A320E6" w:rsidRDefault="00000000" w:rsidP="00474926">
      <w:pPr>
        <w:pStyle w:val="1a"/>
      </w:pPr>
      <w:r>
        <w:rPr>
          <w:rFonts w:hint="eastAsia"/>
        </w:rPr>
        <w:t>2-14与递延所得税适用税率相关的非经常性损益认定</w:t>
      </w:r>
    </w:p>
    <w:p w14:paraId="28D1EA4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根据《公开发行证券的公司信息披露解释性公告第1号——非经常性损益》规定，非经常性损益是指与公司正常经营业务无直接关系，以及虽与正常经营业务相关，但由于其性质特殊和偶发性，影响报表使用者对公司经营业绩和盈利能力作出正常判断的各项交易和事项产生的损益。其中，根据税收、会计等法律法规的要求对当期损益进行一次性调整对当期损益的影响，通常属于非经常性损益。</w:t>
      </w:r>
    </w:p>
    <w:p w14:paraId="18147FF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监管实践发现，部分公司对于因高新技术企业认定变化，导致适用所得税税率变动而重新计量所确认的递延所得税形成对损益的一次性调整，能否计入非经常性损益，存在理解上的偏差和分歧。现就该事项的意见如下：</w:t>
      </w:r>
    </w:p>
    <w:p w14:paraId="657E74C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公司应分析高新技术企业认定变化的原因。因国家高新技术企业认定相关政策调整导致企业资质认定发生变化的，公司对当期损益进行的一次性调整应当计入非经常性损益；因公司生产经营情况变化导致其资质认定发生变化的，公司对损益进行的一次性调整应当计入经常性损益。</w:t>
      </w:r>
    </w:p>
    <w:p w14:paraId="3F530A20"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62" w:name="_Toc112227370"/>
      <w:r>
        <w:rPr>
          <w:rFonts w:ascii="宋体" w:hAnsi="宋体" w:cs="宋体" w:hint="eastAsia"/>
          <w:b/>
          <w:bCs/>
          <w:sz w:val="24"/>
          <w:szCs w:val="24"/>
        </w:rPr>
        <w:t>监管规则适用指引——审计类第1号</w:t>
      </w:r>
      <w:bookmarkEnd w:id="62"/>
    </w:p>
    <w:p w14:paraId="2FAB4047" w14:textId="77777777" w:rsidR="00474926" w:rsidRDefault="00000000" w:rsidP="00AE0286">
      <w:pPr>
        <w:pStyle w:val="a3"/>
        <w:spacing w:line="360" w:lineRule="auto"/>
        <w:ind w:leftChars="114" w:left="239" w:firstLineChars="150" w:firstLine="360"/>
        <w:rPr>
          <w:rFonts w:ascii="宋体" w:hAnsi="宋体" w:cs="宋体"/>
          <w:sz w:val="24"/>
        </w:rPr>
      </w:pPr>
      <w:r>
        <w:rPr>
          <w:rFonts w:ascii="宋体" w:hAnsi="宋体" w:cs="宋体" w:hint="eastAsia"/>
          <w:sz w:val="24"/>
        </w:rPr>
        <w:t>为规范注册会计师对财务报表发表恰当的审计意见，进一步提升审计意见有用性，中国注册会计师协会发布了《中国注册会计师审计准则问题解答第16号——审计报告中的非无保留意见》。我会结合证券审计业务特点及资本市场监管需求，就注册会计师对上市公司财务报表发表非标准审计意见作出以下规范。注册会计师在其他证券服务业务中发表非标准审计意见可参照本指引。</w:t>
      </w:r>
    </w:p>
    <w:p w14:paraId="67D8083E" w14:textId="57CD9E03" w:rsidR="00474926" w:rsidRDefault="00000000" w:rsidP="00474926">
      <w:pPr>
        <w:pStyle w:val="1a"/>
      </w:pPr>
      <w:r>
        <w:rPr>
          <w:rFonts w:hint="eastAsia"/>
        </w:rPr>
        <w:t>一、错报与受限</w:t>
      </w:r>
    </w:p>
    <w:p w14:paraId="0100D855" w14:textId="77777777" w:rsidR="0047492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（一）准则规定</w:t>
      </w:r>
    </w:p>
    <w:p w14:paraId="51E30043" w14:textId="1877D6D3" w:rsidR="0047492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当存在下列情形时，注册会计师应对财务报表发表非无保留意见：一是根据获取的审计证据，得出财务报表整体存在重大错报的结论（以下简称“错报”）；</w:t>
      </w:r>
      <w:r>
        <w:rPr>
          <w:rFonts w:ascii="宋体" w:hAnsi="宋体" w:cs="宋体" w:hint="eastAsia"/>
          <w:sz w:val="24"/>
        </w:rPr>
        <w:lastRenderedPageBreak/>
        <w:t>二是无法获取充分、适当的审计证据，不能得出财务报表整体不存在重大错报的结论（以下简称“受限”）。</w:t>
      </w:r>
    </w:p>
    <w:p w14:paraId="71B9503B" w14:textId="77777777" w:rsidR="0047492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（二）执业问题</w:t>
      </w:r>
    </w:p>
    <w:p w14:paraId="4304CA1E" w14:textId="6D47CBAF" w:rsidR="0047492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注册会计师发表非无保留意见时，通常存在以下问题：</w:t>
      </w:r>
    </w:p>
    <w:p w14:paraId="20A31D4E" w14:textId="77777777" w:rsidR="0047492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以“受限”代替“错报”。注册会计师以无法获取充分、适当的审计证据为由，对应识别的财务报表整体重大错报不予识别，规避作出恰当的职业判断，从而发表“受限”而非“错报”类型的审计意见。特别是在涉及专业判断、会计估计的领域，如合并范围、资产减值（尤其是商誉减值）、预计负债、款项可收回性等，存在较多以“受限”代替“错报”类型审计意见的情形。</w:t>
      </w:r>
    </w:p>
    <w:p w14:paraId="0C47C06B"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二是“受限”并非真正受限。注册会计师在能够执行进一步审计程序、获取审计证据的情况下，仍以无法获取充分、适当的审计证据为由，发表“受限”类型的审计意见，其“受限”理由并不成立。</w:t>
      </w:r>
    </w:p>
    <w:p w14:paraId="72575CCE"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（三）监管要求</w:t>
      </w:r>
    </w:p>
    <w:p w14:paraId="247D77B4"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注册会计师应当严格依据会计准则、审计准则和监管规则，恰当运用职业判断，对财务报表特别是涉及会计估计、专业判断的领域，准确识别和应对重大错报风险。如发现财务报表整体存在重大错报，应发表恰当的“错报”类型审计意见，不得以“受限”为由进行替代。</w:t>
      </w:r>
    </w:p>
    <w:p w14:paraId="70618988"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是注册会计师应充分识别和评估重大错报风险，并设计和实施恰当的应对措施，必要时扩大审计范围、增强审计程序的替代性和不可预见性，在此基础上准确认定是否真正“受限”，如确认存在“受限”应当就此事项与治理层沟通。当注册会计师发表无法表示意见时，仍需要对审计范围没有受到限制的方面按照审计准则的规定执行并完成审计工作。</w:t>
      </w:r>
    </w:p>
    <w:p w14:paraId="54B86BA7" w14:textId="77777777" w:rsidR="009B5990" w:rsidRDefault="00000000" w:rsidP="009B5990">
      <w:pPr>
        <w:pStyle w:val="1a"/>
      </w:pPr>
      <w:r>
        <w:rPr>
          <w:rFonts w:hint="eastAsia"/>
        </w:rPr>
        <w:t>二、重大性</w:t>
      </w:r>
    </w:p>
    <w:p w14:paraId="0DFC2B20"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（一）准则规定</w:t>
      </w:r>
    </w:p>
    <w:p w14:paraId="698E6B30"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应当从定量和定性两个方面考虑已发现未更正和因“受限”未发现的错报对财务报表产生的影响是否重大。定量标准与注册会计师确定的财务报表整体重要性水平直接相关，定性标准与注册会计师评估的错报性质是否严重、是否影响财务报表使用者的经济决策有关。</w:t>
      </w:r>
    </w:p>
    <w:p w14:paraId="1C382E1A" w14:textId="5C6353B0"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（二）执业问题</w:t>
      </w:r>
    </w:p>
    <w:p w14:paraId="040523AD"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lastRenderedPageBreak/>
        <w:t>注册会计师未将错报与财务报表整体重要性水平直接相关。例如，某上市公司存在巨额违规担保已被提起诉讼，且在审计过程中已获悉上市公司一审败诉的情况，有关律师作出上市公司很可能需要承担赔偿责任的意见。根据事件进展及会计准则规定，上市公司应当计提预计负债，且计提的金额将远超上市公司财务报表整体重要性水平。上市公司以上述案件尚未终审判决，无法准确判断预计负债的具体金额为由没有计提负债，注册会计师在审计过程中已获悉上述情况，对于明显超出重要性水平的错报没有恰当识别，涉嫌以无保留意见代替非无保留意见。</w:t>
      </w:r>
    </w:p>
    <w:p w14:paraId="5903812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（三）监管要求</w:t>
      </w:r>
    </w:p>
    <w:p w14:paraId="473EC413"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应当运用重要性水平评价错报是否重大。对于已发现的错报，如错报金额超过财务报表整体重要性水平，表明错报具有重大性，除非基于特定情况认为不重大（例如某些重分类错报）；如错报金额低于财务报表整体重要性水平，需要考虑错报的性质以及错报发生的特定环境。对于因“受限”未发现的错报，注册会计师也应合理估计相关事项可能存在的错报，判断是否影响财务报表使用者的经济决策。</w:t>
      </w:r>
    </w:p>
    <w:p w14:paraId="6C09690F" w14:textId="77777777" w:rsidR="009B5990" w:rsidRDefault="00000000" w:rsidP="009B5990">
      <w:pPr>
        <w:pStyle w:val="1a"/>
      </w:pPr>
      <w:r>
        <w:rPr>
          <w:rFonts w:hint="eastAsia"/>
        </w:rPr>
        <w:t>三、广泛性</w:t>
      </w:r>
    </w:p>
    <w:p w14:paraId="205E24E7"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（一）准则规定</w:t>
      </w:r>
    </w:p>
    <w:p w14:paraId="3FEC1869"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广泛性包括三种情形：一是不限于对财务报表的特定要素、账户或项目产生影响；二是虽然仅对财务报表的特定要素、账户或者项目产生影响，但这些要素、账户或者项目是或可能是财务报表的主要组成部分；三是当与披露相关时，产生的影响对财务报表使用者理解财务报表至关重要。</w:t>
      </w:r>
    </w:p>
    <w:p w14:paraId="2E648DDE"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（二）执业问题</w:t>
      </w:r>
    </w:p>
    <w:p w14:paraId="7BB27C9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注册会计师在判断广泛性时，通常存在以下问题：</w:t>
      </w:r>
    </w:p>
    <w:p w14:paraId="374BD759"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未审慎评价多个重大事项汇总起来的影响是否具有广泛性。例如，个别上市公司同时存在违规担保、应收款坏账准备、其他流动资产减值、商誉减值、不明资金转入转出等事项，涉及多个报表项目，但注册会计师仍认为上述事项的影响不具有广泛性，合理性存疑。</w:t>
      </w:r>
    </w:p>
    <w:p w14:paraId="53B76BBF"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二是未审慎评价单个重大事项的影响是否具有广泛性。例如，有的上市公司保留意见虽仅涉及商誉减值或应收账款减值等单个事项，但这些事项均对财务报</w:t>
      </w:r>
      <w:r>
        <w:rPr>
          <w:rFonts w:ascii="宋体" w:hAnsi="宋体" w:cs="宋体" w:hint="eastAsia"/>
          <w:sz w:val="24"/>
        </w:rPr>
        <w:lastRenderedPageBreak/>
        <w:t>表的主要组成部分形成重大影响，注册会计师仍认为上述事项的影响不具有广泛性，合理性存疑。</w:t>
      </w:r>
    </w:p>
    <w:p w14:paraId="30C2A0F5"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是未审慎评价未更正和未发现的错报可能影响退市指标、风险警示指标、盈亏性质变化、持续经营等重要指标时，是否具有广泛性。例如，个别上市公司虽然某一错报涉及的财务报表项目较为有限，但导致净资产为负，可能影响其退市，但注册会计师仍认为上述事项的影响不具有广泛性，合理性存疑。</w:t>
      </w:r>
    </w:p>
    <w:p w14:paraId="44EC7825"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（三）监管要求</w:t>
      </w:r>
    </w:p>
    <w:p w14:paraId="2566CDCB"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应当审慎评价相关事项对财务报表的影响是否具有广泛性，如无明显相反证据，以下情形表明相关事项对财务报表的影响具有广泛性：包括存在多个无法获取充分、适当审计证据的重大事项；单个事项对财务报表的主要组成部分形成较大影响；可能影响退市指标、风险警示指标、盈亏性质变化、持续经营等。注册会计师若在获取充分、适当的审计证据后，认为错报对财务报表的影响重大且具有广泛性，应当发表否定意见。若无法获取充分、适当的审计证据，但认为未发现的错报对财务报表可能产生的影响重大且具有广泛性，应当发表无法表示意见。</w:t>
      </w:r>
    </w:p>
    <w:p w14:paraId="4BC8C289" w14:textId="77777777" w:rsidR="009B5990" w:rsidRDefault="00000000" w:rsidP="009B5990">
      <w:pPr>
        <w:pStyle w:val="1a"/>
      </w:pPr>
      <w:r>
        <w:rPr>
          <w:rFonts w:hint="eastAsia"/>
        </w:rPr>
        <w:t>四、持续经营存在重大不确定性</w:t>
      </w:r>
    </w:p>
    <w:p w14:paraId="15D1E3D4"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（一）准则规定</w:t>
      </w:r>
    </w:p>
    <w:p w14:paraId="0971E6D4" w14:textId="2E83EAC2"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注册会计师在评估上市公司持续经营假设时应考虑两种情形：一是持续经营假设是否恰当；二是是否存在可能导致对持续经营能力产生重大疑虑的相关事项。</w:t>
      </w:r>
    </w:p>
    <w:p w14:paraId="6BB10888"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如果财务报表已按照持续经营假设编制，但注册会计师认为财务报表运用持续经营假设是不恰当的，应当发表否定意见；如果运用持续经营假设是恰当的，但存在重大不确定性，注册会计师应区分财务报表对重大不确定性是否作出充分披露，如是则应当发表无保留意见，并在审计报告中增加与持续经营相关的重大不确定性的段落，否则应当发表保留意见或否定意见。</w:t>
      </w:r>
    </w:p>
    <w:p w14:paraId="307D4ECC" w14:textId="2FDA7B18"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（二）执业问题</w:t>
      </w:r>
    </w:p>
    <w:p w14:paraId="6226F7AB"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注册会计师在形成与持续经营能力相关的审计结论时，通常存在以下问题：</w:t>
      </w:r>
    </w:p>
    <w:p w14:paraId="0A44BEE5"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一是未识别出可能对持续经营能力产生重大疑虑的事项或情况，包括存在重大偿债压力、重大经营亏损、重大流动性风险、关键管理人员离职且长期无人替代等；</w:t>
      </w:r>
    </w:p>
    <w:p w14:paraId="1D33049A"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lastRenderedPageBreak/>
        <w:t>二是根据获取的审计证据，未对管理层运用持续经营假设的适当性形成恰当的审计结论；</w:t>
      </w:r>
    </w:p>
    <w:p w14:paraId="7A179DFA"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三是财务报表未对持续经营相关的重大不确定性进行充分披露，但注册会计师仅增加了持续经营重大不确定性事项段，未按照准则要求发表非无保留意见；</w:t>
      </w:r>
    </w:p>
    <w:p w14:paraId="2C054CF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四是未审慎评估财务报表未充分披露持续经营相关信息的影响程度，导致未恰当区分保留意见或否定意见；</w:t>
      </w:r>
    </w:p>
    <w:p w14:paraId="4F10D078"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五是将与持续经营相关的重大不确定性事项列示于强调事项段，未按照准则要求增加与持续经营相关的重大不确定性事项段。</w:t>
      </w:r>
    </w:p>
    <w:p w14:paraId="790ED4E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（三）监管要求</w:t>
      </w:r>
    </w:p>
    <w:p w14:paraId="0C894985"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当公司持续经营存在重大不确定性，注册会计师应对以下事项形成恰当的审计结论：一是管理层是否已对上市公司持续经营能力作出初步评估；二是管理层编制财务报表时运用持续经营假设是否适当；三是财务报表是否对持续经营能力存在重大不确定性作出充分披露；四是评估持续经营不确定性事项的性质和对财务报表的影响程度。</w:t>
      </w:r>
    </w:p>
    <w:p w14:paraId="68EA08D9" w14:textId="77777777" w:rsidR="009B5990" w:rsidRDefault="00000000" w:rsidP="009B5990">
      <w:pPr>
        <w:pStyle w:val="1a"/>
      </w:pPr>
      <w:r>
        <w:rPr>
          <w:rFonts w:hint="eastAsia"/>
        </w:rPr>
        <w:t>五、信息披露</w:t>
      </w:r>
    </w:p>
    <w:p w14:paraId="1A03A8E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（一）准则规定</w:t>
      </w:r>
    </w:p>
    <w:p w14:paraId="188F2ED6"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如果注册会计师对财务报表发表非无保留意见，应在审计报告中对导致发表非无保留意见的事项进行描述。如果财务报表中存在与具体金额相关的重大错报，注册会计师应当在“形成审计意见的基础”部分说明并量化该错报的财务影响。如果无法量化财务影响，注册会计师应当在该部分说明这一情况。如果因无法获取充分、适当的审计证据而导致发表非无保留意见，注册会计师应当在“形成审计意见的基础”部分说明无法获取审计证据的原因。</w:t>
      </w:r>
    </w:p>
    <w:p w14:paraId="63D10A2A"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（二）执业问题</w:t>
      </w:r>
    </w:p>
    <w:p w14:paraId="555E10EC"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根据《中国注册会计师执业准则》《公开发行证券的公司信息披露编报规则14号--非标准审计意见及其涉及事项的处理（2020年修订）》（以下简称14号编报规则），注册会计师在审计报告和非标准审计意见专项说明中披露上市公司非标准审计意见涉及的事项（以下简称非标事项）信息时，通常存在以下问题：</w:t>
      </w:r>
    </w:p>
    <w:p w14:paraId="51B2D1CD"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一是未按照要求披露保留意见涉及事项不具有广泛性的原因；</w:t>
      </w:r>
    </w:p>
    <w:p w14:paraId="39F54840"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二是未按照要求披露考虑保留意见涉及事项相关影响金额后，公司盈亏性质</w:t>
      </w:r>
      <w:r>
        <w:rPr>
          <w:rFonts w:ascii="宋体" w:hAnsi="宋体" w:cs="宋体" w:hint="eastAsia"/>
          <w:sz w:val="24"/>
        </w:rPr>
        <w:lastRenderedPageBreak/>
        <w:t>是否发生变化；</w:t>
      </w:r>
    </w:p>
    <w:p w14:paraId="63B9BE64"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三是未按照要求披露非标事项对财务报表的量化影响；</w:t>
      </w:r>
    </w:p>
    <w:p w14:paraId="196655DB"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四是未按照要求披露“受限”的具体原因；</w:t>
      </w:r>
    </w:p>
    <w:p w14:paraId="38C277EA"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五是上期非标事项在本期消除的结论不恰当。</w:t>
      </w:r>
    </w:p>
    <w:p w14:paraId="7C84C04A"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（三）监管要求</w:t>
      </w:r>
    </w:p>
    <w:p w14:paraId="0E9F0D48"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注册会计师应严格执行审计准则和14号编报规则，并根据以下要求进一步规范非标准审计意见有关信息披露，具体包括：</w:t>
      </w:r>
    </w:p>
    <w:p w14:paraId="24AA8064"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一是“错报”。注册会计师认定财务报表存在“错报”的情况下，应在审计报告和非标准审计意见专项说明中详细说明重大错报的相关信息，包括错报项目及金额、导致错报的原因、违反的会计准则等。</w:t>
      </w:r>
    </w:p>
    <w:p w14:paraId="09798C25"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二是“受限”。注册会计师存在“受限”的情况下，应在审计报告和非标准审计意见专项说明中充分披露以下信息：“受限”事项的形成过程及原因；“受限”事项对公司财务状况、经营成果和现金流量可能的影响金额，如不可行应解释不可行的原因；“受限”事项未能获取的审计证据内容，即应获取何种审计证据方可解决“受限”。</w:t>
      </w:r>
    </w:p>
    <w:p w14:paraId="18D663EB"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三是重要性水平。注册会计师应在非标准审计意见专项说明中，披露使用的合并财务报表整体的重要性水平，包括选取基准及百分比、计算结果、选取依据。若本期重要性水平内容较上期发生变化，应披露变化原因。</w:t>
      </w:r>
    </w:p>
    <w:p w14:paraId="3735CBF3"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四是广泛性。注册会计师在发表非无保留意见时，应在非标准审计意见专项说明中充分披露广泛性的判断过程：相关事项是否影响公司盈亏等重要指标；汇总各个事项的量化影响和无法量化的事项影响后，发表非标事项是否具有广泛性的结论。</w:t>
      </w:r>
    </w:p>
    <w:p w14:paraId="2BFEB941" w14:textId="77777777" w:rsidR="009B5990"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五是上期非标事项在本期的情况。如本期为标准无保留审计意见，注册会计师需额外出具专项说明，披露上期非标事项的具体内容、消除上期非标事项的具体措施；如本期为非标准审计意见，注册会计师应在非标准审计意见专项说明中，披露上期非标事项在本期消除或变化的判断过程及结论，评价相关事项对本期期初数和当期审计意见的影响。</w:t>
      </w:r>
    </w:p>
    <w:p w14:paraId="6FB855EC" w14:textId="4F55DCA6" w:rsidR="00A320E6" w:rsidRDefault="00000000" w:rsidP="00474926">
      <w:pPr>
        <w:pStyle w:val="a3"/>
        <w:spacing w:line="360" w:lineRule="auto"/>
        <w:ind w:leftChars="114" w:left="239" w:firstLine="480"/>
        <w:rPr>
          <w:rFonts w:ascii="宋体" w:hAnsi="宋体" w:cs="宋体"/>
          <w:sz w:val="24"/>
        </w:rPr>
      </w:pPr>
      <w:r>
        <w:rPr>
          <w:rFonts w:ascii="宋体" w:hAnsi="宋体" w:cs="宋体" w:hint="eastAsia"/>
          <w:sz w:val="24"/>
        </w:rPr>
        <w:t>本指引自2021年3月23日起施行。</w:t>
      </w:r>
    </w:p>
    <w:p w14:paraId="0DC538F2" w14:textId="77777777" w:rsidR="00A320E6" w:rsidRDefault="00000000" w:rsidP="000B2928">
      <w:pPr>
        <w:keepNext/>
        <w:spacing w:beforeLines="50" w:before="156" w:afterLines="20" w:after="62" w:line="360" w:lineRule="auto"/>
        <w:jc w:val="center"/>
        <w:outlineLvl w:val="2"/>
        <w:rPr>
          <w:rFonts w:ascii="宋体" w:hAnsi="宋体" w:cs="宋体"/>
          <w:b/>
          <w:bCs/>
          <w:sz w:val="24"/>
        </w:rPr>
      </w:pPr>
      <w:bookmarkStart w:id="63" w:name="_Toc112227371"/>
      <w:r>
        <w:rPr>
          <w:rFonts w:ascii="宋体" w:hAnsi="宋体" w:cs="宋体" w:hint="eastAsia"/>
          <w:b/>
          <w:bCs/>
          <w:sz w:val="24"/>
          <w:szCs w:val="24"/>
        </w:rPr>
        <w:lastRenderedPageBreak/>
        <w:t>上市</w:t>
      </w:r>
      <w:r w:rsidRPr="00B40F35">
        <w:rPr>
          <w:rFonts w:ascii="宋体" w:hAnsi="宋体" w:cs="宋体" w:hint="eastAsia"/>
          <w:b/>
          <w:bCs/>
          <w:color w:val="000000"/>
          <w:kern w:val="0"/>
          <w:sz w:val="24"/>
          <w:szCs w:val="24"/>
          <w:lang w:bidi="ar"/>
        </w:rPr>
        <w:t>公司</w:t>
      </w:r>
      <w:r>
        <w:rPr>
          <w:rFonts w:ascii="宋体" w:hAnsi="宋体" w:cs="宋体" w:hint="eastAsia"/>
          <w:b/>
          <w:bCs/>
          <w:sz w:val="24"/>
          <w:szCs w:val="24"/>
        </w:rPr>
        <w:t>信息披露管理办法</w:t>
      </w:r>
      <w:bookmarkEnd w:id="63"/>
    </w:p>
    <w:p w14:paraId="622659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(2007年1月30日证监会令第40号公布2021年3月18日证监会令第182号修订)</w:t>
      </w:r>
    </w:p>
    <w:p w14:paraId="743BEFED" w14:textId="0B65E368" w:rsidR="00A320E6" w:rsidRDefault="00000000" w:rsidP="009B5990">
      <w:pPr>
        <w:pStyle w:val="13"/>
        <w:spacing w:before="62" w:after="62"/>
      </w:pPr>
      <w:r>
        <w:rPr>
          <w:rFonts w:hint="eastAsia"/>
        </w:rPr>
        <w:t>第一章</w:t>
      </w:r>
      <w:r w:rsidR="009B5990">
        <w:rPr>
          <w:rFonts w:hint="eastAsia"/>
        </w:rPr>
        <w:t xml:space="preserve"> </w:t>
      </w:r>
      <w:r>
        <w:rPr>
          <w:rFonts w:hint="eastAsia"/>
        </w:rPr>
        <w:t>总则</w:t>
      </w:r>
    </w:p>
    <w:p w14:paraId="3A704FF5" w14:textId="3753570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了规范上市公司及其他信息披露义务人的信息披露行为，加强信息披露事务管理，保护投资者合法权益，根据《中华人民共和国公司法》（以下简称《公司法》）、《中华人民共和国证券法》（以下简称《证券法》）等法律、行政法规，制定本办法。</w:t>
      </w:r>
    </w:p>
    <w:p w14:paraId="01B84366" w14:textId="64A9474D"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信息披露义务人履行信息披露义务应当遵守本办法的规定，中国证券监督管理委员会（以下简称中国证监会）对首次公开发行股票并上市、上市公司发行证券信息披露另有规定的，从其规定。</w:t>
      </w:r>
    </w:p>
    <w:p w14:paraId="14FE47EB" w14:textId="3F16F1DB"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信息披露义务人应当及时依法履行信息披露义务，披露的信息应当真实、准确、完整，简明清晰、通俗易懂，不得有虚假记载、误导性陈述或者重大遗漏。</w:t>
      </w:r>
    </w:p>
    <w:p w14:paraId="7A19CE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信息披露义务人披露的信息应当同时向所有投资者披露，不得提前向任何单位和个人泄露。但是，法律、行政法规另有规定的除外。</w:t>
      </w:r>
    </w:p>
    <w:p w14:paraId="4B0584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在内幕信息依法披露前，内幕信息的知情人和非法获取内幕信息的人不得公开或者泄露该信息，不得利用该信息进行内幕交易。任何单位和个人不得非法要求信息披露义务人提供依法需要披露但尚未披露的信息。</w:t>
      </w:r>
    </w:p>
    <w:p w14:paraId="2DBD063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证券及其衍生品种同时在境内境外公开发行、交易的，其信息披露义务人在境外市场披露的信息，应当同时在境内市场披露。</w:t>
      </w:r>
    </w:p>
    <w:p w14:paraId="47A3AED7" w14:textId="0391202B"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上市公司的董事、监事、高级管理人员应当忠实、勤勉地履行职责，保证披露信息的真实、准确、完整，信息披露及时、公平。</w:t>
      </w:r>
    </w:p>
    <w:p w14:paraId="6D773F8D" w14:textId="0031766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除依法需要披露的信息之外，信息披露义务人可以自愿披露与投资者作出价值判断和投资决策有关的信息，但不得与依法披露的信息相冲突，不得误导投资者。</w:t>
      </w:r>
    </w:p>
    <w:p w14:paraId="12CDEF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信息披露义务人自愿披露的信息应当真实、准确、完整。自愿性信息披露应当遵守公平原则，保持信息披露的持续性和一致性，不得进行选择性披露。</w:t>
      </w:r>
    </w:p>
    <w:p w14:paraId="015960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信息披露义务人不得利用自愿披露的信息不当影响公司证券及其衍生品种交易</w:t>
      </w:r>
      <w:r>
        <w:rPr>
          <w:rFonts w:ascii="宋体" w:hAnsi="宋体" w:cs="宋体" w:hint="eastAsia"/>
          <w:sz w:val="24"/>
        </w:rPr>
        <w:lastRenderedPageBreak/>
        <w:t>价格，不得利用自愿性信息披露从事市场操纵等违法违规行为。</w:t>
      </w:r>
    </w:p>
    <w:p w14:paraId="5CCF5C5B" w14:textId="019393A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上市公司及其控股股东、实际控制人、董事、监事、高级管理人员等作出公开承诺的，应当披露。</w:t>
      </w:r>
    </w:p>
    <w:p w14:paraId="1A1703BA" w14:textId="667037A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信息披露文件包括定期报告、临时报告、招股说明书、募集说明书、上市公告书、收购报告书等。</w:t>
      </w:r>
    </w:p>
    <w:p w14:paraId="7FF6AE63" w14:textId="2D867BA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依法披露的信息，应当在证券交易所的网站和符合中国证监会规定条件的媒体发布，同时将其置备于上市公司住所、证券交易所，供社会公众查阅。</w:t>
      </w:r>
    </w:p>
    <w:p w14:paraId="358D18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文件的全文应当在证券交易所的网站和符合中国证监会规定条件的报刊依法开办的网站披露，定期报告、收购报告书等信息披露文件的摘要应当在证券交易所的网站和符合中国证监会规定条件的报刊披露。</w:t>
      </w:r>
    </w:p>
    <w:p w14:paraId="00F2E9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信息披露义务人不得以新闻发布或者答记者问等任何形式代替应当履行的报告、公告义务，不得以定期报告形式代替应当履行的临时报告义务。</w:t>
      </w:r>
    </w:p>
    <w:p w14:paraId="02061999" w14:textId="2D767A44"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信息披露义务人应当将信息披露公告文稿和相关备查文件报送上市公司注册地证监局。</w:t>
      </w:r>
    </w:p>
    <w:p w14:paraId="3F10C1E6" w14:textId="30301E2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信息披露文件应当采用中文文本。同时采用外文文本的，信息披露义务人应当保证两种文本的内容一致。两种文本发生歧义时，以中文文本为准。</w:t>
      </w:r>
    </w:p>
    <w:p w14:paraId="00EB6631" w14:textId="2622BE4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中国证监会依法对信息披露文件及公告的情况、信息披露事务管理活动进行监督检查，对信息披露义务人的信息披露行为进行监督管理。</w:t>
      </w:r>
    </w:p>
    <w:p w14:paraId="61BC118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交易所应当对上市公司及其他信息披露义务人的信息披露行为进行监督，督促其依法及时、准确地披露信息，对证券及其衍生品种交易实行实时监控。证券交易所制定的上市规则和其他信息披露规则应当报中国证监会批准。</w:t>
      </w:r>
    </w:p>
    <w:p w14:paraId="06FA77CA" w14:textId="3EBB4395" w:rsidR="00A320E6" w:rsidRDefault="00000000" w:rsidP="009B5990">
      <w:pPr>
        <w:pStyle w:val="13"/>
        <w:spacing w:before="62" w:after="62"/>
      </w:pPr>
      <w:r>
        <w:rPr>
          <w:rFonts w:hint="eastAsia"/>
        </w:rPr>
        <w:t>第二章</w:t>
      </w:r>
      <w:r w:rsidR="009B5990">
        <w:rPr>
          <w:rFonts w:hint="eastAsia"/>
        </w:rPr>
        <w:t xml:space="preserve"> </w:t>
      </w:r>
      <w:r>
        <w:rPr>
          <w:rFonts w:hint="eastAsia"/>
        </w:rPr>
        <w:t>定期报告</w:t>
      </w:r>
    </w:p>
    <w:p w14:paraId="51D24158" w14:textId="3FB2A142"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上市公司应当披露的定期报告包括年度报告、中期报告。凡是对投资者作出价值判断和投资决策有重大影响的信息，均应当披露。</w:t>
      </w:r>
    </w:p>
    <w:p w14:paraId="0A21B9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年度报告中的财务会计报告应当经符合《证券法》规定的会计师事务所审计。</w:t>
      </w:r>
    </w:p>
    <w:p w14:paraId="4ACF24ED" w14:textId="36E10A8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年度报告应当在每个会计年度结束之日起四个月内，中期报告应当在每个会计年度的上半年结束之日起两个月内编制完成并披露。</w:t>
      </w:r>
    </w:p>
    <w:p w14:paraId="07C88366" w14:textId="0EB062B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年度报告应当记载以下内容：</w:t>
      </w:r>
    </w:p>
    <w:p w14:paraId="326597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（一）公司基本情况；</w:t>
      </w:r>
    </w:p>
    <w:p w14:paraId="7E7A92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（二）主要会计数据和财务指标；</w:t>
      </w:r>
    </w:p>
    <w:p w14:paraId="3F5FF4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（三）公司股票、债券发行及变动情况，报告期末股票、债券总额、股东总数，公司前十大股东持股情况；</w:t>
      </w:r>
    </w:p>
    <w:p w14:paraId="5F34E8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（四）持股百分之五以上股东、控股股东及实际控制人情况；</w:t>
      </w:r>
    </w:p>
    <w:p w14:paraId="0BCF75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（五）董事、监事、高级管理人员的任职情况、持股变动情况、年度报酬情况；</w:t>
      </w:r>
    </w:p>
    <w:p w14:paraId="30D2769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（六）董事会报告；</w:t>
      </w:r>
    </w:p>
    <w:p w14:paraId="151B49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（七）管理层讨论与分析；</w:t>
      </w:r>
    </w:p>
    <w:p w14:paraId="52DAEA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（八）报告期内重大事件及对公司的影响；</w:t>
      </w:r>
    </w:p>
    <w:p w14:paraId="3367D4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（九）财务会计报告和审计报告全文；</w:t>
      </w:r>
    </w:p>
    <w:p w14:paraId="315198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（十）中国证监会规定的其他事项。</w:t>
      </w:r>
    </w:p>
    <w:p w14:paraId="22620AE3" w14:textId="4F2E37E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中期报告应当记载以下内容：</w:t>
      </w:r>
    </w:p>
    <w:p w14:paraId="26486D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（一）公司基本情况；</w:t>
      </w:r>
    </w:p>
    <w:p w14:paraId="43A062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（二）主要会计数据和财务指标；</w:t>
      </w:r>
    </w:p>
    <w:p w14:paraId="7AE977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（三）公司股票、债券发行及变动情况、股东总数、公司前十大股东持股情况，控股股东及实际控制人发生变化的情况；</w:t>
      </w:r>
    </w:p>
    <w:p w14:paraId="69985A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（四）管理层讨论与分析；</w:t>
      </w:r>
    </w:p>
    <w:p w14:paraId="14D21E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（五）报告期内重大诉讼、仲裁等重大事件及对公司的影响；</w:t>
      </w:r>
    </w:p>
    <w:p w14:paraId="5BE06E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（六）财务会计报告；</w:t>
      </w:r>
    </w:p>
    <w:p w14:paraId="4BF61D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（七）中国证监会规定的其他事项。</w:t>
      </w:r>
    </w:p>
    <w:p w14:paraId="3BC4876F" w14:textId="66246F6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定期报告内容应当经上市公司董事会审议通过。未经董事会审议通过的定期报告不得披露。</w:t>
      </w:r>
    </w:p>
    <w:p w14:paraId="7D8C8A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公司董事、高级管理人员应当对定期报告签署书面确认意见，说明董事会的编制和审议程序是否符合法律、行政法规和中国证监会的规定，报告的内容是否能够真实、准确、完整地反映上市公司的实际情况。</w:t>
      </w:r>
    </w:p>
    <w:p w14:paraId="13B421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事会应当对董事会编制的定期报告进行审核并提出书面审核意见。监事应当签署书面确认意见。监事会对定期报告出具的书面审核意见，应当说明董事会的编制和审议程序是否符合法律、行政法规和中国证监会的规定，报告的内容是否能够真实、准确、完整地反映上市公司的实际情况。</w:t>
      </w:r>
    </w:p>
    <w:p w14:paraId="007E89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董事、监事无法保证定期报告内容的真实性、准确性、完整性或者有异议的，</w:t>
      </w:r>
      <w:r>
        <w:rPr>
          <w:rFonts w:ascii="宋体" w:hAnsi="宋体" w:cs="宋体" w:hint="eastAsia"/>
          <w:sz w:val="24"/>
        </w:rPr>
        <w:lastRenderedPageBreak/>
        <w:t>应当在董事会或者监事会审议、审核定期报告时投反对票或者弃权票。</w:t>
      </w:r>
    </w:p>
    <w:p w14:paraId="117778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董事、监事和高级管理人员无法保证定期报告内容的真实性、准确性、完整性或者有异议的，应当在书面确认意见中发表意见并陈述理由，上市公司应当披露。上市公司不予披露的，董事、监事和高级管理人员可以直接申请披露。</w:t>
      </w:r>
    </w:p>
    <w:p w14:paraId="2F65C3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董事、监事和高级管理人员按照前款规定发表意见，应当遵循审慎原则，其保证定期报告内容的真实性、准确性、完整性的责任不仅因发表意见而当然免除。</w:t>
      </w:r>
    </w:p>
    <w:p w14:paraId="6E09264D" w14:textId="16858CA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上市公司预计经营业绩发生亏损或者发生大幅变动的，应当及时进行业绩预告。</w:t>
      </w:r>
    </w:p>
    <w:p w14:paraId="700F4DA5" w14:textId="181608A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定期报告披露前出现业绩泄露，或者出现业绩传闻且公司证券及其衍生品种交易出现异常波动的，上市公司应当及时披露本报告期相关财务数据。</w:t>
      </w:r>
    </w:p>
    <w:p w14:paraId="1622AA4E" w14:textId="0FA7FF8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定期报告中财务会计报告被出具非标准审计意见的，上市公司董事会应当针对该审计意见涉及事项作出专项说明。</w:t>
      </w:r>
    </w:p>
    <w:p w14:paraId="4AEC33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定期报告中财务会计报告被出具非标准审计意见，证券交易所认为涉嫌违法的，应当提请中国证监会立案调查。</w:t>
      </w:r>
    </w:p>
    <w:p w14:paraId="627E96B2" w14:textId="5D14BDD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上市公司未在规定期限内披露年度报告和中期报告的，中国证监会应当立即立案调查，证券交易所应当按照股票上市规则予以处理。</w:t>
      </w:r>
    </w:p>
    <w:p w14:paraId="2D68154A" w14:textId="1B8C982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年度报告、中期报告的格式及编制规则，由中国证监会和证券交易所制定。</w:t>
      </w:r>
    </w:p>
    <w:p w14:paraId="0D057D92" w14:textId="311C8CC4" w:rsidR="00A320E6" w:rsidRDefault="00000000" w:rsidP="009B5990">
      <w:pPr>
        <w:pStyle w:val="13"/>
        <w:spacing w:before="62" w:after="62"/>
      </w:pPr>
      <w:r>
        <w:rPr>
          <w:rFonts w:hint="eastAsia"/>
        </w:rPr>
        <w:t>第三章</w:t>
      </w:r>
      <w:r w:rsidR="009B5990">
        <w:rPr>
          <w:rFonts w:hint="eastAsia"/>
        </w:rPr>
        <w:t xml:space="preserve"> </w:t>
      </w:r>
      <w:r>
        <w:rPr>
          <w:rFonts w:hint="eastAsia"/>
        </w:rPr>
        <w:t>临时报告</w:t>
      </w:r>
    </w:p>
    <w:p w14:paraId="26AEFAAB" w14:textId="07F32DA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发生可能对上市公司证券及其衍生品种交易价格产生较大影响的重大事件，投资者尚未得知时，上市公司应当立即披露，说明事件的起因、目前的状态和可能产生的影响。</w:t>
      </w:r>
    </w:p>
    <w:p w14:paraId="21D347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前款所称重大事件包括：</w:t>
      </w:r>
    </w:p>
    <w:p w14:paraId="416C55AB" w14:textId="52D3F955"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（一）《证券法》第八</w:t>
      </w:r>
      <w:r w:rsidR="00A45A13">
        <w:rPr>
          <w:rFonts w:ascii="宋体" w:hAnsi="宋体" w:cs="宋体" w:hint="eastAsia"/>
          <w:sz w:val="24"/>
        </w:rPr>
        <w:t xml:space="preserve">十条 </w:t>
      </w:r>
      <w:r>
        <w:rPr>
          <w:rFonts w:ascii="宋体" w:hAnsi="宋体" w:cs="宋体" w:hint="eastAsia"/>
          <w:sz w:val="24"/>
        </w:rPr>
        <w:t>第二款规定的重大事件；</w:t>
      </w:r>
    </w:p>
    <w:p w14:paraId="741F67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（二）公司发生大额赔偿责任；</w:t>
      </w:r>
    </w:p>
    <w:p w14:paraId="73D16B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（三）公司计提大额资产减值准备；</w:t>
      </w:r>
    </w:p>
    <w:p w14:paraId="4413A9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（四）公司出现股东权益为负值；</w:t>
      </w:r>
    </w:p>
    <w:p w14:paraId="416764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（五）公司主要债务人出现资不抵债或者进入破产程序，公司对相应债权未提取足额坏账准备；</w:t>
      </w:r>
    </w:p>
    <w:p w14:paraId="367C53E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（六）新公布的法律、行政法规、规章、行业政策可能对公司产生重大影响；</w:t>
      </w:r>
    </w:p>
    <w:p w14:paraId="5AAC32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（七）公司开展股权激励、回购股份、重大资产重组、资产分拆上市或者挂牌；</w:t>
      </w:r>
    </w:p>
    <w:p w14:paraId="1B0F4B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（八）法院裁决禁止控股股东转让其所持股份；任一股东所持公司百分之五以上股份被质押、冻结、司法拍卖、托管、设定信托或者被依法限制表决权等，或者出现被强制过户风险；</w:t>
      </w:r>
    </w:p>
    <w:p w14:paraId="34D576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（九）主要资产被查封、扣押或者冻结；主要银行账户被冻结；</w:t>
      </w:r>
    </w:p>
    <w:p w14:paraId="7C1D74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（十）上市公司预计经营业绩发生亏损或者发生大幅变动；</w:t>
      </w:r>
    </w:p>
    <w:p w14:paraId="11089F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（十一）主要或者全部业务陷入停顿；</w:t>
      </w:r>
    </w:p>
    <w:p w14:paraId="12D2BE8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（十二）获得对当期损益产生重大影响的额外收益，可能对公司的资产、负债、权益或者经营成果产生重要影响；</w:t>
      </w:r>
    </w:p>
    <w:p w14:paraId="39E539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（十三）聘任或者解聘为公司审计的会计师事务所；</w:t>
      </w:r>
    </w:p>
    <w:p w14:paraId="29C9D3E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（十四）会计政策、会计估计重大自主变更；</w:t>
      </w:r>
    </w:p>
    <w:p w14:paraId="3ED22E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（十五）因前期已披露的信息存在差错、未按规定披露或者虚假记载，被有关机关责令改正或者经董事会决定进行更正；</w:t>
      </w:r>
    </w:p>
    <w:p w14:paraId="2058C8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（十六）公司或者其控股股东、实际控制人、董事、监事、高级管理人员受到刑事处罚，涉嫌违法违规被中国证监会立案调查或者受到中国证监会行政处罚，或者受到其他有权机关重大行政处罚；</w:t>
      </w:r>
    </w:p>
    <w:p w14:paraId="090C0D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（十七）公司的控股股东、实际控制人、董事、监事、高级管理人员涉嫌严重违纪违法或者职务犯罪被纪检监察机关采取留置措施且影响其履行职责；</w:t>
      </w:r>
    </w:p>
    <w:p w14:paraId="2E6AEB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（十八）除董事长或者经理外的公司其他董事、监事、高级管理人员因身体、工作安排等原因无法正常履行职责达到或者预计达到三个月以上，或者因涉嫌违法违规被有权机关采取强制措施且影响其履行职责；</w:t>
      </w:r>
    </w:p>
    <w:p w14:paraId="56E9D6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（十九）中国证监会规定的其他事项。</w:t>
      </w:r>
    </w:p>
    <w:p w14:paraId="63CAC9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上市公司的控股股东或者实际控制人对重大事件的发生、进展产生较大影响的，应当及时将其知悉的有关情况书面告知上市公司，并配合上市公司履行信息披露义务。</w:t>
      </w:r>
    </w:p>
    <w:p w14:paraId="75987A76" w14:textId="2EF138E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上市公司变更公司名称、股票简称、公司章程、注册资本、注册地址、主要办公地址和联系电话等，应当立即披露。</w:t>
      </w:r>
    </w:p>
    <w:p w14:paraId="759F009E" w14:textId="692E11D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上市公司应当在最先发生的以下任一时点，及时履行重大事件的信</w:t>
      </w:r>
      <w:r>
        <w:rPr>
          <w:rFonts w:ascii="宋体" w:hAnsi="宋体" w:cs="宋体" w:hint="eastAsia"/>
          <w:sz w:val="24"/>
        </w:rPr>
        <w:lastRenderedPageBreak/>
        <w:t>息披露义务：</w:t>
      </w:r>
    </w:p>
    <w:p w14:paraId="6FE7A2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（一）董事会或者监事会就该重大事件形成决议时；</w:t>
      </w:r>
    </w:p>
    <w:p w14:paraId="244112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（二）有关各方就该重大事件签署意向书或者协议时；</w:t>
      </w:r>
    </w:p>
    <w:p w14:paraId="6F73B9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（三）董事、监事或者高级管理人员知悉该重大事件发生时。</w:t>
      </w:r>
    </w:p>
    <w:p w14:paraId="45A2FA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在前款规定的时点之前出现下列情形之一的，上市公司应当及时披露相关事项的现状、可能影响事件进展的风险因素：</w:t>
      </w:r>
    </w:p>
    <w:p w14:paraId="18632A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（一）该重大事件难以保密；</w:t>
      </w:r>
    </w:p>
    <w:p w14:paraId="2F69AC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（二）该重大事件已经泄露或者市场出现传闻；</w:t>
      </w:r>
    </w:p>
    <w:p w14:paraId="040D9E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（三）公司证券及其衍生品种出现异常交易情况。</w:t>
      </w:r>
    </w:p>
    <w:p w14:paraId="1990EDF2" w14:textId="5BD767D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上市公司披露重大事件后，已披露的重大事件出现可能对上市公司证券及其衍生品种交易价格产生较大影响的进展或者变化的，上市公司应当及时披露进展或者变化情况、可能产生的影响。</w:t>
      </w:r>
    </w:p>
    <w:p w14:paraId="6805127C" w14:textId="62F6692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上市公司控股子公司发生本办法</w:t>
      </w:r>
      <w:r w:rsidRPr="009B5990">
        <w:rPr>
          <w:rFonts w:ascii="宋体" w:hAnsi="宋体" w:cs="宋体" w:hint="eastAsia"/>
          <w:bCs/>
          <w:sz w:val="24"/>
        </w:rPr>
        <w:t>第二十二条</w:t>
      </w:r>
      <w:r>
        <w:rPr>
          <w:rFonts w:ascii="宋体" w:hAnsi="宋体" w:cs="宋体" w:hint="eastAsia"/>
          <w:sz w:val="24"/>
        </w:rPr>
        <w:t>规定的重大事件，可能对上市公司证券及其衍生品种交易价格产生较大影响的，上市公司应当履行信息披露义务。</w:t>
      </w:r>
    </w:p>
    <w:p w14:paraId="25A31A6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上市公司参股公司发生可能对上市公司证券及其衍生品种交易价格产生较大影响的事件的，上市公司应当履行信息披露义务。</w:t>
      </w:r>
    </w:p>
    <w:p w14:paraId="7D37D453" w14:textId="0071B19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涉及上市公司的收购、合并、分立、发行股份、回购股份等行为导致上市公司股本总额、股东、实际控制人等发生重大变化的，信息披露义务人应当依法履行报告、公告义务，披露权益变动情况。</w:t>
      </w:r>
    </w:p>
    <w:p w14:paraId="61D9733B" w14:textId="3DD45AA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上市公司应当关注本公司证券及其衍生品种的异常交易情况及媒体关于本公司的报道。</w:t>
      </w:r>
    </w:p>
    <w:p w14:paraId="6E267A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证券及其衍生品种发生异常交易或者在媒体中出现的消息可能对公司证券及其衍生品种的交易产生重大影响时，上市公司应当及时向相关各方了解真实情况，必要时应当以书面方式问询。</w:t>
      </w:r>
    </w:p>
    <w:p w14:paraId="553CE2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上市公司控股股东、实际控制人及其一致行动人应当及时、准确地告知上市公司是否存在拟发生的股权转让、资产重组或者其他重大事件，并配合上市公司做好信息披露工作。</w:t>
      </w:r>
    </w:p>
    <w:p w14:paraId="1BDBE67D" w14:textId="0188C77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公司证券及其衍生品种交易被中国证监会或者证券交易所认定为</w:t>
      </w:r>
      <w:r>
        <w:rPr>
          <w:rFonts w:ascii="宋体" w:hAnsi="宋体" w:cs="宋体" w:hint="eastAsia"/>
          <w:sz w:val="24"/>
        </w:rPr>
        <w:lastRenderedPageBreak/>
        <w:t>异常交易的，上市公司应当及时了解造成证券及其衍生品种交易异常波动的影响因素，并及时披露。</w:t>
      </w:r>
    </w:p>
    <w:p w14:paraId="5E260B32" w14:textId="222C93CC" w:rsidR="00A320E6" w:rsidRDefault="00000000" w:rsidP="009B5990">
      <w:pPr>
        <w:pStyle w:val="13"/>
        <w:spacing w:before="62" w:after="62"/>
      </w:pPr>
      <w:r>
        <w:rPr>
          <w:rFonts w:hint="eastAsia"/>
        </w:rPr>
        <w:t>第四章</w:t>
      </w:r>
      <w:r w:rsidR="009B5990">
        <w:rPr>
          <w:rFonts w:hint="eastAsia"/>
        </w:rPr>
        <w:t xml:space="preserve"> </w:t>
      </w:r>
      <w:r>
        <w:rPr>
          <w:rFonts w:hint="eastAsia"/>
        </w:rPr>
        <w:t>信息披露事务管理</w:t>
      </w:r>
    </w:p>
    <w:p w14:paraId="7488696F" w14:textId="227B393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上市公司应当制定信息披露事务管理制度。信息披露事务管理制度应当包括：</w:t>
      </w:r>
    </w:p>
    <w:p w14:paraId="3041B3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（一）明确上市公司应当披露的信息，确定披露标准；</w:t>
      </w:r>
    </w:p>
    <w:p w14:paraId="63855A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（二）未公开信息的传递、审核、披露流程；</w:t>
      </w:r>
    </w:p>
    <w:p w14:paraId="0DF7C8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（三）信息披露事务管理部门及其负责人在信息披露中的职责；</w:t>
      </w:r>
    </w:p>
    <w:p w14:paraId="75D3B24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（四）董事和董事会、监事和监事会、高级管理人员等的报告、审议和披露的职责；</w:t>
      </w:r>
    </w:p>
    <w:p w14:paraId="556B87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（五）董事、监事、高级管理人员履行职责的记录和保管制度；</w:t>
      </w:r>
    </w:p>
    <w:p w14:paraId="1949FD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（六）未公开信息的保密措施，内幕信息知情人登记管理制度，内幕信息知情人的范围和保密责任；</w:t>
      </w:r>
    </w:p>
    <w:p w14:paraId="4688CA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（七）财务管理和会计核算的内部控制及监督机制；</w:t>
      </w:r>
    </w:p>
    <w:p w14:paraId="08D0265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（八）对外发布信息的申请、审核、发布流程；与投资者、证券服务机构、媒体等的信息沟通制度；</w:t>
      </w:r>
    </w:p>
    <w:p w14:paraId="345AE5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（九）信息披露相关文件、资料的档案管理制度；</w:t>
      </w:r>
    </w:p>
    <w:p w14:paraId="1E1474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（十）涉及子公司的信息披露事务管理和报告制度；</w:t>
      </w:r>
    </w:p>
    <w:p w14:paraId="11D00D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（十一）未按规定披露信息的责任追究机制，对违反规定人员的处理措施。</w:t>
      </w:r>
    </w:p>
    <w:p w14:paraId="75A469E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上市公司信息披露事务管理制度应当经公司董事会审议通过，报注册地证监局和证券交易所备案。</w:t>
      </w:r>
    </w:p>
    <w:p w14:paraId="3F7EDB84" w14:textId="0292B1A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上市公司董事、监事、高级管理人员应当勤勉尽责，关注信息披露文件的编制情况，保证定期报告、临时报告在规定期限内披露。</w:t>
      </w:r>
    </w:p>
    <w:p w14:paraId="00B83DAF" w14:textId="13D884D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上市公司应当制定定期报告的编制、审议、披露程序。经理、财务负责人、董事会秘书等高级管理人员应当及时编制定期报告草案，提请董事会审议；董事会秘书负责送达董事审阅；董事长负责召集和主持董事会会议审议定期报告；监事会负责审核董事会编制的定期报告；董事会秘书负责组织定期报告的披露工作。</w:t>
      </w:r>
    </w:p>
    <w:p w14:paraId="3723172D" w14:textId="0DF87E4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第三十三条</w:t>
      </w:r>
      <w:r w:rsidR="00C36EF7">
        <w:rPr>
          <w:rFonts w:ascii="宋体" w:hAnsi="宋体" w:cs="宋体" w:hint="eastAsia"/>
          <w:sz w:val="24"/>
        </w:rPr>
        <w:t xml:space="preserve"> </w:t>
      </w:r>
      <w:r>
        <w:rPr>
          <w:rFonts w:ascii="宋体" w:hAnsi="宋体" w:cs="宋体" w:hint="eastAsia"/>
          <w:sz w:val="24"/>
        </w:rPr>
        <w:t>上市公司应当制定重大事件的报告、传递、审核、披露程序。董事、监事、高级管理人员知悉重大事件发生时，应当按照公司规定立即履行报告义务；</w:t>
      </w:r>
      <w:r>
        <w:rPr>
          <w:rFonts w:ascii="宋体" w:hAnsi="宋体" w:cs="宋体" w:hint="eastAsia"/>
          <w:sz w:val="24"/>
        </w:rPr>
        <w:lastRenderedPageBreak/>
        <w:t>董事长在接到报告后，应当立即向董事会报告，并敦促董事会秘书组织临时报告的披露工作。</w:t>
      </w:r>
    </w:p>
    <w:p w14:paraId="583CE0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上市公司应当制定董事、监事、高级管理人员对外发布信息的行为规范，明确非经董事会书面授权不得对外发布上市公司未披露信息的情形。</w:t>
      </w:r>
    </w:p>
    <w:p w14:paraId="327BB5E8" w14:textId="7E329D3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第三十四条</w:t>
      </w:r>
      <w:r w:rsidR="00A45A13">
        <w:rPr>
          <w:rFonts w:ascii="宋体" w:hAnsi="宋体" w:cs="宋体" w:hint="eastAsia"/>
          <w:sz w:val="24"/>
        </w:rPr>
        <w:t xml:space="preserve"> </w:t>
      </w:r>
      <w:r>
        <w:rPr>
          <w:rFonts w:ascii="宋体" w:hAnsi="宋体" w:cs="宋体" w:hint="eastAsia"/>
          <w:sz w:val="24"/>
        </w:rPr>
        <w:t>上市公司通过业绩说明会、分析师会议、路演、接受投资者调研等形式就公司的经营情况、财务状况及其他事件与任何单位和个人进行沟通的，不得提供内幕信息。</w:t>
      </w:r>
    </w:p>
    <w:p w14:paraId="4EFE511C" w14:textId="1ACF61E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第三十五条</w:t>
      </w:r>
      <w:r w:rsidR="00A45A13">
        <w:rPr>
          <w:rFonts w:ascii="宋体" w:hAnsi="宋体" w:cs="宋体" w:hint="eastAsia"/>
          <w:sz w:val="24"/>
        </w:rPr>
        <w:t xml:space="preserve"> </w:t>
      </w:r>
      <w:r>
        <w:rPr>
          <w:rFonts w:ascii="宋体" w:hAnsi="宋体" w:cs="宋体" w:hint="eastAsia"/>
          <w:sz w:val="24"/>
        </w:rPr>
        <w:t>董事应当了解并持续关注公司生产经营情况、财务状况和公司已经发生的或者可能发生的重大事件及其影响，主动调查、获取决策所需要的资料。</w:t>
      </w:r>
    </w:p>
    <w:p w14:paraId="0D7A721F" w14:textId="690564A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第三十六条</w:t>
      </w:r>
      <w:r w:rsidR="00A45A13">
        <w:rPr>
          <w:rFonts w:ascii="宋体" w:hAnsi="宋体" w:cs="宋体" w:hint="eastAsia"/>
          <w:sz w:val="24"/>
        </w:rPr>
        <w:t xml:space="preserve"> </w:t>
      </w:r>
      <w:r>
        <w:rPr>
          <w:rFonts w:ascii="宋体" w:hAnsi="宋体" w:cs="宋体" w:hint="eastAsia"/>
          <w:sz w:val="24"/>
        </w:rPr>
        <w:t>监事应当对公司董事、高级管理人员履行信息披露职责的行为进行监督；关注公司信息披露情况，发现信息披露存在违法违规问题的，应当进行调查并提出处理建议。</w:t>
      </w:r>
    </w:p>
    <w:p w14:paraId="2D78C5A9" w14:textId="40E6B41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第三十七条</w:t>
      </w:r>
      <w:r w:rsidR="00A45A13">
        <w:rPr>
          <w:rFonts w:ascii="宋体" w:hAnsi="宋体" w:cs="宋体" w:hint="eastAsia"/>
          <w:sz w:val="24"/>
        </w:rPr>
        <w:t xml:space="preserve"> </w:t>
      </w:r>
      <w:r>
        <w:rPr>
          <w:rFonts w:ascii="宋体" w:hAnsi="宋体" w:cs="宋体" w:hint="eastAsia"/>
          <w:sz w:val="24"/>
        </w:rPr>
        <w:t>高级管理人员应当及时向董事会报告有关公司经营或者财务方面出现的重大事件、已披露的事件的进展或者变化情况及其他相关信息。</w:t>
      </w:r>
    </w:p>
    <w:p w14:paraId="0D43B94B" w14:textId="18EDF5F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第三十八条</w:t>
      </w:r>
      <w:r w:rsidR="00A45A13">
        <w:rPr>
          <w:rFonts w:ascii="宋体" w:hAnsi="宋体" w:cs="宋体" w:hint="eastAsia"/>
          <w:sz w:val="24"/>
        </w:rPr>
        <w:t xml:space="preserve"> </w:t>
      </w:r>
      <w:r>
        <w:rPr>
          <w:rFonts w:ascii="宋体" w:hAnsi="宋体" w:cs="宋体" w:hint="eastAsia"/>
          <w:sz w:val="24"/>
        </w:rPr>
        <w:t>董事会秘书负责组织和协调公司信息披露事务，汇集上市公司应予披露的信息并报告董事会，持续关注媒体对公司的报道并主动求证报道的真实情况。董事会秘书有权参加股东大会、董事会会议、监事会会议和高级管理人员相关会议，有权了解公司的财务和经营情况，查阅涉及信息披露事宜的所有文件。董事会秘书负责办理上市公司信息对外公布等相关事宜。</w:t>
      </w:r>
    </w:p>
    <w:p w14:paraId="7A281E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上市公司应当为董事会秘书履行职责提供便利条件，财务负责人应当配合董事会秘书在财务信息披露方面的相关工作。</w:t>
      </w:r>
    </w:p>
    <w:p w14:paraId="7013E932" w14:textId="60CFC7D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第三十九条</w:t>
      </w:r>
      <w:r w:rsidR="00A45A13">
        <w:rPr>
          <w:rFonts w:ascii="宋体" w:hAnsi="宋体" w:cs="宋体" w:hint="eastAsia"/>
          <w:sz w:val="24"/>
        </w:rPr>
        <w:t xml:space="preserve"> </w:t>
      </w:r>
      <w:r>
        <w:rPr>
          <w:rFonts w:ascii="宋体" w:hAnsi="宋体" w:cs="宋体" w:hint="eastAsia"/>
          <w:sz w:val="24"/>
        </w:rPr>
        <w:t>上市公司的股东、实际控制人发生以下事件时，应当主动告知上市公司董事会，并配合上市公司履行信息披露义务:</w:t>
      </w:r>
    </w:p>
    <w:p w14:paraId="46E625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（一）持有公司百分之五以上股份的股东或者实际控制人持有股份或者控制公司的情况发生较大变化，公司的实际控制人及其控制的其他企业从事与公司相同或者相似业务的情况发生较大变化；</w:t>
      </w:r>
    </w:p>
    <w:p w14:paraId="06381B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（二）法院裁决禁止控股股东转让其所持股份，任一股东所持公司百分之五以上股份被质押、冻结、司法拍卖、托管、设定信托或者被依法限制表决权等，或者出现被强制过户风险；</w:t>
      </w:r>
    </w:p>
    <w:p w14:paraId="317B2C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（三）拟对上市公司进行重大资产或者业务重组；</w:t>
      </w:r>
    </w:p>
    <w:p w14:paraId="5D668C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（四）中国证监会规定的其他情形。</w:t>
      </w:r>
    </w:p>
    <w:p w14:paraId="4215DE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应当披露的信息依法披露前，相关信息已在媒体上传播或者公司证券及其衍生品种出现交易异常情况的，股东或者实际控制人应当及时、准确地向上市公司作出书面报告，并配合上市公司及时、准确地公告。</w:t>
      </w:r>
    </w:p>
    <w:p w14:paraId="5C17E3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上市公司的股东、实际控制人不得滥用其股东权利、支配地位，不得要求上市公司向其提供内幕信息。</w:t>
      </w:r>
    </w:p>
    <w:p w14:paraId="1B8A23A9" w14:textId="1CA73BD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第四十条</w:t>
      </w:r>
      <w:r w:rsidR="00A45A13">
        <w:rPr>
          <w:rFonts w:ascii="宋体" w:hAnsi="宋体" w:cs="宋体" w:hint="eastAsia"/>
          <w:sz w:val="24"/>
        </w:rPr>
        <w:t xml:space="preserve"> </w:t>
      </w:r>
      <w:r>
        <w:rPr>
          <w:rFonts w:ascii="宋体" w:hAnsi="宋体" w:cs="宋体" w:hint="eastAsia"/>
          <w:sz w:val="24"/>
        </w:rPr>
        <w:t>上市公司向特定对象发行股票时，其控股股东、实际控制人和发行对象应当及时向上市公司提供相关信息，配合上市公司履行信息披露义务。</w:t>
      </w:r>
    </w:p>
    <w:p w14:paraId="1D86C01F" w14:textId="5543004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第四十一条</w:t>
      </w:r>
      <w:r w:rsidR="00C36EF7">
        <w:rPr>
          <w:rFonts w:ascii="宋体" w:hAnsi="宋体" w:cs="宋体" w:hint="eastAsia"/>
          <w:sz w:val="24"/>
        </w:rPr>
        <w:t xml:space="preserve"> </w:t>
      </w:r>
      <w:r>
        <w:rPr>
          <w:rFonts w:ascii="宋体" w:hAnsi="宋体" w:cs="宋体" w:hint="eastAsia"/>
          <w:sz w:val="24"/>
        </w:rPr>
        <w:t>上市公司董事、监事、高级管理人员、持股百分之五以上的股东及其一致行动人、实际控制人应当及时向上市公司董事会报送上市公司关联人名单及关联关系的说明。上市公司应当履行关联交易的审议程序，并严格执行关联交易回避表决制度。交易各方不得通过隐瞒关联关系或者采取其他手段，规避上市公司的关联交易审议程序和信息披露义务。</w:t>
      </w:r>
    </w:p>
    <w:p w14:paraId="558521CE" w14:textId="221BB26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第四十二条</w:t>
      </w:r>
      <w:r w:rsidR="00C36EF7">
        <w:rPr>
          <w:rFonts w:ascii="宋体" w:hAnsi="宋体" w:cs="宋体" w:hint="eastAsia"/>
          <w:sz w:val="24"/>
        </w:rPr>
        <w:t xml:space="preserve"> </w:t>
      </w:r>
      <w:r>
        <w:rPr>
          <w:rFonts w:ascii="宋体" w:hAnsi="宋体" w:cs="宋体" w:hint="eastAsia"/>
          <w:sz w:val="24"/>
        </w:rPr>
        <w:t>通过接受委托或者信托等方式持有上市公司百分之五以上股份的股东或者实际控制人，应当及时将委托人情况告知上市公司，配合上市公司履行信息披露义务。</w:t>
      </w:r>
    </w:p>
    <w:p w14:paraId="6F6EACAE" w14:textId="0F8E377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第四十三条</w:t>
      </w:r>
      <w:r w:rsidR="00C36EF7">
        <w:rPr>
          <w:rFonts w:ascii="宋体" w:hAnsi="宋体" w:cs="宋体" w:hint="eastAsia"/>
          <w:sz w:val="24"/>
        </w:rPr>
        <w:t xml:space="preserve"> </w:t>
      </w:r>
      <w:r>
        <w:rPr>
          <w:rFonts w:ascii="宋体" w:hAnsi="宋体" w:cs="宋体" w:hint="eastAsia"/>
          <w:sz w:val="24"/>
        </w:rPr>
        <w:t>信息披露义务人应当向其聘用的证券公司、证券服务机构提供与执业相关的所有资料，并确保资料的真实、准确、完整，不得拒绝、隐匿、谎报。</w:t>
      </w:r>
    </w:p>
    <w:p w14:paraId="03E38F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证券服务机构在为信息披露出具专项文件时，发现上市公司及其他信息披露义务人提供的材料有虚假记载、误导性陈述、重大遗漏或者其他重大违法行为的，应当要求其补充、纠正。信息披露义务人不予补充、纠正的，证券公司、证券服务机构应当及时向公司注册地证监局和证券交易所报告。</w:t>
      </w:r>
    </w:p>
    <w:p w14:paraId="4BF347FA" w14:textId="5DEB727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第四十四条</w:t>
      </w:r>
      <w:r w:rsidR="00A45A13">
        <w:rPr>
          <w:rFonts w:ascii="宋体" w:hAnsi="宋体" w:cs="宋体" w:hint="eastAsia"/>
          <w:sz w:val="24"/>
        </w:rPr>
        <w:t xml:space="preserve"> </w:t>
      </w:r>
      <w:r>
        <w:rPr>
          <w:rFonts w:ascii="宋体" w:hAnsi="宋体" w:cs="宋体" w:hint="eastAsia"/>
          <w:sz w:val="24"/>
        </w:rPr>
        <w:t>上市公司解聘会计师事务所的，应当在董事会决议后及时通知会计师事务所，公司股东大会就解聘会计师事务所进行表决时，应当允许会计师事务所陈述意见。股东大会作出解聘、更换会计师事务所决议的，上市公司应当在披露时说明解聘、更换的具体原因和会计师事务所的陈述意见。</w:t>
      </w:r>
    </w:p>
    <w:p w14:paraId="4F1D1763" w14:textId="0B33FEC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第四十五条</w:t>
      </w:r>
      <w:r w:rsidR="00A45A13">
        <w:rPr>
          <w:rFonts w:ascii="宋体" w:hAnsi="宋体" w:cs="宋体" w:hint="eastAsia"/>
          <w:sz w:val="24"/>
        </w:rPr>
        <w:t xml:space="preserve"> </w:t>
      </w:r>
      <w:r>
        <w:rPr>
          <w:rFonts w:ascii="宋体" w:hAnsi="宋体" w:cs="宋体" w:hint="eastAsia"/>
          <w:sz w:val="24"/>
        </w:rPr>
        <w:t>为信息披露义务人履行信息披露义务出具专项文件的证券公司、证券服务机构及其人员，应当勤勉尽责、诚实守信，按照法律、行政法规、中国证监</w:t>
      </w:r>
      <w:r>
        <w:rPr>
          <w:rFonts w:ascii="宋体" w:hAnsi="宋体" w:cs="宋体" w:hint="eastAsia"/>
          <w:sz w:val="24"/>
        </w:rPr>
        <w:lastRenderedPageBreak/>
        <w:t>会规定、行业规范、业务规则等发表专业意见，保证所出具文件的真实性、准确性和完整性。</w:t>
      </w:r>
    </w:p>
    <w:p w14:paraId="2A171B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应当妥善保存客户委托文件、核查和验证资料、工作底稿以及与质量控制、内部管理、业务经营有关的信息和资料。证券服务机构应当配合中国证监会的监督管理，在规定的期限内提供、报送或者披露相关资料、信息，保证其提供、报送或者披露的资料、信息真实、准确、完整，不得有虚假记载、误导性陈述或者重大遗漏。</w:t>
      </w:r>
    </w:p>
    <w:p w14:paraId="538475CC" w14:textId="3A21C81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第四十六条</w:t>
      </w:r>
      <w:r w:rsidR="00A45A13">
        <w:rPr>
          <w:rFonts w:ascii="宋体" w:hAnsi="宋体" w:cs="宋体" w:hint="eastAsia"/>
          <w:sz w:val="24"/>
        </w:rPr>
        <w:t xml:space="preserve"> </w:t>
      </w:r>
      <w:r>
        <w:rPr>
          <w:rFonts w:ascii="宋体" w:hAnsi="宋体" w:cs="宋体" w:hint="eastAsia"/>
          <w:sz w:val="24"/>
        </w:rPr>
        <w:t>会计师事务所应当建立并保持有效的质量控制体系、独立性管理和投资者保护机制，秉承风险导向审计理念，遵守法律、行政法规、中国证监会的规定，严格执行注册会计师执业准则、职业道德守则及相关规定，完善鉴证程序，科学选用鉴证方法和技术，充分了解被鉴证单位及其环境，审慎关注重大错报风险，获取充分、适当的证据，合理发表鉴证结论。</w:t>
      </w:r>
    </w:p>
    <w:p w14:paraId="1BA7F259" w14:textId="0B220A9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第四十七条</w:t>
      </w:r>
      <w:r w:rsidR="00A45A13">
        <w:rPr>
          <w:rFonts w:ascii="宋体" w:hAnsi="宋体" w:cs="宋体" w:hint="eastAsia"/>
          <w:sz w:val="24"/>
        </w:rPr>
        <w:t xml:space="preserve"> </w:t>
      </w:r>
      <w:r>
        <w:rPr>
          <w:rFonts w:ascii="宋体" w:hAnsi="宋体" w:cs="宋体" w:hint="eastAsia"/>
          <w:sz w:val="24"/>
        </w:rPr>
        <w:t>资产评估机构应当建立并保持有效的质量控制体系、独立性管理和投资者保护机制，恪守职业道德，遵守法律、行政法规、中国证监会的规定，严格执行评估准则或者其他评估规范，恰当选择评估方法，评估中提出的假设条件应当符合实际情况，对评估对象所涉及交易、收入、支出、投资等业务的合法性、未来预测的可靠性取得充分证据，充分考虑未来各种可能性发生的概率及其影响，形成合理的评估结论。</w:t>
      </w:r>
    </w:p>
    <w:p w14:paraId="1508EEA4" w14:textId="6760493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第四十八条</w:t>
      </w:r>
      <w:r w:rsidR="00A45A13">
        <w:rPr>
          <w:rFonts w:ascii="宋体" w:hAnsi="宋体" w:cs="宋体" w:hint="eastAsia"/>
          <w:sz w:val="24"/>
        </w:rPr>
        <w:t xml:space="preserve"> </w:t>
      </w:r>
      <w:r>
        <w:rPr>
          <w:rFonts w:ascii="宋体" w:hAnsi="宋体" w:cs="宋体" w:hint="eastAsia"/>
          <w:sz w:val="24"/>
        </w:rPr>
        <w:t>任何单位和个人不得非法获取、提供、传播上市公司的内幕信息，不得利用所获取的内幕信息买卖或者建议他人买卖公司证券及其衍生品种，不得在投资价值分析报告、研究报告等文件中使用内幕信息。</w:t>
      </w:r>
    </w:p>
    <w:p w14:paraId="12B7C6CC" w14:textId="201FEDB5"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第四十九条</w:t>
      </w:r>
      <w:r w:rsidR="00A45A13">
        <w:rPr>
          <w:rFonts w:ascii="宋体" w:hAnsi="宋体" w:cs="宋体" w:hint="eastAsia"/>
          <w:sz w:val="24"/>
        </w:rPr>
        <w:t xml:space="preserve"> </w:t>
      </w:r>
      <w:r>
        <w:rPr>
          <w:rFonts w:ascii="宋体" w:hAnsi="宋体" w:cs="宋体" w:hint="eastAsia"/>
          <w:sz w:val="24"/>
        </w:rPr>
        <w:t>媒体应当客观、真实地报道涉及上市公司的情况，发挥舆论监督作用。</w:t>
      </w:r>
    </w:p>
    <w:p w14:paraId="2F5242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任何单位和个人不得提供、传播虚假或者误导投资者的上市公司信息。</w:t>
      </w:r>
    </w:p>
    <w:p w14:paraId="01DF18A8" w14:textId="584B68F4" w:rsidR="00A320E6" w:rsidRDefault="00000000" w:rsidP="009B5990">
      <w:pPr>
        <w:pStyle w:val="13"/>
        <w:spacing w:before="62" w:after="62"/>
      </w:pPr>
      <w:r>
        <w:rPr>
          <w:rFonts w:hint="eastAsia"/>
        </w:rPr>
        <w:t>第五章</w:t>
      </w:r>
      <w:r w:rsidR="009B5990">
        <w:rPr>
          <w:rFonts w:hint="eastAsia"/>
        </w:rPr>
        <w:t xml:space="preserve"> </w:t>
      </w:r>
      <w:r>
        <w:rPr>
          <w:rFonts w:hint="eastAsia"/>
        </w:rPr>
        <w:t>监督管理与法律责任</w:t>
      </w:r>
    </w:p>
    <w:p w14:paraId="66C1973B" w14:textId="20DB031B"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第五十条</w:t>
      </w:r>
      <w:r w:rsidR="00A45A13">
        <w:rPr>
          <w:rFonts w:ascii="宋体" w:hAnsi="宋体" w:cs="宋体" w:hint="eastAsia"/>
          <w:sz w:val="24"/>
        </w:rPr>
        <w:t xml:space="preserve"> </w:t>
      </w:r>
      <w:r>
        <w:rPr>
          <w:rFonts w:ascii="宋体" w:hAnsi="宋体" w:cs="宋体" w:hint="eastAsia"/>
          <w:sz w:val="24"/>
        </w:rPr>
        <w:t>中国证监会可以要求信息披露义务人或者其董事、监事、高级管理人员对有关信息披露问题作出解释、说明或者提供相关资料，并要求上市公司提供证券公司或者证券服务机构的专业意见。</w:t>
      </w:r>
    </w:p>
    <w:p w14:paraId="2BD3A7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中国证监会对证券公司和证券服务机构出具的文件的真实性、准确性、完整性</w:t>
      </w:r>
      <w:r>
        <w:rPr>
          <w:rFonts w:ascii="宋体" w:hAnsi="宋体" w:cs="宋体" w:hint="eastAsia"/>
          <w:sz w:val="24"/>
        </w:rPr>
        <w:lastRenderedPageBreak/>
        <w:t>有疑义的，可以要求相关机构作出解释、补充，并调阅其工作底稿。</w:t>
      </w:r>
    </w:p>
    <w:p w14:paraId="71BE53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信息披露义务人及其董事、监事、高级管理人员，证券公司和证券服务机构应当及时作出回复，并配合中国证监会的检查、调查。</w:t>
      </w:r>
    </w:p>
    <w:p w14:paraId="2DA1EAFE" w14:textId="2E2A9577"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第五十一条</w:t>
      </w:r>
      <w:r w:rsidR="00C36EF7">
        <w:rPr>
          <w:rFonts w:ascii="宋体" w:hAnsi="宋体" w:cs="宋体" w:hint="eastAsia"/>
          <w:sz w:val="24"/>
        </w:rPr>
        <w:t xml:space="preserve"> </w:t>
      </w:r>
      <w:r>
        <w:rPr>
          <w:rFonts w:ascii="宋体" w:hAnsi="宋体" w:cs="宋体" w:hint="eastAsia"/>
          <w:sz w:val="24"/>
        </w:rPr>
        <w:t>上市公司董事、监事、高级管理人员应当对公司信息披露的真实性、准确性、完整性、及时性、公平性负责，但有充分证据表明其已经履行勤勉尽责义务的除外。</w:t>
      </w:r>
    </w:p>
    <w:p w14:paraId="37C0CE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上市公司董事长、经理、董事会秘书，应当对公司临时报告信息披露的真实性、准确性、完整性、及时性、公平性承担主要责任。</w:t>
      </w:r>
    </w:p>
    <w:p w14:paraId="7AB119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上市公司董事长、经理、财务负责人应当对公司财务会计报告的真实性、准确性、完整性、及时性、公平性承担主要责任。</w:t>
      </w:r>
    </w:p>
    <w:p w14:paraId="773CE460" w14:textId="39D1CF95"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第五十二条</w:t>
      </w:r>
      <w:r w:rsidR="00C36EF7">
        <w:rPr>
          <w:rFonts w:ascii="宋体" w:hAnsi="宋体" w:cs="宋体" w:hint="eastAsia"/>
          <w:sz w:val="24"/>
        </w:rPr>
        <w:t xml:space="preserve"> </w:t>
      </w:r>
      <w:r>
        <w:rPr>
          <w:rFonts w:ascii="宋体" w:hAnsi="宋体" w:cs="宋体" w:hint="eastAsia"/>
          <w:sz w:val="24"/>
        </w:rPr>
        <w:t>信息披露义务人及其董事、监事、高级管理人员违反本办法的，中国证监会为防范市场风险，维护市场秩序，可以采取以下监管措施：</w:t>
      </w:r>
    </w:p>
    <w:p w14:paraId="76122F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（一）责令改正；</w:t>
      </w:r>
    </w:p>
    <w:p w14:paraId="32A719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（二）监管谈话；</w:t>
      </w:r>
    </w:p>
    <w:p w14:paraId="4F92971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（三）出具警示函；</w:t>
      </w:r>
    </w:p>
    <w:p w14:paraId="45BC03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（四）责令公开说明；</w:t>
      </w:r>
    </w:p>
    <w:p w14:paraId="58D5DF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（五）责令定期报告；</w:t>
      </w:r>
    </w:p>
    <w:p w14:paraId="1FD916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（六）责令暂停或者终止并购重组活动；</w:t>
      </w:r>
    </w:p>
    <w:p w14:paraId="662E33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（七）依法可以采取的其他监管措施。</w:t>
      </w:r>
    </w:p>
    <w:p w14:paraId="156B4743" w14:textId="1983F728"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第五十三条</w:t>
      </w:r>
      <w:r w:rsidR="00C36EF7">
        <w:rPr>
          <w:rFonts w:ascii="宋体" w:hAnsi="宋体" w:cs="宋体" w:hint="eastAsia"/>
          <w:sz w:val="24"/>
        </w:rPr>
        <w:t xml:space="preserve"> </w:t>
      </w:r>
      <w:r>
        <w:rPr>
          <w:rFonts w:ascii="宋体" w:hAnsi="宋体" w:cs="宋体" w:hint="eastAsia"/>
          <w:sz w:val="24"/>
        </w:rPr>
        <w:t>上市公司未按本办法规定制定上市公司信息披露事务管理制度的，由中国证监会责令改正；拒不改正的，给予警告并处国务院规定限额以下罚款。</w:t>
      </w:r>
    </w:p>
    <w:p w14:paraId="4F998E82" w14:textId="76E2B560"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第五十四条</w:t>
      </w:r>
      <w:r w:rsidR="00A45A13">
        <w:rPr>
          <w:rFonts w:ascii="宋体" w:hAnsi="宋体" w:cs="宋体" w:hint="eastAsia"/>
          <w:sz w:val="24"/>
        </w:rPr>
        <w:t xml:space="preserve"> </w:t>
      </w:r>
      <w:r>
        <w:rPr>
          <w:rFonts w:ascii="宋体" w:hAnsi="宋体" w:cs="宋体" w:hint="eastAsia"/>
          <w:sz w:val="24"/>
        </w:rPr>
        <w:t>信息披露义务人未按照《证券法》规定在规定期限内报送有关报告、履行信息披露义务，或者报送的报告、披露的信息有虚假记载、误导性陈述或者重大遗漏的，由中国证监会按照《证券法》第一百九十</w:t>
      </w:r>
      <w:r w:rsidR="00A45A13">
        <w:rPr>
          <w:rFonts w:ascii="宋体" w:hAnsi="宋体" w:cs="宋体" w:hint="eastAsia"/>
          <w:sz w:val="24"/>
        </w:rPr>
        <w:t xml:space="preserve">七条 </w:t>
      </w:r>
      <w:r>
        <w:rPr>
          <w:rFonts w:ascii="宋体" w:hAnsi="宋体" w:cs="宋体" w:hint="eastAsia"/>
          <w:sz w:val="24"/>
        </w:rPr>
        <w:t>处罚。</w:t>
      </w:r>
    </w:p>
    <w:p w14:paraId="50FD01C5" w14:textId="13C548E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上市公司通过隐瞒关联关系或者采取其他手段，规避信息披露、报告义务的，由中国证监会按照《证券法》第一百九十</w:t>
      </w:r>
      <w:r w:rsidR="00A45A13">
        <w:rPr>
          <w:rFonts w:ascii="宋体" w:hAnsi="宋体" w:cs="宋体" w:hint="eastAsia"/>
          <w:sz w:val="24"/>
        </w:rPr>
        <w:t xml:space="preserve">七条 </w:t>
      </w:r>
      <w:r>
        <w:rPr>
          <w:rFonts w:ascii="宋体" w:hAnsi="宋体" w:cs="宋体" w:hint="eastAsia"/>
          <w:sz w:val="24"/>
        </w:rPr>
        <w:t>处罚。</w:t>
      </w:r>
    </w:p>
    <w:p w14:paraId="1539B5AA" w14:textId="13BA8E7B"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第五十五条</w:t>
      </w:r>
      <w:r w:rsidR="00A45A13">
        <w:rPr>
          <w:rFonts w:ascii="宋体" w:hAnsi="宋体" w:cs="宋体" w:hint="eastAsia"/>
          <w:sz w:val="24"/>
        </w:rPr>
        <w:t xml:space="preserve"> </w:t>
      </w:r>
      <w:r>
        <w:rPr>
          <w:rFonts w:ascii="宋体" w:hAnsi="宋体" w:cs="宋体" w:hint="eastAsia"/>
          <w:sz w:val="24"/>
        </w:rPr>
        <w:t>为信息披露义务人履行信息披露义务出具专项文件的证券公司、证券服务机构及其人员，违反法律、行政法规和中国证监会规定的，中国证监会为防范市场风险，维护市场秩序，可以采取责令改正、监管谈话、出具警示函、责令公</w:t>
      </w:r>
      <w:r>
        <w:rPr>
          <w:rFonts w:ascii="宋体" w:hAnsi="宋体" w:cs="宋体" w:hint="eastAsia"/>
          <w:sz w:val="24"/>
        </w:rPr>
        <w:lastRenderedPageBreak/>
        <w:t>开说明、责令定期报告等监管措施；依法应当给予行政处罚的，由中国证监会依照有关规定进行处罚。</w:t>
      </w:r>
    </w:p>
    <w:p w14:paraId="61FAFF17" w14:textId="1D8711FB"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第五十六条</w:t>
      </w:r>
      <w:r w:rsidR="00A45A13">
        <w:rPr>
          <w:rFonts w:ascii="宋体" w:hAnsi="宋体" w:cs="宋体" w:hint="eastAsia"/>
          <w:sz w:val="24"/>
        </w:rPr>
        <w:t xml:space="preserve"> </w:t>
      </w:r>
      <w:r>
        <w:rPr>
          <w:rFonts w:ascii="宋体" w:hAnsi="宋体" w:cs="宋体" w:hint="eastAsia"/>
          <w:sz w:val="24"/>
        </w:rPr>
        <w:t>任何单位和个人泄露上市公司内幕信息，或者利用内幕信息买卖证券的，由中国证监会按照《证券法》第一百九十</w:t>
      </w:r>
      <w:r w:rsidR="00C36EF7">
        <w:rPr>
          <w:rFonts w:ascii="宋体" w:hAnsi="宋体" w:cs="宋体" w:hint="eastAsia"/>
          <w:sz w:val="24"/>
        </w:rPr>
        <w:t xml:space="preserve">一条 </w:t>
      </w:r>
      <w:r>
        <w:rPr>
          <w:rFonts w:ascii="宋体" w:hAnsi="宋体" w:cs="宋体" w:hint="eastAsia"/>
          <w:sz w:val="24"/>
        </w:rPr>
        <w:t>处罚。</w:t>
      </w:r>
    </w:p>
    <w:p w14:paraId="7519085E" w14:textId="137D6B0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第五十七条</w:t>
      </w:r>
      <w:r w:rsidR="00A45A13">
        <w:rPr>
          <w:rFonts w:ascii="宋体" w:hAnsi="宋体" w:cs="宋体" w:hint="eastAsia"/>
          <w:sz w:val="24"/>
        </w:rPr>
        <w:t xml:space="preserve"> </w:t>
      </w:r>
      <w:r>
        <w:rPr>
          <w:rFonts w:ascii="宋体" w:hAnsi="宋体" w:cs="宋体" w:hint="eastAsia"/>
          <w:sz w:val="24"/>
        </w:rPr>
        <w:t>任何单位和个人编造、传播虚假信息或者误导性信息，扰乱证券市场的；证券交易场所、证券公司、证券登记结算机构、证券服务机构及其从业人员，证券业协会、中国证监会及其工作人员，在证券交易活动中作出虚假陈述或者信息误导的；传播媒介传播上市公司信息不真实、不客观的，由中国证监会按照《证券法》第一百九十</w:t>
      </w:r>
      <w:r w:rsidR="00C36EF7">
        <w:rPr>
          <w:rFonts w:ascii="宋体" w:hAnsi="宋体" w:cs="宋体" w:hint="eastAsia"/>
          <w:sz w:val="24"/>
        </w:rPr>
        <w:t xml:space="preserve">三条 </w:t>
      </w:r>
      <w:r>
        <w:rPr>
          <w:rFonts w:ascii="宋体" w:hAnsi="宋体" w:cs="宋体" w:hint="eastAsia"/>
          <w:sz w:val="24"/>
        </w:rPr>
        <w:t>处罚。</w:t>
      </w:r>
    </w:p>
    <w:p w14:paraId="5C62F762" w14:textId="686DF829"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第五十八条</w:t>
      </w:r>
      <w:r w:rsidR="00A45A13">
        <w:rPr>
          <w:rFonts w:ascii="宋体" w:hAnsi="宋体" w:cs="宋体" w:hint="eastAsia"/>
          <w:sz w:val="24"/>
        </w:rPr>
        <w:t xml:space="preserve"> </w:t>
      </w:r>
      <w:r>
        <w:rPr>
          <w:rFonts w:ascii="宋体" w:hAnsi="宋体" w:cs="宋体" w:hint="eastAsia"/>
          <w:sz w:val="24"/>
        </w:rPr>
        <w:t>上市公司董事、监事在董事会或者监事会审议、审核定期报告时投赞成票，又在定期报告披露时表示无法保证定期报告内容的真实性、准确性、完整性或者有异议的，中国证监会可以对相关人员给予警告并处国务院规定限额以下罚款；情节严重的，可以对有关责任人员采取证券市场禁入的措施。</w:t>
      </w:r>
    </w:p>
    <w:p w14:paraId="5BB9408B" w14:textId="6C6C500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第五十九条</w:t>
      </w:r>
      <w:r w:rsidR="00A45A13">
        <w:rPr>
          <w:rFonts w:ascii="宋体" w:hAnsi="宋体" w:cs="宋体" w:hint="eastAsia"/>
          <w:sz w:val="24"/>
        </w:rPr>
        <w:t xml:space="preserve"> </w:t>
      </w:r>
      <w:r>
        <w:rPr>
          <w:rFonts w:ascii="宋体" w:hAnsi="宋体" w:cs="宋体" w:hint="eastAsia"/>
          <w:sz w:val="24"/>
        </w:rPr>
        <w:t>利用新闻报道以及其他传播方式对上市公司进行敲诈勒索的，由中国证监会责令改正，并向有关部门发出监管建议函，由有关部门依法追究法律责任。</w:t>
      </w:r>
    </w:p>
    <w:p w14:paraId="6CEDFB72" w14:textId="2C36252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第六十条</w:t>
      </w:r>
      <w:r w:rsidR="00A45A13">
        <w:rPr>
          <w:rFonts w:ascii="宋体" w:hAnsi="宋体" w:cs="宋体" w:hint="eastAsia"/>
          <w:sz w:val="24"/>
        </w:rPr>
        <w:t xml:space="preserve"> </w:t>
      </w:r>
      <w:r>
        <w:rPr>
          <w:rFonts w:ascii="宋体" w:hAnsi="宋体" w:cs="宋体" w:hint="eastAsia"/>
          <w:sz w:val="24"/>
        </w:rPr>
        <w:t>信息披露义务人违反本办法的规定，情节严重的，中国证监会可以对有关责任人员采取证券市场禁入的措施。</w:t>
      </w:r>
    </w:p>
    <w:p w14:paraId="00D43449" w14:textId="13B1F529"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第六十一条</w:t>
      </w:r>
      <w:r w:rsidR="00C36EF7">
        <w:rPr>
          <w:rFonts w:ascii="宋体" w:hAnsi="宋体" w:cs="宋体" w:hint="eastAsia"/>
          <w:sz w:val="24"/>
        </w:rPr>
        <w:t xml:space="preserve"> </w:t>
      </w:r>
      <w:r>
        <w:rPr>
          <w:rFonts w:ascii="宋体" w:hAnsi="宋体" w:cs="宋体" w:hint="eastAsia"/>
          <w:sz w:val="24"/>
        </w:rPr>
        <w:t>违反本办法，涉嫌犯罪的，依法移送司法机关追究刑事责任。</w:t>
      </w:r>
    </w:p>
    <w:p w14:paraId="67E68F56" w14:textId="6A0EBD49" w:rsidR="00A320E6" w:rsidRDefault="00000000" w:rsidP="009B5990">
      <w:pPr>
        <w:pStyle w:val="13"/>
        <w:spacing w:before="62" w:after="62"/>
      </w:pPr>
      <w:r>
        <w:rPr>
          <w:rFonts w:hint="eastAsia"/>
        </w:rPr>
        <w:t>第六章</w:t>
      </w:r>
      <w:r w:rsidR="009B5990">
        <w:rPr>
          <w:rFonts w:hint="eastAsia"/>
        </w:rPr>
        <w:t xml:space="preserve"> </w:t>
      </w:r>
      <w:r>
        <w:rPr>
          <w:rFonts w:hint="eastAsia"/>
        </w:rPr>
        <w:t>附则</w:t>
      </w:r>
    </w:p>
    <w:p w14:paraId="1315C6A4" w14:textId="3AD7267D"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第六十二条</w:t>
      </w:r>
      <w:r w:rsidR="00C36EF7">
        <w:rPr>
          <w:rFonts w:ascii="宋体" w:hAnsi="宋体" w:cs="宋体" w:hint="eastAsia"/>
          <w:sz w:val="24"/>
        </w:rPr>
        <w:t xml:space="preserve"> </w:t>
      </w:r>
      <w:r>
        <w:rPr>
          <w:rFonts w:ascii="宋体" w:hAnsi="宋体" w:cs="宋体" w:hint="eastAsia"/>
          <w:sz w:val="24"/>
        </w:rPr>
        <w:t>本办法下列用语的含义：</w:t>
      </w:r>
    </w:p>
    <w:p w14:paraId="45722B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为信息披露义务人履行信息披露义务出具专项文件的证券公司、证券服务机构，是指为证券发行、上市、交易等证券业务活动制作、出具保荐书、审计报告、资产评估报告、估值报告、法律意见书、财务顾问报告、资信评级报告等文件的证券公司、会计师事务所、资产评估机构、律师事务所、财务顾问机构、资信评级机构等。</w:t>
      </w:r>
    </w:p>
    <w:p w14:paraId="48089B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信息披露义务人，是指上市公司及其董事、监事、高级管理人员、股东、实际控制人，收购人，重大资产重组、再融资、重大交易有关各方等自然人、单位及其相关人员，破产管理人及其成员，以及法律、行政法规和中国证监会规定的其他承担信息披露义务的主体。</w:t>
      </w:r>
    </w:p>
    <w:p w14:paraId="0D48AA5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（三）及时，是指自起算日起或者触及披露时点的两个交易日内。</w:t>
      </w:r>
    </w:p>
    <w:p w14:paraId="37BAAB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（四）上市公司的关联交易，是指上市公司或者其控股子公司与上市公司关联人之间发生的转移资源或者义务的事项。</w:t>
      </w:r>
    </w:p>
    <w:p w14:paraId="0F62C6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关联人包括关联法人（或者其他组织）和关联自然人。</w:t>
      </w:r>
    </w:p>
    <w:p w14:paraId="5B6F35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具有以下情形之一的法人（或者其他组织），为上市公司的关联法人（或者其他组织）：</w:t>
      </w:r>
    </w:p>
    <w:p w14:paraId="546343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1．直接或者间接地控制上市公司的法人（或者其他组织）；</w:t>
      </w:r>
    </w:p>
    <w:p w14:paraId="7F25C40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2．由前项所述法人（或者其他组织）直接或者间接控制的除上市公司及其控股子公司以外的法人（或者其他组织）；</w:t>
      </w:r>
    </w:p>
    <w:p w14:paraId="66DD89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3．关联自然人直接或者间接控制的、或者担任董事、高级管理人员的，除上市公司及其控股子公司以外的法人（或者其他组织）；</w:t>
      </w:r>
    </w:p>
    <w:p w14:paraId="5BE14E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4．持有上市公司百分之五以上股份的法人（或者其他组织）及其一致行动人；</w:t>
      </w:r>
    </w:p>
    <w:p w14:paraId="6D7B93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5．在过去十二个月内或者根据相关协议安排在未来十二月内，存在上述情形之一的；</w:t>
      </w:r>
    </w:p>
    <w:p w14:paraId="38E2D6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6．中国证监会、证券交易所或者上市公司根据实质重于形式的原则认定的其他与上市公司有特殊关系，可能或者已经造成上市公司对其利益倾斜的法人（或者其他组织）。</w:t>
      </w:r>
    </w:p>
    <w:p w14:paraId="714606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具有以下情形之一的自然人，为上市公司的关联自然人：</w:t>
      </w:r>
    </w:p>
    <w:p w14:paraId="266C76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1．直接或者间接持有上市公司百分之五以上股份的自然人;</w:t>
      </w:r>
    </w:p>
    <w:p w14:paraId="29F83A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2．上市公司董事、监事及高级管理人员；</w:t>
      </w:r>
    </w:p>
    <w:p w14:paraId="32DE23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3．直接或者间接地控制上市公司的法人的董事、监事及高级管理人员；</w:t>
      </w:r>
    </w:p>
    <w:p w14:paraId="0F0E59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4．上述第1、2项所述人士的关系密切的家庭成员，包括配偶、父母、年满十八周岁的子女及其配偶、兄弟姐妹及其配偶，配偶的父母、兄弟姐妹，子女配偶的父母；</w:t>
      </w:r>
    </w:p>
    <w:p w14:paraId="3489EB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5．在过去十二个月内或者根据相关协议安排在未来十二个月内，存在上述情形之一的；</w:t>
      </w:r>
    </w:p>
    <w:p w14:paraId="2A20BC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6．中国证监会、证券交易所或者上市公司根据实质重于形式的原则认定的其他与上市公司有特殊关系，可能或者已经造成上市公司对其利益倾斜的自然人。</w:t>
      </w:r>
    </w:p>
    <w:p w14:paraId="44E3CC41" w14:textId="7AD65F85"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第六十三条</w:t>
      </w:r>
      <w:r w:rsidR="00C36EF7">
        <w:rPr>
          <w:rFonts w:ascii="宋体" w:hAnsi="宋体" w:cs="宋体" w:hint="eastAsia"/>
          <w:sz w:val="24"/>
        </w:rPr>
        <w:t xml:space="preserve"> </w:t>
      </w:r>
      <w:r>
        <w:rPr>
          <w:rFonts w:ascii="宋体" w:hAnsi="宋体" w:cs="宋体" w:hint="eastAsia"/>
          <w:sz w:val="24"/>
        </w:rPr>
        <w:t>中国证监会可以对金融、房地产等特定行业上市公司的信息披露作</w:t>
      </w:r>
      <w:r>
        <w:rPr>
          <w:rFonts w:ascii="宋体" w:hAnsi="宋体" w:cs="宋体" w:hint="eastAsia"/>
          <w:sz w:val="24"/>
        </w:rPr>
        <w:lastRenderedPageBreak/>
        <w:t>出特别规定。</w:t>
      </w:r>
    </w:p>
    <w:p w14:paraId="721FB8FF" w14:textId="2226191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第六十四条</w:t>
      </w:r>
      <w:r w:rsidR="00A45A13">
        <w:rPr>
          <w:rFonts w:ascii="宋体" w:hAnsi="宋体" w:cs="宋体" w:hint="eastAsia"/>
          <w:sz w:val="24"/>
        </w:rPr>
        <w:t xml:space="preserve"> </w:t>
      </w:r>
      <w:r>
        <w:rPr>
          <w:rFonts w:ascii="宋体" w:hAnsi="宋体" w:cs="宋体" w:hint="eastAsia"/>
          <w:sz w:val="24"/>
        </w:rPr>
        <w:t>境外企业在境内发行股票或者存托凭证并上市的，依照本办法履行信息披露义务。法律、行政法规或者中国证监会另有规定的，从其规定。</w:t>
      </w:r>
    </w:p>
    <w:p w14:paraId="4608F13E" w14:textId="02A355A3"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第六十五条</w:t>
      </w:r>
      <w:r w:rsidR="00A45A13">
        <w:rPr>
          <w:rFonts w:ascii="宋体" w:hAnsi="宋体" w:cs="宋体" w:hint="eastAsia"/>
          <w:sz w:val="24"/>
        </w:rPr>
        <w:t xml:space="preserve"> </w:t>
      </w:r>
      <w:r>
        <w:rPr>
          <w:rFonts w:ascii="宋体" w:hAnsi="宋体" w:cs="宋体" w:hint="eastAsia"/>
          <w:sz w:val="24"/>
        </w:rPr>
        <w:t>本办法自2021年5月1日起施行。2007年1月30日发布的《上市公司信息披露管理办法》（证监会令第40号）、2016年12月9日发布的《公开发行证券的公司信息披露编报规则第13号——季度报告的内容与格式》（证监会公告〔2016〕33号）同时废止。</w:t>
      </w:r>
    </w:p>
    <w:p w14:paraId="4F18EE6F" w14:textId="77777777" w:rsidR="00EF4D3D" w:rsidRDefault="00EF4D3D" w:rsidP="00AE0286">
      <w:pPr>
        <w:pStyle w:val="a3"/>
        <w:spacing w:line="360" w:lineRule="auto"/>
        <w:ind w:firstLine="480"/>
        <w:rPr>
          <w:rFonts w:ascii="宋体" w:hAnsi="宋体" w:cs="宋体"/>
          <w:sz w:val="24"/>
        </w:rPr>
      </w:pPr>
    </w:p>
    <w:p w14:paraId="601BB2DC"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64" w:name="_Toc112227372"/>
      <w:r>
        <w:rPr>
          <w:rFonts w:ascii="宋体" w:hAnsi="宋体" w:cs="宋体" w:hint="eastAsia"/>
          <w:b/>
          <w:bCs/>
          <w:sz w:val="24"/>
          <w:szCs w:val="24"/>
        </w:rPr>
        <w:t>四川证监局：关于进一步规范和完善商誉减值测试和信息披露的监管通报</w:t>
      </w:r>
      <w:bookmarkEnd w:id="64"/>
    </w:p>
    <w:p w14:paraId="21A98BDF"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川证监会计〔2019〕51号</w:t>
      </w:r>
    </w:p>
    <w:p w14:paraId="0067BDB6"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辖区各上市公司、执业证券期货资格会计师事务所、资产评估机构： </w:t>
      </w:r>
    </w:p>
    <w:p w14:paraId="26E59E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近期，按照证监会会计部统一部署，我局对在四川辖区执业的9家会计师事务所和资产评估机构执行的6家上市公司2018年年报商誉审计及评估工作进行了专项检查，并对有关上市公司进行了延伸检查。检查发现有关上市公司对商誉所在资产组的认定和商誉分摊不恰当、在商誉出现明显减值迹象时未及时进行减值测试、未首先对不含商誉的资产组进行减值测试、实施商誉减值测试时所采用的相关方法和参数依据不充分、减值损失未恰当处理、相关信息披露不充分不准确等问题，有关中介机构在执业中对上述问题未能严格按照审计准则和评估准则实施相关工作。为进一步规范和完善上市公司商誉减值测试和信息披露相关工作，提高证券期货资格会计师事务所、资产评估机构执业质量，现就有关事项强调及通报如下： </w:t>
      </w:r>
    </w:p>
    <w:p w14:paraId="51FD5A01" w14:textId="77777777" w:rsidR="00A320E6" w:rsidRDefault="00000000" w:rsidP="009B5990">
      <w:pPr>
        <w:pStyle w:val="1a"/>
      </w:pPr>
      <w:r>
        <w:rPr>
          <w:rFonts w:hint="eastAsia"/>
        </w:rPr>
        <w:t>一、认真学习、严格执行相关专业标准，提升专业能力 </w:t>
      </w:r>
    </w:p>
    <w:p w14:paraId="7F72BC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上市公司、会计师事务所、资产评估机构应认真学习《企业会计准则第8号——资产减值》、《会计监管风险提示第8号——商誉减值》、《公开发行证券的公司信息披露编报规则第15号——财务报告的一般规定》等专业标准、证监会风险提示和规范性文件，深入理解和掌握资产减值迹象、可回收金额计量、资产组的认定及减值处理、信息披露等相关规定和要求，确保按上述专业标准等要求开展相关工作。 </w:t>
      </w:r>
    </w:p>
    <w:p w14:paraId="6FBAD4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会计师事务所、资产评估机构还应认真学习、严格执行《中国注册会计师执业准则》、《资产评估准则》等执业标准，同时还应积极关注并参考行业协会制定的</w:t>
      </w:r>
      <w:r>
        <w:rPr>
          <w:rFonts w:ascii="宋体" w:hAnsi="宋体" w:cs="宋体" w:hint="eastAsia"/>
          <w:sz w:val="24"/>
        </w:rPr>
        <w:lastRenderedPageBreak/>
        <w:t>“专家提示”、“技术指南”等专业指导或支持性文件，不断提升商誉审计和评估执业能力。 </w:t>
      </w:r>
    </w:p>
    <w:p w14:paraId="6D7A5A94" w14:textId="77777777" w:rsidR="00A320E6" w:rsidRDefault="00000000" w:rsidP="009B5990">
      <w:pPr>
        <w:pStyle w:val="1a"/>
      </w:pPr>
      <w:r>
        <w:rPr>
          <w:rFonts w:hint="eastAsia"/>
        </w:rPr>
        <w:t>二、及时开展商誉减值测试 </w:t>
      </w:r>
    </w:p>
    <w:p w14:paraId="09F1C2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根据有关专业标准和证监会风险提示，上市公司至少应在每年年度终了进行商誉减值测试，且应在商誉减值迹象出现时及时开展减值测试。 </w:t>
      </w:r>
    </w:p>
    <w:p w14:paraId="1AC8F1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正确理解、严格执行上述要求。即每年开展一次商誉减值测试是基本要求和“规定动作”，但不能认为反正年底都要集中开展一次商誉减值测试，平时对商誉所在资产组（或组合）的情况就可以“不闻不问”，在商誉特定减值迹象出现时也不及时开展减值测试。在此强调及重申如下：当商誉特定减值迹象出现时，上市公司应及时进行减值测试，而不能推迟到年度终了才集中开展一次减值测试。 </w:t>
      </w:r>
    </w:p>
    <w:p w14:paraId="29DD0D1B" w14:textId="77777777" w:rsidR="00A320E6" w:rsidRDefault="00000000" w:rsidP="009B5990">
      <w:pPr>
        <w:pStyle w:val="1a"/>
      </w:pPr>
      <w:r>
        <w:rPr>
          <w:rFonts w:hint="eastAsia"/>
        </w:rPr>
        <w:t>三、合理认定商誉所在资产组（或组合）及分摊商誉 </w:t>
      </w:r>
    </w:p>
    <w:p w14:paraId="204C96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有关专业标准和证监会风险提示，对商誉的减值测试实质上是对包含商誉的资产组（或组合）进行减值测试，对单独的商誉是无法开展减值测试的。因此，上市公司必须按相关要求，合理认定商誉所在的资产组（或组合），并将商誉合理分摊至资产组（或组合）。 </w:t>
      </w:r>
    </w:p>
    <w:p w14:paraId="352D26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需要说明的是，上市公司一般不应直接将形成商誉时所收购子公司的净资产认定为商誉所在的资产组（或组合），且非经营性资产、非经营性负债及溢余资产也不应包括在商誉所在的资产组（或组合）内；对包含明显不同类型经营业务、产生明显不同来源现金流入的相关资产组（或组合），不应认定为同一资产组（或组合）。如同一子公司包含两项不同主营业务的，不应将该公司所有资产、负债作为同一资产组（或组合）。此外，商誉所在的资产组（或组合）应在商誉初始确认时就合理认定，后续减值测试时除非特殊原因（如重组等）不应随意变更。 </w:t>
      </w:r>
    </w:p>
    <w:p w14:paraId="20295775" w14:textId="77777777" w:rsidR="00A320E6" w:rsidRDefault="00000000" w:rsidP="009B5990">
      <w:pPr>
        <w:pStyle w:val="1a"/>
      </w:pPr>
      <w:r>
        <w:rPr>
          <w:rFonts w:hint="eastAsia"/>
        </w:rPr>
        <w:t>四、合法合规开展商誉减值测试 </w:t>
      </w:r>
    </w:p>
    <w:p w14:paraId="6D0CEE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有关规定，当商誉出现减值迹象的，应首先对不含商誉的资产组（或组合）进行减值测试、确认相应减值损失后，再对包含商誉的资产组（或组合）进行减值测试；如包含商誉的资产组（或组合）存在减值损失的，应先抵减商誉账面价值，再按比例抵减资产组中其他资产的账面价值；在对未来现金流量预测时，应确保选取的参数（销量、价格、增长率等）具有充分适当的依据，数据来源与历史业绩、未来可靠的运营计划、行业情况和宏观经济等相符；如果以前期间减值测试预测参</w:t>
      </w:r>
      <w:r>
        <w:rPr>
          <w:rFonts w:ascii="宋体" w:hAnsi="宋体" w:cs="宋体" w:hint="eastAsia"/>
          <w:sz w:val="24"/>
        </w:rPr>
        <w:lastRenderedPageBreak/>
        <w:t>数与期后实际情况存在重大偏差的，应充分识别相关原因并在本次减值测试中予以考虑。 </w:t>
      </w:r>
    </w:p>
    <w:p w14:paraId="241864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和中介机构应根据上述要求充分关注并切实做好相关工作：一是合理区分单项资产减值和商誉所在的资产组（或组合）减值，当商誉出现减值迹象时首先应对不含商誉的资产组（或组合）进行减值测试，并合理确定单项资产减值，以确保后续商誉所在的资产组（或组合）减值中不含单项资产本身的减值；二是合法合规处理商誉所在资产组（或组合）的资产减值损失，商誉所在资产组（或组合）的减值损失在抵减商誉全部账面价值后还有余额的，应按比例抵减资产组中其他资产的账面价值，当其他资产的账面价值没有进一步减值空间的，应复核减值测试结果是否准确；三是确保对未来现金流量预测时，所选取的参数具有充分适当的依据，且应对以前期间减值测试预测情况与实际情况做好对比分析，出现重大偏差的应充分考虑原因并作必要调整。 </w:t>
      </w:r>
    </w:p>
    <w:p w14:paraId="56E3773D" w14:textId="77777777" w:rsidR="00A320E6" w:rsidRDefault="00000000" w:rsidP="009B5990">
      <w:pPr>
        <w:pStyle w:val="1a"/>
      </w:pPr>
      <w:r>
        <w:rPr>
          <w:rFonts w:hint="eastAsia"/>
        </w:rPr>
        <w:t>五、真实、准确、完整披露商誉减值测试信息 </w:t>
      </w:r>
    </w:p>
    <w:p w14:paraId="6F6235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有关规定，上市公司应披露商誉减值测试过程、参数及商誉减值损失的确认方法。当发生重大减值损失或分摊到资产组的商誉账面价值重大的，应披露商誉所在资产组的基本情况、资产组中所包括的各项资产于当期确认的减值损失金额以及资产组的组成与前期相比是否变化、可回收金额的确定方法、公允价值减去处置费用的估计基础、未来现金流量折现法采用的折现率（当期和前期）、关键假设及其依据、与历史数据及外部信息来源是否一致等。 </w:t>
      </w:r>
    </w:p>
    <w:p w14:paraId="25992D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和中介机构应充分关注上述要求并切实做好相关工作，特别注意以下几点：一是如存在1项以上商誉且账面价值均重大的，应分别披露商誉所在资产组的基本情况及减值测试相关信息；二是对各项参数需进行准确披露，不得以定性描述代替定量数据；三是应披露关键假设相关的价值与历史经验及外部信息来源是否一致；四是如果前期采用了未来现金流量折现法，还应披露前期采用的折现率。 </w:t>
      </w:r>
    </w:p>
    <w:p w14:paraId="007461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述事项对应的有关问题是我局检查时发现的共性、典型问题而非全部问题，各上市公司和中介机构应对照上述事项，按照相关专业标准和证监会风险提示，举一反三、自查梳理，对商誉减值测试相关工作存在的薄弱和不足认真改进完善，不断提高对商誉减值的会计处理、审计及评估执业能力。我局将保持对商誉减值事项的监管关注，发现有关主体后续出现同样同类问题的，依法依规严格处理。 </w:t>
      </w:r>
    </w:p>
    <w:p w14:paraId="0BD69D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特此通报。</w:t>
      </w:r>
    </w:p>
    <w:p w14:paraId="436DAB08"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    四川证监局</w:t>
      </w:r>
    </w:p>
    <w:p w14:paraId="61473BAA"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    2019年12月18日</w:t>
      </w:r>
    </w:p>
    <w:p w14:paraId="04C8E48B" w14:textId="77777777" w:rsidR="00A320E6" w:rsidRDefault="00000000" w:rsidP="00B40F35">
      <w:pPr>
        <w:spacing w:beforeLines="50" w:before="156" w:afterLines="20" w:after="62" w:line="360" w:lineRule="auto"/>
        <w:jc w:val="center"/>
        <w:outlineLvl w:val="2"/>
        <w:rPr>
          <w:rFonts w:ascii="宋体" w:hAnsi="宋体" w:cs="宋体"/>
          <w:b/>
          <w:bCs/>
          <w:sz w:val="24"/>
        </w:rPr>
      </w:pPr>
      <w:bookmarkStart w:id="65" w:name="_Toc112227373"/>
      <w:r>
        <w:rPr>
          <w:rFonts w:ascii="宋体" w:hAnsi="宋体" w:cs="宋体" w:hint="eastAsia"/>
          <w:b/>
          <w:bCs/>
          <w:sz w:val="24"/>
          <w:szCs w:val="24"/>
        </w:rPr>
        <w:t>2019年度商誉减值审计与评估专题检查情况的通报</w:t>
      </w:r>
      <w:bookmarkEnd w:id="65"/>
    </w:p>
    <w:p w14:paraId="29F45E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商誉减值因其实务操作的复杂性、后续计量的高度不确定性，一直以来都是会计、审计及评估的难点问题，也是直接影响上市公司业绩的重点领域。为此，我部于2018年11月印发了《会计监管风险提示第8号——商誉减值》（以下简称《风险提示第8号》），以便指导系统单位加强商誉减值的会计监管，也给实务界做好与商誉减值相关的审计、评估工作提供了必要遵循。</w:t>
      </w:r>
    </w:p>
    <w:p w14:paraId="1EE0AC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进一步了解与评估《风险提示第8号》的执行与落实情况，防范和化解特定领域金融风险，我部组织证监局开展了商誉减值审计与评估专题检查，重点检查了2018年计提大额商誉减值、存在大额商誉余额但2018年未计提减值的项目。36家证监局合计抽查了132家上市公司的131个审计项目和125个评估项目，涉及33家审计机构和45家评估机构（包括42家证券资格评估机构、1家非证券资格评估机构和2家会计师事务所），涵盖了制造业，批发和零售业，文化、体育和娱乐业，信息传输、软件和信息技术服务业，教育业等多个高商誉行业。</w:t>
      </w:r>
    </w:p>
    <w:p w14:paraId="2C457C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从检查情况看，多数上市公司和审计、评估机构能够按照《风险提示第8号》和相关会计、审计、评估准则的要求，勤勉尽责地履行必要的工作程序，形成恰当的工作结论。总体来看，上市公司、审计机构、评估机构在2018年年报有关商誉减值的工作中，较以前年度有明显改善，但问题依旧存在，主要集中在资产组认定、减值测试方法、重要参数选取、与商誉减值相关信息披露、三方沟通与协调等方面。具体来看：</w:t>
      </w:r>
    </w:p>
    <w:p w14:paraId="00C3D6C4" w14:textId="77777777" w:rsidR="00A320E6" w:rsidRDefault="00000000" w:rsidP="009B5990">
      <w:pPr>
        <w:pStyle w:val="1a"/>
      </w:pPr>
      <w:r>
        <w:rPr>
          <w:rFonts w:hint="eastAsia"/>
        </w:rPr>
        <w:t>一、关于资产组的认定</w:t>
      </w:r>
    </w:p>
    <w:p w14:paraId="7412DD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经统计，本次专题检查中，绝大多数资产组包含了长期资产，仅有77%的资产组包含了全部商誉，但有73%的资产组包含了营运资金，26%的资产组包含了与商誉不相关的非经营性资产与负债。</w:t>
      </w:r>
    </w:p>
    <w:p w14:paraId="12BF5F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按照准则要求，资产组一般以长期资产为主，不包括流动资产、流动负债、非流动负债、溢余资产与负债、非经营性资产与负债，除非不考虑相关资产或负债便难以预计资产组的可收回金额。</w:t>
      </w:r>
    </w:p>
    <w:p w14:paraId="52B264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检查发现，有的上市公司未合理认定资产组，直接将子公司的全部资产与负债整体划分为一个资产组，未将非经营性资产、负债剔除；有的上市公司未合理考虑管理层对商誉的管理方式和监控水平，认定的资产组组合大于报告分部；有的上市公司未根据子公司业务变更的实际情况，合理调整资产组或资产组组合范围。</w:t>
      </w:r>
    </w:p>
    <w:p w14:paraId="20CC8D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在审计过程中，有的审计机构对商誉所在资产组执行的审计程序不到位，未结合具体业务情况充分分析被审计单位认定的商誉所在资产组或资产组组合的合理性。</w:t>
      </w:r>
    </w:p>
    <w:p w14:paraId="624FB7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评估过程中，有的评估机构未对资产组或资产组组合的范围进行充分的现场调查，简单将委托方划定的资产组或资产组组合作为评估范围，导致未发现部分资产组不恰当地包含了非经营性资产与负债，扩大了评估范围。</w:t>
      </w:r>
    </w:p>
    <w:p w14:paraId="274F159A" w14:textId="77777777" w:rsidR="00A320E6" w:rsidRDefault="00000000" w:rsidP="009B5990">
      <w:pPr>
        <w:pStyle w:val="1a"/>
      </w:pPr>
      <w:r>
        <w:rPr>
          <w:rFonts w:hint="eastAsia"/>
        </w:rPr>
        <w:t>二、减值测试方法</w:t>
      </w:r>
    </w:p>
    <w:p w14:paraId="1FFC72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按照准则要求，上市公司应当将公允价值减去处置费用后的净额与预计未来现金净流量的现值孰高者作为资产组的可收回金额，并将资产组的可收回金额与资产组的账面价值相比较，从而确定资产组的减值金额并合理分摊。</w:t>
      </w:r>
    </w:p>
    <w:p w14:paraId="32AEB8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检查发现，有的上市公司未按照预计未来现金流量现值和公允价值减去处置费用后的净额二者孰高，而是简单直接采用一种方法估计资产组的可收回金额，可能导致高估商誉减值金额。</w:t>
      </w:r>
    </w:p>
    <w:p w14:paraId="73E337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有的评估机构在执业中也存在类似问题，未充分分析不同评估方法的适用性，未恰当选择适合商誉减值目的的评估方法或仅选用一种评估方法，简单以市场法、收益法或资产基础法评估的企业价值等同于资产组的可收回金额，直接将成本法评估的市场价值等同于公允价值减去处置费用后的净额。</w:t>
      </w:r>
    </w:p>
    <w:p w14:paraId="6EDBBF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在审计过程中，有的审计机构对商誉减值测试方法执行的审计程序不到位，未充分关注前述问题并复核被审计单位管理层的工作，未合理评价减值测试方法的恰当性。</w:t>
      </w:r>
    </w:p>
    <w:p w14:paraId="7F54B219" w14:textId="77777777" w:rsidR="00A320E6" w:rsidRDefault="00000000" w:rsidP="009B5990">
      <w:pPr>
        <w:pStyle w:val="1a"/>
      </w:pPr>
      <w:r>
        <w:rPr>
          <w:rFonts w:hint="eastAsia"/>
        </w:rPr>
        <w:t>三、重要参数选取</w:t>
      </w:r>
    </w:p>
    <w:p w14:paraId="6F4165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实务中，折现率、增长率、预测期等参数的选取具有高度的主观性，但往往也对商誉减值测试的结论有重大影响。</w:t>
      </w:r>
    </w:p>
    <w:p w14:paraId="3ACFEE8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经统计，本次专题检查中，超过八成的税前折现率指标集中在10%至18%之间，并以13%至15%区间最为常见（占比31.21%）；多数行业的税前折现率差异在3%以</w:t>
      </w:r>
      <w:r>
        <w:rPr>
          <w:rFonts w:ascii="宋体" w:hAnsi="宋体" w:cs="宋体" w:hint="eastAsia"/>
          <w:sz w:val="24"/>
        </w:rPr>
        <w:lastRenderedPageBreak/>
        <w:t>内，但医药制造业（最多相差12.2%）、化学原料和化学制品制造业（最多相差6.85%）、电气机械和器材制造业（最多相差6.04%）的税前折现率差异较大。预测期增长率体现为逐年降低、逐年增长、平稳、波动增长后再降低4种趋势，并以逐年降低最为常见（占比46%）；多数预测期增长率集中在0至20%，占比超过70%；预测期增长率高于100%仅占5%。绝大多数永续期增长率为0，大于0且小于3%的约占10%，低于0或大于3%的占比不超过5%。绝大多数预测期为5年（占比86%），预测期超过5年的约占5%（又以10年较为常见），极少数预测期在5年以内。</w:t>
      </w:r>
    </w:p>
    <w:p w14:paraId="55FDD2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检查发现，重要参数指标严重偏离行业平均水平的项目往往存在较多的执业质量问题。有的上市公司在选取重要参数时，未充分关注报告期已经发生的行业变化趋势或本企业生产经营的实际情况，有意采用较为乐观或悲观的估计，选取的关键参数不合理，直接影响商誉减值结果。</w:t>
      </w:r>
    </w:p>
    <w:p w14:paraId="057810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审计过程中，有的审计机构对被审计单位减值测试选取的重要参数和基础数据所执行的审计程序不到位，未充分复核被审计单位管理层的预测依据和合理性，未充分识别并关注管理层可能存在的偏向；有的审计机构未充分考虑前期减值情况、期后事项对报告期商誉减值测试及其结论的影响，未关注以前期间重要参数与报告期差异较大的原因。</w:t>
      </w:r>
    </w:p>
    <w:p w14:paraId="6A1B3F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评估过程中，有的评估机构未对业务合同、意向协议的真实性进行调查，未对获取的资料执行必要的核验程序，选取重要参数的依据不充分，存在同一行业不同企业或同一企业不同期间预测的参数差异较大的情况；有的评估机构选取的重要参数有误，未恰当使用税前折现率、所得税率、期间费用率等指标，导致高估或低估评估结论。</w:t>
      </w:r>
    </w:p>
    <w:p w14:paraId="32688E66" w14:textId="77777777" w:rsidR="00A320E6" w:rsidRDefault="00000000" w:rsidP="009B5990">
      <w:pPr>
        <w:pStyle w:val="1a"/>
      </w:pPr>
      <w:r>
        <w:rPr>
          <w:rFonts w:hint="eastAsia"/>
        </w:rPr>
        <w:t>四、与商誉减值相关信息披露</w:t>
      </w:r>
    </w:p>
    <w:p w14:paraId="702BB1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按照准则规定和监管要求，上市公司和审计、评估机构应当在其工作成果文件中详细披露与商誉减值相关的、对投资者作出决策有用的所有重要信息。</w:t>
      </w:r>
    </w:p>
    <w:p w14:paraId="575886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检查发现，有的上市公司未充分披露与商誉减值相关的重要、关键信息，或披露的信息缺乏实质性内容，如未充分披露资产组或资产组组合的认定和构成，未充分披露资产组与以前年度相比是否发生变化以及变化原因，未充分披露预计未来现金流量现值所采用的重要参数及其确定依据，未充分披露未实现业绩承诺对商誉减值的影响等信息。</w:t>
      </w:r>
    </w:p>
    <w:p w14:paraId="7A36BBE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在审计过程中，有的审计机构未充分关注财务报告仅披露商誉和商誉减值损失的金额以及减值测试方法，对商誉减值相关重要信息（尤其是资产组或资产组组合、重要参数及确定依据等）披露不充分，或者披露信息缺乏实质性内容等情况；有的审计机构未充分关注财务报告未披露减值测试涉及的重要参数和信息与形成商誉时或以前年度减值测试时的信息明显不一致的情况；还有的审计机构未充分关注财务报告中与商誉减值相关信息披露错误的情况。</w:t>
      </w:r>
    </w:p>
    <w:p w14:paraId="20D2AD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评估过程中，有的评估机构出具的评估报告体例不规范、不完整，未明确说明与商誉减值相关的评估要素及其合理性（如评估范围的变化及其影响），未充分披露重要参数的测算过程和数据来源，未充分披露对理解和使用评估报告有重要影响的特别事项及期后事项。</w:t>
      </w:r>
    </w:p>
    <w:p w14:paraId="4D49D2A3" w14:textId="77777777" w:rsidR="00A320E6" w:rsidRDefault="00000000" w:rsidP="009B5990">
      <w:pPr>
        <w:pStyle w:val="1a"/>
      </w:pPr>
      <w:r>
        <w:rPr>
          <w:rFonts w:hint="eastAsia"/>
        </w:rPr>
        <w:t>五、上市公司、审计机构与评估机构的沟通与协调</w:t>
      </w:r>
    </w:p>
    <w:p w14:paraId="2422A1C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上市公司可以独立进行商誉减值测试，也可以聘请评估机构等外部专家辅助开展商誉减值测试；审计机构对商誉减值事项审计时，可以利用专家工作，并着重考虑专家工作对审计工作的支持程度。</w:t>
      </w:r>
    </w:p>
    <w:p w14:paraId="5FA49AE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但实务中，一些上市公司、审计机构与评估机构之间缺乏必要的沟通与协调，相关工作底稿记录不完善，直接影响商誉减值测试及相关审计、评估工作的有效性。</w:t>
      </w:r>
    </w:p>
    <w:p w14:paraId="48D804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检查发现，有的上市公司简单以子公司股权价值评估报告的结果作为确定商誉减值的依据，有的上市公司直接将评估机构的工作成果以用于商誉减值测试而未加以恰当调整，还有的上市公司聘请的评估机构不具备证券资格。</w:t>
      </w:r>
    </w:p>
    <w:p w14:paraId="2230DE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审计过程中，有的审计机构未充分复核专家的工作过程及其所作的重要职业判断，尤其是未充分关注和复核专家使用的重要假设和方法，以及专家所使用的重要原始数据的相关性、准确性和可靠性；有的审计机构未充分复核专家工作对审计工作的支持程度及其是否适应财务报表审计目的，导致不恰当使用评估专家的工作结果；还有的审计机构未充分关注和复核专家的独立性和胜任能力。</w:t>
      </w:r>
    </w:p>
    <w:p w14:paraId="47C4F8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评估过程中，有的评估机构未事前与委托方或审计机构就资产组的认定进行沟通，未充分关注商誉所在资产组范围的合理性；有的评估机构未与委托方明确约定评估目的，或在业务约定明确的情况下，擅自出具不符合业务约定的评估咨询报告、估值报告等其他形式的文件。</w:t>
      </w:r>
    </w:p>
    <w:p w14:paraId="6A7ACF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上述问题反映出部分上市公司和审计、评估机构在理解和执行《风险提示第8</w:t>
      </w:r>
      <w:r>
        <w:rPr>
          <w:rFonts w:ascii="宋体" w:hAnsi="宋体" w:cs="宋体" w:hint="eastAsia"/>
          <w:sz w:val="24"/>
        </w:rPr>
        <w:lastRenderedPageBreak/>
        <w:t>号》时，仍然存在不当之处，有待进一步改进。根据检查情况，相关证监局已（拟）对30个审计项目、30个评估项目的执业机构和主要责任人分别采取了监管谈话、出具警示函、责令改正的行政监管措施并记入诚信档案，涉及16家审计机构和58人次注册会计师、20家评估机构和48人次资产评估师。</w:t>
      </w:r>
    </w:p>
    <w:p w14:paraId="0467F51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审计、评估机构应当高度重视商誉减值相关的审计、评估工作，及时总结主要执业问题与风险点，不断完善内部操作指引和质量控制复核要求，努力提高与商誉减值相关的审计、评估执业质量，坚决杜绝类似执业问题的再次发生。下一步，我部将继续强化商誉减值的审计与评估监管，重点关注关键参数指标偏离行业均值的审计、评估项目执业质量，加强事中事后监管，严肃处理违法违规行为，不断提升资本市场财务信息披露质量。</w:t>
      </w:r>
    </w:p>
    <w:p w14:paraId="23310769" w14:textId="77777777" w:rsidR="00A320E6" w:rsidRPr="00F67407" w:rsidRDefault="00000000" w:rsidP="00B40F35">
      <w:pPr>
        <w:spacing w:beforeLines="50" w:before="156" w:afterLines="20" w:after="62" w:line="360" w:lineRule="auto"/>
        <w:jc w:val="center"/>
        <w:outlineLvl w:val="2"/>
        <w:rPr>
          <w:rFonts w:ascii="宋体" w:hAnsi="宋体" w:cs="宋体"/>
          <w:b/>
          <w:bCs/>
          <w:sz w:val="24"/>
          <w:szCs w:val="24"/>
        </w:rPr>
      </w:pPr>
      <w:bookmarkStart w:id="66" w:name="_Toc112227374"/>
      <w:r w:rsidRPr="00F67407">
        <w:rPr>
          <w:rFonts w:ascii="宋体" w:hAnsi="宋体" w:cs="宋体" w:hint="eastAsia"/>
          <w:b/>
          <w:bCs/>
          <w:sz w:val="24"/>
          <w:szCs w:val="24"/>
        </w:rPr>
        <w:t>上海证券交易所上市公司自律监管指引第6号——重大资产重组</w:t>
      </w:r>
      <w:bookmarkEnd w:id="66"/>
    </w:p>
    <w:p w14:paraId="2AF5FB25"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上证发〔2022〕7号</w:t>
      </w:r>
    </w:p>
    <w:p w14:paraId="39B09687" w14:textId="77777777" w:rsidR="00A320E6" w:rsidRDefault="00000000" w:rsidP="00445D7B">
      <w:pPr>
        <w:pStyle w:val="a3"/>
        <w:spacing w:line="360" w:lineRule="auto"/>
        <w:ind w:firstLineChars="0" w:firstLine="0"/>
        <w:rPr>
          <w:rFonts w:ascii="宋体" w:hAnsi="宋体" w:cs="宋体"/>
          <w:sz w:val="24"/>
        </w:rPr>
      </w:pPr>
      <w:r>
        <w:rPr>
          <w:rFonts w:ascii="宋体" w:hAnsi="宋体" w:cs="宋体" w:hint="eastAsia"/>
          <w:sz w:val="24"/>
        </w:rPr>
        <w:t xml:space="preserve">各市场参与人： </w:t>
      </w:r>
    </w:p>
    <w:p w14:paraId="468B9B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为优化上市公司自律监管规则体系，上海证券交易所（以下简称本所）对《上海证券交易所上市公司自律监管规则适用指引第1号——重大资产重组》进行了修订，并更名为“上海证券交易所上市公司自律监管指引第6号——重大资产重组”。现正式发布《上海证券交易所上市公司自律监管指引第6号——重大资产重组》（详见附件），并自发布之日起施行。本所此前发布的《上海证券交易所上市公司自律监管规则适用指引第1号——重大资产重组》（上证发〔2020〕66号）同时废止。 </w:t>
      </w:r>
    </w:p>
    <w:p w14:paraId="74EA8A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特此通知。 </w:t>
      </w:r>
    </w:p>
    <w:p w14:paraId="64C1C716"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 xml:space="preserve"> 上海证券交易所</w:t>
      </w:r>
    </w:p>
    <w:p w14:paraId="78FF92B2"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二〇二二年一月七日</w:t>
      </w:r>
    </w:p>
    <w:p w14:paraId="7FABB298" w14:textId="77777777" w:rsidR="00A320E6" w:rsidRDefault="00000000" w:rsidP="00445D7B">
      <w:pPr>
        <w:pStyle w:val="13"/>
        <w:spacing w:before="62" w:after="62"/>
      </w:pPr>
      <w:r>
        <w:rPr>
          <w:rFonts w:hint="eastAsia"/>
        </w:rPr>
        <w:t>第一章 总则</w:t>
      </w:r>
    </w:p>
    <w:p w14:paraId="78EF5BD7" w14:textId="1B322CAA"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w:t>
      </w:r>
      <w:r w:rsidR="00977BD5">
        <w:rPr>
          <w:rFonts w:ascii="宋体" w:hAnsi="宋体" w:cs="宋体" w:hint="eastAsia"/>
          <w:b/>
          <w:sz w:val="24"/>
        </w:rPr>
        <w:t xml:space="preserve">条 </w:t>
      </w:r>
      <w:r>
        <w:rPr>
          <w:rFonts w:ascii="宋体" w:hAnsi="宋体" w:cs="宋体" w:hint="eastAsia"/>
          <w:sz w:val="24"/>
        </w:rPr>
        <w:t>为规范上市公司重大资产重组信息披露及相关行为，维护证券市场秩序，保护投资者合法权益，根据中国证监会《上市公司重大资产重组管理办法》（以下简称《重组办法》）、《科创板上市公司重大资产重组特别规定》《公开发行证券的公司信息披露内容与格式准则第26号——上市公司重大资产重组》（以下简称《内容与格式准则第26号》）、《上海证券交易所股票上市规则》和《上海证券交易所科创板股票上市规则》（以下统称《股票上市规则》）等规定，制定本指引。</w:t>
      </w:r>
    </w:p>
    <w:p w14:paraId="11A3333B" w14:textId="5D37A0CF"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lastRenderedPageBreak/>
        <w:t>第二</w:t>
      </w:r>
      <w:r w:rsidR="00977BD5">
        <w:rPr>
          <w:rFonts w:ascii="宋体" w:hAnsi="宋体" w:cs="宋体" w:hint="eastAsia"/>
          <w:b/>
          <w:sz w:val="24"/>
        </w:rPr>
        <w:t xml:space="preserve">条 </w:t>
      </w:r>
      <w:r>
        <w:rPr>
          <w:rFonts w:ascii="宋体" w:hAnsi="宋体" w:cs="宋体" w:hint="eastAsia"/>
          <w:sz w:val="24"/>
        </w:rPr>
        <w:t>上海证券交易所（以下简称本所）上市公司及有关各方筹划、实施《重组办法》规定的资产交易行为（以下简称重大资产重组或重组），其信息披露及其他相关行为，应当遵守《重组办法》《内容与格式准则第26号》《股票上市规则》和本指引等规定。科创板上市公司及有关各方还应当遵守《上海证券交易所科创板上市公司重大资产重组审核规则》（以下简称《科创板重组审核规则》）、《上海证券交易所科创板发行上市审核规则适用指引第2号——上市公司重大资产重组审核标准及相关事项》等相关规定。</w:t>
      </w:r>
    </w:p>
    <w:p w14:paraId="3CF1161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前款所称有关各方，主要包括上市公司股东、实际控制人、董事、监事、高级管理人员和其他交易各方，以及为重大资产重组提供服务的证券服务机构和人员等相关方。</w:t>
      </w:r>
    </w:p>
    <w:p w14:paraId="07E9E2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上市公司发行存托凭证、优先股、可转换为股票的公司债券（以下简称可转换公司债券）、定向权证购买资产或者募集配套资金，或者实施涉及股份发行的合并、分立的，参照适用本指引规定。</w:t>
      </w:r>
    </w:p>
    <w:p w14:paraId="3292CBB2" w14:textId="22B64856"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w:t>
      </w:r>
      <w:r w:rsidR="00977BD5">
        <w:rPr>
          <w:rFonts w:ascii="宋体" w:hAnsi="宋体" w:cs="宋体" w:hint="eastAsia"/>
          <w:b/>
          <w:sz w:val="24"/>
        </w:rPr>
        <w:t xml:space="preserve">条 </w:t>
      </w:r>
      <w:r>
        <w:rPr>
          <w:rFonts w:ascii="宋体" w:hAnsi="宋体" w:cs="宋体" w:hint="eastAsia"/>
          <w:sz w:val="24"/>
        </w:rPr>
        <w:t>上市公司应当及时、公平地披露重组相关信息，并保证所披露信息的真实、准确、完整。有关各方应当主动配合上市公司做好信息披露工作，及时、主动地向上市公司提供涉及重大资产重组的相关信息，并保证所提供信息的真实、准确、完整。</w:t>
      </w:r>
    </w:p>
    <w:p w14:paraId="449D2882" w14:textId="4EAA8BBC"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w:t>
      </w:r>
      <w:r w:rsidR="00977BD5">
        <w:rPr>
          <w:rFonts w:ascii="宋体" w:hAnsi="宋体" w:cs="宋体" w:hint="eastAsia"/>
          <w:b/>
          <w:sz w:val="24"/>
        </w:rPr>
        <w:t xml:space="preserve">条 </w:t>
      </w:r>
      <w:r>
        <w:rPr>
          <w:rFonts w:ascii="宋体" w:hAnsi="宋体" w:cs="宋体" w:hint="eastAsia"/>
          <w:sz w:val="24"/>
        </w:rPr>
        <w:t>上市公司及有关各方应当审慎筹划涉及上市公司的重大资产重组事项，保证重大资产重组事项的真实性和可行性，有利于提高上市公司质量。</w:t>
      </w:r>
    </w:p>
    <w:p w14:paraId="5C27C995" w14:textId="3E59F7E2"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Pr>
          <w:rFonts w:ascii="宋体" w:hAnsi="宋体" w:cs="宋体" w:hint="eastAsia"/>
          <w:sz w:val="24"/>
        </w:rPr>
        <w:t xml:space="preserve"> 上市公司及有关各方应当按照中国证监会及本所相关规定登记、报送内幕信息知情人档案，并编制交易进程备忘录。</w:t>
      </w:r>
    </w:p>
    <w:p w14:paraId="7D6D48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上市公司及有关各方须制定切实可行的保密措施，严格履行保密义务。</w:t>
      </w:r>
    </w:p>
    <w:p w14:paraId="648220A6" w14:textId="55651E8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Pr>
          <w:rFonts w:ascii="宋体" w:hAnsi="宋体" w:cs="宋体" w:hint="eastAsia"/>
          <w:sz w:val="24"/>
        </w:rPr>
        <w:t xml:space="preserve"> 上市公司应当审慎申请对上市公司股票及其衍生品种停牌，严格控制停牌时间，避免滥用停牌或者无故拖延复牌时间，避免以申请停牌代替上市公司及有关各方的信息保密义务。</w:t>
      </w:r>
    </w:p>
    <w:p w14:paraId="6F2B604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涉及停复牌业务的，上市公司应当按照《上海证券交易所上市公司自律监管指引第4号——停复牌》相关规定办理（公告格式详见附件1）。</w:t>
      </w:r>
    </w:p>
    <w:p w14:paraId="6E19C482" w14:textId="757D3341"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Pr>
          <w:rFonts w:ascii="宋体" w:hAnsi="宋体" w:cs="宋体" w:hint="eastAsia"/>
          <w:sz w:val="24"/>
        </w:rPr>
        <w:t xml:space="preserve"> 独立财务顾问应当遵守法律、行政法规和中国证监会的有关规定，以及本所的相关规则，诚实守信、勤勉尽责，审慎接受业务委托，切实履行尽职调查义</w:t>
      </w:r>
      <w:r>
        <w:rPr>
          <w:rFonts w:ascii="宋体" w:hAnsi="宋体" w:cs="宋体" w:hint="eastAsia"/>
          <w:sz w:val="24"/>
        </w:rPr>
        <w:lastRenderedPageBreak/>
        <w:t>务，认真核查申报文件，独立出具专业意见，并督促、协助上市公司及有关各方及时履行信息披露义务。</w:t>
      </w:r>
    </w:p>
    <w:p w14:paraId="6D948F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其他提供服务的证券服务机构也应当按照相关规定履行职责。</w:t>
      </w:r>
    </w:p>
    <w:p w14:paraId="77639706" w14:textId="6AE30B30"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Pr>
          <w:rFonts w:ascii="宋体" w:hAnsi="宋体" w:cs="宋体" w:hint="eastAsia"/>
          <w:sz w:val="24"/>
        </w:rPr>
        <w:t xml:space="preserve"> 上市公司在筹划、实施重大资产重组事项过程中，应当及时、公平地向所有投资者披露相关信息，回应市场或媒体重大质疑，并按照本指引等相关规定召开投资者说明会或媒体说明会。</w:t>
      </w:r>
    </w:p>
    <w:p w14:paraId="42A5A6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媒体说明会及投资者说明会应当使用事实描述性的语言，确保真实准确、简明清晰、通俗易懂，不得有虚假记载、误导性陈述或者重大遗漏，不得利用说明会进行广告性、夸大性等不实宣传。</w:t>
      </w:r>
    </w:p>
    <w:p w14:paraId="67E24D6C" w14:textId="0A653C97"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Pr>
          <w:rFonts w:ascii="宋体" w:hAnsi="宋体" w:cs="宋体" w:hint="eastAsia"/>
          <w:sz w:val="24"/>
        </w:rPr>
        <w:t xml:space="preserve"> 上市公司应当在非交易时间向本所提交重大资产重组相关信息披露文件。本所对上市公司重大资产重组相关信息披露进行事后监管，根据相关规定及监管需要对重组方案实施问询，上市公司应当及时披露本所问询函及回复，并披露修订后的信息披露文件。</w:t>
      </w:r>
    </w:p>
    <w:p w14:paraId="6FC10C7C" w14:textId="0007399A"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Pr>
          <w:rFonts w:ascii="宋体" w:hAnsi="宋体" w:cs="宋体" w:hint="eastAsia"/>
          <w:sz w:val="24"/>
        </w:rPr>
        <w:t xml:space="preserve"> 上市公司应当关注社交媒体或市场出现的关于本公司重大资产重组的媒体报道、市场传闻（以下简称传闻）。如传闻可能或者已经对公司股票及其衍生品种交易情况产生较大影响的，上市公司及有关各方应当按照《股票上市规则》等规定，及时予以核实并披露澄清公告。</w:t>
      </w:r>
    </w:p>
    <w:p w14:paraId="5C08F299" w14:textId="77777777" w:rsidR="00A320E6" w:rsidRDefault="00000000" w:rsidP="00445D7B">
      <w:pPr>
        <w:pStyle w:val="13"/>
        <w:spacing w:before="62" w:after="62"/>
      </w:pPr>
      <w:r>
        <w:rPr>
          <w:rFonts w:hint="eastAsia"/>
        </w:rPr>
        <w:t>第二章 重组方案</w:t>
      </w:r>
    </w:p>
    <w:p w14:paraId="5E4FB3AB" w14:textId="77777777" w:rsidR="00A320E6" w:rsidRDefault="00000000" w:rsidP="00445D7B">
      <w:pPr>
        <w:pStyle w:val="13"/>
        <w:spacing w:before="62" w:after="62"/>
      </w:pPr>
      <w:r>
        <w:rPr>
          <w:rFonts w:hint="eastAsia"/>
        </w:rPr>
        <w:t>第一节 重组方案披露</w:t>
      </w:r>
    </w:p>
    <w:p w14:paraId="32AC8A07" w14:textId="5003DC3D"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Pr>
          <w:rFonts w:ascii="宋体" w:hAnsi="宋体" w:cs="宋体" w:hint="eastAsia"/>
          <w:sz w:val="24"/>
        </w:rPr>
        <w:t xml:space="preserve"> 上市公司首次披露重组方案，可以披露重组预案，也可以直接披露重组报告书。重组预案或重组报告书均应符合《内容与格式准则第26号》以及本指引的要求（重组预案格式详见附件2）。有关各方应当积极推进重组事项，及时披露重组方案。</w:t>
      </w:r>
    </w:p>
    <w:p w14:paraId="2037FF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筹划不需要中国证监会核准、注册的重大资产重组，可以按照分阶段披露原则，在披露重组方案前披露筹划重大资产重组提示性公告（以下简称重组提示性公告）。重组提示性公告应当明确披露重组方案的预计时间、重组标的名称或标的范围、主要交易对方、交易方式等。预计时间届满前，上市公司应当披露重组方案。公司未在预定时间内披露重组方案的，应当及时披露原因、风险及是否存在重大障碍。</w:t>
      </w:r>
    </w:p>
    <w:p w14:paraId="1F4D78CB" w14:textId="5491C17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lastRenderedPageBreak/>
        <w:t>第十二条</w:t>
      </w:r>
      <w:r>
        <w:rPr>
          <w:rFonts w:ascii="宋体" w:hAnsi="宋体" w:cs="宋体" w:hint="eastAsia"/>
          <w:sz w:val="24"/>
        </w:rPr>
        <w:t xml:space="preserve"> 上市公司首次披露重组方案至发出审议本次重组方案的股东大会通知前，应当与交易各方保持沟通联系，并至少每30日披露一次进展公告，说明本次重组事项的具体进展情况。若本次重组发生重大进展或重大变化，上市公司应当及时披露。确实已不具备实施条件的，上市公司应当尽快终止。</w:t>
      </w:r>
    </w:p>
    <w:p w14:paraId="7A1FD8F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上市公司披露重组提示性公告的，应当参照上述内容，及时履行信息披露义务。</w:t>
      </w:r>
    </w:p>
    <w:p w14:paraId="32D25D2F" w14:textId="1C21368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977BD5">
        <w:rPr>
          <w:rFonts w:ascii="宋体" w:hAnsi="宋体" w:cs="宋体" w:hint="eastAsia"/>
          <w:sz w:val="24"/>
        </w:rPr>
        <w:t xml:space="preserve"> </w:t>
      </w:r>
      <w:r>
        <w:rPr>
          <w:rFonts w:ascii="宋体" w:hAnsi="宋体" w:cs="宋体" w:hint="eastAsia"/>
          <w:sz w:val="24"/>
        </w:rPr>
        <w:t>本指引</w:t>
      </w:r>
      <w:r w:rsidR="00977BD5" w:rsidRPr="00445D7B">
        <w:rPr>
          <w:rFonts w:ascii="宋体" w:hAnsi="宋体" w:cs="宋体" w:hint="eastAsia"/>
          <w:bCs/>
          <w:sz w:val="24"/>
        </w:rPr>
        <w:t>第十二条</w:t>
      </w:r>
      <w:r>
        <w:rPr>
          <w:rFonts w:ascii="宋体" w:hAnsi="宋体" w:cs="宋体" w:hint="eastAsia"/>
          <w:sz w:val="24"/>
        </w:rPr>
        <w:t xml:space="preserve">所称重大进展包括但不限于以下内容: </w:t>
      </w:r>
    </w:p>
    <w:p w14:paraId="4B4DA0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（一）与独立财务顾问等证券服务机构签订重组服务协议等书面文件； </w:t>
      </w:r>
    </w:p>
    <w:p w14:paraId="7C1052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（二）与交易对方签订重组相关协议，或者对已签订的重组框架或意向协议作出重大修订或变更； </w:t>
      </w:r>
    </w:p>
    <w:p w14:paraId="194B674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（三）取得有权部门关于重组事项的审批意见等； </w:t>
      </w:r>
    </w:p>
    <w:p w14:paraId="7CC60CB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（四）尽职调查、审计、评估等工作取得阶段性进展； </w:t>
      </w:r>
    </w:p>
    <w:p w14:paraId="54E3E2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（五）筹划事项出现终止风险，如交易双方对价格产生严重分歧、市场出现大幅波动、税收政策及交易标的行业政策发生重大变化，可能导致交易失败。</w:t>
      </w:r>
    </w:p>
    <w:p w14:paraId="45692D5E" w14:textId="41367DCA"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w:t>
      </w:r>
      <w:r w:rsidR="00977BD5" w:rsidRPr="00445D7B">
        <w:rPr>
          <w:rFonts w:ascii="宋体" w:hAnsi="宋体" w:cs="宋体" w:hint="eastAsia"/>
          <w:bCs/>
          <w:sz w:val="24"/>
        </w:rPr>
        <w:t>第十二条</w:t>
      </w:r>
      <w:r>
        <w:rPr>
          <w:rFonts w:ascii="宋体" w:hAnsi="宋体" w:cs="宋体" w:hint="eastAsia"/>
          <w:sz w:val="24"/>
        </w:rPr>
        <w:t xml:space="preserve">所称重大变化包括但不限于以下内容： </w:t>
      </w:r>
    </w:p>
    <w:p w14:paraId="6EFE58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（一）更换、增加、减少交易标的； </w:t>
      </w:r>
    </w:p>
    <w:p w14:paraId="2E95E8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（二）更换独立财务顾问等证券服务机构； </w:t>
      </w:r>
    </w:p>
    <w:p w14:paraId="481143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（三）配套融资方案、交易作价出现重大调整； </w:t>
      </w:r>
    </w:p>
    <w:p w14:paraId="59690A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（四）重组交易标的所在产业、行业及市场环境等发生重大变化； </w:t>
      </w:r>
    </w:p>
    <w:p w14:paraId="2DC03F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（五）重组交易标的经营及财务状况发生重大变化； </w:t>
      </w:r>
    </w:p>
    <w:p w14:paraId="4351BD1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（六）交易对方、重组交易标的涉及重大诉讼或仲裁； </w:t>
      </w:r>
    </w:p>
    <w:p w14:paraId="31CEF0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（七）交易各方无法在预定时间内获得有关部门审批、达到重组先决条件或完成重组方案中做出的相关承诺； </w:t>
      </w:r>
    </w:p>
    <w:p w14:paraId="6AE553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（八）本次重大资产重组相关主体被中国证监会立案调查或者被司法机关立案侦查； </w:t>
      </w:r>
    </w:p>
    <w:p w14:paraId="7AB3B3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（九）上市公司无法与交易对方取得联系并及时获取重组进展情况； </w:t>
      </w:r>
    </w:p>
    <w:p w14:paraId="5B0733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（十）其他可能影响本次重组顺利推进的重大事项。</w:t>
      </w:r>
    </w:p>
    <w:p w14:paraId="3E541F9F" w14:textId="3CB1306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977BD5">
        <w:rPr>
          <w:rFonts w:ascii="宋体" w:hAnsi="宋体" w:cs="宋体" w:hint="eastAsia"/>
          <w:sz w:val="24"/>
        </w:rPr>
        <w:t xml:space="preserve"> </w:t>
      </w:r>
      <w:r>
        <w:rPr>
          <w:rFonts w:ascii="宋体" w:hAnsi="宋体" w:cs="宋体" w:hint="eastAsia"/>
          <w:sz w:val="24"/>
        </w:rPr>
        <w:t>上市公司披露重组报告书的，独立财务顾问应当按照《重组办法》《内容与格式准则第26号》《上市公司并购重组财务顾问业务管理办法》等规定，出具独立财务顾问报告。</w:t>
      </w:r>
    </w:p>
    <w:p w14:paraId="3C4DED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上市公司和有关各方存在不规范行为的，独立财务顾问应当督促其整改，并将整改情况在相关核查意见中予以说明。因上市公司或重组交易对方不配合，使尽职调查范围受限制，导致独立财务顾问无法做出判断的，独立财务顾问不得为上市公司出具独立财务顾问报告和相关核查意见。</w:t>
      </w:r>
    </w:p>
    <w:p w14:paraId="14A9BA68" w14:textId="58FF194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977BD5">
        <w:rPr>
          <w:rFonts w:ascii="宋体" w:hAnsi="宋体" w:cs="宋体" w:hint="eastAsia"/>
          <w:sz w:val="24"/>
        </w:rPr>
        <w:t xml:space="preserve"> </w:t>
      </w:r>
      <w:r>
        <w:rPr>
          <w:rFonts w:ascii="宋体" w:hAnsi="宋体" w:cs="宋体" w:hint="eastAsia"/>
          <w:sz w:val="24"/>
        </w:rPr>
        <w:t xml:space="preserve">上市公司进行需中国证监会核准的重大资产重组的，独立财务顾问应当根据中国证监会相关规定（详见附件3），对以下事项发表明确意见： </w:t>
      </w:r>
    </w:p>
    <w:p w14:paraId="4E60D9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（一）本次重大资产重组涉及的行业是否属于中国证监会《监管规则适用指引——上市类第1号》分类审核安排支持的行业； </w:t>
      </w:r>
    </w:p>
    <w:p w14:paraId="7491A71A" w14:textId="62847B8F"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（二）本次重大资产重组所涉及的交易类型是否属于同行业或上下游并购，是否构成《重组办法》</w:t>
      </w:r>
      <w:r w:rsidR="00EC0B72" w:rsidRPr="00445D7B">
        <w:rPr>
          <w:rFonts w:ascii="宋体" w:hAnsi="宋体" w:cs="宋体" w:hint="eastAsia"/>
          <w:bCs/>
          <w:sz w:val="24"/>
        </w:rPr>
        <w:t>第十三条</w:t>
      </w:r>
      <w:r>
        <w:rPr>
          <w:rFonts w:ascii="宋体" w:hAnsi="宋体" w:cs="宋体" w:hint="eastAsia"/>
          <w:sz w:val="24"/>
        </w:rPr>
        <w:t xml:space="preserve">规定的交易情形（以下简称重组上市）； </w:t>
      </w:r>
    </w:p>
    <w:p w14:paraId="12C491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（三）本次重大资产重组是否涉及发行股份； </w:t>
      </w:r>
    </w:p>
    <w:p w14:paraId="1A1920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（四）上市公司及其现任董事、高级管理人员是否存在被司法机关立案侦查或者被中国证监会立案调查尚未结案的情形； </w:t>
      </w:r>
    </w:p>
    <w:p w14:paraId="50F4A14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（五）中国证监会或本所要求的其他事项。</w:t>
      </w:r>
    </w:p>
    <w:p w14:paraId="53DD45AA" w14:textId="12C6CA5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977BD5">
        <w:rPr>
          <w:rFonts w:ascii="宋体" w:hAnsi="宋体" w:cs="宋体" w:hint="eastAsia"/>
          <w:sz w:val="24"/>
        </w:rPr>
        <w:t xml:space="preserve"> </w:t>
      </w:r>
      <w:r>
        <w:rPr>
          <w:rFonts w:ascii="宋体" w:hAnsi="宋体" w:cs="宋体" w:hint="eastAsia"/>
          <w:sz w:val="24"/>
        </w:rPr>
        <w:t>上市公司与有关各方签订业绩承诺等补偿协议的，上市公司披露的补偿协议应当包含以下内容：业绩承诺方、补偿方式、计算方法、补偿的数量和金额、触发补偿的条件、补偿的执行程序、补偿的时间期限、补偿的保障措施、争议解决方式等。上市公司应当说明补偿协议条款是否清晰明确、切实可行，并审慎论证履约风险。</w:t>
      </w:r>
    </w:p>
    <w:p w14:paraId="6AC66F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董事会和独立财务顾问应当基于现有条件客观论证分析业绩承诺的可实现性，包括补偿时间安排、股份解除限售安排、股份质押安排、补偿股份的表决权和股利分配权安排等，说明业绩补偿协议是否明确可行，以及保证上市公司能够获得切实可行的业绩补偿的相关措施，并充分提示是否存在补偿不足、补偿不及时的风险等。</w:t>
      </w:r>
    </w:p>
    <w:p w14:paraId="59A36105" w14:textId="2FFDA4A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977BD5">
        <w:rPr>
          <w:rFonts w:ascii="宋体" w:hAnsi="宋体" w:cs="宋体" w:hint="eastAsia"/>
          <w:sz w:val="24"/>
        </w:rPr>
        <w:t xml:space="preserve"> </w:t>
      </w:r>
      <w:r>
        <w:rPr>
          <w:rFonts w:ascii="宋体" w:hAnsi="宋体" w:cs="宋体" w:hint="eastAsia"/>
          <w:sz w:val="24"/>
        </w:rPr>
        <w:t>上市公司披露重组方案后，市场出现重大质疑的，公司应当及时披露公告予以澄清，并说明本次方案是否存在实质性障碍、是否拟继续推进。公司聘请的独立财务顾问应当出具专项意见。</w:t>
      </w:r>
    </w:p>
    <w:p w14:paraId="6BCDD0A9" w14:textId="77777777" w:rsidR="00A320E6" w:rsidRDefault="00000000" w:rsidP="00445D7B">
      <w:pPr>
        <w:pStyle w:val="13"/>
        <w:spacing w:before="62" w:after="62"/>
      </w:pPr>
      <w:r>
        <w:rPr>
          <w:rFonts w:hint="eastAsia"/>
        </w:rPr>
        <w:t>第二节 重组方案审议程序</w:t>
      </w:r>
    </w:p>
    <w:p w14:paraId="51CAC70C" w14:textId="68A2D6B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977BD5">
        <w:rPr>
          <w:rFonts w:ascii="宋体" w:hAnsi="宋体" w:cs="宋体" w:hint="eastAsia"/>
          <w:sz w:val="24"/>
        </w:rPr>
        <w:t xml:space="preserve"> </w:t>
      </w:r>
      <w:r>
        <w:rPr>
          <w:rFonts w:ascii="宋体" w:hAnsi="宋体" w:cs="宋体" w:hint="eastAsia"/>
          <w:sz w:val="24"/>
        </w:rPr>
        <w:t>上市公司筹划重大资产重组的，应当按规定编制重组预案或重组报告</w:t>
      </w:r>
      <w:r>
        <w:rPr>
          <w:rFonts w:ascii="宋体" w:hAnsi="宋体" w:cs="宋体" w:hint="eastAsia"/>
          <w:sz w:val="24"/>
        </w:rPr>
        <w:lastRenderedPageBreak/>
        <w:t>书，经董事会审议通过后予以披露。</w:t>
      </w:r>
    </w:p>
    <w:p w14:paraId="6B4307A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上市公司披露重组预案的，应当在董事会审议通过后的次一交易日披露重组预案摘要及全文、董事会决议公告、独立董事意见、独立财务顾问核查意见（如适用）、其他证券服务机构出具的文件或意见（如适用），并根据披露内容提交下列备查文件： </w:t>
      </w:r>
    </w:p>
    <w:p w14:paraId="058A5C6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（一）上市公司与交易对方签订的附生效条件的交易合同或协议； </w:t>
      </w:r>
    </w:p>
    <w:p w14:paraId="2807AC44" w14:textId="0F84FA3D"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（二）交易对方按照中国证监会《关于规范上市公司重大资产重组若干问题的规定》</w:t>
      </w:r>
      <w:r w:rsidR="00A45A13" w:rsidRPr="00445D7B">
        <w:rPr>
          <w:rFonts w:ascii="宋体" w:hAnsi="宋体" w:cs="宋体" w:hint="eastAsia"/>
          <w:bCs/>
          <w:sz w:val="24"/>
        </w:rPr>
        <w:t>第一条</w:t>
      </w:r>
      <w:r>
        <w:rPr>
          <w:rFonts w:ascii="宋体" w:hAnsi="宋体" w:cs="宋体" w:hint="eastAsia"/>
          <w:sz w:val="24"/>
        </w:rPr>
        <w:t xml:space="preserve">的要求出具的承诺； </w:t>
      </w:r>
    </w:p>
    <w:p w14:paraId="496886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（三）国家相关有权主管部门出具的原则性批复（如适用）； </w:t>
      </w:r>
    </w:p>
    <w:p w14:paraId="49EFF4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（四）上市公司拟购买资产的，在本次交易的首次董事会决议公告前，交易对方原则上应当提供已经合法拥有交易标的完整权利的证明文件，及不存在限制或者禁止转让情形的说明材料； </w:t>
      </w:r>
    </w:p>
    <w:p w14:paraId="158FBD8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上市公司拟采用发行股份购买资产，且最近一年及一期财务会计报告被注册会计师出具保留意见、否定意见或者无法表示意见的，注册会计师就相关非标准审计意见涉及事项的重大影响是否已经消除或者将通过本次交易予以消除出具的专项核查意见； </w:t>
      </w:r>
    </w:p>
    <w:p w14:paraId="4667E3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（六）被立案调查上市公司符合发行股份购买资产条件的说明（如适用）； </w:t>
      </w:r>
    </w:p>
    <w:p w14:paraId="1A87DE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（七）交易进程备忘录； </w:t>
      </w:r>
    </w:p>
    <w:p w14:paraId="696949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（八）本所要求的其他文件。</w:t>
      </w:r>
    </w:p>
    <w:p w14:paraId="07285B0D" w14:textId="6E67180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977BD5">
        <w:rPr>
          <w:rFonts w:ascii="宋体" w:hAnsi="宋体" w:cs="宋体" w:hint="eastAsia"/>
          <w:sz w:val="24"/>
        </w:rPr>
        <w:t xml:space="preserve"> </w:t>
      </w:r>
      <w:r>
        <w:rPr>
          <w:rFonts w:ascii="宋体" w:hAnsi="宋体" w:cs="宋体" w:hint="eastAsia"/>
          <w:sz w:val="24"/>
        </w:rPr>
        <w:t xml:space="preserve">上市公司披露重组报告书的，经董事会审议通过后，应当及时披露董事会决议公告、股东大会召开通知（如适用）、权益变动报告书或者收购报告书摘要（如适用）、重大资产重组报告书（草案）摘要及全文、独立财务顾问报告、独立核查意见和其他证券服务机构出具的报告和意见，并提交下列备查文件： </w:t>
      </w:r>
    </w:p>
    <w:p w14:paraId="3239BB32" w14:textId="7B80AF1A"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w:t>
      </w:r>
      <w:r w:rsidR="00EC0B72" w:rsidRPr="00445D7B">
        <w:rPr>
          <w:rFonts w:ascii="宋体" w:hAnsi="宋体" w:cs="宋体" w:hint="eastAsia"/>
          <w:bCs/>
          <w:sz w:val="24"/>
        </w:rPr>
        <w:t>第十八条</w:t>
      </w:r>
      <w:r>
        <w:rPr>
          <w:rFonts w:ascii="宋体" w:hAnsi="宋体" w:cs="宋体" w:hint="eastAsia"/>
          <w:sz w:val="24"/>
        </w:rPr>
        <w:t xml:space="preserve">第二款要求提交的备查文件； </w:t>
      </w:r>
    </w:p>
    <w:p w14:paraId="6BCF2C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（二）重组方案调整说明，包括：与预案相比，交易对方、重组方式、交易标的范围及估值、发行股份价格是否发生变化（如适用）； </w:t>
      </w:r>
    </w:p>
    <w:p w14:paraId="05F890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（三）盈利补偿具体协议（如适用）； </w:t>
      </w:r>
    </w:p>
    <w:p w14:paraId="2BBFAD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（四）有关部门对重大资产重组的审批、核准或备案文件（如适用）； </w:t>
      </w:r>
    </w:p>
    <w:p w14:paraId="737EEF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（五）上市公司与交易对方签订的附生效条件的交易合同或协议； </w:t>
      </w:r>
    </w:p>
    <w:p w14:paraId="67BF7B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（六）本所要求的其他文件。</w:t>
      </w:r>
    </w:p>
    <w:p w14:paraId="37F686DC" w14:textId="1C72F9A9"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977BD5">
        <w:rPr>
          <w:rFonts w:ascii="宋体" w:hAnsi="宋体" w:cs="宋体" w:hint="eastAsia"/>
          <w:sz w:val="24"/>
        </w:rPr>
        <w:t xml:space="preserve"> </w:t>
      </w:r>
      <w:r>
        <w:rPr>
          <w:rFonts w:ascii="宋体" w:hAnsi="宋体" w:cs="宋体" w:hint="eastAsia"/>
          <w:sz w:val="24"/>
        </w:rPr>
        <w:t>发行股份购买资产的首次董事会决议公告后，董事会在6个月内未发布召开股东大会通知的，上市公司应当披露关于6个月内未发布召开股东大会通知的专项说明。专项说明应当解释原因，并明确是否继续推进或终止。继续推进的，应当重新召开董事会审议发行股份购买资产事项，并以该次董事会决议公告日作为发行股份的定价基准日。</w:t>
      </w:r>
    </w:p>
    <w:p w14:paraId="07A088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发行股份购买资产事项提交股东大会审议未获批准的，上市公司董事会如再次作出发行股份购买资产的决议，应当以该次董事会决议公告日作为发行股份的定价基准日。</w:t>
      </w:r>
    </w:p>
    <w:p w14:paraId="34A83E1F" w14:textId="27B52B5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977BD5">
        <w:rPr>
          <w:rFonts w:ascii="宋体" w:hAnsi="宋体" w:cs="宋体" w:hint="eastAsia"/>
          <w:sz w:val="24"/>
        </w:rPr>
        <w:t xml:space="preserve"> </w:t>
      </w:r>
      <w:r>
        <w:rPr>
          <w:rFonts w:ascii="宋体" w:hAnsi="宋体" w:cs="宋体" w:hint="eastAsia"/>
          <w:sz w:val="24"/>
        </w:rPr>
        <w:t>上市公司股东大会审议重大资产重组事项的，应当针对《重组办法》所列事项逐项表决。</w:t>
      </w:r>
    </w:p>
    <w:p w14:paraId="35640C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发行股份购买资产同时募集配套资金的，如购买资产不以配套融资为前提，购买资产与配套融资的交易方案可以分拆为两项议案、分别表决；如购买资产与配套融资互为前提，购买资产与配套融资议案均获审议通过后，交易方案方可继续推进。</w:t>
      </w:r>
    </w:p>
    <w:p w14:paraId="5A525A89" w14:textId="028E8A3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977BD5">
        <w:rPr>
          <w:rFonts w:ascii="宋体" w:hAnsi="宋体" w:cs="宋体" w:hint="eastAsia"/>
          <w:sz w:val="24"/>
        </w:rPr>
        <w:t xml:space="preserve"> </w:t>
      </w:r>
      <w:r>
        <w:rPr>
          <w:rFonts w:ascii="宋体" w:hAnsi="宋体" w:cs="宋体" w:hint="eastAsia"/>
          <w:sz w:val="24"/>
        </w:rPr>
        <w:t>上市公司披露重组方案后，拟对交易对方、交易标的、交易价格等作出变更，构成对原交易方案重大调整的，应当重新履行相关决策程序并公告。</w:t>
      </w:r>
    </w:p>
    <w:p w14:paraId="24682ECF" w14:textId="45EAFC4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977BD5">
        <w:rPr>
          <w:rFonts w:ascii="宋体" w:hAnsi="宋体" w:cs="宋体" w:hint="eastAsia"/>
          <w:sz w:val="24"/>
        </w:rPr>
        <w:t xml:space="preserve"> </w:t>
      </w:r>
      <w:r>
        <w:rPr>
          <w:rFonts w:ascii="宋体" w:hAnsi="宋体" w:cs="宋体" w:hint="eastAsia"/>
          <w:sz w:val="24"/>
        </w:rPr>
        <w:t xml:space="preserve">上市公司筹划重大资产重组出现如下情形的，应当给予相关股东现金选择权： </w:t>
      </w:r>
    </w:p>
    <w:p w14:paraId="4BD88A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（一）上市公司被其他公司通过换股方式吸收合并的； </w:t>
      </w:r>
    </w:p>
    <w:p w14:paraId="4D4244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（二）上市公司吸收合并其他公司，上市公司给予其股东现金收购请求权的； </w:t>
      </w:r>
    </w:p>
    <w:p w14:paraId="025137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（三）上市公司分立成两个或两个以上独立法人，上市公司给予其股东现金收购请求权的。</w:t>
      </w:r>
    </w:p>
    <w:p w14:paraId="00C17802" w14:textId="77777777" w:rsidR="00A320E6" w:rsidRDefault="00000000" w:rsidP="00445D7B">
      <w:pPr>
        <w:pStyle w:val="13"/>
        <w:spacing w:before="62" w:after="62"/>
      </w:pPr>
      <w:r>
        <w:rPr>
          <w:rFonts w:hint="eastAsia"/>
        </w:rPr>
        <w:t>第三章 重组终止</w:t>
      </w:r>
    </w:p>
    <w:p w14:paraId="19258B78" w14:textId="046C852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977BD5">
        <w:rPr>
          <w:rFonts w:ascii="宋体" w:hAnsi="宋体" w:cs="宋体" w:hint="eastAsia"/>
          <w:sz w:val="24"/>
        </w:rPr>
        <w:t xml:space="preserve"> </w:t>
      </w:r>
      <w:r>
        <w:rPr>
          <w:rFonts w:ascii="宋体" w:hAnsi="宋体" w:cs="宋体" w:hint="eastAsia"/>
          <w:sz w:val="24"/>
        </w:rPr>
        <w:t>上市公司披露重组提示性公告、重组预案或者重组报告书后终止重大资产重组，或者因重大资产重组停牌后终止重大资产重组的，应当披露终止重大资产重组公告（格式详见附件4），公告应当包括重组框架介绍（如适用）、终止重组原因说明、终止本次重组事项的具体过程、履行的相关审议程序等，同时承诺自公告之日起至少1个月内不再筹划重大资产重组事项。</w:t>
      </w:r>
    </w:p>
    <w:p w14:paraId="5064418B" w14:textId="579AB4B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第二十五条</w:t>
      </w:r>
      <w:r w:rsidR="00977BD5">
        <w:rPr>
          <w:rFonts w:ascii="宋体" w:hAnsi="宋体" w:cs="宋体" w:hint="eastAsia"/>
          <w:sz w:val="24"/>
        </w:rPr>
        <w:t xml:space="preserve"> </w:t>
      </w:r>
      <w:r>
        <w:rPr>
          <w:rFonts w:ascii="宋体" w:hAnsi="宋体" w:cs="宋体" w:hint="eastAsia"/>
          <w:sz w:val="24"/>
        </w:rPr>
        <w:t xml:space="preserve">上市公司披露重组预案或重组报告书后、股东大会召开前，上市公司或交易对方拟终止重大资产重组的，上市公司应当及时召开董事会审议终止重大资产重组事项，披露董事会决议内容、独立董事意见及独立财务顾问核查意见（如适用），并提交以下备查文件： </w:t>
      </w:r>
    </w:p>
    <w:p w14:paraId="31335F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（一）终止本次重大资产重组的协议； </w:t>
      </w:r>
    </w:p>
    <w:p w14:paraId="1AD419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（二）交易对方对终止本次重大资产重组事项的说明（如适用）； </w:t>
      </w:r>
    </w:p>
    <w:p w14:paraId="55EF82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（三）终止本次重大资产重组事项的交易进程备忘录。</w:t>
      </w:r>
    </w:p>
    <w:p w14:paraId="605C203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交易对方可以通过上市公司同时披露其关于终止重大资产重组事项的说明，上市公司应当配合交易对方进行信息披露。</w:t>
      </w:r>
    </w:p>
    <w:p w14:paraId="494D6188" w14:textId="7CC846F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977BD5">
        <w:rPr>
          <w:rFonts w:ascii="宋体" w:hAnsi="宋体" w:cs="宋体" w:hint="eastAsia"/>
          <w:sz w:val="24"/>
        </w:rPr>
        <w:t xml:space="preserve"> </w:t>
      </w:r>
      <w:r>
        <w:rPr>
          <w:rFonts w:ascii="宋体" w:hAnsi="宋体" w:cs="宋体" w:hint="eastAsia"/>
          <w:sz w:val="24"/>
        </w:rPr>
        <w:t>上市公司股东大会审议通过重组方案后，在股东大会决议有效期内董事会决议终止本次重大资产重组的，上市公司除适用本指引</w:t>
      </w:r>
      <w:r w:rsidRPr="00445D7B">
        <w:rPr>
          <w:rFonts w:ascii="宋体" w:hAnsi="宋体" w:cs="宋体" w:hint="eastAsia"/>
          <w:bCs/>
          <w:sz w:val="24"/>
        </w:rPr>
        <w:t>第二十四条、第二十五条</w:t>
      </w:r>
      <w:r>
        <w:rPr>
          <w:rFonts w:ascii="宋体" w:hAnsi="宋体" w:cs="宋体" w:hint="eastAsia"/>
          <w:sz w:val="24"/>
        </w:rPr>
        <w:t>履行决策程序和信息披露义务外，还应当根据股东大会的授权情况，决定是否召开股东大会审议终止重组事项。</w:t>
      </w:r>
    </w:p>
    <w:p w14:paraId="38A3800A" w14:textId="0941BAA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977BD5">
        <w:rPr>
          <w:rFonts w:ascii="宋体" w:hAnsi="宋体" w:cs="宋体" w:hint="eastAsia"/>
          <w:sz w:val="24"/>
        </w:rPr>
        <w:t xml:space="preserve"> </w:t>
      </w:r>
      <w:r>
        <w:rPr>
          <w:rFonts w:ascii="宋体" w:hAnsi="宋体" w:cs="宋体" w:hint="eastAsia"/>
          <w:sz w:val="24"/>
        </w:rPr>
        <w:t>上市公司因违反《重组办法》《科创板重组审核规则》等相关规定，被中国证监会责令暂停重组活动或被本所中止交易的，公司应当暂缓召开股东大会或实施重组方案，并及时披露；被中国证监会责令终止重组事项或被本所终止交易的，公司应当终止本次重组，并及时披露。</w:t>
      </w:r>
    </w:p>
    <w:p w14:paraId="7373CD1B" w14:textId="1CF6B9A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977BD5">
        <w:rPr>
          <w:rFonts w:ascii="宋体" w:hAnsi="宋体" w:cs="宋体" w:hint="eastAsia"/>
          <w:sz w:val="24"/>
        </w:rPr>
        <w:t xml:space="preserve"> </w:t>
      </w:r>
      <w:r>
        <w:rPr>
          <w:rFonts w:ascii="宋体" w:hAnsi="宋体" w:cs="宋体" w:hint="eastAsia"/>
          <w:sz w:val="24"/>
        </w:rPr>
        <w:t>上市公司首次披露重组方案至召开相关股东大会前，如该重组事项涉嫌内幕交易被中国证监会立案调查或者被司法机关立案侦查的，上市公司应当暂停本次重组进程，不得将重组事项提交股东大会进行审议，并及时披露相关信息，就本次重组可能被终止等情况进行风险提示。</w:t>
      </w:r>
    </w:p>
    <w:p w14:paraId="3C907D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召开相关股东大会后至向中国证监会提出核准申请或向本所报送申请文件前，如该重大资产重组事项涉嫌内幕交易被中国证监会立案调查或者被司法机关立案侦查的，上市公司应当暂停本次重组进程，及时披露相关信息并就本次重组可能被终止等情况进行风险提示。</w:t>
      </w:r>
    </w:p>
    <w:p w14:paraId="0E3D61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在暂停期间，上市公司可以自主决定是否终止本次重组。</w:t>
      </w:r>
    </w:p>
    <w:p w14:paraId="63E53160" w14:textId="7FFE8B3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977BD5">
        <w:rPr>
          <w:rFonts w:ascii="宋体" w:hAnsi="宋体" w:cs="宋体" w:hint="eastAsia"/>
          <w:sz w:val="24"/>
        </w:rPr>
        <w:t xml:space="preserve"> </w:t>
      </w:r>
      <w:r>
        <w:rPr>
          <w:rFonts w:ascii="宋体" w:hAnsi="宋体" w:cs="宋体" w:hint="eastAsia"/>
          <w:sz w:val="24"/>
        </w:rPr>
        <w:t>上市公司筹划、实施重大资产重组期间，其控股股东或者实际控制人因本次重组事项相关的内幕交易行为被中国证监会行政处罚或者被司法机关依法追究刑事责任的，上市公司应当及时终止本次重组进程，并披露终止重大资产重组</w:t>
      </w:r>
      <w:r>
        <w:rPr>
          <w:rFonts w:ascii="宋体" w:hAnsi="宋体" w:cs="宋体" w:hint="eastAsia"/>
          <w:sz w:val="24"/>
        </w:rPr>
        <w:lastRenderedPageBreak/>
        <w:t>公告，同时承诺自公告之日起至少12个月内不再筹划重大资产重组。</w:t>
      </w:r>
    </w:p>
    <w:p w14:paraId="6AA4237D" w14:textId="77777777" w:rsidR="00A320E6" w:rsidRDefault="00000000" w:rsidP="00445D7B">
      <w:pPr>
        <w:pStyle w:val="13"/>
        <w:spacing w:before="62" w:after="62"/>
      </w:pPr>
      <w:r>
        <w:rPr>
          <w:rFonts w:hint="eastAsia"/>
        </w:rPr>
        <w:t>第四章 重组相关说明会</w:t>
      </w:r>
    </w:p>
    <w:p w14:paraId="35F256AA" w14:textId="77777777" w:rsidR="00A320E6" w:rsidRDefault="00000000" w:rsidP="00445D7B">
      <w:pPr>
        <w:pStyle w:val="13"/>
        <w:spacing w:before="62" w:after="62"/>
      </w:pPr>
      <w:r>
        <w:rPr>
          <w:rFonts w:hint="eastAsia"/>
        </w:rPr>
        <w:t>第一节 媒体说明会</w:t>
      </w:r>
    </w:p>
    <w:p w14:paraId="2CF392F2" w14:textId="48539B8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977BD5">
        <w:rPr>
          <w:rFonts w:ascii="宋体" w:hAnsi="宋体" w:cs="宋体" w:hint="eastAsia"/>
          <w:sz w:val="24"/>
        </w:rPr>
        <w:t xml:space="preserve"> </w:t>
      </w:r>
      <w:r>
        <w:rPr>
          <w:rFonts w:ascii="宋体" w:hAnsi="宋体" w:cs="宋体" w:hint="eastAsia"/>
          <w:sz w:val="24"/>
        </w:rPr>
        <w:t>上市公司重大资产重组构成重组上市的，应当召开媒体说明会。对于不属于以上情形的重大资产重组，中国证监会或本所可以根据需要，要求公司召开媒体说明会（会议流程要求详见附件5）。</w:t>
      </w:r>
    </w:p>
    <w:p w14:paraId="175929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上市公司应当聘请律师见证媒体说明会召开过程，并披露律师对媒体说明会的通知、召开程序、参会人员及信息披露等是否符合本指引的专项意见。</w:t>
      </w:r>
    </w:p>
    <w:p w14:paraId="52AA4509" w14:textId="4C491D3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第三十一条</w:t>
      </w:r>
      <w:r w:rsidR="00977BD5">
        <w:rPr>
          <w:rFonts w:ascii="宋体" w:hAnsi="宋体" w:cs="宋体" w:hint="eastAsia"/>
          <w:sz w:val="24"/>
        </w:rPr>
        <w:t xml:space="preserve"> </w:t>
      </w:r>
      <w:r>
        <w:rPr>
          <w:rFonts w:ascii="宋体" w:hAnsi="宋体" w:cs="宋体" w:hint="eastAsia"/>
          <w:sz w:val="24"/>
        </w:rPr>
        <w:t>上市公司拟召开媒体说明会的，应当在首次披露重组方案后的非交易时间召开。</w:t>
      </w:r>
    </w:p>
    <w:p w14:paraId="69273F3C" w14:textId="7E48D26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第三十二条</w:t>
      </w:r>
      <w:r w:rsidR="00977BD5">
        <w:rPr>
          <w:rFonts w:ascii="宋体" w:hAnsi="宋体" w:cs="宋体" w:hint="eastAsia"/>
          <w:sz w:val="24"/>
        </w:rPr>
        <w:t xml:space="preserve"> </w:t>
      </w:r>
      <w:r>
        <w:rPr>
          <w:rFonts w:ascii="宋体" w:hAnsi="宋体" w:cs="宋体" w:hint="eastAsia"/>
          <w:sz w:val="24"/>
        </w:rPr>
        <w:t>上市公司拟召开媒体说明会的，应当在披露重组预案或报告书的同时，或收到召开媒体说明会要求的2个交易日内，公告召开媒体说明会的具体安排。</w:t>
      </w:r>
    </w:p>
    <w:p w14:paraId="21B1E0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上市公司原则上应当在上述公告披露之日起5个交易日内召开媒体说明会。</w:t>
      </w:r>
    </w:p>
    <w:p w14:paraId="3FF4CFF7" w14:textId="4E8D259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第三十三条</w:t>
      </w:r>
      <w:r w:rsidR="00977BD5">
        <w:rPr>
          <w:rFonts w:ascii="宋体" w:hAnsi="宋体" w:cs="宋体" w:hint="eastAsia"/>
          <w:sz w:val="24"/>
        </w:rPr>
        <w:t xml:space="preserve"> </w:t>
      </w:r>
      <w:r>
        <w:rPr>
          <w:rFonts w:ascii="宋体" w:hAnsi="宋体" w:cs="宋体" w:hint="eastAsia"/>
          <w:sz w:val="24"/>
        </w:rPr>
        <w:t xml:space="preserve">上市公司召开媒体说明会后，出现如下情形的，本所可要求上市公司再次召开媒体说明会： </w:t>
      </w:r>
    </w:p>
    <w:p w14:paraId="2DDB12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（一）媒体说明会存在重大质疑或投诉举报的； </w:t>
      </w:r>
    </w:p>
    <w:p w14:paraId="48737E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（二）重组方案发生重大调整的； </w:t>
      </w:r>
    </w:p>
    <w:p w14:paraId="11CB96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（三）终止重组的； </w:t>
      </w:r>
    </w:p>
    <w:p w14:paraId="4A46A4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（四）本所认为必要的其他情形。</w:t>
      </w:r>
    </w:p>
    <w:p w14:paraId="13327FB4" w14:textId="5CE5DEA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第三十四条</w:t>
      </w:r>
      <w:r w:rsidR="00977BD5">
        <w:rPr>
          <w:rFonts w:ascii="宋体" w:hAnsi="宋体" w:cs="宋体" w:hint="eastAsia"/>
          <w:sz w:val="24"/>
        </w:rPr>
        <w:t xml:space="preserve"> </w:t>
      </w:r>
      <w:r>
        <w:rPr>
          <w:rFonts w:ascii="宋体" w:hAnsi="宋体" w:cs="宋体" w:hint="eastAsia"/>
          <w:sz w:val="24"/>
        </w:rPr>
        <w:t>上市公司应当在不晚于媒体说明会召开后次一交易日，披露媒体说明会的召开情况，包括媒体在会上提出的问题、公司现场答复情况及未答复理由（如有）、公司会后补充说明内容。</w:t>
      </w:r>
    </w:p>
    <w:p w14:paraId="1359E12E" w14:textId="16CE5D1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第三十五条</w:t>
      </w:r>
      <w:r w:rsidR="00977BD5">
        <w:rPr>
          <w:rFonts w:ascii="宋体" w:hAnsi="宋体" w:cs="宋体" w:hint="eastAsia"/>
          <w:sz w:val="24"/>
        </w:rPr>
        <w:t xml:space="preserve"> </w:t>
      </w:r>
      <w:r>
        <w:rPr>
          <w:rFonts w:ascii="宋体" w:hAnsi="宋体" w:cs="宋体" w:hint="eastAsia"/>
          <w:sz w:val="24"/>
        </w:rPr>
        <w:t>上市公司在媒体说明会上发布的信息未在重组方案中披露的，应当相应修改重组方案并及时披露。</w:t>
      </w:r>
    </w:p>
    <w:p w14:paraId="7A204B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独立财务顾问、会计师事务所、律师事务所及评估机构等证券服务机构应当对重组方案补充披露的内容与媒体说明会发布的信息是否一致发表意见，并予以披露。</w:t>
      </w:r>
    </w:p>
    <w:p w14:paraId="43FB34EC" w14:textId="77777777" w:rsidR="00A320E6" w:rsidRDefault="00000000" w:rsidP="00445D7B">
      <w:pPr>
        <w:pStyle w:val="13"/>
        <w:spacing w:before="62" w:after="62"/>
      </w:pPr>
      <w:r>
        <w:rPr>
          <w:rFonts w:hint="eastAsia"/>
        </w:rPr>
        <w:t>第二节 投资者说明会</w:t>
      </w:r>
    </w:p>
    <w:p w14:paraId="172A19C7" w14:textId="28A7320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第三十六条</w:t>
      </w:r>
      <w:r w:rsidR="00977BD5">
        <w:rPr>
          <w:rFonts w:ascii="宋体" w:hAnsi="宋体" w:cs="宋体" w:hint="eastAsia"/>
          <w:sz w:val="24"/>
        </w:rPr>
        <w:t xml:space="preserve"> </w:t>
      </w:r>
      <w:r>
        <w:rPr>
          <w:rFonts w:ascii="宋体" w:hAnsi="宋体" w:cs="宋体" w:hint="eastAsia"/>
          <w:sz w:val="24"/>
        </w:rPr>
        <w:t>上市公司披露重组预案或重组报告书后终止重组的，在董事会审议通过终止重大资产重组决议后，应当及时召开投资者说明会。参加投资者说明会的</w:t>
      </w:r>
      <w:r>
        <w:rPr>
          <w:rFonts w:ascii="宋体" w:hAnsi="宋体" w:cs="宋体" w:hint="eastAsia"/>
          <w:sz w:val="24"/>
        </w:rPr>
        <w:lastRenderedPageBreak/>
        <w:t>人员至少需包括上市公司董事长或总经理、董事会秘书、交易对方或其代表、重组标的主要董事和高级管理人员、独立财务顾问主办人。</w:t>
      </w:r>
    </w:p>
    <w:p w14:paraId="452BAB2E" w14:textId="1DB7895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第三十七条</w:t>
      </w:r>
      <w:r w:rsidR="00977BD5">
        <w:rPr>
          <w:rFonts w:ascii="宋体" w:hAnsi="宋体" w:cs="宋体" w:hint="eastAsia"/>
          <w:sz w:val="24"/>
        </w:rPr>
        <w:t xml:space="preserve"> </w:t>
      </w:r>
      <w:r>
        <w:rPr>
          <w:rFonts w:ascii="宋体" w:hAnsi="宋体" w:cs="宋体" w:hint="eastAsia"/>
          <w:sz w:val="24"/>
        </w:rPr>
        <w:t>上市公司应当在非交易时间召开投资者说明会，并履行通知和相应的信息披露义务。</w:t>
      </w:r>
    </w:p>
    <w:p w14:paraId="3752CCEB" w14:textId="77777777" w:rsidR="00A320E6" w:rsidRDefault="00000000" w:rsidP="00445D7B">
      <w:pPr>
        <w:pStyle w:val="13"/>
        <w:spacing w:before="62" w:after="62"/>
      </w:pPr>
      <w:r>
        <w:rPr>
          <w:rFonts w:hint="eastAsia"/>
        </w:rPr>
        <w:t>第五章 重组核准、注册</w:t>
      </w:r>
    </w:p>
    <w:p w14:paraId="7E8C189A" w14:textId="79D3B95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第三十八条</w:t>
      </w:r>
      <w:r w:rsidR="00977BD5">
        <w:rPr>
          <w:rFonts w:ascii="宋体" w:hAnsi="宋体" w:cs="宋体" w:hint="eastAsia"/>
          <w:sz w:val="24"/>
        </w:rPr>
        <w:t xml:space="preserve"> </w:t>
      </w:r>
      <w:r>
        <w:rPr>
          <w:rFonts w:ascii="宋体" w:hAnsi="宋体" w:cs="宋体" w:hint="eastAsia"/>
          <w:sz w:val="24"/>
        </w:rPr>
        <w:t>上市公司重大资产重组事项需要中国证监会核准或需由本所审核、中国证监会注册的，在向中国证监会提出重大资产重组核准申请后或向本所提交重组申请后，重组相关申请被中国证监会或本所作出受理、反馈意见、不予受理、中止审核、恢复审核或者终止审核决定的，或者其他部门在行政审批程序中作出相关决定的，上市公司应当及时披露有关情况，并进行风险提示。</w:t>
      </w:r>
    </w:p>
    <w:p w14:paraId="5F98C5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上市公司应当在本次重组方案中就重组可能无法获得批准的风险作出特别提示。</w:t>
      </w:r>
    </w:p>
    <w:p w14:paraId="02EB2A6B" w14:textId="03FAEB1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第三十九条</w:t>
      </w:r>
      <w:r w:rsidR="00977BD5">
        <w:rPr>
          <w:rFonts w:ascii="宋体" w:hAnsi="宋体" w:cs="宋体" w:hint="eastAsia"/>
          <w:sz w:val="24"/>
        </w:rPr>
        <w:t xml:space="preserve"> </w:t>
      </w:r>
      <w:r>
        <w:rPr>
          <w:rFonts w:ascii="宋体" w:hAnsi="宋体" w:cs="宋体" w:hint="eastAsia"/>
          <w:sz w:val="24"/>
        </w:rPr>
        <w:t>中国证监会或本所对重组方案审核期间，上市公司拟申请中止审核、恢复审核的，应当及时召开董事会审议并披露。</w:t>
      </w:r>
    </w:p>
    <w:p w14:paraId="12C705C5" w14:textId="21102DD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第四十条</w:t>
      </w:r>
      <w:r w:rsidR="00977BD5">
        <w:rPr>
          <w:rFonts w:ascii="宋体" w:hAnsi="宋体" w:cs="宋体" w:hint="eastAsia"/>
          <w:sz w:val="24"/>
        </w:rPr>
        <w:t xml:space="preserve"> </w:t>
      </w:r>
      <w:r>
        <w:rPr>
          <w:rFonts w:ascii="宋体" w:hAnsi="宋体" w:cs="宋体" w:hint="eastAsia"/>
          <w:sz w:val="24"/>
        </w:rPr>
        <w:t>主板上市公司重大资产重组需提交中国证监会并购重组委审核的，应当在收到拟召开并购重组委工作会议的通知时，披露并购重组委审核提示性公告。上市公司应当密切关注中国证监会网站公告，在并购重组委工作会议召开日期明确后，及时披露并购重组委工作会议安排公告，并在召开的前一个交易日提交公司股票及其衍生品种在并购重组委工作会议期间直至表决结果披露前停牌的申请及相关停牌公告。上市公司收到中国证监会并购重组委审核结果后，应当在次一交易日公告并复牌。公告应当说明，公司在收到中国证监会作出的予以核准或者不予核准的决定后将再行公告。</w:t>
      </w:r>
    </w:p>
    <w:p w14:paraId="7835013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科创板上市公司在科创板上市公司并购重组委员会（以下简称科创板并购重组委）工作会议召开当日原则上无需申请停牌。上市公司在收到科创板并购重组委审议结果后，应于次一交易日公告相关情况。公告应当说明，公司在收到本所同意重组的审核意见或终止审核的决定、中国证监会作出的同意注册或不予注册的决定后将再行公告。</w:t>
      </w:r>
    </w:p>
    <w:p w14:paraId="247BFFEF" w14:textId="68DC3D7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第四十一条</w:t>
      </w:r>
      <w:r w:rsidR="00977BD5">
        <w:rPr>
          <w:rFonts w:ascii="宋体" w:hAnsi="宋体" w:cs="宋体" w:hint="eastAsia"/>
          <w:sz w:val="24"/>
        </w:rPr>
        <w:t xml:space="preserve"> </w:t>
      </w:r>
      <w:r>
        <w:rPr>
          <w:rFonts w:ascii="宋体" w:hAnsi="宋体" w:cs="宋体" w:hint="eastAsia"/>
          <w:sz w:val="24"/>
        </w:rPr>
        <w:t>主板上市公司收到中国证监会就其重组方案作出的予以核准或者不予核准的决定后，应当在次一交易日披露核准相关情况。</w:t>
      </w:r>
    </w:p>
    <w:p w14:paraId="441637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科创板上市公司收到本所同意重组的审核意见或终止审核的决定、中国证监会作出的同意注册或不予注册决定后，应当在次一交易日披露审核意见及决定相关情况。</w:t>
      </w:r>
    </w:p>
    <w:p w14:paraId="2366EA32" w14:textId="4EC1130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第四十二条</w:t>
      </w:r>
      <w:r w:rsidR="00977BD5">
        <w:rPr>
          <w:rFonts w:ascii="宋体" w:hAnsi="宋体" w:cs="宋体" w:hint="eastAsia"/>
          <w:sz w:val="24"/>
        </w:rPr>
        <w:t xml:space="preserve"> </w:t>
      </w:r>
      <w:r>
        <w:rPr>
          <w:rFonts w:ascii="宋体" w:hAnsi="宋体" w:cs="宋体" w:hint="eastAsia"/>
          <w:sz w:val="24"/>
        </w:rPr>
        <w:t>中国证监会对重组方案予以核准、同意注册或本所出具同意重组决定的，上市公司应当披露重组报告书修订说明公告（如适用），及修订后的重组报告书全文和相关证券服务机构意见，同时披露尚需取得有关部门批准的情况。独立财务顾问和律师事务所应当对此出具专业意见。</w:t>
      </w:r>
    </w:p>
    <w:p w14:paraId="3E334147" w14:textId="47F39B5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第四十三条</w:t>
      </w:r>
      <w:r w:rsidR="00977BD5">
        <w:rPr>
          <w:rFonts w:ascii="宋体" w:hAnsi="宋体" w:cs="宋体" w:hint="eastAsia"/>
          <w:sz w:val="24"/>
        </w:rPr>
        <w:t xml:space="preserve"> </w:t>
      </w:r>
      <w:r>
        <w:rPr>
          <w:rFonts w:ascii="宋体" w:hAnsi="宋体" w:cs="宋体" w:hint="eastAsia"/>
          <w:sz w:val="24"/>
        </w:rPr>
        <w:t>中国证监会对重组方案不予核准或不予注册、本所终止审核的，上市公司董事会应当根据股东大会的授权，在收到中国证监会不予核准、注册或本所终止审核的决定后10日内，就是否修改或终止本次重组方案作出决议并予以公告。</w:t>
      </w:r>
    </w:p>
    <w:p w14:paraId="4F5C14B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如上市公司董事会根据股东大会的授权决定终止方案，应当在董事会公告中向投资者明确说明；如上市公司董事会根据股东大会的授权拟落实并购重组委的意见或本所审核意见并重新上报，应当在董事会公告中明确说明重新上报的原因、计划等。</w:t>
      </w:r>
    </w:p>
    <w:p w14:paraId="1A9374BE" w14:textId="77777777" w:rsidR="00A320E6" w:rsidRDefault="00000000" w:rsidP="00445D7B">
      <w:pPr>
        <w:pStyle w:val="13"/>
        <w:spacing w:before="62" w:after="62"/>
      </w:pPr>
      <w:r>
        <w:rPr>
          <w:rFonts w:hint="eastAsia"/>
        </w:rPr>
        <w:t>第六章 重组实施及持续监管</w:t>
      </w:r>
    </w:p>
    <w:p w14:paraId="25F262B5" w14:textId="117D79C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第四十四条</w:t>
      </w:r>
      <w:r w:rsidR="00977BD5">
        <w:rPr>
          <w:rFonts w:ascii="宋体" w:hAnsi="宋体" w:cs="宋体" w:hint="eastAsia"/>
          <w:sz w:val="24"/>
        </w:rPr>
        <w:t xml:space="preserve"> </w:t>
      </w:r>
      <w:r>
        <w:rPr>
          <w:rFonts w:ascii="宋体" w:hAnsi="宋体" w:cs="宋体" w:hint="eastAsia"/>
          <w:sz w:val="24"/>
        </w:rPr>
        <w:t>对于实施前需经中国证监会核准、注册以及其他部门行政审批的重大资产重组，在上市公司取得所有核准或同意注册前，不得实施。</w:t>
      </w:r>
    </w:p>
    <w:p w14:paraId="5EC190B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上市公司应当在经中国证监会核准、注册以及其他部门行政审批（如适用）后，尽快实施重组方案。</w:t>
      </w:r>
    </w:p>
    <w:p w14:paraId="42DAC4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对于不需要中国证监会核准、注册或其他部门行政审批的重大资产重组，上市公司应当在股东大会审议通过重组方案并完成必要的审批程序后尽快实施。</w:t>
      </w:r>
    </w:p>
    <w:p w14:paraId="5DBCEF5F" w14:textId="052FB1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第四十五条</w:t>
      </w:r>
      <w:r w:rsidR="00977BD5">
        <w:rPr>
          <w:rFonts w:ascii="宋体" w:hAnsi="宋体" w:cs="宋体" w:hint="eastAsia"/>
          <w:sz w:val="24"/>
        </w:rPr>
        <w:t xml:space="preserve"> </w:t>
      </w:r>
      <w:r>
        <w:rPr>
          <w:rFonts w:ascii="宋体" w:hAnsi="宋体" w:cs="宋体" w:hint="eastAsia"/>
          <w:sz w:val="24"/>
        </w:rPr>
        <w:t>重组实施完毕的，上市公司应当在3个工作日内披露重组实施情况报告书，并披露独立财务顾问和律师事务所意见。</w:t>
      </w:r>
    </w:p>
    <w:p w14:paraId="3437F5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重组方案在完成相关审批、核准、注册程序之日起60日内未实施完毕的，上市公司应当于期满后及时披露重组实施情况公告，并在实施完毕前每30日披露一次进展情况。</w:t>
      </w:r>
    </w:p>
    <w:p w14:paraId="61DFFDC5" w14:textId="1AD730B6"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第四十六条</w:t>
      </w:r>
      <w:r w:rsidR="00977BD5">
        <w:rPr>
          <w:rFonts w:ascii="宋体" w:hAnsi="宋体" w:cs="宋体" w:hint="eastAsia"/>
          <w:sz w:val="24"/>
        </w:rPr>
        <w:t xml:space="preserve"> </w:t>
      </w:r>
      <w:r>
        <w:rPr>
          <w:rFonts w:ascii="宋体" w:hAnsi="宋体" w:cs="宋体" w:hint="eastAsia"/>
          <w:sz w:val="24"/>
        </w:rPr>
        <w:t>置入和置出资产（含负债）全部过户完毕后，上市公司应当在资产过户完成后的3个工作日内，公告相关情况并提供独立财务顾问核查意见和律师事务所法律意见。</w:t>
      </w:r>
    </w:p>
    <w:p w14:paraId="69174A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重组涉及发行股份购买资产的，上市公司向中国证券登记结算有限责任公司上海分公司（以下简称中国结算）办理新增股份登记手续并取得其出具的新增股份托管证明后，应当及时披露发行结果暨股份变动公告。</w:t>
      </w:r>
    </w:p>
    <w:p w14:paraId="3D896C3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重组涉及向特定对象发行可转换公司债券的，上市公司向中国结算申请办理新增可转换公司债券登记手续并取得相关证明后，应当及时披露相关公告。</w:t>
      </w:r>
    </w:p>
    <w:p w14:paraId="5C0985CC" w14:textId="05AD743B"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第四十七条</w:t>
      </w:r>
      <w:r w:rsidR="00977BD5">
        <w:rPr>
          <w:rFonts w:ascii="宋体" w:hAnsi="宋体" w:cs="宋体" w:hint="eastAsia"/>
          <w:sz w:val="24"/>
        </w:rPr>
        <w:t xml:space="preserve"> </w:t>
      </w:r>
      <w:r>
        <w:rPr>
          <w:rFonts w:ascii="宋体" w:hAnsi="宋体" w:cs="宋体" w:hint="eastAsia"/>
          <w:sz w:val="24"/>
        </w:rPr>
        <w:t>上市公司重大资产重组方案涉及配套融资的，应当在核准、注册文件规定时间内实施完毕并履行相应的信息披露义务。</w:t>
      </w:r>
    </w:p>
    <w:p w14:paraId="745EBAB3" w14:textId="730A85C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第四十八条</w:t>
      </w:r>
      <w:r w:rsidR="00977BD5">
        <w:rPr>
          <w:rFonts w:ascii="宋体" w:hAnsi="宋体" w:cs="宋体" w:hint="eastAsia"/>
          <w:sz w:val="24"/>
        </w:rPr>
        <w:t xml:space="preserve"> </w:t>
      </w:r>
      <w:r>
        <w:rPr>
          <w:rFonts w:ascii="宋体" w:hAnsi="宋体" w:cs="宋体" w:hint="eastAsia"/>
          <w:sz w:val="24"/>
        </w:rPr>
        <w:t>上市公司未能在股东大会决议有效期内实施重大资产重组，拟继续推进本次重组的，应当在决议有效期结束前召开股东大会审议延长决议有效期。</w:t>
      </w:r>
    </w:p>
    <w:p w14:paraId="712D4BD4" w14:textId="046CF11F"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第四十九条</w:t>
      </w:r>
      <w:r w:rsidR="00977BD5">
        <w:rPr>
          <w:rFonts w:ascii="宋体" w:hAnsi="宋体" w:cs="宋体" w:hint="eastAsia"/>
          <w:sz w:val="24"/>
        </w:rPr>
        <w:t xml:space="preserve"> </w:t>
      </w:r>
      <w:r>
        <w:rPr>
          <w:rFonts w:ascii="宋体" w:hAnsi="宋体" w:cs="宋体" w:hint="eastAsia"/>
          <w:sz w:val="24"/>
        </w:rPr>
        <w:t>上市公司重组产生商誉的，上市公司应当按照《企业会计准则》和《会计监管风险提示第8号——商誉减值》等规定，每年进行减值测试，并在年度报告中披露资产组认定、选取的关键参数和假设等与商誉减值相关的重要信息。</w:t>
      </w:r>
    </w:p>
    <w:p w14:paraId="71C2E5F2" w14:textId="26FE3CD5"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第五十条</w:t>
      </w:r>
      <w:r w:rsidR="00977BD5">
        <w:rPr>
          <w:rFonts w:ascii="宋体" w:hAnsi="宋体" w:cs="宋体" w:hint="eastAsia"/>
          <w:sz w:val="24"/>
        </w:rPr>
        <w:t xml:space="preserve"> </w:t>
      </w:r>
      <w:r>
        <w:rPr>
          <w:rFonts w:ascii="宋体" w:hAnsi="宋体" w:cs="宋体" w:hint="eastAsia"/>
          <w:sz w:val="24"/>
        </w:rPr>
        <w:t>上市公司向控股股东、实际控制人或者其控制的关联人购买资产，或者向除前述主体之外的特定对象购买资产导致控制权发生变更，且采取收益现值法、假设开发法等基于未来收益预期的估值方法对购买资产进行评估或者估值并作为定价参考依据的，上市公司应当在重大资产重组实施完毕后业绩承诺期内的年度报告中单独披露相关资产的实际盈利数与利润预测数的差异情况，并由符合《证券法》规定的会计师事务所对此出具专项审核意见。上市公司在重组交易中自愿披露盈利预测报告或者交易对方自愿作出业绩承诺的，应当参照前述要求执行。</w:t>
      </w:r>
    </w:p>
    <w:p w14:paraId="5CFC5E56" w14:textId="5D73F626"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第五十一条</w:t>
      </w:r>
      <w:r w:rsidR="00977BD5">
        <w:rPr>
          <w:rFonts w:ascii="宋体" w:hAnsi="宋体" w:cs="宋体" w:hint="eastAsia"/>
          <w:sz w:val="24"/>
        </w:rPr>
        <w:t xml:space="preserve"> </w:t>
      </w:r>
      <w:r>
        <w:rPr>
          <w:rFonts w:ascii="宋体" w:hAnsi="宋体" w:cs="宋体" w:hint="eastAsia"/>
          <w:sz w:val="24"/>
        </w:rPr>
        <w:t>重大资产重组实施完毕后、承诺事项未完全履行完毕前，上市公司应当在年度报告中披露承诺期内有关各方重大资产重组承诺的履行情况。在承诺事项履行完毕时，上市公司应当及时披露承诺事项完成情况公告。</w:t>
      </w:r>
    </w:p>
    <w:p w14:paraId="58BBF8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重大资产重组承诺涉及业绩补偿的，交易对方应当及时、足额补偿，不得逃废、变更补偿义务。交易对方超期未履行或者违反业绩补偿协议、承诺的，上市公司应当及时披露，并说明相应解决措施。</w:t>
      </w:r>
    </w:p>
    <w:p w14:paraId="3E4AC88A" w14:textId="6C9D571C"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第五十二条</w:t>
      </w:r>
      <w:r w:rsidR="00977BD5">
        <w:rPr>
          <w:rFonts w:ascii="宋体" w:hAnsi="宋体" w:cs="宋体" w:hint="eastAsia"/>
          <w:sz w:val="24"/>
        </w:rPr>
        <w:t xml:space="preserve"> </w:t>
      </w:r>
      <w:r>
        <w:rPr>
          <w:rFonts w:ascii="宋体" w:hAnsi="宋体" w:cs="宋体" w:hint="eastAsia"/>
          <w:sz w:val="24"/>
        </w:rPr>
        <w:t>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w:t>
      </w:r>
    </w:p>
    <w:p w14:paraId="55FC21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整合效果的披露期限自本次重组交易实施完毕之日起，不少于3个会计年度。如重组交易存在业绩承诺的，直至相关业绩承诺事项全部完成。</w:t>
      </w:r>
    </w:p>
    <w:p w14:paraId="449B8E38" w14:textId="77E52441"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第五十三条</w:t>
      </w:r>
      <w:r w:rsidR="00977BD5">
        <w:rPr>
          <w:rFonts w:ascii="宋体" w:hAnsi="宋体" w:cs="宋体" w:hint="eastAsia"/>
          <w:sz w:val="24"/>
        </w:rPr>
        <w:t xml:space="preserve"> </w:t>
      </w:r>
      <w:r>
        <w:rPr>
          <w:rFonts w:ascii="宋体" w:hAnsi="宋体" w:cs="宋体" w:hint="eastAsia"/>
          <w:sz w:val="24"/>
        </w:rPr>
        <w:t>独立财务顾问应当根据相关规定，勤勉尽责，出具持续督导意见，切实履行持续督导义务。</w:t>
      </w:r>
    </w:p>
    <w:p w14:paraId="1EABCD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持续督导期内，独立财务顾问应当督促交易对方切实履行相关业绩补偿承诺和保障措施。独立财务顾问应当对公司的整合计划及实施效果发表意见。</w:t>
      </w:r>
    </w:p>
    <w:p w14:paraId="3FFAEC21" w14:textId="45369D88"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第五十四条</w:t>
      </w:r>
      <w:r w:rsidR="00977BD5">
        <w:rPr>
          <w:rFonts w:ascii="宋体" w:hAnsi="宋体" w:cs="宋体" w:hint="eastAsia"/>
          <w:sz w:val="24"/>
        </w:rPr>
        <w:t xml:space="preserve"> </w:t>
      </w:r>
      <w:r>
        <w:rPr>
          <w:rFonts w:ascii="宋体" w:hAnsi="宋体" w:cs="宋体" w:hint="eastAsia"/>
          <w:sz w:val="24"/>
        </w:rPr>
        <w:t>独立财务顾问应当通过日常沟通、定期回访等方式，结合上市公司定期报告的披露，做好持续督导工作，如发现交易标的存在重大财务造假嫌疑、重大风险事项，可能损害上市公司利益的，应当及时向本所报告，并督促上市公司及有关各方提供解决措施。</w:t>
      </w:r>
    </w:p>
    <w:p w14:paraId="18417267" w14:textId="77777777" w:rsidR="00A320E6" w:rsidRDefault="00000000" w:rsidP="00445D7B">
      <w:pPr>
        <w:pStyle w:val="13"/>
        <w:spacing w:before="62" w:after="62"/>
      </w:pPr>
      <w:r>
        <w:rPr>
          <w:rFonts w:hint="eastAsia"/>
        </w:rPr>
        <w:t>第七章 附则</w:t>
      </w:r>
    </w:p>
    <w:p w14:paraId="21CE86AD" w14:textId="3EAC8F58"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第五十五条</w:t>
      </w:r>
      <w:r w:rsidR="00977BD5">
        <w:rPr>
          <w:rFonts w:ascii="宋体" w:hAnsi="宋体" w:cs="宋体" w:hint="eastAsia"/>
          <w:sz w:val="24"/>
        </w:rPr>
        <w:t xml:space="preserve"> </w:t>
      </w:r>
      <w:r>
        <w:rPr>
          <w:rFonts w:ascii="宋体" w:hAnsi="宋体" w:cs="宋体" w:hint="eastAsia"/>
          <w:sz w:val="24"/>
        </w:rPr>
        <w:t>上市公司及有关各方违反本指引规定的，本所可以采取现场检查等措施，并将视情况对上市公司及相关当事人采取自律监管措施或者予以纪律处分。</w:t>
      </w:r>
    </w:p>
    <w:p w14:paraId="0B1169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为上市公司重大资产重组事项提供服务的证券服务机构和人员在上市公司重组过程中未能勤勉尽责，出具意见不审慎的，本所视情况采取自律监管措施或者予以纪律处分。</w:t>
      </w:r>
    </w:p>
    <w:p w14:paraId="360CE8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本所发现上市公司及有关各方在重组过程中涉嫌违反法律、行政法规及中国证监会有关规定的，将提请中国证监会及其派出机构核查。</w:t>
      </w:r>
    </w:p>
    <w:p w14:paraId="2849E33F" w14:textId="0AE382B0"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第五十六条</w:t>
      </w:r>
      <w:r w:rsidR="00977BD5">
        <w:rPr>
          <w:rFonts w:ascii="宋体" w:hAnsi="宋体" w:cs="宋体" w:hint="eastAsia"/>
          <w:sz w:val="24"/>
        </w:rPr>
        <w:t xml:space="preserve"> </w:t>
      </w:r>
      <w:r>
        <w:rPr>
          <w:rFonts w:ascii="宋体" w:hAnsi="宋体" w:cs="宋体" w:hint="eastAsia"/>
          <w:sz w:val="24"/>
        </w:rPr>
        <w:t>本指引由本所负责解释。</w:t>
      </w:r>
    </w:p>
    <w:p w14:paraId="359FA507" w14:textId="1D615936" w:rsidR="00A320E6" w:rsidRDefault="00B74663" w:rsidP="00AE0286">
      <w:pPr>
        <w:pStyle w:val="a3"/>
        <w:spacing w:line="360" w:lineRule="auto"/>
        <w:ind w:firstLine="482"/>
        <w:rPr>
          <w:rFonts w:ascii="宋体" w:hAnsi="宋体" w:cs="宋体"/>
          <w:sz w:val="24"/>
        </w:rPr>
      </w:pPr>
      <w:r w:rsidRPr="00B74663">
        <w:rPr>
          <w:rFonts w:ascii="宋体" w:hAnsi="宋体" w:cs="宋体" w:hint="eastAsia"/>
          <w:b/>
          <w:sz w:val="24"/>
        </w:rPr>
        <w:t>第五十七条</w:t>
      </w:r>
      <w:r w:rsidR="00977BD5">
        <w:rPr>
          <w:rFonts w:ascii="宋体" w:hAnsi="宋体" w:cs="宋体" w:hint="eastAsia"/>
          <w:sz w:val="24"/>
        </w:rPr>
        <w:t xml:space="preserve"> </w:t>
      </w:r>
      <w:r>
        <w:rPr>
          <w:rFonts w:ascii="宋体" w:hAnsi="宋体" w:cs="宋体" w:hint="eastAsia"/>
          <w:sz w:val="24"/>
        </w:rPr>
        <w:t>本指引自发布之日起施行。</w:t>
      </w:r>
    </w:p>
    <w:p w14:paraId="488ADFC6" w14:textId="74F6CAA5" w:rsidR="00A320E6" w:rsidRPr="00F67407" w:rsidRDefault="00000000" w:rsidP="00B40F35">
      <w:pPr>
        <w:spacing w:beforeLines="50" w:before="156" w:afterLines="20" w:after="62" w:line="360" w:lineRule="auto"/>
        <w:jc w:val="center"/>
        <w:outlineLvl w:val="2"/>
        <w:rPr>
          <w:rFonts w:ascii="宋体" w:hAnsi="宋体" w:cs="宋体"/>
          <w:b/>
          <w:bCs/>
          <w:color w:val="000000"/>
          <w:kern w:val="0"/>
          <w:sz w:val="24"/>
          <w:szCs w:val="24"/>
          <w:lang w:bidi="ar"/>
        </w:rPr>
      </w:pPr>
      <w:bookmarkStart w:id="67" w:name="_Toc112227375"/>
      <w:r w:rsidRPr="00F67407">
        <w:rPr>
          <w:rFonts w:ascii="宋体" w:hAnsi="宋体" w:cs="宋体" w:hint="eastAsia"/>
          <w:b/>
          <w:bCs/>
          <w:color w:val="000000"/>
          <w:kern w:val="0"/>
          <w:sz w:val="24"/>
          <w:szCs w:val="24"/>
          <w:lang w:bidi="ar"/>
        </w:rPr>
        <w:t>公开发行证券的公司信息披露内容与格式准则第26号</w:t>
      </w:r>
      <w:r w:rsidR="00F67407">
        <w:rPr>
          <w:rFonts w:ascii="宋体" w:hAnsi="宋体" w:cs="宋体"/>
          <w:b/>
          <w:bCs/>
          <w:color w:val="000000"/>
          <w:kern w:val="0"/>
          <w:sz w:val="24"/>
          <w:szCs w:val="24"/>
          <w:lang w:bidi="ar"/>
        </w:rPr>
        <w:br/>
      </w:r>
      <w:r w:rsidRPr="00F67407">
        <w:rPr>
          <w:rFonts w:ascii="宋体" w:hAnsi="宋体" w:cs="宋体" w:hint="eastAsia"/>
          <w:b/>
          <w:bCs/>
          <w:color w:val="000000"/>
          <w:kern w:val="0"/>
          <w:sz w:val="24"/>
          <w:szCs w:val="24"/>
          <w:lang w:bidi="ar"/>
        </w:rPr>
        <w:t>——上市公司重大资产重组（2022年修订）</w:t>
      </w:r>
      <w:bookmarkEnd w:id="67"/>
    </w:p>
    <w:p w14:paraId="12B78DCB"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证监会公告〔2022〕10号</w:t>
      </w:r>
    </w:p>
    <w:p w14:paraId="26C756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现公布《公开发行证券的公司信息披露内容与格式准则第26号——上市公司重大资产重组（2022年修订）》，自公布之日起施行。</w:t>
      </w:r>
    </w:p>
    <w:p w14:paraId="48511739"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中国证监会</w:t>
      </w:r>
    </w:p>
    <w:p w14:paraId="69F4CD08"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2022年1月5日</w:t>
      </w:r>
    </w:p>
    <w:p w14:paraId="6F6A9840" w14:textId="6073AFDD" w:rsidR="00A320E6" w:rsidRDefault="00000000" w:rsidP="00445D7B">
      <w:pPr>
        <w:pStyle w:val="13"/>
        <w:spacing w:before="62" w:after="62"/>
      </w:pPr>
      <w:r>
        <w:rPr>
          <w:rFonts w:hint="eastAsia"/>
        </w:rPr>
        <w:t>第一章</w:t>
      </w:r>
      <w:r w:rsidR="00445D7B">
        <w:rPr>
          <w:rFonts w:hint="eastAsia"/>
        </w:rPr>
        <w:t xml:space="preserve"> </w:t>
      </w:r>
      <w:r>
        <w:rPr>
          <w:rFonts w:hint="eastAsia"/>
        </w:rPr>
        <w:t>总则</w:t>
      </w:r>
    </w:p>
    <w:p w14:paraId="5FA6BDE8" w14:textId="5F4E6361" w:rsidR="00A320E6" w:rsidRDefault="00A45A13" w:rsidP="00445D7B">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为规范上市公司重大资产重组的信息披露行为，根据《中华人民共和国</w:t>
      </w:r>
      <w:r>
        <w:rPr>
          <w:rFonts w:ascii="宋体" w:hAnsi="宋体" w:cs="宋体" w:hint="eastAsia"/>
          <w:sz w:val="24"/>
        </w:rPr>
        <w:lastRenderedPageBreak/>
        <w:t>证券法》（以下简称《证券法》）、《上市公司重大资产重组管理办法》（证监会令第166号，以下简称《重组办法》）及其他相关法律、行政法规及部门规章的规定，制定本准则。</w:t>
      </w:r>
    </w:p>
    <w:p w14:paraId="44F18EAA" w14:textId="5D4760D2" w:rsidR="00A320E6" w:rsidRDefault="00A45A13" w:rsidP="00445D7B">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上市公司进行《重组办法》规定的资产交易行为（以下简称重大资产重组），应当按照本准则编制重大资产重组报告书（以下简称重组报告书）等信息披露文件，并按《重组办法》等相关规定予以披露。</w:t>
      </w:r>
    </w:p>
    <w:p w14:paraId="01FAE8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进行需向中国证券监督管理委员会（以下简称中国证监会）申请行政许可的资产交易行为，还应当按照本准则的要求制作和报送申请文件。上市公司未按照本准则的要求制作、报送申请文件的，中国证监会可不予受理或者要求其重新制作、报送。</w:t>
      </w:r>
    </w:p>
    <w:p w14:paraId="07F931FE" w14:textId="165A374D" w:rsidR="00A320E6" w:rsidRDefault="00A45A13" w:rsidP="00445D7B">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本准则的规定是对上市公司重大资产重组信息披露或申请文件的最低要求。不论本准则是否有明确规定，凡对上市公司股票及其衍生品交易价格可能产生较大影响或对投资者做出投资决策有重大影响的信息，均应披露或提供。</w:t>
      </w:r>
    </w:p>
    <w:p w14:paraId="7DFF98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本准则某些具体要求对当次重大资产重组确实不适用的，上市公司可根据实际情况，在不影响内容完整性的前提下予以适当调整，但应当在披露或申请时作出说明。</w:t>
      </w:r>
    </w:p>
    <w:p w14:paraId="519479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中国证监会、证券交易所可以根据监管实际需要，要求上市公司补充披露其他有关信息或提供其他有关文件。</w:t>
      </w:r>
    </w:p>
    <w:p w14:paraId="246974EB" w14:textId="1E0844BD" w:rsidR="00A320E6" w:rsidRDefault="00A45A13" w:rsidP="00445D7B">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由于涉及国家机密、商业秘密（如核心技术的保密资料、商业合同的具体内容等）等特殊原因，本准则规定的某些信息或文件确实不便披露或提供的，上市公司可以不予披露或提供，但应当在相关章节中详细说明未按本准则要求进行披露或提供的原因。中国证监会认为需要披露或提供的，上市公司应当披露或提供。</w:t>
      </w:r>
    </w:p>
    <w:p w14:paraId="19CC3DF3" w14:textId="3E41D03D"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重大资产重组有关各方应当及时、公平地披露或提供信息，披露或提供的所有信息应当真实、准确、完整，所描述的事实应当有充分、客观、公正的依据，所引用的数据应当注明资料来源，不得有虚假记载、误导性陈述或者重大遗漏。</w:t>
      </w:r>
    </w:p>
    <w:p w14:paraId="4B7153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上市公司全体董事、监事、高级管理人员及相关证券服务机构及其人员应当按要求在所披露或提供的有关文件上发表声明，确保披露或提供文件的真实性、准确性和完整性。</w:t>
      </w:r>
    </w:p>
    <w:p w14:paraId="558B96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交易对方应当按要求在所披露或申请的有关文件上发表声明，确保为本次重组</w:t>
      </w:r>
      <w:r>
        <w:rPr>
          <w:rFonts w:ascii="宋体" w:hAnsi="宋体" w:cs="宋体" w:hint="eastAsia"/>
          <w:sz w:val="24"/>
        </w:rPr>
        <w:lastRenderedPageBreak/>
        <w:t>所提供的信息的真实性、准确性和完整性。</w:t>
      </w:r>
    </w:p>
    <w:p w14:paraId="48A0C6A0" w14:textId="27198821"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重大资产重组信息披露文件应当便于投资者阅读，在充分披露的基础上做到逻辑清晰、简明扼要，具有可读性和可理解性。</w:t>
      </w:r>
    </w:p>
    <w:p w14:paraId="5AF0B1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重大资产重组信息披露文件和申请文件（如涉及）应当作为备查文件，供投资者查阅。</w:t>
      </w:r>
    </w:p>
    <w:p w14:paraId="5EE10E56" w14:textId="33B5B121" w:rsidR="00A320E6" w:rsidRDefault="00000000" w:rsidP="00445D7B">
      <w:pPr>
        <w:pStyle w:val="13"/>
        <w:spacing w:before="62" w:after="62"/>
      </w:pPr>
      <w:r>
        <w:rPr>
          <w:rFonts w:hint="eastAsia"/>
        </w:rPr>
        <w:t>第二章</w:t>
      </w:r>
      <w:r w:rsidR="00445D7B">
        <w:rPr>
          <w:rFonts w:hint="eastAsia"/>
        </w:rPr>
        <w:t xml:space="preserve"> </w:t>
      </w:r>
      <w:r>
        <w:rPr>
          <w:rFonts w:hint="eastAsia"/>
        </w:rPr>
        <w:t>重组预案</w:t>
      </w:r>
    </w:p>
    <w:p w14:paraId="5E9B51A0" w14:textId="198814CF"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上市公司编制的重组预案应当至少包括以下内容：</w:t>
      </w:r>
    </w:p>
    <w:p w14:paraId="079752A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（一）重大事项提示、重大风险提示。</w:t>
      </w:r>
    </w:p>
    <w:p w14:paraId="534A76E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（二）本次交易的背景和目的。</w:t>
      </w:r>
    </w:p>
    <w:p w14:paraId="6ABF8800" w14:textId="1493133B"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（三）本次交易的方案概况。方案介绍中应当披露本次交易是否构成《重组办法》</w:t>
      </w:r>
      <w:r w:rsidR="00EC0B72" w:rsidRPr="00445D7B">
        <w:rPr>
          <w:rFonts w:ascii="宋体" w:hAnsi="宋体" w:cs="宋体" w:hint="eastAsia"/>
          <w:bCs/>
          <w:sz w:val="24"/>
        </w:rPr>
        <w:t>第十三条</w:t>
      </w:r>
      <w:r>
        <w:rPr>
          <w:rFonts w:ascii="宋体" w:hAnsi="宋体" w:cs="宋体" w:hint="eastAsia"/>
          <w:sz w:val="24"/>
        </w:rPr>
        <w:t>规定的交易情形（以下简称重组上市）及其判断依据。</w:t>
      </w:r>
    </w:p>
    <w:p w14:paraId="50D168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（四）上市公司最近三十六个月的控制权变动情况，最近三年的主营业务发展情况以及因本次交易导致的股权控制结构的预计变化情况。</w:t>
      </w:r>
    </w:p>
    <w:p w14:paraId="0C9A44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主要交易对方基本情况。主要交易对方为法人的，应当披露其名称、注册地、法定代表人，与其控股股东、实际控制人之间的产权控制关系结构图；主要交易对方为自然人的，应当披露其姓名（包括曾用名）、性别、国籍、是否取得其他国家或者地区的居留权等；主要交易对方为其他主体的，应当披露其名称、性质，如为合伙企业，应披露合伙企业及其相关的产权及控制关系、主要合伙人等情况。</w:t>
      </w:r>
    </w:p>
    <w:p w14:paraId="15402B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上市公司以公开招标、公开拍卖等方式购买或出售资产的，如确实无法在重组预案中披露交易对方基本情况，应说明无法披露的原因及影响。</w:t>
      </w:r>
    </w:p>
    <w:p w14:paraId="59D534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交易标的基本情况，包括报告期（本准则所述报告期指最近两年及一期，如初步估算为重组上市的情形，报告期指最近三年及一期）主营业务（主要产品或服务、盈利模式、核心竞争力等概要情况）、主要财务指标（可为未审计数）、预估值及拟定价（如有）等。未披露预估值及拟定价的，应当说明原因及影响。</w:t>
      </w:r>
    </w:p>
    <w:p w14:paraId="635824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相关证券服务机构未完成审计、评估或估值、盈利预测审核（如涉及）的，上市公司应当作出“相关资产经审计的财务数据、评估或估值结果、以及经审核的盈利预测数据（如涉及）将在重大资产重组报告书中予以披露”的特别提示以及“相关资产经审计的财务数据、评估或估值最终结果可能与预案披露情况存在较大差异”的风险揭示。</w:t>
      </w:r>
    </w:p>
    <w:p w14:paraId="477DE0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交易标的属于境外资产或者通过公开招标、公开拍卖等方式购买的，如确实无法披露财务数据，应说明无法披露的原因和影响，并提出解决方案。</w:t>
      </w:r>
    </w:p>
    <w:p w14:paraId="430935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非现金支付方式情况（如涉及）。上市公司发行股份购买资产的，应当披露发行股份的定价及依据、本次发行股份购买资产的董事会决议明确的发行价格调整方案等相关信息。上市公司通过发行优先股、向特定对象发行可转换为股票的公司债券、定向权证等非现金支付方式购买资产的，应当比照前述要求披露相关信息。</w:t>
      </w:r>
    </w:p>
    <w:p w14:paraId="535572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交易方案涉及吸收合并的，应当披露换股价格及确定方法、本次吸收合并的董事会决议明确的换股价格调整方案、异议股东权利保护安排、债权人权利保护安排等相关信息。</w:t>
      </w:r>
    </w:p>
    <w:p w14:paraId="101A12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交易方案涉及募集配套资金的，应当简要披露募集配套资金的预计金额及占交易总金额的比例、股份发行情况、用途等相关信息。</w:t>
      </w:r>
    </w:p>
    <w:p w14:paraId="5354E28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（八）本次交易存在其他重大不确定性因素，包括尚需取得有关主管部门的批准等情况的，应当对相关风险作出充分说明和特别提示。</w:t>
      </w:r>
    </w:p>
    <w:p w14:paraId="7A83BD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上市公司的控股股东及其一致行动人对本次重组的原则性意见，及控股股东及其一致行动人、董事、监事、高级管理人员自本次重组复牌之日起至实施完毕期间的股份减持计划。上市公司披露为无控股股东的，应当比照前述要求，披露第一大股东及持股百分之五以上股东的意见及减持计划。</w:t>
      </w:r>
    </w:p>
    <w:p w14:paraId="2AFD10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（十）相关证券服务机构对重组预案已披露内容发表的核查意见（如有）。</w:t>
      </w:r>
    </w:p>
    <w:p w14:paraId="4962B4C3" w14:textId="51B29C9D" w:rsidR="00A320E6" w:rsidRDefault="00000000" w:rsidP="00445D7B">
      <w:pPr>
        <w:pStyle w:val="13"/>
        <w:spacing w:before="62" w:after="62"/>
      </w:pPr>
      <w:r>
        <w:rPr>
          <w:rFonts w:hint="eastAsia"/>
        </w:rPr>
        <w:t>第三章</w:t>
      </w:r>
      <w:r w:rsidR="00445D7B">
        <w:rPr>
          <w:rFonts w:hint="eastAsia"/>
        </w:rPr>
        <w:t xml:space="preserve"> </w:t>
      </w:r>
      <w:r>
        <w:rPr>
          <w:rFonts w:hint="eastAsia"/>
        </w:rPr>
        <w:t>重组报告书</w:t>
      </w:r>
    </w:p>
    <w:p w14:paraId="6ABD86F0" w14:textId="4C2F02AF" w:rsidR="00A320E6" w:rsidRDefault="00000000" w:rsidP="00445D7B">
      <w:pPr>
        <w:pStyle w:val="13"/>
        <w:spacing w:before="62" w:after="62"/>
      </w:pPr>
      <w:r>
        <w:rPr>
          <w:rFonts w:hint="eastAsia"/>
        </w:rPr>
        <w:t>第一节</w:t>
      </w:r>
      <w:r w:rsidR="00445D7B">
        <w:rPr>
          <w:rFonts w:hint="eastAsia"/>
        </w:rPr>
        <w:t xml:space="preserve"> </w:t>
      </w:r>
      <w:r>
        <w:rPr>
          <w:rFonts w:hint="eastAsia"/>
        </w:rPr>
        <w:t>封面、目录、释义</w:t>
      </w:r>
    </w:p>
    <w:p w14:paraId="70B6F3C3" w14:textId="4286D0A3"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上市公司应当在重组报告书全文文本封面列明重组报告书的标题。重组报告书标题应明确具体交易形式，包括但不限于：××股份有限公司重大资产购买报告书、××股份有限公司重大资产出售报告书、××股份有限公司重大资产置换报告书、××股份有限公司发行股份购买资产报告书或××股份有限公司吸收合并××公司报告书。</w:t>
      </w:r>
    </w:p>
    <w:p w14:paraId="35B279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重组采取两种以上交易形式组合的，应当在标题中列明，如“××股份有限公司重大资产置换及发行股份购买资产报告书”；发行股份购买资产同时募集配套资金的，应当在标题中标明“并募集配套资金”，如“××股份有限公司发行股</w:t>
      </w:r>
      <w:r>
        <w:rPr>
          <w:rFonts w:ascii="宋体" w:hAnsi="宋体" w:cs="宋体" w:hint="eastAsia"/>
          <w:sz w:val="24"/>
        </w:rPr>
        <w:lastRenderedPageBreak/>
        <w:t>份购买资产并募集配套资金报告书”；资产重组构成关联交易的，还应当在标题中标明“暨关联交易”的字样，如“××股份有限公司重大资产购买暨关联交易报告书”。</w:t>
      </w:r>
    </w:p>
    <w:p w14:paraId="1AD8C3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同时，封面中应当载明以下内容：</w:t>
      </w:r>
    </w:p>
    <w:p w14:paraId="08E032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（1）上市公司的名称、股票上市地点、股票简称、股票代码；</w:t>
      </w:r>
    </w:p>
    <w:p w14:paraId="1C044A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（2）交易对方的名称或姓名；</w:t>
      </w:r>
    </w:p>
    <w:p w14:paraId="6BB080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（3）独立财务顾问名称；</w:t>
      </w:r>
    </w:p>
    <w:p w14:paraId="6D32D95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（4）重组报告书签署日期。</w:t>
      </w:r>
    </w:p>
    <w:p w14:paraId="0AEE34A4" w14:textId="48FEC79E"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重组报告书的目录应当标明各章、节的标题及相应的页码，内容编排应当符合通行的中文惯例。</w:t>
      </w:r>
    </w:p>
    <w:p w14:paraId="3D40ED40" w14:textId="713CE065"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上市公司应当在重组报告书中对可能造成投资者理解障碍及有特定含义的术语作出释义，释义应当在目录次页排印。</w:t>
      </w:r>
    </w:p>
    <w:p w14:paraId="7EDA85E4" w14:textId="3AADBB33" w:rsidR="00A320E6" w:rsidRDefault="00000000" w:rsidP="00445D7B">
      <w:pPr>
        <w:pStyle w:val="13"/>
        <w:spacing w:before="62" w:after="62"/>
      </w:pPr>
      <w:r>
        <w:rPr>
          <w:rFonts w:hint="eastAsia"/>
        </w:rPr>
        <w:t>第二节</w:t>
      </w:r>
      <w:r w:rsidR="00445D7B">
        <w:rPr>
          <w:rFonts w:hint="eastAsia"/>
        </w:rPr>
        <w:t xml:space="preserve"> </w:t>
      </w:r>
      <w:r>
        <w:rPr>
          <w:rFonts w:hint="eastAsia"/>
        </w:rPr>
        <w:t>重大事项提示</w:t>
      </w:r>
    </w:p>
    <w:p w14:paraId="221FCA35" w14:textId="47798764"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上市公司应当在重组报告书扉页中，遵循重要性和相关性原则，以简明扼要的方式，就与本次重组有关的重大事项，进行“重大事项提示”。包括但不限于：</w:t>
      </w:r>
    </w:p>
    <w:p w14:paraId="389D1A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（一）本次重组方案简要介绍。</w:t>
      </w:r>
    </w:p>
    <w:p w14:paraId="7E0C03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（二）按《重组办法》规定计算的相关指标、本次重组是否构成关联交易（如构成关联交易，应披露构成关联交易的原因、涉及董事和股东的回避表决安排）、是否构成重组上市及判断依据。</w:t>
      </w:r>
    </w:p>
    <w:p w14:paraId="2DF2AD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如披露本次交易不构成重组上市，但交易完成后，持有上市公司百分之五以上股份的股东或者实际控制人持股情况或者控制公司的情况以及上市公司的业务构成都将发生较大变化，应当披露未来三十六个月上市公司是否存在维持或变更控制权、调整主营业务的相关安排、承诺、协议等，如存在，应当详细披露主要内容。</w:t>
      </w:r>
    </w:p>
    <w:p w14:paraId="5207DA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（四）本次重组支付方式、募集配套资金安排简要介绍（如涉及）。</w:t>
      </w:r>
    </w:p>
    <w:p w14:paraId="12594C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（五）交易标的评估或估值情况简要介绍。</w:t>
      </w:r>
    </w:p>
    <w:p w14:paraId="06D540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（六）本次重组对上市公司影响的简要介绍，列表披露本次重组对上市公司股权结构的影响及对上市公司主要财务指标的影响。</w:t>
      </w:r>
    </w:p>
    <w:p w14:paraId="3E1909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（七）本次重组已履行的和尚未履行的决策程序及报批程序，本次重组方案实施前尚需取得的有关批准。涉及并联审批的，应当明确取得批准前不得实施本次重组方案。</w:t>
      </w:r>
    </w:p>
    <w:p w14:paraId="618016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（八）列表披露本次重组相关方作出的重要承诺。</w:t>
      </w:r>
    </w:p>
    <w:p w14:paraId="09ECDC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上市公司的控股股东及其一致行动人对本次重组的原则性意见，及控股股东及其一致行动人、董事、监事、高级管理人员自本次重组复牌之日起至实施完毕期间的股份减持计划。上市公司披露为无控股股东的，应当比照前述要求，披露第一大股东及持股百分之五以上股东的意见及减持计划。</w:t>
      </w:r>
    </w:p>
    <w:p w14:paraId="5EE1B7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（十）本次重组对中小投资者权益保护的安排，包括但不限于股东大会表决情况、网络投票安排、并购重组摊薄当期每股收益的填补回报安排等。</w:t>
      </w:r>
    </w:p>
    <w:p w14:paraId="1436FF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（十一）其他需要提醒投资者重点关注的事项。</w:t>
      </w:r>
    </w:p>
    <w:p w14:paraId="1CE747D2" w14:textId="60BADA3B" w:rsidR="00A320E6" w:rsidRDefault="00000000" w:rsidP="00445D7B">
      <w:pPr>
        <w:pStyle w:val="13"/>
        <w:spacing w:before="62" w:after="62"/>
      </w:pPr>
      <w:r>
        <w:rPr>
          <w:rFonts w:hint="eastAsia"/>
        </w:rPr>
        <w:t>第三节</w:t>
      </w:r>
      <w:r w:rsidR="00445D7B">
        <w:rPr>
          <w:rFonts w:hint="eastAsia"/>
        </w:rPr>
        <w:t xml:space="preserve"> </w:t>
      </w:r>
      <w:r>
        <w:rPr>
          <w:rFonts w:hint="eastAsia"/>
        </w:rPr>
        <w:t>重大风险提示</w:t>
      </w:r>
    </w:p>
    <w:p w14:paraId="774DF8AF" w14:textId="09754179" w:rsidR="00A320E6" w:rsidRDefault="00977BD5" w:rsidP="00445D7B">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上市公司应当在重组报告书扉页中针对本次重组的实际情况，遵循重要性和相关性原则，在第十三节“风险因素”基础上，选择若干可能直接或间接对本次重组及重组后上市公司生产经营状况、财务状况和持续盈利能力等产生严重不利影响的风险因素，进行“重大风险提示”。</w:t>
      </w:r>
    </w:p>
    <w:p w14:paraId="054A5108" w14:textId="0D4665C4" w:rsidR="00A320E6" w:rsidRDefault="00000000" w:rsidP="00445D7B">
      <w:pPr>
        <w:pStyle w:val="13"/>
        <w:spacing w:before="62" w:after="62"/>
      </w:pPr>
      <w:r>
        <w:rPr>
          <w:rFonts w:hint="eastAsia"/>
        </w:rPr>
        <w:t>第四节</w:t>
      </w:r>
      <w:r w:rsidR="00445D7B">
        <w:rPr>
          <w:rFonts w:hint="eastAsia"/>
        </w:rPr>
        <w:t xml:space="preserve"> </w:t>
      </w:r>
      <w:r>
        <w:rPr>
          <w:rFonts w:hint="eastAsia"/>
        </w:rPr>
        <w:t>本次交易概况</w:t>
      </w:r>
    </w:p>
    <w:p w14:paraId="734A6A15" w14:textId="4E758399" w:rsidR="00A320E6" w:rsidRDefault="00EC0B72" w:rsidP="00445D7B">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介绍本次重组的交易概况，包括但不限于：</w:t>
      </w:r>
    </w:p>
    <w:p w14:paraId="08D494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（一）交易背景及目的；</w:t>
      </w:r>
    </w:p>
    <w:p w14:paraId="5E4C09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（二）本次交易决策过程和批准情况；</w:t>
      </w:r>
    </w:p>
    <w:p w14:paraId="261EE8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（三）本次交易具体方案；</w:t>
      </w:r>
    </w:p>
    <w:p w14:paraId="0AC6DF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（四）本次重组对上市公司的影响。</w:t>
      </w:r>
    </w:p>
    <w:p w14:paraId="0A899ADC" w14:textId="1568A4FF" w:rsidR="00A320E6" w:rsidRDefault="00000000" w:rsidP="00445D7B">
      <w:pPr>
        <w:pStyle w:val="13"/>
        <w:spacing w:before="62" w:after="62"/>
      </w:pPr>
      <w:r>
        <w:rPr>
          <w:rFonts w:hint="eastAsia"/>
        </w:rPr>
        <w:t>第五节</w:t>
      </w:r>
      <w:r w:rsidR="00445D7B">
        <w:rPr>
          <w:rFonts w:hint="eastAsia"/>
        </w:rPr>
        <w:t xml:space="preserve"> </w:t>
      </w:r>
      <w:r>
        <w:rPr>
          <w:rFonts w:hint="eastAsia"/>
        </w:rPr>
        <w:t>交易各方</w:t>
      </w:r>
    </w:p>
    <w:p w14:paraId="05F096CC" w14:textId="30E245EE" w:rsidR="00A320E6" w:rsidRDefault="00EC0B72" w:rsidP="00445D7B">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上市公司基本情况，包括公司设立情况及曾用名称，最近三十六个月的控制权变动情况，最近三年的重大资产重组情况、主营业务发展情况和主要财务指标，以及控股股东、实际控制人概况。</w:t>
      </w:r>
    </w:p>
    <w:p w14:paraId="79D5CD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是否因涉嫌犯罪被司法机关立案侦查或者涉嫌违法违规被中国证监会立案调查，最近三年是否受到行政处罚或者刑事处罚，如存在，应当披露相关情况，并说明对本次重组的影响。构成重组上市的，还应当说明上市公司及其最近三年内</w:t>
      </w:r>
      <w:r>
        <w:rPr>
          <w:rFonts w:ascii="宋体" w:hAnsi="宋体" w:cs="宋体" w:hint="eastAsia"/>
          <w:sz w:val="24"/>
        </w:rPr>
        <w:lastRenderedPageBreak/>
        <w:t>的控股股东、实际控制人是否存在因涉嫌犯罪正被司法机关立案侦查或涉嫌违法违规被中国证监会立案调查的情形，如存在，涉嫌犯罪或违法违规的行为终止是否已满三年，交易方案是否能够消除该行为可能造成的不良后果，是否影响对相关行为人追究责任。上市公司及其控股股东、实际控制人最近十二个月内是否受到证券交易所公开谴责，是否存在其他重大失信行为。</w:t>
      </w:r>
    </w:p>
    <w:p w14:paraId="71A2F9DE" w14:textId="73A17DEB" w:rsidR="00A320E6" w:rsidRDefault="00EC0B72" w:rsidP="00445D7B">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交易对方情况：</w:t>
      </w:r>
    </w:p>
    <w:p w14:paraId="1458B71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交易对方为法人的，应当披露其名称、企业性质、注册地、主要办公地点、法定代表人、注册资本、统一社会信用代码、历史沿革、经营范围，最近三年注册资本变化情况、主要业务发展状况和最近两年主要财务指标，最近一年简要财务报表并注明是否已经审计。</w:t>
      </w:r>
    </w:p>
    <w:p w14:paraId="2A7456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以方框图或者其他有效形式，全面披露交易对方相关的产权及控制关系，包括交易对方的主要股东或权益持有人、股权或权益的间接控制人及各层之间的产权关系结构图，直至自然人、国有资产管理部门或者股东之间达成某种协议或安排的其他机构；以文字简要介绍交易对方的主要股东及其他关联人的基本情况；列示交易对方按产业类别划分的下属企业名目。</w:t>
      </w:r>
    </w:p>
    <w:p w14:paraId="4C32DC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交易对方成立不足一个完整会计年度、没有具体经营业务或者是专为本次交易而设立的，则应当按照上述要求披露交易对方的实际控制人或者控股公司的相关资料。</w:t>
      </w:r>
    </w:p>
    <w:p w14:paraId="564E69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交易对方为自然人的，应当披露其姓名（包括曾用名）、性别、国籍、身份证号码、住所、通讯地址、是否取得其他国家或者地区的居留权、最近三年的职业和职务，并注明每份职业的起止日期和任职单位，是否与任职单位存在产权关系，以及其控制的企业和关联企业的基本情况。</w:t>
      </w:r>
    </w:p>
    <w:p w14:paraId="19243F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交易对方为其他主体的，应当披露其名称、性质及相关协议安排，并比照本条第（一）项相关要求，披露该主体的基本情况及其相关产权及控制关系，以及该主体下属企业名目等情况。如为合伙企业，应当穿透披露至最终出资人，同时还应披露合伙人、最终出资人与参与本次交易的其他有关主体的关联关系（如有）；交易完成后合伙企业成为上市公司第一大股东或持股百分之五以上股东的，还应当披露最终出资人的资金来源，合伙企业利润分配、亏损负担及合伙事务执行（含表决权行使）的有关协议安排，本次交易停牌前六个月内及停牌期间合伙人入伙、退</w:t>
      </w:r>
      <w:r>
        <w:rPr>
          <w:rFonts w:ascii="宋体" w:hAnsi="宋体" w:cs="宋体" w:hint="eastAsia"/>
          <w:sz w:val="24"/>
        </w:rPr>
        <w:lastRenderedPageBreak/>
        <w:t>伙、转让财产份额、有限合伙人与普通合伙人转变身份的情况及未来存续期间内的类似变动安排（如有）。如为契约型私募基金、券商资产管理计划、基金专户及基金子公司产品、信托计划、理财产品、保险资管计划、专为本次交易设立的公司等，应当比照对合伙企业的上述要求进行披露。</w:t>
      </w:r>
    </w:p>
    <w:p w14:paraId="1EA21F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（四）交易对方为多个主体的，应当披露交易对方之间是否存在关联关系及其情况说明。</w:t>
      </w:r>
    </w:p>
    <w:p w14:paraId="4C8D0E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（五）交易对方与上市公司之间是否存在关联关系及其情况说明，交易对方向上市公司推荐董事或者高级管理人员的情况。</w:t>
      </w:r>
    </w:p>
    <w:p w14:paraId="5A7734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交易对方及其主要管理人员最近五年内受过行政处罚（与证券市场明显无关的除外）、刑事处罚、或者涉及与经济纠纷有关的重大民事诉讼或者仲裁的，应当披露处罚机关或者受理机构的名称、处罚种类、诉讼或者仲裁结果，以及日期、原因和执行情况。</w:t>
      </w:r>
    </w:p>
    <w:p w14:paraId="2A23B9D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（七）交易对方及其主要管理人员最近五年的诚信情况，包括但不限于：交易对方及其主要管理人员未按期偿还大额债务、未履行承诺、被中国证监会采取行政监管措施或受到证券交易所纪律处分的情况等。</w:t>
      </w:r>
    </w:p>
    <w:p w14:paraId="379DC221" w14:textId="1412D113" w:rsidR="00A320E6" w:rsidRDefault="00000000" w:rsidP="0034113F">
      <w:pPr>
        <w:pStyle w:val="13"/>
        <w:spacing w:before="62" w:after="62"/>
      </w:pPr>
      <w:r>
        <w:rPr>
          <w:rFonts w:hint="eastAsia"/>
        </w:rPr>
        <w:t>第六节</w:t>
      </w:r>
      <w:r w:rsidR="0034113F">
        <w:rPr>
          <w:rFonts w:hint="eastAsia"/>
        </w:rPr>
        <w:t xml:space="preserve"> </w:t>
      </w:r>
      <w:r>
        <w:rPr>
          <w:rFonts w:hint="eastAsia"/>
        </w:rPr>
        <w:t>交易标的</w:t>
      </w:r>
    </w:p>
    <w:p w14:paraId="726FEF21" w14:textId="30EB7C00" w:rsidR="00A320E6" w:rsidRDefault="00EC0B72" w:rsidP="0034113F">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交易标的为完整经营性资产的（包括股权或其他构成可独立核算会计主体的经营性资产），应当披露：</w:t>
      </w:r>
    </w:p>
    <w:p w14:paraId="4B35BBA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（一）该经营性资产的名称、企业性质、注册地、主要办公地点、法定代表人、注册资本、成立日期、统一社会信用代码。</w:t>
      </w:r>
    </w:p>
    <w:p w14:paraId="676DAA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（二）该经营性资产的历史沿革，包括设立情况、历次增减资或股权转让情况、是否存在出资瑕疵或影响其合法存续的情况。</w:t>
      </w:r>
    </w:p>
    <w:p w14:paraId="7542053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该经营性资产最近三年增减资及股权转让的原因、作价依据及其合理性，股权变动相关方的关联关系，是否履行必要的审议和批准程序，是否符合相关法律法规及公司章程的规定，是否存在违反限制或禁止性规定而转让的情形。</w:t>
      </w:r>
    </w:p>
    <w:p w14:paraId="00CF93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该经营性资产的产权或控制关系，包括其主要股东或权益持有人及持有股权或权益的比例、公司章程中可能对本次交易产生影响的主要内容或相关投资协议、高级管理人员的安排、是否存在影响该资产独立性的协议或其他安排（如让渡经营管理权、收益权等）。</w:t>
      </w:r>
    </w:p>
    <w:p w14:paraId="36662A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四）该经营性资产及其对应的主要资产的权属状况、对外担保情况及主要负债、或有负债情况，说明产权是否清晰，是否存在抵押、质押等权利限制，是否涉及诉讼、仲裁、司法强制执行等重大争议或者存在妨碍权属转移的其他情况。</w:t>
      </w:r>
    </w:p>
    <w:p w14:paraId="08892E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该经营性资产是否因涉嫌犯罪被司法机关立案侦查或者涉嫌违法违规被中国证监会立案调查，是否受到行政处罚或者刑事处罚，如存在，应当披露相关情况，并说明对本次重组的影响。</w:t>
      </w:r>
    </w:p>
    <w:p w14:paraId="11BB3B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（五）最近三年主营业务发展情况。如果该经营性资产的主营业务和产品（或服务）分属不同行业，则应按不同行业分别披露相关信息。</w:t>
      </w:r>
    </w:p>
    <w:p w14:paraId="56F0CC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报告期经审计的财务指标。除主要财务指标外，还应包括扣除非经常性损益的净利润，同时说明报告期非经常性损益的构成及原因，扣除非经常性损益后净利润的稳定性，非经常性损益（如财政补贴）是否具备持续性。</w:t>
      </w:r>
    </w:p>
    <w:p w14:paraId="6EE640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交易标的为企业股权的，应当披露该企业是否存在出资瑕疵或影响其合法存续的情况；上市公司在交易完成后将成为持股型公司的，应当披露作为主要交易标的的企业股权是否为控股权；交易标的为有限责任公司股权的，应当披露是否已取得该公司其他股东的同意或者符合公司章程规定的股权转让前置条件。</w:t>
      </w:r>
    </w:p>
    <w:p w14:paraId="124777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该经营性资产的权益最近三年曾进行与交易、增资或改制相关的评估或估值的，应当披露相关评估或估值的方法、评估或估值结果及其与账面值的增减情况，交易价格、交易对方和增资改制的情况，并列表说明该经营性资产最近三年评估或估值情况与本次重组评估或估值情况的差异原因。</w:t>
      </w:r>
    </w:p>
    <w:p w14:paraId="5AB2FE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（九）该经营性资产的下属企业构成该经营性资产最近一期经审计的资产总额、营业收入、净资产额或净利润来源百分之二十以上且有重大影响的，应参照上述要求披露该下属企业的相关信息。</w:t>
      </w:r>
    </w:p>
    <w:p w14:paraId="093F8F6D" w14:textId="5500EB62" w:rsidR="00A320E6" w:rsidRDefault="00EC0B72" w:rsidP="0034113F">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交易标的不构成完整经营性资产的，应当披露：</w:t>
      </w:r>
    </w:p>
    <w:p w14:paraId="666DFC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（一）相关资产的名称、类别；</w:t>
      </w:r>
    </w:p>
    <w:p w14:paraId="248BD5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（二）相关资产的权属状况，包括产权是否清晰，是否存在抵押、质押等权利限制，是否涉及诉讼、仲裁、司法强制执行等重大争议或者存在妨碍权属转移的其他情况；</w:t>
      </w:r>
    </w:p>
    <w:p w14:paraId="237D0B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（三）相关资产最近三年的运营情况和报告期经审计的财务数据，包括但不限于资产总额、资产净额、可准确核算的收入或费用额；</w:t>
      </w:r>
    </w:p>
    <w:p w14:paraId="0F32723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（四）相关资产在最近三年曾进行评估、估值或者交易的，应当披露评估或估值结果、交易价格、交易对方等情况，并列表说明相关资产最近三年评估或估值情况与本次重组评估或估值情况的差异原因。</w:t>
      </w:r>
    </w:p>
    <w:p w14:paraId="3A9B2691" w14:textId="1F52F136" w:rsidR="00A320E6" w:rsidRDefault="00EC0B72" w:rsidP="0034113F">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交易标的涉及土地使用权、矿业权等资源类权利的，应当披露是否已取得相应的权属证书、是否已具备相应的开发或开采条件、以及土地出让金、矿业权价款等费用的缴纳情况。</w:t>
      </w:r>
    </w:p>
    <w:p w14:paraId="6D2357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交易标的涉及立项、环保、行业准入、用地、规划、施工建设等有关报批事项的，应当披露是否已取得相应的许可证书或相关主管部门的批复文件。</w:t>
      </w:r>
    </w:p>
    <w:p w14:paraId="7FEC261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交易标的未取得许可证书或相关主管部门的批复文件的（如涉及），上市公司应作出“标的资产××许可证书或相关主管部门的批复文件尚未取得，本次重组存在重大不确定性”的特别提示。</w:t>
      </w:r>
    </w:p>
    <w:p w14:paraId="217F343A" w14:textId="41D3BC1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p>
    <w:p w14:paraId="28035B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标的涉及许可他人使用自己所有的资产，或者作为被许可方使用他人资产的，应当简要披露许可合同的主要内容，包括许可人、被许可人、许可使用的具体资产内容、许可方式、许可年限、许可使用费等，以及合同履行情况；充分说明本次重组对上述许可合同效力的影响，该等资产对交易标的持续经营的影响，并就许可的范围、使用的稳定性、协议安排的合理性等进行说明。</w:t>
      </w:r>
    </w:p>
    <w:p w14:paraId="23CBD476" w14:textId="1FE53EA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p>
    <w:p w14:paraId="5DA273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交易涉及债权债务转移的，应当披露该等债权债务的基本情况、已取得债权人书面同意的情况，说明未获得同意部分的债务金额、债务形成原因、到期日，并对该部分债务的处理做出妥善安排，说明交易完成后上市公司是否存在偿债风险和其他或有风险及应对措施。</w:t>
      </w:r>
    </w:p>
    <w:p w14:paraId="3C3CB89F" w14:textId="21A7224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p>
    <w:p w14:paraId="008380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资产交易涉及重大资产购买的，上市公司应当根据重要性原则，结合行业特点，披露拟购买资产主营业务的具体情况，包括：</w:t>
      </w:r>
    </w:p>
    <w:p w14:paraId="4FE5BF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（一）主要产品（或服务）所处行业的主管部门、监管体制、主要法律法规及政策等。</w:t>
      </w:r>
    </w:p>
    <w:p w14:paraId="3BED04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（二）主要产品（或服务）的用途及报告期的变化情况。如从事多种产品（或服务）生产经营的，产品（或服务）分类的口径应当前后一致。如产品（或服务）</w:t>
      </w:r>
      <w:r>
        <w:rPr>
          <w:rFonts w:ascii="宋体" w:hAnsi="宋体" w:cs="宋体" w:hint="eastAsia"/>
          <w:sz w:val="24"/>
        </w:rPr>
        <w:lastRenderedPageBreak/>
        <w:t>分属不同行业，则应按不同行业分别披露相关信息。</w:t>
      </w:r>
    </w:p>
    <w:p w14:paraId="0EC7E54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（三）主要产品的工艺流程图或主要服务的流程图。</w:t>
      </w:r>
    </w:p>
    <w:p w14:paraId="25B3EE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（四）主要经营模式（通常包括采购模式、生产模式、销售模式）、盈利模式和结算模式。</w:t>
      </w:r>
    </w:p>
    <w:p w14:paraId="02D340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列表披露报告期各期主要产品（或服务）的产能、产量、期初及期末库存、销量、销售收入，产品（或服务）的主要消费群体、销售价格的变动情况；报告期各期向前五名客户合计的销售额占当期销售总额的百分比，向单个客户的销售比例超过总额的百分之五十或严重依赖于少数客户的，应当披露其名称及销售比例。如该客户为交易对方及其关联方，则应当披露产品最终实现销售的情况。受同一实际控制人控制的销售客户，应当合并计算销售额。</w:t>
      </w:r>
    </w:p>
    <w:p w14:paraId="7D5318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报告期主要产品的原材料和能源及其供应情况，主要原材料和能源的价格变动趋势、主要原材料和能源占成本的比重；报告期各期向前五名供应商合计的采购额占当期采购总额的百分比，向单个供应商的采购比例超过总额的百分之五十或严重依赖于少数供应商的，应当披露其名称及采购比例。受同一实际控制人控制的供应商，应当合并计算采购额。</w:t>
      </w:r>
    </w:p>
    <w:p w14:paraId="77EB71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（七）报告期董事、监事、高级管理人员和核心技术人员，其他主要关联方或持有拟购买资产百分之五以上股份的股东在前五名供应商或客户中所占的权益。如无，亦应明确说明。</w:t>
      </w:r>
    </w:p>
    <w:p w14:paraId="1E76C3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（八）如在境外进行生产经营，应当对有关业务活动进行地域性分析；如在境外拥有资产，应当详细披露该资产的资产规模、所在地、经营管理和盈利情况等具体内容。</w:t>
      </w:r>
    </w:p>
    <w:p w14:paraId="4D3F00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存在高危险、重污染情况的，应当披露安全生产和污染治理制度及执行情况、因安全生产及环境保护原因受到处罚的情况、最近三年相关费用成本支出及未来支出的情况，说明是否符合国家关于安全生产和环境保护的要求。</w:t>
      </w:r>
    </w:p>
    <w:p w14:paraId="0504D6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（十）主要产品和服务的质量控制情况，包括质量控制标准、质量控制措施、出现的质量纠纷等。</w:t>
      </w:r>
    </w:p>
    <w:p w14:paraId="259746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（十一）主要产品生产技术所处的阶段，如处于基础研究、试生产、小批量生产或大批量生产阶段。</w:t>
      </w:r>
    </w:p>
    <w:p w14:paraId="376E90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（十二）报告期核心技术人员特点分析及变动情况。</w:t>
      </w:r>
    </w:p>
    <w:p w14:paraId="60A9F5D8" w14:textId="4DAAA46F"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lastRenderedPageBreak/>
        <w:t>第二十二条</w:t>
      </w:r>
      <w:r w:rsidR="00C36EF7">
        <w:rPr>
          <w:rFonts w:ascii="宋体" w:hAnsi="宋体" w:cs="宋体" w:hint="eastAsia"/>
          <w:sz w:val="24"/>
        </w:rPr>
        <w:t xml:space="preserve"> </w:t>
      </w:r>
      <w:r>
        <w:rPr>
          <w:rFonts w:ascii="宋体" w:hAnsi="宋体" w:cs="宋体" w:hint="eastAsia"/>
          <w:sz w:val="24"/>
        </w:rPr>
        <w:t>资产交易涉及重大资产购买的，上市公司还应当列表披露与拟购买资产业务相关的主要固定资产、无形资产及特许经营权的具体情况，包括：</w:t>
      </w:r>
    </w:p>
    <w:p w14:paraId="734949F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（一）生产经营所使用的主要生产设备、房屋建筑物及其取得和使用情况、成新率或尚可使用年限；</w:t>
      </w:r>
    </w:p>
    <w:p w14:paraId="5DA680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商标、专利、非专利技术、土地使用权、水面养殖权、探矿权、采矿权等主要无形资产的数量、取得方式和时间、使用情况、使用期限或保护期、最近一期期末账面价值，以及上述资产对拟购买资产生产经营的重要程度；</w:t>
      </w:r>
    </w:p>
    <w:p w14:paraId="57A2B2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（三）拥有的特许经营权的情况，主要包括特许经营权的取得情况，特许经营权的期限、费用标准，以及对拟购买资产持续生产经营的影响。</w:t>
      </w:r>
    </w:p>
    <w:p w14:paraId="2E05A51D" w14:textId="26731C4E"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第二十三条</w:t>
      </w:r>
      <w:r w:rsidR="00C36EF7">
        <w:rPr>
          <w:rFonts w:ascii="宋体" w:hAnsi="宋体" w:cs="宋体" w:hint="eastAsia"/>
          <w:sz w:val="24"/>
        </w:rPr>
        <w:t xml:space="preserve"> </w:t>
      </w:r>
      <w:r>
        <w:rPr>
          <w:rFonts w:ascii="宋体" w:hAnsi="宋体" w:cs="宋体" w:hint="eastAsia"/>
          <w:sz w:val="24"/>
        </w:rPr>
        <w:t>资产交易涉及重大资产购买的，还应当披露拟购买资产报告期的会计政策及相关会计处理：</w:t>
      </w:r>
    </w:p>
    <w:p w14:paraId="299C0C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（一）收入成本的确认原则和计量方法；</w:t>
      </w:r>
    </w:p>
    <w:p w14:paraId="629373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（二）比较分析会计政策和会计估计与同行业或同类资产之间的差异及对拟购买资产利润的影响；</w:t>
      </w:r>
    </w:p>
    <w:p w14:paraId="4DB936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（三）财务报表编制基础，确定合并报表时的重大判断和假设，合并财务报表范围、变化情况及变化原因；</w:t>
      </w:r>
    </w:p>
    <w:p w14:paraId="5578BE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（四）报告期存在资产转移剥离调整的，还应披露资产转移剥离调整的原则、方法和具体剥离情况，及对拟购买资产利润产生的影响；</w:t>
      </w:r>
    </w:p>
    <w:p w14:paraId="142689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（五）拟购买资产的重大会计政策或会计估计与上市公司存在较大差异的，报告期发生变更的或者按规定将要进行变更的，应当分析重大会计政策或会计估计的差异或变更对拟购买资产利润产生的影响；</w:t>
      </w:r>
    </w:p>
    <w:p w14:paraId="2580F8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（六）行业特殊的会计处理政策。</w:t>
      </w:r>
    </w:p>
    <w:p w14:paraId="5FCE0D33" w14:textId="1D86C323" w:rsidR="00A320E6" w:rsidRDefault="00000000" w:rsidP="00520E9A">
      <w:pPr>
        <w:pStyle w:val="13"/>
        <w:spacing w:before="62" w:after="62"/>
      </w:pPr>
      <w:r>
        <w:rPr>
          <w:rFonts w:hint="eastAsia"/>
        </w:rPr>
        <w:t>第七节</w:t>
      </w:r>
      <w:r w:rsidR="00520E9A">
        <w:rPr>
          <w:rFonts w:hint="eastAsia"/>
        </w:rPr>
        <w:t xml:space="preserve"> </w:t>
      </w:r>
      <w:r>
        <w:rPr>
          <w:rFonts w:hint="eastAsia"/>
        </w:rPr>
        <w:t>交易标的评估或估值</w:t>
      </w:r>
    </w:p>
    <w:p w14:paraId="0C0E6FDF" w14:textId="291197FB"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重大资产重组中相关资产以资产评估结果或估值报告结果作为定价依据的，应当至少披露以下信息：</w:t>
      </w:r>
    </w:p>
    <w:p w14:paraId="20E664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评估或估值的基本情况（包括账面价值、所采用的评估或估值方法、评估或估值结果、增减值幅度，下同），分析评估或估值增减值主要原因、不同评估或估值方法的评估或估值结果的差异及其原因、最终确定评估或估值结论的理由。</w:t>
      </w:r>
    </w:p>
    <w:p w14:paraId="41AE30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（二）对评估或估值结论有重要影响的评估或估值假设，如宏观和外部环境假</w:t>
      </w:r>
      <w:r>
        <w:rPr>
          <w:rFonts w:ascii="宋体" w:hAnsi="宋体" w:cs="宋体" w:hint="eastAsia"/>
          <w:sz w:val="24"/>
        </w:rPr>
        <w:lastRenderedPageBreak/>
        <w:t>设及根据交易标的自身状况所采用的特定假设等。</w:t>
      </w:r>
    </w:p>
    <w:p w14:paraId="5280CB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（三）选用的评估或估值方法和重要评估或估值参数以及相关依据。具体如下：</w:t>
      </w:r>
    </w:p>
    <w:p w14:paraId="321838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1.收益法：具体模型、未来预期收益现金流、折现率确定方法、评估或估值测算过程、非经营性和溢余资产的分析与确认等。</w:t>
      </w:r>
    </w:p>
    <w:p w14:paraId="662F8D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2.市场法：具体模型、价值比率的选取及理由、可比对象或可比案例的选取原则、调整因素和流动性折扣的考虑测算等。</w:t>
      </w:r>
    </w:p>
    <w:p w14:paraId="494BDD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资产基础法：主要资产的评估或估值方法及选择理由、评估或估值结果等，如：房地产企业的存货、矿产资源类企业的矿业权、生产型企业的主要房屋和关键设备等固定资产以及对未来经营存在重大影响的在建工程、科技创新企业的核心技术等无形资产、持股型企业的长期股权投资等。主要资产采用收益法、市场法评估或估值的，应参照上述收益法或市场法的相关要求进行披露。</w:t>
      </w:r>
    </w:p>
    <w:p w14:paraId="7E8992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引用其他评估机构或估值机构报告内容（如矿业权评估报告、土地估价报告等）、特殊类别资产（如珠宝、林权、生物资产等）相关第三方专业鉴定等资料的，应对其相关专业机构、业务资质、签字评估师或鉴定师、评估或估值情况进行必要披露。</w:t>
      </w:r>
    </w:p>
    <w:p w14:paraId="7ED4E0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存在评估或估值特殊处理、对评估或估值结论有重大影响事项，应当进行说明并分析其对评估或估值结论的影响；存在前述情况或因评估或估值程序受限造成评估报告或估值报告使用受限的，应提请报告使用者关注。</w:t>
      </w:r>
    </w:p>
    <w:p w14:paraId="47C436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（六）评估或估值基准日至重组报告书签署日的重要变化事项及其对评估或估值结果的影响。</w:t>
      </w:r>
    </w:p>
    <w:p w14:paraId="4D7795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该交易标的的下属企业构成该交易标的最近一期经审计的资产总额、营业收入、净资产额或净利润来源百分之二十以上且有重大影响的，应参照上述要求披露。交易标的涉及其他长期股权投资的，应当列表披露评估或估值的基本情况。</w:t>
      </w:r>
    </w:p>
    <w:p w14:paraId="347078BD" w14:textId="51D3052A"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上市公司董事会应当对本次交易标的评估或估值的合理性以及定价的公允性做出分析。包括但不限于：</w:t>
      </w:r>
    </w:p>
    <w:p w14:paraId="59D4BD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（一）对资产评估机构或估值机构的独立性、假设前提的合理性、评估或估值方法与目的的相关性发表意见。</w:t>
      </w:r>
    </w:p>
    <w:p w14:paraId="51807F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（二）结合报告期及未来财务预测的相关情况（包括各产品产销量、销售价格、毛利率、净利润等）、所处行业地位、行业发展趋势、行业竞争及经营情况等，详</w:t>
      </w:r>
      <w:r>
        <w:rPr>
          <w:rFonts w:ascii="宋体" w:hAnsi="宋体" w:cs="宋体" w:hint="eastAsia"/>
          <w:sz w:val="24"/>
        </w:rPr>
        <w:lastRenderedPageBreak/>
        <w:t>细说明评估或估值依据的合理性。如果未来预测与报告期财务情况差异较大的，应当分析说明差异的原因及其合理性。</w:t>
      </w:r>
    </w:p>
    <w:p w14:paraId="49B41B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（三）分析交易标的后续经营过程中政策、宏观环境、技术、行业、重大合作协议、经营许可、技术许可、税收优惠等方面的变化趋势、董事会拟采取的应对措施及其对评估或估值的影响。</w:t>
      </w:r>
    </w:p>
    <w:p w14:paraId="1D84DFD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（四）结合交易标的经营模式，分析报告期变动频繁且影响较大的指标（如成本、价格、销量、毛利率等方面）对评估或估值的影响，并进行敏感性分析。</w:t>
      </w:r>
    </w:p>
    <w:p w14:paraId="0D8C83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（五）分析说明交易标的与上市公司现有业务是否存在显著可量化的协同效应；如有，说明对未来上市公司业绩的影响；交易定价中是否考虑了上述协同效应。</w:t>
      </w:r>
    </w:p>
    <w:p w14:paraId="62B059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（六）结合交易标的的市场可比交易价格、同行业上市公司的市盈率或者市净率等指标，分析交易定价的公允性。</w:t>
      </w:r>
    </w:p>
    <w:p w14:paraId="2276AA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（七）说明评估或估值基准日至重组报告书披露日交易标的发生的重要变化事项，分析其对交易作价的影响。</w:t>
      </w:r>
    </w:p>
    <w:p w14:paraId="3D8500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（八）如交易定价与评估或估值结果存在较大差异，分析说明差异的原因及其合理性。</w:t>
      </w:r>
    </w:p>
    <w:p w14:paraId="15E86464" w14:textId="277A0EFA"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上市公司独立董事对评估机构或者估值机构的独立性、评估或者估值假设前提的合理性和交易定价的公允性发表的独立意见。</w:t>
      </w:r>
    </w:p>
    <w:p w14:paraId="0F6018C9" w14:textId="2A125D01" w:rsidR="00A320E6" w:rsidRDefault="00000000" w:rsidP="00520E9A">
      <w:pPr>
        <w:pStyle w:val="13"/>
        <w:spacing w:before="62" w:after="62"/>
      </w:pPr>
      <w:r>
        <w:rPr>
          <w:rFonts w:hint="eastAsia"/>
        </w:rPr>
        <w:t>第八节</w:t>
      </w:r>
      <w:r w:rsidR="00520E9A">
        <w:rPr>
          <w:rFonts w:hint="eastAsia"/>
        </w:rPr>
        <w:t xml:space="preserve"> </w:t>
      </w:r>
      <w:r>
        <w:rPr>
          <w:rFonts w:hint="eastAsia"/>
        </w:rPr>
        <w:t>本次交易主要合同</w:t>
      </w:r>
    </w:p>
    <w:p w14:paraId="44BC7100" w14:textId="109D43D2"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上市公司应当披露本次交易合同的主要内容，包括但不限于：</w:t>
      </w:r>
    </w:p>
    <w:p w14:paraId="0C47F7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（一）资产出售或购买协议：</w:t>
      </w:r>
    </w:p>
    <w:p w14:paraId="3FEDBB1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1.合同主体、签订时间；</w:t>
      </w:r>
    </w:p>
    <w:p w14:paraId="1E2E5A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2.交易价格及定价依据；</w:t>
      </w:r>
    </w:p>
    <w:p w14:paraId="734F42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3.支付方式（一次或分次支付的安排或特别条款、股份发行条款等）；</w:t>
      </w:r>
    </w:p>
    <w:p w14:paraId="42C309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4.资产交付或过户的时间安排；</w:t>
      </w:r>
    </w:p>
    <w:p w14:paraId="4F4293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5.交易标的自定价基准日至交割日期间损益的归属；</w:t>
      </w:r>
    </w:p>
    <w:p w14:paraId="481BC5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6.与资产相关的人员安排；</w:t>
      </w:r>
    </w:p>
    <w:p w14:paraId="6C70D4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7.合同的生效条件和生效时间；</w:t>
      </w:r>
    </w:p>
    <w:p w14:paraId="3FA2F0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8.合同附带的任何形式的保留条款、补充协议和前置条件；</w:t>
      </w:r>
    </w:p>
    <w:p w14:paraId="6902DC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9.违约责任条款。</w:t>
      </w:r>
    </w:p>
    <w:p w14:paraId="2DDA40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（二）业绩补偿协议（如有）。</w:t>
      </w:r>
    </w:p>
    <w:p w14:paraId="28D74D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（三）募集配套资金股份认购协议（如有）。</w:t>
      </w:r>
    </w:p>
    <w:p w14:paraId="66D04B3F" w14:textId="77777777" w:rsidR="00A320E6" w:rsidRDefault="00000000" w:rsidP="00AE0286">
      <w:pPr>
        <w:pStyle w:val="a3"/>
        <w:spacing w:line="360" w:lineRule="auto"/>
        <w:ind w:firstLine="480"/>
        <w:rPr>
          <w:rFonts w:ascii="宋体" w:hAnsi="宋体" w:cs="宋体"/>
          <w:sz w:val="24"/>
        </w:rPr>
      </w:pPr>
      <w:r w:rsidRPr="00E348F4">
        <w:rPr>
          <w:rFonts w:ascii="宋体" w:hAnsi="宋体" w:cs="宋体" w:hint="eastAsia"/>
          <w:sz w:val="24"/>
        </w:rPr>
        <w:t>（四）其他重要协议。</w:t>
      </w:r>
    </w:p>
    <w:p w14:paraId="5FE39C4E" w14:textId="61022355" w:rsidR="00A320E6" w:rsidRDefault="00000000" w:rsidP="00520E9A">
      <w:pPr>
        <w:pStyle w:val="13"/>
        <w:spacing w:before="62" w:after="62"/>
      </w:pPr>
      <w:r>
        <w:rPr>
          <w:rFonts w:hint="eastAsia"/>
        </w:rPr>
        <w:t>第九节</w:t>
      </w:r>
      <w:r w:rsidR="00520E9A">
        <w:rPr>
          <w:rFonts w:hint="eastAsia"/>
        </w:rPr>
        <w:t xml:space="preserve"> </w:t>
      </w:r>
      <w:r>
        <w:rPr>
          <w:rFonts w:hint="eastAsia"/>
        </w:rPr>
        <w:t>交易的合规性分析</w:t>
      </w:r>
    </w:p>
    <w:p w14:paraId="542696CC" w14:textId="55F8CC09"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上市公司应当对照《重组办法》</w:t>
      </w:r>
      <w:r w:rsidR="00977BD5" w:rsidRPr="00520E9A">
        <w:rPr>
          <w:rFonts w:ascii="宋体" w:hAnsi="宋体" w:cs="宋体" w:hint="eastAsia"/>
          <w:bCs/>
          <w:sz w:val="24"/>
        </w:rPr>
        <w:t>第十一条</w:t>
      </w:r>
      <w:r w:rsidR="00C36EF7">
        <w:rPr>
          <w:rFonts w:ascii="宋体" w:hAnsi="宋体" w:cs="宋体" w:hint="eastAsia"/>
          <w:sz w:val="24"/>
        </w:rPr>
        <w:t xml:space="preserve"> </w:t>
      </w:r>
      <w:r>
        <w:rPr>
          <w:rFonts w:ascii="宋体" w:hAnsi="宋体" w:cs="宋体" w:hint="eastAsia"/>
          <w:sz w:val="24"/>
        </w:rPr>
        <w:t>，逐项说明本次交易是否符合《重组办法》的规定。</w:t>
      </w:r>
    </w:p>
    <w:p w14:paraId="6592390F" w14:textId="44B8698F"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独立财务顾问和律师对本次交易是否符合《重组办法》的规定发表的明确意见。</w:t>
      </w:r>
    </w:p>
    <w:p w14:paraId="35A3DF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其他证券服务机构出具的相关报告的结论性意见。</w:t>
      </w:r>
    </w:p>
    <w:p w14:paraId="6AAEC1B6" w14:textId="685A6106" w:rsidR="00A320E6" w:rsidRDefault="00000000" w:rsidP="00520E9A">
      <w:pPr>
        <w:pStyle w:val="13"/>
        <w:spacing w:before="62" w:after="62"/>
      </w:pPr>
      <w:r>
        <w:rPr>
          <w:rFonts w:hint="eastAsia"/>
        </w:rPr>
        <w:t>第十节</w:t>
      </w:r>
      <w:r w:rsidR="00520E9A">
        <w:rPr>
          <w:rFonts w:hint="eastAsia"/>
        </w:rPr>
        <w:t xml:space="preserve"> </w:t>
      </w:r>
      <w:r>
        <w:rPr>
          <w:rFonts w:hint="eastAsia"/>
        </w:rPr>
        <w:t>管理层讨论与分析</w:t>
      </w:r>
    </w:p>
    <w:p w14:paraId="3A01F043" w14:textId="71B66930"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上市公司董事会就本次交易对上市公司的影响进行的讨论与分析。该讨论与分析的内容应当着重于董事会已知的、从一般性财务报告分析难以取得且对上市公司未来经营具有影响的重大事项。</w:t>
      </w:r>
    </w:p>
    <w:p w14:paraId="62E08FA6" w14:textId="6E490376"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本次交易前上市公司财务状况和经营成果的讨论与分析；上市公司主要资产或利润构成在本次交易前一年发生重大变动的，应当详细说明具体变动情况及原因。</w:t>
      </w:r>
    </w:p>
    <w:p w14:paraId="2EB37133" w14:textId="5CE05384" w:rsidR="00A320E6" w:rsidRDefault="00EC0B72" w:rsidP="00520E9A">
      <w:pPr>
        <w:pStyle w:val="a3"/>
        <w:spacing w:line="360" w:lineRule="auto"/>
        <w:ind w:firstLine="482"/>
        <w:rPr>
          <w:rFonts w:ascii="宋体" w:hAnsi="宋体" w:cs="宋体"/>
          <w:sz w:val="24"/>
        </w:rPr>
      </w:pPr>
      <w:r w:rsidRPr="00EC0B72">
        <w:rPr>
          <w:rFonts w:ascii="宋体" w:hAnsi="宋体" w:cs="宋体" w:hint="eastAsia"/>
          <w:b/>
          <w:sz w:val="24"/>
        </w:rPr>
        <w:t>第三十二条</w:t>
      </w:r>
      <w:r w:rsidR="00C36EF7">
        <w:rPr>
          <w:rFonts w:ascii="宋体" w:hAnsi="宋体" w:cs="宋体" w:hint="eastAsia"/>
          <w:sz w:val="24"/>
        </w:rPr>
        <w:t xml:space="preserve"> </w:t>
      </w:r>
      <w:r>
        <w:rPr>
          <w:rFonts w:ascii="宋体" w:hAnsi="宋体" w:cs="宋体" w:hint="eastAsia"/>
          <w:sz w:val="24"/>
        </w:rPr>
        <w:t>结合上市公司情况，对交易标的行业特点和经营情况的讨论与分析：</w:t>
      </w:r>
    </w:p>
    <w:p w14:paraId="350A87C5" w14:textId="77777777" w:rsidR="00A320E6" w:rsidRDefault="00000000" w:rsidP="00520E9A">
      <w:pPr>
        <w:pStyle w:val="a3"/>
        <w:spacing w:line="360" w:lineRule="auto"/>
        <w:ind w:firstLineChars="175"/>
        <w:rPr>
          <w:rFonts w:ascii="宋体" w:hAnsi="宋体" w:cs="宋体"/>
          <w:sz w:val="24"/>
        </w:rPr>
      </w:pPr>
      <w:r>
        <w:rPr>
          <w:rFonts w:ascii="宋体" w:hAnsi="宋体" w:cs="宋体" w:hint="eastAsia"/>
          <w:sz w:val="24"/>
        </w:rPr>
        <w:t>（一）行业特点：</w:t>
      </w:r>
    </w:p>
    <w:p w14:paraId="70076D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1.行业竞争格局和市场化程度，行业内主要企业及其市场份额，市场供求状况及变动原因，行业利润水平的变动趋势及变动原因等；</w:t>
      </w:r>
    </w:p>
    <w:p w14:paraId="67EE84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2.影响行业发展的有利和不利因素，如产业政策，技术替代，行业发展瓶颈，国际市场冲击等；</w:t>
      </w:r>
    </w:p>
    <w:p w14:paraId="446E5A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3.进入该行业的主要障碍；</w:t>
      </w:r>
    </w:p>
    <w:p w14:paraId="589D66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4.行业技术水平及技术特点，经营模式，周期性，区域性或季节性特征等；</w:t>
      </w:r>
    </w:p>
    <w:p w14:paraId="2975E1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5.所处行业与上、下游行业之间的关联性，上、下游行业发展状况对该行业及其发展前景的有利和不利影响；</w:t>
      </w:r>
    </w:p>
    <w:p w14:paraId="2A554D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6.交易标的的出口业务比例较大的，还应当披露产品进口国的有关进口政策、贸易摩擦对出口业务的影响、以及进口国同类产品的竞争格局等情况。</w:t>
      </w:r>
    </w:p>
    <w:p w14:paraId="258009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（二）核心竞争力及行业地位：</w:t>
      </w:r>
    </w:p>
    <w:p w14:paraId="3BECE7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技术及管理水平、产品（或服务）的市场占有率最近三年的变化情况及未来变化趋势等简要情况。</w:t>
      </w:r>
    </w:p>
    <w:p w14:paraId="0A6C9A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（三）财务状况分析：</w:t>
      </w:r>
    </w:p>
    <w:p w14:paraId="037FAB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1.资产、负债的主要构成，分析说明主要资产减值准备提取和商誉减值的确认情况是否与资产实际状况相符；报告期资产结构、负债结构发生重大变化的，还应当分析说明导致变化的主要因素；</w:t>
      </w:r>
    </w:p>
    <w:p w14:paraId="53D0B8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2.报告期流动比率、速动比率、资产负债率、息税折旧摊销前利润及利息保障倍数的变动趋势。交易标的报告期经营活动产生的现金流量净额为负数或者远低于当期净利润的，应当分析原因；</w:t>
      </w:r>
    </w:p>
    <w:p w14:paraId="094316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3.报告期应收账款周转率、存货周转率等反映资产周转能力的财务指标的变动趋势，并结合市场发展、行业竞争状况、生产模式及物流管理、销售模式及赊销政策等情况，分析说明交易标的的资产周转能力；</w:t>
      </w:r>
    </w:p>
    <w:p w14:paraId="6DD4BC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最近一期末持有金额较大的交易性金融资产、可供出售的金融资产、借与他人款项、委托理财等财务性投资的，应当分析其投资目的、对交易标的资金安排的影响、投资期限、交易标的对投资的监管方案、投资的可回收性及减值准备的计提是否充足。</w:t>
      </w:r>
    </w:p>
    <w:p w14:paraId="156376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（四）盈利能力分析：</w:t>
      </w:r>
    </w:p>
    <w:p w14:paraId="23C4F9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于交易标的报告期营业收入的分部数据，结合交易标的具体情况，分别按各产品（或服务）类别及各业务、各地区的收入构成，分析营业收入增减变化的情况及原因；营业收入存在季节性波动的，应当分析季节性因素对各季度经营成果的影响；</w:t>
      </w:r>
    </w:p>
    <w:p w14:paraId="569B82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2.结合交易标的所从事主营业务、采用的经营模式及行业竞争情况，分析报告期利润的主要来源、可能影响盈利能力连续性和稳定性的主要因素；</w:t>
      </w:r>
    </w:p>
    <w:p w14:paraId="26E8E4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3.结合利润构成及资产周转能力等说明盈利能力的驱动要素及其可持续性；</w:t>
      </w:r>
    </w:p>
    <w:p w14:paraId="4F8471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4.按照利润表项目逐项分析报告期经营成果变化的原因，对于变动幅度较大的项目应当重点说明；</w:t>
      </w:r>
    </w:p>
    <w:p w14:paraId="270C89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5.列表披露报告期交易标的综合毛利率、分行业毛利率的数据及变动情况；报告期发生重大变化的，还应当用数据说明相关因素对毛利率变动的影响程度；</w:t>
      </w:r>
    </w:p>
    <w:p w14:paraId="26F92B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6.报告期非经常性损益、投资收益以及少数股东损益对经营成果有重大影响的，应当分析原因及对盈利稳定性的影响。</w:t>
      </w:r>
    </w:p>
    <w:p w14:paraId="40094E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（五）交易标的报告期财务指标变化较大或报告期财务数据不足以真实、准确、完整反映交易标的经营状况的情况下，应当披露反映标的资产经营状况的其他信息。</w:t>
      </w:r>
    </w:p>
    <w:p w14:paraId="68F0E0CF" w14:textId="31F3E78A"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第三十三条</w:t>
      </w:r>
      <w:r w:rsidR="00C36EF7">
        <w:rPr>
          <w:rFonts w:ascii="宋体" w:hAnsi="宋体" w:cs="宋体" w:hint="eastAsia"/>
          <w:sz w:val="24"/>
        </w:rPr>
        <w:t xml:space="preserve"> </w:t>
      </w:r>
      <w:r>
        <w:rPr>
          <w:rFonts w:ascii="宋体" w:hAnsi="宋体" w:cs="宋体" w:hint="eastAsia"/>
          <w:sz w:val="24"/>
        </w:rPr>
        <w:t>就本次交易对上市公司的持续经营能力、未来发展前景、当期每股收益等财务指标和非财务指标的影响进行详细分析：</w:t>
      </w:r>
    </w:p>
    <w:p w14:paraId="7BED44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（一）本次交易对上市公司的持续经营能力影响的分析：</w:t>
      </w:r>
    </w:p>
    <w:p w14:paraId="587B4A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1.从本次交易完成后的规模效应、产业链整合、运营成本、销售渠道、技术或资产整合等方面，分析本次交易对上市公司盈利能力驱动因素及持续经营能力的影响；</w:t>
      </w:r>
    </w:p>
    <w:p w14:paraId="0CD61B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2.本次交易完成后形成多主业的，结合财务指标分析说明未来各业务构成、经营发展战略和业务管理模式、对上市公司持续经营能力的影响；</w:t>
      </w:r>
    </w:p>
    <w:p w14:paraId="0CDCE6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3.结合本次交易完成后将从事的新业务的市场情况、风险因素等，分析说明上市公司未来经营中的优势和劣势；</w:t>
      </w:r>
    </w:p>
    <w:p w14:paraId="118AABE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结合本次交易完成后的资产、负债的主要构成及行业分析说明交易后上市公司资产负债率是否处于合理水平；同时结合上市公司的现金流量状况、可利用的融资渠道及授信额度及或有负债（如担保、诉讼、承诺）等情况，分析说明上市公司的财务安全性。</w:t>
      </w:r>
    </w:p>
    <w:p w14:paraId="0FF19F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（二）本次交易对上市公司未来发展前景影响的分析：</w:t>
      </w:r>
    </w:p>
    <w:p w14:paraId="437073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1.结合本次交易在业务、资产、财务、人员、机构等方面的整合计划，分析对上市公司未来发展的影响；</w:t>
      </w:r>
    </w:p>
    <w:p w14:paraId="4C170F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2.交易当年和未来两年拟执行的发展计划，包括提高竞争能力、市场和业务开拓等方面。</w:t>
      </w:r>
    </w:p>
    <w:p w14:paraId="2BA983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（三）本次交易对上市公司当期每股收益等财务指标和非财务指标影响的分析：</w:t>
      </w:r>
    </w:p>
    <w:p w14:paraId="2135D30B" w14:textId="2892D1BB"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分析本次交易对上市公司主要财务指标及反映上市公司未来持续经营能力的其他重要非财务指标（如每股储量、每股产能或每股用户数等）的影响；如预计交易后将摊薄上市公司当年每股收益的，根据《重组办法》</w:t>
      </w:r>
      <w:r w:rsidR="00EC0B72" w:rsidRPr="00E348F4">
        <w:rPr>
          <w:rFonts w:ascii="宋体" w:hAnsi="宋体" w:cs="宋体" w:hint="eastAsia"/>
          <w:bCs/>
          <w:sz w:val="24"/>
        </w:rPr>
        <w:t>第三十五条</w:t>
      </w:r>
      <w:r>
        <w:rPr>
          <w:rFonts w:ascii="宋体" w:hAnsi="宋体" w:cs="宋体" w:hint="eastAsia"/>
          <w:sz w:val="24"/>
        </w:rPr>
        <w:t>披露填补每股收益的具体措施；</w:t>
      </w:r>
    </w:p>
    <w:p w14:paraId="28EE01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2.预计本次交易对上市公司未来资本性支出的影响，及上市公司为满足该等资</w:t>
      </w:r>
      <w:r>
        <w:rPr>
          <w:rFonts w:ascii="宋体" w:hAnsi="宋体" w:cs="宋体" w:hint="eastAsia"/>
          <w:sz w:val="24"/>
        </w:rPr>
        <w:lastRenderedPageBreak/>
        <w:t>本性支出初步拟定的融资计划；</w:t>
      </w:r>
    </w:p>
    <w:p w14:paraId="4DB1B2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3.结合本次交易职工安置方案及执行情况，分析其对上市公司的影响；</w:t>
      </w:r>
    </w:p>
    <w:p w14:paraId="351363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4.结合本次交易成本（包括但不限于交易税费、中介机构费用等）的具体情况，分析其对上市公司的影响。</w:t>
      </w:r>
    </w:p>
    <w:p w14:paraId="43E7E7FE" w14:textId="02B30350" w:rsidR="00A320E6" w:rsidRDefault="00000000" w:rsidP="00E348F4">
      <w:pPr>
        <w:pStyle w:val="13"/>
        <w:spacing w:before="62" w:after="62"/>
      </w:pPr>
      <w:r>
        <w:rPr>
          <w:rFonts w:hint="eastAsia"/>
        </w:rPr>
        <w:t>第十一节</w:t>
      </w:r>
      <w:r w:rsidR="00E348F4">
        <w:rPr>
          <w:rFonts w:hint="eastAsia"/>
        </w:rPr>
        <w:t xml:space="preserve"> </w:t>
      </w:r>
      <w:r>
        <w:rPr>
          <w:rFonts w:hint="eastAsia"/>
        </w:rPr>
        <w:t>财务会计信息</w:t>
      </w:r>
    </w:p>
    <w:p w14:paraId="6947DE16" w14:textId="5DBFD1F7"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第三十四条</w:t>
      </w:r>
      <w:r w:rsidR="00A45A13">
        <w:rPr>
          <w:rFonts w:ascii="宋体" w:hAnsi="宋体" w:cs="宋体" w:hint="eastAsia"/>
          <w:sz w:val="24"/>
        </w:rPr>
        <w:t xml:space="preserve"> </w:t>
      </w:r>
      <w:r>
        <w:rPr>
          <w:rFonts w:ascii="宋体" w:hAnsi="宋体" w:cs="宋体" w:hint="eastAsia"/>
          <w:sz w:val="24"/>
        </w:rPr>
        <w:t>交易标的为完整经营性资产的，报告期的简要财务报表。</w:t>
      </w:r>
    </w:p>
    <w:p w14:paraId="33B84F90" w14:textId="22E6CFAB"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第三十五条</w:t>
      </w:r>
      <w:r w:rsidR="00A45A13">
        <w:rPr>
          <w:rFonts w:ascii="宋体" w:hAnsi="宋体" w:cs="宋体" w:hint="eastAsia"/>
          <w:sz w:val="24"/>
        </w:rPr>
        <w:t xml:space="preserve"> </w:t>
      </w:r>
      <w:r>
        <w:rPr>
          <w:rFonts w:ascii="宋体" w:hAnsi="宋体" w:cs="宋体" w:hint="eastAsia"/>
          <w:sz w:val="24"/>
        </w:rPr>
        <w:t>依据交易完成后的资产、业务架构编制的上市公司最近一年及一期的简要备考财务报表。</w:t>
      </w:r>
    </w:p>
    <w:p w14:paraId="32256483" w14:textId="0BB98BEC"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第三十六条</w:t>
      </w:r>
      <w:r w:rsidR="00A45A13">
        <w:rPr>
          <w:rFonts w:ascii="宋体" w:hAnsi="宋体" w:cs="宋体" w:hint="eastAsia"/>
          <w:sz w:val="24"/>
        </w:rPr>
        <w:t xml:space="preserve"> </w:t>
      </w:r>
      <w:r>
        <w:rPr>
          <w:rFonts w:ascii="宋体" w:hAnsi="宋体" w:cs="宋体" w:hint="eastAsia"/>
          <w:sz w:val="24"/>
        </w:rPr>
        <w:t>上市公司或相关资产盈利预测的主要数据（如有，包括主营业务收入、利润总额、净利润等）。</w:t>
      </w:r>
    </w:p>
    <w:p w14:paraId="5F8DD186" w14:textId="256DDC8E" w:rsidR="00A320E6" w:rsidRDefault="00000000" w:rsidP="00E348F4">
      <w:pPr>
        <w:pStyle w:val="13"/>
        <w:spacing w:before="62" w:after="62"/>
      </w:pPr>
      <w:r>
        <w:rPr>
          <w:rFonts w:hint="eastAsia"/>
        </w:rPr>
        <w:t>第十二节</w:t>
      </w:r>
      <w:r w:rsidR="00E348F4">
        <w:rPr>
          <w:rFonts w:hint="eastAsia"/>
        </w:rPr>
        <w:t xml:space="preserve"> </w:t>
      </w:r>
      <w:r>
        <w:rPr>
          <w:rFonts w:hint="eastAsia"/>
        </w:rPr>
        <w:t>同业竞争和关联交易</w:t>
      </w:r>
    </w:p>
    <w:p w14:paraId="0716352F" w14:textId="4203F208"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第三十七条</w:t>
      </w:r>
      <w:r w:rsidR="00A45A13">
        <w:rPr>
          <w:rFonts w:ascii="宋体" w:hAnsi="宋体" w:cs="宋体" w:hint="eastAsia"/>
          <w:sz w:val="24"/>
        </w:rPr>
        <w:t xml:space="preserve"> </w:t>
      </w:r>
      <w:r>
        <w:rPr>
          <w:rFonts w:ascii="宋体" w:hAnsi="宋体" w:cs="宋体" w:hint="eastAsia"/>
          <w:sz w:val="24"/>
        </w:rPr>
        <w:t>交易标的在报告期是否存在关联交易、关联交易的具体内容、必要性及定价公允性。</w:t>
      </w:r>
    </w:p>
    <w:p w14:paraId="5FE777D5" w14:textId="2C68E331"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第三十八条</w:t>
      </w:r>
      <w:r w:rsidR="00A45A13">
        <w:rPr>
          <w:rFonts w:ascii="宋体" w:hAnsi="宋体" w:cs="宋体" w:hint="eastAsia"/>
          <w:sz w:val="24"/>
        </w:rPr>
        <w:t xml:space="preserve"> </w:t>
      </w:r>
      <w:r>
        <w:rPr>
          <w:rFonts w:ascii="宋体" w:hAnsi="宋体" w:cs="宋体" w:hint="eastAsia"/>
          <w:sz w:val="24"/>
        </w:rPr>
        <w:t>本次交易完成后，上市公司与实际控制人及其关联企业之间是否存在同业竞争或关联交易、同业竞争或关联交易的具体内容和拟采取的具体解决或规范措施。</w:t>
      </w:r>
    </w:p>
    <w:p w14:paraId="4DED174C" w14:textId="53C41BDD" w:rsidR="00A320E6" w:rsidRDefault="00000000" w:rsidP="00E348F4">
      <w:pPr>
        <w:pStyle w:val="13"/>
        <w:spacing w:before="62" w:after="62"/>
      </w:pPr>
      <w:r>
        <w:rPr>
          <w:rFonts w:hint="eastAsia"/>
        </w:rPr>
        <w:t>第十三节</w:t>
      </w:r>
      <w:r w:rsidR="00E348F4">
        <w:rPr>
          <w:rFonts w:hint="eastAsia"/>
        </w:rPr>
        <w:t xml:space="preserve"> </w:t>
      </w:r>
      <w:r>
        <w:rPr>
          <w:rFonts w:hint="eastAsia"/>
        </w:rPr>
        <w:t>风险因素</w:t>
      </w:r>
    </w:p>
    <w:p w14:paraId="6C92772A" w14:textId="49767EB8"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第三十九条</w:t>
      </w:r>
      <w:r w:rsidR="00A45A13">
        <w:rPr>
          <w:rFonts w:ascii="宋体" w:hAnsi="宋体" w:cs="宋体" w:hint="eastAsia"/>
          <w:sz w:val="24"/>
        </w:rPr>
        <w:t xml:space="preserve"> </w:t>
      </w:r>
      <w:r>
        <w:rPr>
          <w:rFonts w:ascii="宋体" w:hAnsi="宋体" w:cs="宋体" w:hint="eastAsia"/>
          <w:sz w:val="24"/>
        </w:rPr>
        <w:t>上市公司应以简明扼要的方式，遵循重要性原则，对本次重组及重组后上市公司的相关风险予以揭示，并进行定量分析，无法进行定量分析的，应有针对性地作出定性描述。</w:t>
      </w:r>
    </w:p>
    <w:p w14:paraId="766B2210" w14:textId="61E822F2"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第四十条</w:t>
      </w:r>
      <w:r w:rsidR="00A45A13">
        <w:rPr>
          <w:rFonts w:ascii="宋体" w:hAnsi="宋体" w:cs="宋体" w:hint="eastAsia"/>
          <w:sz w:val="24"/>
        </w:rPr>
        <w:t xml:space="preserve"> </w:t>
      </w:r>
      <w:r>
        <w:rPr>
          <w:rFonts w:ascii="宋体" w:hAnsi="宋体" w:cs="宋体" w:hint="eastAsia"/>
          <w:sz w:val="24"/>
        </w:rPr>
        <w:t>上市公司应披露的风险包括但不限于以下内容：</w:t>
      </w:r>
    </w:p>
    <w:p w14:paraId="0706C8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（一）本次重组审批风险。本次重组尚未履行的决策程序及报批程序未能获得批准的风险。</w:t>
      </w:r>
    </w:p>
    <w:p w14:paraId="2A34BD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（二）交易标的权属风险。如抵押、质押等权利限制，诉讼、仲裁或司法强制执行等重大争议或者妨碍权属转移的其他情形，可能导致本次重组存在潜在不利影响和风险等。</w:t>
      </w:r>
    </w:p>
    <w:p w14:paraId="445446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（三）债权债务转移风险。资产交易涉及债权债务转移的，未获得债权人同意的债务可能给上市公司带来的偿债风险或其他或有风险。</w:t>
      </w:r>
    </w:p>
    <w:p w14:paraId="701075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（四）交易标的评估或估值风险。本次评估或估值存在报告期变动频繁且对评</w:t>
      </w:r>
      <w:r>
        <w:rPr>
          <w:rFonts w:ascii="宋体" w:hAnsi="宋体" w:cs="宋体" w:hint="eastAsia"/>
          <w:sz w:val="24"/>
        </w:rPr>
        <w:lastRenderedPageBreak/>
        <w:t>估或估值影响较大的指标，该指标的预测对本次评估或估值的影响，进而对交易价格公允性的影响等。</w:t>
      </w:r>
    </w:p>
    <w:p w14:paraId="426B52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（五）交易标的对上市公司持续经营影响的风险。由于政策、市场、技术、汇率等因素引起的风险：</w:t>
      </w:r>
    </w:p>
    <w:p w14:paraId="2A564E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政策风险。交易标的经营环境和法律环境发生变化导致的政策风险，如财政、金融、税收（如所得税优惠、出口退税等）、贸易、土地使用、产业政策（如属国家限制发展的范围）、行业管理、环境保护等，或可能因重组后生产经营情况发生变化不能继续适用原有的相关政策引致的风险。</w:t>
      </w:r>
    </w:p>
    <w:p w14:paraId="4C0BDE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2.市场风险。交易标的主要产品或服务的市场前景、行业经营环境的变化、商业周期或产品生命周期的影响、市场饱和或市场分割、过度依赖单一市场、市场占有率下降和市场竞争的风险等。</w:t>
      </w:r>
    </w:p>
    <w:p w14:paraId="7E75F0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3.经营风险。经营模式发生变化，经营业绩不稳定，主要产品或主要原材料价格波动，过度依赖某一重要原材料、产品（或服务），经营场所过度集中或分散，非经常性损益或投资收益金额较大等。</w:t>
      </w:r>
    </w:p>
    <w:p w14:paraId="0DA44D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技术风险。交易标的涉及的技术不成熟、技术尚未产业化、技术缺乏有效保护或保护期限短或保护期限到期、缺乏核心技术或核心技术依赖他人、产品或技术的快速更新换代可能导致现有产品或技术面临被淘汰、核心技术人员流失及核心技术失密等风险。</w:t>
      </w:r>
    </w:p>
    <w:p w14:paraId="7330B9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5.可能严重影响上市公司持续经营的其他因素，如自然灾害、安全生产、汇率变化、外贸环境等。</w:t>
      </w:r>
    </w:p>
    <w:p w14:paraId="2F39A5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（六）整合风险。上市公司管理水平不能适应重组后上市公司规模扩张或业务变化的风险，交易标的与上市公司原有业务、资产、财务、人员、机构等方面的整合风险。</w:t>
      </w:r>
    </w:p>
    <w:p w14:paraId="517F0F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（七）业务转型风险。上市公司所购买资产与现有主营业务没有显著协同效应的，涉及的业务转型升级可能面临的风险。</w:t>
      </w:r>
    </w:p>
    <w:p w14:paraId="1270C8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（八）财务风险。本次重组导致上市公司财务结构发生重大变化的风险。</w:t>
      </w:r>
    </w:p>
    <w:p w14:paraId="0BC8B6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上市公司和相关各方应全面、审慎评估可能对本次重组以及重组后上市公司产生重大不利影响的所有因素，如有除上述风险之外的因素，应予以充分披露。</w:t>
      </w:r>
    </w:p>
    <w:p w14:paraId="2E0D80AD" w14:textId="365E1E7B" w:rsidR="00A320E6" w:rsidRDefault="00000000" w:rsidP="00E348F4">
      <w:pPr>
        <w:pStyle w:val="13"/>
        <w:spacing w:before="62" w:after="62"/>
      </w:pPr>
      <w:r>
        <w:rPr>
          <w:rFonts w:hint="eastAsia"/>
        </w:rPr>
        <w:lastRenderedPageBreak/>
        <w:t>第十四节</w:t>
      </w:r>
      <w:r w:rsidR="00E348F4">
        <w:rPr>
          <w:rFonts w:hint="eastAsia"/>
        </w:rPr>
        <w:t xml:space="preserve"> </w:t>
      </w:r>
      <w:r>
        <w:rPr>
          <w:rFonts w:hint="eastAsia"/>
        </w:rPr>
        <w:t>其他重要事项</w:t>
      </w:r>
    </w:p>
    <w:p w14:paraId="550355ED" w14:textId="34659686"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第四十一条</w:t>
      </w:r>
      <w:r w:rsidR="00C36EF7">
        <w:rPr>
          <w:rFonts w:ascii="宋体" w:hAnsi="宋体" w:cs="宋体" w:hint="eastAsia"/>
          <w:sz w:val="24"/>
        </w:rPr>
        <w:t xml:space="preserve"> </w:t>
      </w:r>
      <w:r>
        <w:rPr>
          <w:rFonts w:ascii="宋体" w:hAnsi="宋体" w:cs="宋体" w:hint="eastAsia"/>
          <w:sz w:val="24"/>
        </w:rPr>
        <w:t>本次交易完成后，上市公司是否存在资金、资产被实际控制人或其他关联人占用的情形；上市公司是否存在为实际控制人或其他关联人提供担保的情形。</w:t>
      </w:r>
    </w:p>
    <w:p w14:paraId="4A8A87E0" w14:textId="384C6567"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第四十二条</w:t>
      </w:r>
      <w:r w:rsidR="00C36EF7">
        <w:rPr>
          <w:rFonts w:ascii="宋体" w:hAnsi="宋体" w:cs="宋体" w:hint="eastAsia"/>
          <w:sz w:val="24"/>
        </w:rPr>
        <w:t xml:space="preserve"> </w:t>
      </w:r>
      <w:r>
        <w:rPr>
          <w:rFonts w:ascii="宋体" w:hAnsi="宋体" w:cs="宋体" w:hint="eastAsia"/>
          <w:sz w:val="24"/>
        </w:rPr>
        <w:t>上市公司负债结构是否合理，是否存在因本次交易大量增加负债（包括或有负债）的情况。</w:t>
      </w:r>
    </w:p>
    <w:p w14:paraId="6556E13C" w14:textId="65DAE846"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第四十三条</w:t>
      </w:r>
      <w:r w:rsidR="00C36EF7">
        <w:rPr>
          <w:rFonts w:ascii="宋体" w:hAnsi="宋体" w:cs="宋体" w:hint="eastAsia"/>
          <w:sz w:val="24"/>
        </w:rPr>
        <w:t xml:space="preserve"> </w:t>
      </w:r>
      <w:r>
        <w:rPr>
          <w:rFonts w:ascii="宋体" w:hAnsi="宋体" w:cs="宋体" w:hint="eastAsia"/>
          <w:sz w:val="24"/>
        </w:rPr>
        <w:t>上市公司在最近十二个月内曾发生资产交易的，应当说明与本次交易的关系。</w:t>
      </w:r>
    </w:p>
    <w:p w14:paraId="48349624" w14:textId="1A0DA6B0"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第四十四条</w:t>
      </w:r>
      <w:r w:rsidR="00A45A13">
        <w:rPr>
          <w:rFonts w:ascii="宋体" w:hAnsi="宋体" w:cs="宋体" w:hint="eastAsia"/>
          <w:sz w:val="24"/>
        </w:rPr>
        <w:t xml:space="preserve"> </w:t>
      </w:r>
      <w:r>
        <w:rPr>
          <w:rFonts w:ascii="宋体" w:hAnsi="宋体" w:cs="宋体" w:hint="eastAsia"/>
          <w:sz w:val="24"/>
        </w:rPr>
        <w:t>本次交易对上市公司治理机制的影响。</w:t>
      </w:r>
    </w:p>
    <w:p w14:paraId="1303E0F2" w14:textId="18C07EF0"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第四十五条</w:t>
      </w:r>
      <w:r w:rsidR="00A45A13">
        <w:rPr>
          <w:rFonts w:ascii="宋体" w:hAnsi="宋体" w:cs="宋体" w:hint="eastAsia"/>
          <w:sz w:val="24"/>
        </w:rPr>
        <w:t xml:space="preserve"> </w:t>
      </w:r>
      <w:r>
        <w:rPr>
          <w:rFonts w:ascii="宋体" w:hAnsi="宋体" w:cs="宋体" w:hint="eastAsia"/>
          <w:sz w:val="24"/>
        </w:rPr>
        <w:t>本次交易后上市公司的现金分红政策及相应的安排、董事会对上述情况的说明。</w:t>
      </w:r>
    </w:p>
    <w:p w14:paraId="2A3CB18A" w14:textId="2BD27E3A"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第四十六条</w:t>
      </w:r>
      <w:r w:rsidR="00A45A13">
        <w:rPr>
          <w:rFonts w:ascii="宋体" w:hAnsi="宋体" w:cs="宋体" w:hint="eastAsia"/>
          <w:sz w:val="24"/>
        </w:rPr>
        <w:t xml:space="preserve"> </w:t>
      </w:r>
      <w:r>
        <w:rPr>
          <w:rFonts w:ascii="宋体" w:hAnsi="宋体" w:cs="宋体" w:hint="eastAsia"/>
          <w:sz w:val="24"/>
        </w:rPr>
        <w:t>本次交易涉及的相关主体买卖上市公司股票的自查情况。</w:t>
      </w:r>
    </w:p>
    <w:p w14:paraId="7271632B" w14:textId="45414406"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第四十七条</w:t>
      </w:r>
      <w:r w:rsidR="00A45A13">
        <w:rPr>
          <w:rFonts w:ascii="宋体" w:hAnsi="宋体" w:cs="宋体" w:hint="eastAsia"/>
          <w:sz w:val="24"/>
        </w:rPr>
        <w:t xml:space="preserve"> </w:t>
      </w:r>
      <w:r>
        <w:rPr>
          <w:rFonts w:ascii="宋体" w:hAnsi="宋体" w:cs="宋体" w:hint="eastAsia"/>
          <w:sz w:val="24"/>
        </w:rPr>
        <w:t>其他能够影响股东及其他投资者做出合理判断的、有关本次交易的所有信息。</w:t>
      </w:r>
    </w:p>
    <w:p w14:paraId="02F65D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上市公司已披露的媒体说明会、对证券交易所问询函的回复中有关本次交易的信息，应当在重组报告书相应章节进行披露。</w:t>
      </w:r>
    </w:p>
    <w:p w14:paraId="3637FA79" w14:textId="73DB628F" w:rsidR="00A320E6" w:rsidRDefault="00EC0B72" w:rsidP="00E348F4">
      <w:pPr>
        <w:pStyle w:val="a3"/>
        <w:spacing w:line="360" w:lineRule="auto"/>
        <w:ind w:firstLine="482"/>
        <w:rPr>
          <w:rFonts w:ascii="宋体" w:hAnsi="宋体" w:cs="宋体"/>
          <w:sz w:val="24"/>
        </w:rPr>
      </w:pPr>
      <w:r w:rsidRPr="00EC0B72">
        <w:rPr>
          <w:rFonts w:ascii="宋体" w:hAnsi="宋体" w:cs="宋体" w:hint="eastAsia"/>
          <w:b/>
          <w:sz w:val="24"/>
        </w:rPr>
        <w:t>第四十八条</w:t>
      </w:r>
      <w:r w:rsidR="00A45A13">
        <w:rPr>
          <w:rFonts w:ascii="宋体" w:hAnsi="宋体" w:cs="宋体" w:hint="eastAsia"/>
          <w:sz w:val="24"/>
        </w:rPr>
        <w:t xml:space="preserve"> </w:t>
      </w:r>
      <w:r>
        <w:rPr>
          <w:rFonts w:ascii="宋体" w:hAnsi="宋体" w:cs="宋体" w:hint="eastAsia"/>
          <w:sz w:val="24"/>
        </w:rPr>
        <w:t>独立财务顾问和律师事务所对本次交易出具的结论性意见。</w:t>
      </w:r>
    </w:p>
    <w:p w14:paraId="784852E5" w14:textId="4260F39F"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第四十九条</w:t>
      </w:r>
      <w:r w:rsidR="00A45A13">
        <w:rPr>
          <w:rFonts w:ascii="宋体" w:hAnsi="宋体" w:cs="宋体" w:hint="eastAsia"/>
          <w:sz w:val="24"/>
        </w:rPr>
        <w:t xml:space="preserve"> </w:t>
      </w:r>
      <w:r>
        <w:rPr>
          <w:rFonts w:ascii="宋体" w:hAnsi="宋体" w:cs="宋体" w:hint="eastAsia"/>
          <w:sz w:val="24"/>
        </w:rPr>
        <w:t>本次交易所聘请的独立财务顾问、律师事务所、会计师事务所、资产评估机构（如有）、估值机构（如有）等专业机构名称、法定代表人、住所、联系电话、传真，以及有关经办人员的姓名。</w:t>
      </w:r>
    </w:p>
    <w:p w14:paraId="00F30E11" w14:textId="1C6EF55A"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第五十条</w:t>
      </w:r>
      <w:r w:rsidR="00A45A13">
        <w:rPr>
          <w:rFonts w:ascii="宋体" w:hAnsi="宋体" w:cs="宋体" w:hint="eastAsia"/>
          <w:sz w:val="24"/>
        </w:rPr>
        <w:t xml:space="preserve"> </w:t>
      </w:r>
      <w:r>
        <w:rPr>
          <w:rFonts w:ascii="宋体" w:hAnsi="宋体" w:cs="宋体" w:hint="eastAsia"/>
          <w:sz w:val="24"/>
        </w:rPr>
        <w:t>中国证监会要求披露的其他信息。</w:t>
      </w:r>
    </w:p>
    <w:p w14:paraId="53726DA5" w14:textId="67C74852"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第五十一条</w:t>
      </w:r>
      <w:r w:rsidR="00C36EF7">
        <w:rPr>
          <w:rFonts w:ascii="宋体" w:hAnsi="宋体" w:cs="宋体" w:hint="eastAsia"/>
          <w:sz w:val="24"/>
        </w:rPr>
        <w:t xml:space="preserve"> </w:t>
      </w:r>
      <w:r>
        <w:rPr>
          <w:rFonts w:ascii="宋体" w:hAnsi="宋体" w:cs="宋体" w:hint="eastAsia"/>
          <w:sz w:val="24"/>
        </w:rPr>
        <w:t>上市公司应当在重组报告书的显著位置载明：</w:t>
      </w:r>
    </w:p>
    <w:p w14:paraId="67E532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“本公司及全体董事、监事、高级管理人员保证本报告书内容的真实、准确、完整，对报告书的虚假记载、误导性陈述或重大遗漏负连带责任”。</w:t>
      </w:r>
    </w:p>
    <w:p w14:paraId="5ED56C23" w14:textId="123C8244" w:rsidR="00A320E6" w:rsidRDefault="00000000" w:rsidP="00E348F4">
      <w:pPr>
        <w:pStyle w:val="13"/>
        <w:spacing w:before="62" w:after="62"/>
      </w:pPr>
      <w:r>
        <w:rPr>
          <w:rFonts w:hint="eastAsia"/>
        </w:rPr>
        <w:t>第十五节</w:t>
      </w:r>
      <w:r w:rsidR="00E348F4">
        <w:rPr>
          <w:rFonts w:hint="eastAsia"/>
        </w:rPr>
        <w:t xml:space="preserve"> </w:t>
      </w:r>
      <w:r>
        <w:rPr>
          <w:rFonts w:hint="eastAsia"/>
        </w:rPr>
        <w:t>重组上市</w:t>
      </w:r>
    </w:p>
    <w:p w14:paraId="3D3EBE7B" w14:textId="7CB39A8D"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第五十二条</w:t>
      </w:r>
      <w:r w:rsidR="00C36EF7">
        <w:rPr>
          <w:rFonts w:ascii="宋体" w:hAnsi="宋体" w:cs="宋体" w:hint="eastAsia"/>
          <w:sz w:val="24"/>
        </w:rPr>
        <w:t xml:space="preserve"> </w:t>
      </w:r>
      <w:r>
        <w:rPr>
          <w:rFonts w:ascii="宋体" w:hAnsi="宋体" w:cs="宋体" w:hint="eastAsia"/>
          <w:sz w:val="24"/>
        </w:rPr>
        <w:t>上市公司重大资产重组构成重组上市的，除应按第一节至第十四节规定编制重组报告书外，还应当按照《公开发行证券的公司信息披露内容与格式准则第1号—招股说明书》（以下简称《1号准则》）相关章节的要求，对重组报告书的相关内容加以补充。</w:t>
      </w:r>
    </w:p>
    <w:p w14:paraId="2B1E38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需要补充披露的内容包括但不限于：</w:t>
      </w:r>
    </w:p>
    <w:p w14:paraId="416462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（一）在“风险因素”部分，补充《1号准则》“风险因素”相关内容；</w:t>
      </w:r>
    </w:p>
    <w:p w14:paraId="4328B2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（二）在“交易标的”部分，补充《1号准则》“发行人基本情况”“业务与技术”“董事、监事、高级管理人员与核心技术人员”相关内容；</w:t>
      </w:r>
    </w:p>
    <w:p w14:paraId="0B52B83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在“交易的合规性分析”部分，逐项说明上市公司购买的资产对应的经营实体是否符合《首次公开发行股票并上市管理办法》（以下简称《首发办法》）规定的发行条件，证券服务机构应当对上市公司购买的资产对应的经营实体是否符合《首发办法》规定的发行条件发表明确的结论性意见；</w:t>
      </w:r>
    </w:p>
    <w:p w14:paraId="7F714E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（四）在“管理层讨论与分析”部分，补充《1号准则》“管理层讨论与分析”“业务发展目标”相关内容；</w:t>
      </w:r>
    </w:p>
    <w:p w14:paraId="38EBB2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（五）在“财务会计信息”部分，补充《1号准则》“财务会计信息”相关内容；</w:t>
      </w:r>
    </w:p>
    <w:p w14:paraId="453565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（六）在“同业竞争和关联交易”部分，补充《1号准则》“同业竞争与关联交易”相关内容；</w:t>
      </w:r>
    </w:p>
    <w:p w14:paraId="2C8DC6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（七）在“其他重要事项”部分，补充《1号准则》“公司治理”“股利分配政策”“其他重要事项”相关内容。</w:t>
      </w:r>
    </w:p>
    <w:p w14:paraId="65406FCA" w14:textId="2384B939"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第五十三条</w:t>
      </w:r>
      <w:r w:rsidR="00C36EF7">
        <w:rPr>
          <w:rFonts w:ascii="宋体" w:hAnsi="宋体" w:cs="宋体" w:hint="eastAsia"/>
          <w:sz w:val="24"/>
        </w:rPr>
        <w:t xml:space="preserve"> </w:t>
      </w:r>
      <w:r>
        <w:rPr>
          <w:rFonts w:ascii="宋体" w:hAnsi="宋体" w:cs="宋体" w:hint="eastAsia"/>
          <w:sz w:val="24"/>
        </w:rPr>
        <w:t>上市公司重大资产重组构成重组上市的，上市公司控股股东、实际控制人、董事、监事、高级管理人员及交易对方应当公开承诺：如本次交易所提供或披露的信息涉嫌虚假记载、误导性陈述或者重大遗漏，被司法机关立案侦查或者被中国证监会立案调查的，在形成调查结论以前，不转让在该上市公司拥有权益的股份，并于收到立案稽查通知的两个交易日内将暂停转让的书面申请和股票账户提交上市公司董事会，由董事会代其向证券交易所和登记结算公司申请锁定；未在两个交易日内提交锁定申请的，授权董事会核实后直接向证券交易所和登记结算公司报送本人或本单位的身份信息和账户信息并申请锁定；董事会未向证券交易所和登记结算公司报送本人或本单位的身份信息和账户信息的，授权证券交易所和登记结算公司直接锁定相关股份。如调查结论发现存在违法违规情节，本人或本单位承诺锁定股份自愿用于相关投资者赔偿安排。</w:t>
      </w:r>
    </w:p>
    <w:p w14:paraId="740D76B7" w14:textId="4570C4D9" w:rsidR="00A320E6" w:rsidRDefault="00000000" w:rsidP="00E348F4">
      <w:pPr>
        <w:pStyle w:val="13"/>
        <w:spacing w:before="62" w:after="62"/>
      </w:pPr>
      <w:r>
        <w:rPr>
          <w:rFonts w:hint="eastAsia"/>
        </w:rPr>
        <w:t>第十六节</w:t>
      </w:r>
      <w:r w:rsidR="00E348F4">
        <w:rPr>
          <w:rFonts w:hint="eastAsia"/>
        </w:rPr>
        <w:t xml:space="preserve"> </w:t>
      </w:r>
      <w:r>
        <w:rPr>
          <w:rFonts w:hint="eastAsia"/>
        </w:rPr>
        <w:t>非现金支付方式</w:t>
      </w:r>
    </w:p>
    <w:p w14:paraId="0FBF2238" w14:textId="30426421"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第五十四条</w:t>
      </w:r>
      <w:r w:rsidR="00A45A13">
        <w:rPr>
          <w:rFonts w:ascii="宋体" w:hAnsi="宋体" w:cs="宋体" w:hint="eastAsia"/>
          <w:sz w:val="24"/>
        </w:rPr>
        <w:t xml:space="preserve"> </w:t>
      </w:r>
      <w:r>
        <w:rPr>
          <w:rFonts w:ascii="宋体" w:hAnsi="宋体" w:cs="宋体" w:hint="eastAsia"/>
          <w:sz w:val="24"/>
        </w:rPr>
        <w:t>上市公司拟发行股份购买资产的，重组报告书中还应当包括以下内容：</w:t>
      </w:r>
    </w:p>
    <w:p w14:paraId="32908A9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（一）在第六节规定的“交易标的”部分后，加入第七节“发行股份情况”，其以下各部分依次顺延。在“发行股份情况”部分应当披露以下内容：</w:t>
      </w:r>
    </w:p>
    <w:p w14:paraId="6E22CC27" w14:textId="7E081615"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1.上市公司发行股份的价格、定价原则及合理性分析。上市公司应当披露按照《重组办法》</w:t>
      </w:r>
      <w:r w:rsidR="00EC0B72" w:rsidRPr="00E348F4">
        <w:rPr>
          <w:rFonts w:ascii="宋体" w:hAnsi="宋体" w:cs="宋体" w:hint="eastAsia"/>
          <w:bCs/>
          <w:sz w:val="24"/>
        </w:rPr>
        <w:t>第四十五条</w:t>
      </w:r>
      <w:r>
        <w:rPr>
          <w:rFonts w:ascii="宋体" w:hAnsi="宋体" w:cs="宋体" w:hint="eastAsia"/>
          <w:sz w:val="24"/>
        </w:rPr>
        <w:t>计算的董事会就发行股份购买资产作出决议公告日前二十个交易日、六十个交易日或者一百二十个交易日的公司股票交易均价，以及发行股份市场参考价的选择依据及理由，并进行合理性分析。</w:t>
      </w:r>
    </w:p>
    <w:p w14:paraId="47FEDE9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本次发行股份购买资产的董事会决议明确的发行价格调整方案。发行价格调整方案应当建立在大盘和同行业因素调整基础上，触发发行价格调整的情形应当明确、具体、可操作，并充分说明理由。如出现上市公司发行价格的调整，还应当说明调整程序、是否相应调整交易标的的定价及理由、发行股份数量的变化情况等。</w:t>
      </w:r>
    </w:p>
    <w:p w14:paraId="17AD37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3.上市公司拟发行股份的种类、每股面值。</w:t>
      </w:r>
    </w:p>
    <w:p w14:paraId="6B4330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4.上市公司拟发行股份的数量、占发行后总股本的比例。</w:t>
      </w:r>
    </w:p>
    <w:p w14:paraId="0BA00E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5.特定对象所持股份的转让或交易限制，股东关于锁定所持股份的相关承诺。</w:t>
      </w:r>
    </w:p>
    <w:p w14:paraId="165738F5" w14:textId="66DD7C91"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上市公司发行股份购买资产的，控股股东、实际控制人、董事、监事、高级管理人员及交易对方应当按照本准则</w:t>
      </w:r>
      <w:r w:rsidR="00B74663" w:rsidRPr="00E348F4">
        <w:rPr>
          <w:rFonts w:ascii="宋体" w:hAnsi="宋体" w:cs="宋体" w:hint="eastAsia"/>
          <w:bCs/>
          <w:sz w:val="24"/>
        </w:rPr>
        <w:t>第五十三条</w:t>
      </w:r>
      <w:r>
        <w:rPr>
          <w:rFonts w:ascii="宋体" w:hAnsi="宋体" w:cs="宋体" w:hint="eastAsia"/>
          <w:sz w:val="24"/>
        </w:rPr>
        <w:t>要求作出公开承诺。</w:t>
      </w:r>
    </w:p>
    <w:p w14:paraId="2B30C7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6.上市公司发行股份前后主要财务数据（如每股收益、每股净资产等）和其他重要经济指标的对照表。</w:t>
      </w:r>
    </w:p>
    <w:p w14:paraId="095112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7.本次发行股份前后上市公司的股权结构，说明本次发行股份是否导致上市公司控制权发生变化。</w:t>
      </w:r>
    </w:p>
    <w:p w14:paraId="063E49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（二）在第七节规定的“交易标的评估或估值”部分，披露董事会结合股份发行价对应的市盈率、市净率水平以及本次发行对上市公司盈利能力、持续发展能力的影响等对股份发行定价合理性所作的分析。</w:t>
      </w:r>
    </w:p>
    <w:p w14:paraId="1EA13C60" w14:textId="5A00B2DF"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（三）在第九节规定的“交易的合规性分析”部分，逐项说明是否符合《重组办法》</w:t>
      </w:r>
      <w:r w:rsidR="00EC0B72" w:rsidRPr="00E348F4">
        <w:rPr>
          <w:rFonts w:ascii="宋体" w:hAnsi="宋体" w:cs="宋体" w:hint="eastAsia"/>
          <w:bCs/>
          <w:sz w:val="24"/>
        </w:rPr>
        <w:t>第四十三条</w:t>
      </w:r>
      <w:r>
        <w:rPr>
          <w:rFonts w:ascii="宋体" w:hAnsi="宋体" w:cs="宋体" w:hint="eastAsia"/>
          <w:sz w:val="24"/>
        </w:rPr>
        <w:t>的规定。</w:t>
      </w:r>
    </w:p>
    <w:p w14:paraId="534A462B" w14:textId="65DA93DE"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第五十五条</w:t>
      </w:r>
      <w:r w:rsidR="00A45A13">
        <w:rPr>
          <w:rFonts w:ascii="宋体" w:hAnsi="宋体" w:cs="宋体" w:hint="eastAsia"/>
          <w:sz w:val="24"/>
        </w:rPr>
        <w:t xml:space="preserve"> </w:t>
      </w:r>
      <w:r w:rsidRPr="00E348F4">
        <w:rPr>
          <w:rFonts w:ascii="宋体" w:hAnsi="宋体" w:cs="宋体" w:hint="eastAsia"/>
          <w:sz w:val="24"/>
        </w:rPr>
        <w:t>上市公司拟发行优先股购买资产的，重组报告书中除包括第五十四条第（二）项、第（三）项规定的内容外，还应在“发行股份情况”部分，比照第五十四条第（一）项相关要求，并结合《公开发行证券的公司信息披露内容与格式准则第34号—发行优先股募集说明书》第四节、第六节</w:t>
      </w:r>
      <w:r w:rsidR="00EC0B72" w:rsidRPr="00E348F4">
        <w:rPr>
          <w:rFonts w:ascii="宋体" w:hAnsi="宋体" w:cs="宋体" w:hint="eastAsia"/>
          <w:sz w:val="24"/>
        </w:rPr>
        <w:t>第三十五条</w:t>
      </w:r>
      <w:r>
        <w:rPr>
          <w:rFonts w:ascii="宋体" w:hAnsi="宋体" w:cs="宋体" w:hint="eastAsia"/>
          <w:sz w:val="24"/>
        </w:rPr>
        <w:t>相关要求，披露相关信息。</w:t>
      </w:r>
    </w:p>
    <w:p w14:paraId="6372BFA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如本次优先股发行涉及公司章程的，还应披露公司章程相应修订情况。</w:t>
      </w:r>
    </w:p>
    <w:p w14:paraId="0BB29D73" w14:textId="0D67874A"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第五十六条</w:t>
      </w:r>
      <w:r w:rsidR="00A45A13">
        <w:rPr>
          <w:rFonts w:ascii="宋体" w:hAnsi="宋体" w:cs="宋体" w:hint="eastAsia"/>
          <w:sz w:val="24"/>
        </w:rPr>
        <w:t xml:space="preserve"> </w:t>
      </w:r>
      <w:r>
        <w:rPr>
          <w:rFonts w:ascii="宋体" w:hAnsi="宋体" w:cs="宋体" w:hint="eastAsia"/>
          <w:sz w:val="24"/>
        </w:rPr>
        <w:t>上市公司拟通过向特定对象发行可转换为股票的公司债券、定向权证等其他支付方式购买资产的，应当比照上述要求，披露相关内容。</w:t>
      </w:r>
    </w:p>
    <w:p w14:paraId="5E4F0BBC" w14:textId="6A3D1C3A" w:rsidR="00A320E6" w:rsidRDefault="00000000" w:rsidP="00E348F4">
      <w:pPr>
        <w:pStyle w:val="13"/>
        <w:spacing w:before="62" w:after="62"/>
      </w:pPr>
      <w:r>
        <w:rPr>
          <w:rFonts w:hint="eastAsia"/>
        </w:rPr>
        <w:t>第十七节</w:t>
      </w:r>
      <w:r w:rsidR="00E348F4">
        <w:rPr>
          <w:rFonts w:hint="eastAsia"/>
        </w:rPr>
        <w:t xml:space="preserve"> </w:t>
      </w:r>
      <w:r>
        <w:rPr>
          <w:rFonts w:hint="eastAsia"/>
        </w:rPr>
        <w:t>换股吸收合并</w:t>
      </w:r>
    </w:p>
    <w:p w14:paraId="2C20007C" w14:textId="40D21E48"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第五十七条</w:t>
      </w:r>
      <w:r w:rsidR="00A45A13">
        <w:rPr>
          <w:rFonts w:ascii="宋体" w:hAnsi="宋体" w:cs="宋体" w:hint="eastAsia"/>
          <w:sz w:val="24"/>
        </w:rPr>
        <w:t xml:space="preserve"> </w:t>
      </w:r>
      <w:r>
        <w:rPr>
          <w:rFonts w:ascii="宋体" w:hAnsi="宋体" w:cs="宋体" w:hint="eastAsia"/>
          <w:sz w:val="24"/>
        </w:rPr>
        <w:t>换股吸收合并涉及上市公司的，重组报告书还应当在第六节规定的“交易标的”部分后，加入第七节“换股吸收合并方案”，其以下各部分依次顺延。“换股吸收合并方案”部分应当比照</w:t>
      </w:r>
      <w:r w:rsidRPr="00E348F4">
        <w:rPr>
          <w:rFonts w:ascii="宋体" w:hAnsi="宋体" w:cs="宋体" w:hint="eastAsia"/>
          <w:bCs/>
          <w:sz w:val="24"/>
        </w:rPr>
        <w:t>第五十四条</w:t>
      </w:r>
      <w:r>
        <w:rPr>
          <w:rFonts w:ascii="宋体" w:hAnsi="宋体" w:cs="宋体" w:hint="eastAsia"/>
          <w:sz w:val="24"/>
        </w:rPr>
        <w:t>相关要求进行披露，此外还应当包括以下内容：</w:t>
      </w:r>
    </w:p>
    <w:p w14:paraId="62BF51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（一）换股各方名称；</w:t>
      </w:r>
    </w:p>
    <w:p w14:paraId="60A9DE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（二）换股价格及确定方法；</w:t>
      </w:r>
    </w:p>
    <w:p w14:paraId="6FD178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（三）本次换股吸收合并的董事会决议明确的换股价格调整方案；</w:t>
      </w:r>
    </w:p>
    <w:p w14:paraId="52163E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次换股吸收合并对异议股东权利保护的相关安排，如为提供现金选择权，应当披露其安排，包括定价及定价原则、被提供现金选择权的股东范围（异议股东或全体股东）、现金选择权提供方、与换股价格的差异及差异原因；</w:t>
      </w:r>
    </w:p>
    <w:p w14:paraId="3A7239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（五）本次换股吸收合并涉及的债权债务处置及债权人权利保护的相关安排；</w:t>
      </w:r>
    </w:p>
    <w:p w14:paraId="4B2100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（六）本次换股吸收合并涉及的相关资产过户或交付的安排；</w:t>
      </w:r>
    </w:p>
    <w:p w14:paraId="4C2139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（七）本次换股吸收合并涉及的员工安置。</w:t>
      </w:r>
    </w:p>
    <w:p w14:paraId="68A7E59A" w14:textId="57E078FC"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第五十八条</w:t>
      </w:r>
      <w:r w:rsidR="00A45A13">
        <w:rPr>
          <w:rFonts w:ascii="宋体" w:hAnsi="宋体" w:cs="宋体" w:hint="eastAsia"/>
          <w:sz w:val="24"/>
        </w:rPr>
        <w:t xml:space="preserve"> </w:t>
      </w:r>
      <w:r>
        <w:rPr>
          <w:rFonts w:ascii="宋体" w:hAnsi="宋体" w:cs="宋体" w:hint="eastAsia"/>
          <w:sz w:val="24"/>
        </w:rPr>
        <w:t>上市公司发行优先股、向特定对象发行可转换为股票的公司债券、定向权证用于与其他公司合并的，应当比照上述要求，披露相关内容。</w:t>
      </w:r>
    </w:p>
    <w:p w14:paraId="0C20368A" w14:textId="69D6A321" w:rsidR="00A320E6" w:rsidRDefault="00000000" w:rsidP="00E348F4">
      <w:pPr>
        <w:pStyle w:val="13"/>
        <w:spacing w:before="62" w:after="62"/>
      </w:pPr>
      <w:r>
        <w:rPr>
          <w:rFonts w:hint="eastAsia"/>
        </w:rPr>
        <w:t>第十八节</w:t>
      </w:r>
      <w:r w:rsidR="00E348F4">
        <w:rPr>
          <w:rFonts w:hint="eastAsia"/>
        </w:rPr>
        <w:t xml:space="preserve"> </w:t>
      </w:r>
      <w:r>
        <w:rPr>
          <w:rFonts w:hint="eastAsia"/>
        </w:rPr>
        <w:t>募集配套资金</w:t>
      </w:r>
    </w:p>
    <w:p w14:paraId="03EF3D09" w14:textId="33DE790C"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第五十九条</w:t>
      </w:r>
      <w:r w:rsidR="00A45A13">
        <w:rPr>
          <w:rFonts w:ascii="宋体" w:hAnsi="宋体" w:cs="宋体" w:hint="eastAsia"/>
          <w:sz w:val="24"/>
        </w:rPr>
        <w:t xml:space="preserve"> </w:t>
      </w:r>
      <w:r>
        <w:rPr>
          <w:rFonts w:ascii="宋体" w:hAnsi="宋体" w:cs="宋体" w:hint="eastAsia"/>
          <w:sz w:val="24"/>
        </w:rPr>
        <w:t>上市公司发行股份购买资产同时募集部分配套资金的，在重组报告书“发行股份情况”部分还应当披露以下内容：</w:t>
      </w:r>
    </w:p>
    <w:p w14:paraId="0C052D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（一）募集配套资金的金额及占交易总金额的比例。</w:t>
      </w:r>
    </w:p>
    <w:p w14:paraId="3DBAFFC4" w14:textId="78D694E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（二）募集配套资金的股份发行情况。比照</w:t>
      </w:r>
      <w:r w:rsidR="00B74663" w:rsidRPr="00E348F4">
        <w:rPr>
          <w:rFonts w:ascii="宋体" w:hAnsi="宋体" w:cs="宋体" w:hint="eastAsia"/>
          <w:bCs/>
          <w:sz w:val="24"/>
        </w:rPr>
        <w:t>第五十四条</w:t>
      </w:r>
      <w:r>
        <w:rPr>
          <w:rFonts w:ascii="宋体" w:hAnsi="宋体" w:cs="宋体" w:hint="eastAsia"/>
          <w:sz w:val="24"/>
        </w:rPr>
        <w:t>相关要求，披露上市公司募集配套资金的股份发行情况，包括发行股份的种类、每股面值、定价原则、发行数量及占本次交易前总股本的比例、占发行后总股本的比例。</w:t>
      </w:r>
    </w:p>
    <w:p w14:paraId="49F2EA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（三）募集配套资金的用途。包括具体用途、资金安排、测试依据、使用计划进度和预期收益，如募集配套资金用于投资项目的，应当披露项目是否取得相应的许可证书或者有关主管部门的批复文件。</w:t>
      </w:r>
    </w:p>
    <w:p w14:paraId="07184A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四）募集配套资金的必要性。结合行业特点、资金用途、前次募集资金使用效率、上市公司及交易标的现有生产经营规模、财务状况、是否有利于提高重组项目的整合绩效等方面，说明募集配套资金的必要性及配套金额是否与之相匹配。</w:t>
      </w:r>
    </w:p>
    <w:p w14:paraId="49FBDB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其他信息。本次募集配套资金管理和使用的内部控制制度，募集配套资金使用的分级审批权限、决策程序、风险控制措施及信息披露程序；本次募集配套资金失败的补救措施；对交易标的采取收益法评估时，预测现金流中是否包含了募集配套资金投入带来的收益。</w:t>
      </w:r>
    </w:p>
    <w:p w14:paraId="5E2146BF" w14:textId="0B522809" w:rsidR="00A320E6" w:rsidRDefault="00000000" w:rsidP="00E348F4">
      <w:pPr>
        <w:pStyle w:val="13"/>
        <w:spacing w:before="62" w:after="62"/>
      </w:pPr>
      <w:r>
        <w:rPr>
          <w:rFonts w:hint="eastAsia"/>
        </w:rPr>
        <w:t>第十九节</w:t>
      </w:r>
      <w:r w:rsidR="00E348F4">
        <w:rPr>
          <w:rFonts w:hint="eastAsia"/>
        </w:rPr>
        <w:t xml:space="preserve"> </w:t>
      </w:r>
      <w:r>
        <w:rPr>
          <w:rFonts w:hint="eastAsia"/>
        </w:rPr>
        <w:t>重组报告书摘要</w:t>
      </w:r>
    </w:p>
    <w:p w14:paraId="53F5ED39" w14:textId="6926D606"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第六十条</w:t>
      </w:r>
      <w:r w:rsidR="00A45A13">
        <w:rPr>
          <w:rFonts w:ascii="宋体" w:hAnsi="宋体" w:cs="宋体" w:hint="eastAsia"/>
          <w:sz w:val="24"/>
        </w:rPr>
        <w:t xml:space="preserve"> </w:t>
      </w:r>
      <w:r>
        <w:rPr>
          <w:rFonts w:ascii="宋体" w:hAnsi="宋体" w:cs="宋体" w:hint="eastAsia"/>
          <w:sz w:val="24"/>
        </w:rPr>
        <w:t>编制重组报告书摘要的目的是为向公众提供有关本次重组的简要情况，摘要内容必须忠实于重组报告书全文，不得出现与全文相矛盾之处。上市公司编制的重组报告书摘要应当至少包括以下内容：</w:t>
      </w:r>
    </w:p>
    <w:p w14:paraId="1C9A92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（一）本准则第三章第一节到第四节部分的内容。</w:t>
      </w:r>
    </w:p>
    <w:p w14:paraId="710550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（二）上市公司应当在重组报告书摘要的显著位置载明：</w:t>
      </w:r>
    </w:p>
    <w:p w14:paraId="73EFC8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“本重大资产重组报告书摘要的目的仅为向公众提供有关本次重组的简要情况，并不包括重大资产重组报告书全文的各部分内容。重大资产重组报告书全文同时刊载于×××网站；备查文件的查阅方式为：×××。”</w:t>
      </w:r>
    </w:p>
    <w:p w14:paraId="50ECA9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“本公司及董事会全体成员保证重大资产重组报告书及其摘要内容的真实、准确、完整，对报告书及其摘要的虚假记载、误导性陈述或重大遗漏负连带责任”。</w:t>
      </w:r>
    </w:p>
    <w:p w14:paraId="222B9D7A" w14:textId="4BA0DA3F" w:rsidR="00A320E6" w:rsidRDefault="00000000" w:rsidP="00E348F4">
      <w:pPr>
        <w:pStyle w:val="13"/>
        <w:spacing w:before="62" w:after="62"/>
      </w:pPr>
      <w:r>
        <w:rPr>
          <w:rFonts w:hint="eastAsia"/>
        </w:rPr>
        <w:t>第四章</w:t>
      </w:r>
      <w:r w:rsidR="00E348F4">
        <w:rPr>
          <w:rFonts w:hint="eastAsia"/>
        </w:rPr>
        <w:t xml:space="preserve"> </w:t>
      </w:r>
      <w:r>
        <w:rPr>
          <w:rFonts w:hint="eastAsia"/>
        </w:rPr>
        <w:t>证券服务机构报告</w:t>
      </w:r>
    </w:p>
    <w:p w14:paraId="7E45089D" w14:textId="74E18903" w:rsidR="00A320E6" w:rsidRDefault="00000000" w:rsidP="00E348F4">
      <w:pPr>
        <w:pStyle w:val="13"/>
        <w:spacing w:before="62" w:after="62"/>
      </w:pPr>
      <w:r>
        <w:rPr>
          <w:rFonts w:hint="eastAsia"/>
        </w:rPr>
        <w:t>第一节</w:t>
      </w:r>
      <w:r w:rsidR="00E348F4">
        <w:rPr>
          <w:rFonts w:hint="eastAsia"/>
        </w:rPr>
        <w:t xml:space="preserve"> </w:t>
      </w:r>
      <w:r>
        <w:rPr>
          <w:rFonts w:hint="eastAsia"/>
        </w:rPr>
        <w:t>独立财务顾问报告</w:t>
      </w:r>
    </w:p>
    <w:p w14:paraId="76CB058B" w14:textId="11ED92B4"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第六十一条</w:t>
      </w:r>
      <w:r w:rsidR="00C36EF7">
        <w:rPr>
          <w:rFonts w:ascii="宋体" w:hAnsi="宋体" w:cs="宋体" w:hint="eastAsia"/>
          <w:sz w:val="24"/>
        </w:rPr>
        <w:t xml:space="preserve"> </w:t>
      </w:r>
      <w:r>
        <w:rPr>
          <w:rFonts w:ascii="宋体" w:hAnsi="宋体" w:cs="宋体" w:hint="eastAsia"/>
          <w:sz w:val="24"/>
        </w:rPr>
        <w:t>上市公司应当披露由证券公司或者证券服务机构按照本准则及有关业务准则的规定出具的独立财务顾问报告。独立财务顾问应当至少就以下事项发表明确的结论性意见：</w:t>
      </w:r>
    </w:p>
    <w:p w14:paraId="65A08DCB" w14:textId="41FB599F"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（一）结合对本准则第三章规定的内容进行核查的实际情况，逐项说明本次重组是否符合《重组办法》</w:t>
      </w:r>
      <w:r w:rsidR="00977BD5" w:rsidRPr="00E348F4">
        <w:rPr>
          <w:rFonts w:ascii="宋体" w:hAnsi="宋体" w:cs="宋体" w:hint="eastAsia"/>
          <w:bCs/>
          <w:sz w:val="24"/>
        </w:rPr>
        <w:t>第十一条</w:t>
      </w:r>
      <w:r>
        <w:rPr>
          <w:rFonts w:ascii="宋体" w:hAnsi="宋体" w:cs="宋体" w:hint="eastAsia"/>
          <w:sz w:val="24"/>
        </w:rPr>
        <w:t>的规定；拟发行股份购买资产的，还应当结合核查的实际情况，逐项说明是否符合《重组办法》</w:t>
      </w:r>
      <w:r w:rsidR="00EC0B72" w:rsidRPr="00E348F4">
        <w:rPr>
          <w:rFonts w:ascii="宋体" w:hAnsi="宋体" w:cs="宋体" w:hint="eastAsia"/>
          <w:bCs/>
          <w:sz w:val="24"/>
        </w:rPr>
        <w:t>第四十三条</w:t>
      </w:r>
      <w:r>
        <w:rPr>
          <w:rFonts w:ascii="宋体" w:hAnsi="宋体" w:cs="宋体" w:hint="eastAsia"/>
          <w:sz w:val="24"/>
        </w:rPr>
        <w:t>的规定。</w:t>
      </w:r>
    </w:p>
    <w:p w14:paraId="5B6C9E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交易是否构成重组上市，如构成，上市公司购买的资产对应的经营实体是否为股份有限公司或者有限责任公司，是否符合《首发办法》规定的其他发行条件，上市公司及其最近三年内的控股股东、实际控制人是否存在因涉嫌犯罪正</w:t>
      </w:r>
      <w:r>
        <w:rPr>
          <w:rFonts w:ascii="宋体" w:hAnsi="宋体" w:cs="宋体" w:hint="eastAsia"/>
          <w:sz w:val="24"/>
        </w:rPr>
        <w:lastRenderedPageBreak/>
        <w:t>被司法机关立案侦查或涉嫌违法违规被中国证监会立案调查的情形，如存在，涉嫌犯罪或违法违规的行为终止是否已满三年，交易方案是否能够消除该行为可能造成的不良后果，是否影响对相关行为人追究责任。上市公司及其控股股东、实际控制人最近十二个月内是否受到证券交易所公开谴责，是否存在其他重大失信行为。本次重大资产重组是否存在中国证监会认定的可能损害投资者合法权益，或者违背公开、公平、公正原则的其他情形。</w:t>
      </w:r>
    </w:p>
    <w:p w14:paraId="711ADA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（三）对本次交易所涉及的资产定价和股份定价（如涉及）进行全面分析，说明定价是否合理。</w:t>
      </w:r>
    </w:p>
    <w:p w14:paraId="2E355F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本次交易根据资产评估结果定价，应当对所选取的评估方法的适当性、评估假设前提的合理性、重要评估参数取值的合理性发表明确意见；本次交易不以资产评估结果作为定价依据的，应当对相关资产的估值方法、参数选择的合理性及其他影响估值结果的指标和因素发表明确意见。</w:t>
      </w:r>
    </w:p>
    <w:p w14:paraId="509A3C3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（五）结合上市公司管理层讨论与分析以及盈利预测（如有），分析说明本次交易完成后上市公司的盈利能力和财务状况、本次交易是否有利于上市公司的持续发展、是否存在损害股东合法权益的问题。</w:t>
      </w:r>
    </w:p>
    <w:p w14:paraId="480450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（六）对交易完成后上市公司的市场地位、经营业绩、持续发展能力、公司治理机制进行全面分析。</w:t>
      </w:r>
    </w:p>
    <w:p w14:paraId="688E9F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（七）对交易合同约定的资产交付安排是否可能导致上市公司交付现金或其他资产后不能及时获得对价的风险、相关的违约责任是否切实有效，发表明确意见。</w:t>
      </w:r>
    </w:p>
    <w:p w14:paraId="4283D7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（八）对本次重组是否构成关联交易进行核查，并依据核查确认的相关事实发表明确意见。涉及关联交易的，还应当充分分析本次交易的必要性及本次交易是否损害上市公司及非关联股东的利益。</w:t>
      </w:r>
    </w:p>
    <w:p w14:paraId="56FB7FDC" w14:textId="35C2725C"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（九）交易对方与上市公司根据《重组办法》</w:t>
      </w:r>
      <w:r w:rsidR="00EC0B72" w:rsidRPr="00E348F4">
        <w:rPr>
          <w:rFonts w:ascii="宋体" w:hAnsi="宋体" w:cs="宋体" w:hint="eastAsia"/>
          <w:bCs/>
          <w:sz w:val="24"/>
        </w:rPr>
        <w:t>第三十五条</w:t>
      </w:r>
      <w:r>
        <w:rPr>
          <w:rFonts w:ascii="宋体" w:hAnsi="宋体" w:cs="宋体" w:hint="eastAsia"/>
          <w:sz w:val="24"/>
        </w:rPr>
        <w:t>的规定，就相关资产实际盈利数不足利润预测数的情况签订补偿协议或提出填补每股收益具体措施的，独立财务顾问应当对补偿安排或具体措施的可行性、合理性发表意见（如有）。</w:t>
      </w:r>
    </w:p>
    <w:p w14:paraId="0964FC55" w14:textId="0D9C050E" w:rsidR="00A320E6" w:rsidRDefault="00000000" w:rsidP="00E348F4">
      <w:pPr>
        <w:pStyle w:val="13"/>
        <w:spacing w:before="62" w:after="62"/>
      </w:pPr>
      <w:r>
        <w:rPr>
          <w:rFonts w:hint="eastAsia"/>
        </w:rPr>
        <w:t>第二节</w:t>
      </w:r>
      <w:r w:rsidR="00E348F4">
        <w:rPr>
          <w:rFonts w:hint="eastAsia"/>
        </w:rPr>
        <w:t xml:space="preserve"> </w:t>
      </w:r>
      <w:r>
        <w:rPr>
          <w:rFonts w:hint="eastAsia"/>
        </w:rPr>
        <w:t>法律意见书</w:t>
      </w:r>
    </w:p>
    <w:p w14:paraId="2D1177F0" w14:textId="6082A9ED"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第六十二条</w:t>
      </w:r>
      <w:r w:rsidR="00C36EF7">
        <w:rPr>
          <w:rFonts w:ascii="宋体" w:hAnsi="宋体" w:cs="宋体" w:hint="eastAsia"/>
          <w:sz w:val="24"/>
        </w:rPr>
        <w:t xml:space="preserve"> </w:t>
      </w:r>
      <w:r>
        <w:rPr>
          <w:rFonts w:ascii="宋体" w:hAnsi="宋体" w:cs="宋体" w:hint="eastAsia"/>
          <w:sz w:val="24"/>
        </w:rPr>
        <w:t>上市公司应当披露由律师事务所按照本准则及有关业务准则的规定出具的法律意见书。律师事务所应当对照中国证监会的各项规定，在充分核查验证的基础上，至少就上市公司本次重组涉及的以下法律问题和事项发表明确的结论</w:t>
      </w:r>
      <w:r>
        <w:rPr>
          <w:rFonts w:ascii="宋体" w:hAnsi="宋体" w:cs="宋体" w:hint="eastAsia"/>
          <w:sz w:val="24"/>
        </w:rPr>
        <w:lastRenderedPageBreak/>
        <w:t>性意见：</w:t>
      </w:r>
    </w:p>
    <w:p w14:paraId="1232FF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（一）上市公司和交易对方是否具备相应的主体资格、是否依法有效存续。</w:t>
      </w:r>
    </w:p>
    <w:p w14:paraId="498FA6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次交易是否构成重组上市，如构成，上市公司购买的资产对应的经营实体是否为股份有限公司或者有限责任公司，是否符合《首发办法》规定的其他发行条件，上市公司及其最近三年内的控股股东、实际控制人是否存在因涉嫌犯罪正被司法机关立案侦查或涉嫌违法违规被中国证监会立案调查的情形，如存在，涉嫌犯罪或违法违规的行为终止是否已满三年，交易方案是否能够消除该行为可能造成的不良后果，是否影响对相关行为人追究责任。上市公司及其控股股东、实际控制人最近十二个月内是否受到证券交易所公开谴责，是否存在其他重大失信行为。本次重大资产重组是否存在中国证监会认定的可能损害投资者合法权益，或者违背公开、公平、公正原则的其他情形。</w:t>
      </w:r>
    </w:p>
    <w:p w14:paraId="26E69F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本次交易是否已履行必要的批准或授权程序，相关的批准和授权是否合法有效；本次交易是否构成关联交易；构成关联交易的，是否已依法履行必要的信息披露义务和审议批准程序；本次交易涉及的须呈报有关主管部门批准的事项是否已获得有效批准；本次交易的相关合同和协议是否合法有效。</w:t>
      </w:r>
    </w:p>
    <w:p w14:paraId="787D2B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交易标的（包括标的股权所涉及企业的主要资产）的权属状况是否清晰，权属证书是否完备有效；尚未取得完备权属证书的，应说明取得权属证书是否存在法律障碍；交易标的是否存在产权纠纷或潜在纠纷，如有，应说明对本次交易的影响；交易标的是否存在抵押、担保或其他权利受到限制的情况，如有，应说明对本次交易的影响。</w:t>
      </w:r>
    </w:p>
    <w:p w14:paraId="74F3D5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（五）本次交易所涉及的债权债务的处理及其他相关权利、义务的处理是否合法有效，其实施或履行是否存在法律障碍和风险。</w:t>
      </w:r>
    </w:p>
    <w:p w14:paraId="49612A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（六）上市公司、交易对方和其他相关各方是否已履行法定的披露和报告义务，是否存在应当披露而未披露的合同、协议、安排或其他事项。</w:t>
      </w:r>
    </w:p>
    <w:p w14:paraId="2FB888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（七）本次交易是否符合《重组办法》和相关规范性文件规定的原则和实质性条件。</w:t>
      </w:r>
    </w:p>
    <w:p w14:paraId="555034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（八）参与上市公司本次交易活动的证券服务机构是否具备必要的资格。</w:t>
      </w:r>
    </w:p>
    <w:p w14:paraId="01039A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（九）本次交易是否符合相关法律、法规、规章和规范性文件的规定，是否存在法律障碍，是否存在其他可能对本次交易构成影响的法律问题和风险。</w:t>
      </w:r>
    </w:p>
    <w:p w14:paraId="0258DB38" w14:textId="3BC19C75" w:rsidR="00A320E6" w:rsidRDefault="00000000" w:rsidP="00E348F4">
      <w:pPr>
        <w:pStyle w:val="13"/>
        <w:spacing w:before="62" w:after="62"/>
      </w:pPr>
      <w:r>
        <w:rPr>
          <w:rFonts w:hint="eastAsia"/>
        </w:rPr>
        <w:lastRenderedPageBreak/>
        <w:t>第三节</w:t>
      </w:r>
      <w:r w:rsidR="00E348F4">
        <w:rPr>
          <w:rFonts w:hint="eastAsia"/>
        </w:rPr>
        <w:t xml:space="preserve"> </w:t>
      </w:r>
      <w:r>
        <w:rPr>
          <w:rFonts w:hint="eastAsia"/>
        </w:rPr>
        <w:t>相关财务资料</w:t>
      </w:r>
    </w:p>
    <w:p w14:paraId="67A1BB41" w14:textId="09B94C2C"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第六十三条</w:t>
      </w:r>
      <w:r w:rsidR="00C36EF7">
        <w:rPr>
          <w:rFonts w:ascii="宋体" w:hAnsi="宋体" w:cs="宋体" w:hint="eastAsia"/>
          <w:sz w:val="24"/>
        </w:rPr>
        <w:t xml:space="preserve"> </w:t>
      </w:r>
      <w:r>
        <w:rPr>
          <w:rFonts w:ascii="宋体" w:hAnsi="宋体" w:cs="宋体" w:hint="eastAsia"/>
          <w:sz w:val="24"/>
        </w:rPr>
        <w:t>上市公司应当披露本次交易所涉及的相关资产的财务报告和审计报告。经审计的最近一期财务资料在财务报告截止日后六个月内有效，特别情况下可申请适当延长，但延长时间至多不超过一个月。</w:t>
      </w:r>
    </w:p>
    <w:p w14:paraId="42999B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有关财务报告和审计报告应当按照与上市公司相同的会计制度和会计政策编制。如不能披露完整财务报告，应当解释原因，并出具对相关资产财务状况和/或经营成果的说明及审计报告。</w:t>
      </w:r>
    </w:p>
    <w:p w14:paraId="19DCEE47" w14:textId="24ABEB82"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上市公司拟进行《重组办法》</w:t>
      </w:r>
      <w:r w:rsidR="00EC0B72" w:rsidRPr="00E348F4">
        <w:rPr>
          <w:rFonts w:ascii="宋体" w:hAnsi="宋体" w:cs="宋体" w:hint="eastAsia"/>
          <w:bCs/>
          <w:sz w:val="24"/>
        </w:rPr>
        <w:t>第十三条</w:t>
      </w:r>
      <w:r>
        <w:rPr>
          <w:rFonts w:ascii="宋体" w:hAnsi="宋体" w:cs="宋体" w:hint="eastAsia"/>
          <w:sz w:val="24"/>
        </w:rPr>
        <w:t>规定的重大资产重组的，还应当披露依据重组完成后的资产架构编制的上市公司最近一年及一期的备考财务报告和审计报告。其他重大资产重组，应当披露最近一年及一期的备考财务报告和审阅报告。</w:t>
      </w:r>
    </w:p>
    <w:p w14:paraId="4BADDD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标的的财务资料虽处于前款所述有效期内，但截至重组报告书披露之日，该等资产的财务状况和经营成果发生重大变动的，应当补充披露最近一期的相关财务资料（包括该等资产的财务报告、备考财务资料等）。</w:t>
      </w:r>
    </w:p>
    <w:p w14:paraId="07148618" w14:textId="4C93BC9E"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第六十四条</w:t>
      </w:r>
      <w:r w:rsidR="00A45A13">
        <w:rPr>
          <w:rFonts w:ascii="宋体" w:hAnsi="宋体" w:cs="宋体" w:hint="eastAsia"/>
          <w:sz w:val="24"/>
        </w:rPr>
        <w:t xml:space="preserve"> </w:t>
      </w:r>
      <w:r>
        <w:rPr>
          <w:rFonts w:ascii="宋体" w:hAnsi="宋体" w:cs="宋体" w:hint="eastAsia"/>
          <w:sz w:val="24"/>
        </w:rPr>
        <w:t>根据《重组办法》</w:t>
      </w:r>
      <w:r w:rsidR="00EC0B72" w:rsidRPr="00E348F4">
        <w:rPr>
          <w:rFonts w:ascii="宋体" w:hAnsi="宋体" w:cs="宋体" w:hint="eastAsia"/>
          <w:bCs/>
          <w:sz w:val="24"/>
        </w:rPr>
        <w:t>第二十二条</w:t>
      </w:r>
      <w:r>
        <w:rPr>
          <w:rFonts w:ascii="宋体" w:hAnsi="宋体" w:cs="宋体" w:hint="eastAsia"/>
          <w:sz w:val="24"/>
        </w:rPr>
        <w:t>规定，披露盈利预测报告。</w:t>
      </w:r>
    </w:p>
    <w:p w14:paraId="3968F0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盈利预测报告数据包含了非经常性损益项目的，应当特别说明。</w:t>
      </w:r>
    </w:p>
    <w:p w14:paraId="09E05286" w14:textId="10698936" w:rsidR="00A320E6" w:rsidRDefault="00000000" w:rsidP="00E348F4">
      <w:pPr>
        <w:pStyle w:val="13"/>
        <w:spacing w:before="62" w:after="62"/>
      </w:pPr>
      <w:r>
        <w:rPr>
          <w:rFonts w:hint="eastAsia"/>
        </w:rPr>
        <w:t>第四节</w:t>
      </w:r>
      <w:r w:rsidR="00E348F4">
        <w:rPr>
          <w:rFonts w:hint="eastAsia"/>
        </w:rPr>
        <w:t xml:space="preserve"> </w:t>
      </w:r>
      <w:r>
        <w:rPr>
          <w:rFonts w:hint="eastAsia"/>
        </w:rPr>
        <w:t>资产评估报告及估值报告</w:t>
      </w:r>
    </w:p>
    <w:p w14:paraId="5E72C46B" w14:textId="1AB9AE49"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第六十五条</w:t>
      </w:r>
      <w:r w:rsidR="00A45A13">
        <w:rPr>
          <w:rFonts w:ascii="宋体" w:hAnsi="宋体" w:cs="宋体" w:hint="eastAsia"/>
          <w:sz w:val="24"/>
        </w:rPr>
        <w:t xml:space="preserve"> </w:t>
      </w:r>
      <w:r>
        <w:rPr>
          <w:rFonts w:ascii="宋体" w:hAnsi="宋体" w:cs="宋体" w:hint="eastAsia"/>
          <w:sz w:val="24"/>
        </w:rPr>
        <w:t>上市公司重大资产重组以评估值为交易标的定价依据的，应当披露相关资产的资产评估报告。</w:t>
      </w:r>
    </w:p>
    <w:p w14:paraId="73E628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重大资产重组不以资产评估结果作为定价依据的，应当披露相关资产的估值报告；估值报告中应包括但不限于以下内容：估值目的、估值对象和估值范围、价值类型、估值基准日、估值假设、估值依据、估值方法、估值参数及其他影响估值结果的指标和因素、估值结论、特别事项说明、估值报告日等；估值人员需在估值报告上签字并由所属机构加盖公章。</w:t>
      </w:r>
    </w:p>
    <w:p w14:paraId="5FBF763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资产评估机构或估值机构为本次重组而出具的评估或估值资料中应明确声明在评估或估值基准日后××月内（最长十二个月）有效。</w:t>
      </w:r>
    </w:p>
    <w:p w14:paraId="4F27AD3E" w14:textId="1399DABF" w:rsidR="00A320E6" w:rsidRDefault="00000000" w:rsidP="00E348F4">
      <w:pPr>
        <w:pStyle w:val="13"/>
        <w:spacing w:before="62" w:after="62"/>
      </w:pPr>
      <w:r>
        <w:rPr>
          <w:rFonts w:hint="eastAsia"/>
        </w:rPr>
        <w:t>第五章</w:t>
      </w:r>
      <w:r w:rsidR="00E348F4">
        <w:rPr>
          <w:rFonts w:hint="eastAsia"/>
        </w:rPr>
        <w:t xml:space="preserve"> </w:t>
      </w:r>
      <w:r>
        <w:rPr>
          <w:rFonts w:hint="eastAsia"/>
        </w:rPr>
        <w:t>二级市场自查报告</w:t>
      </w:r>
    </w:p>
    <w:p w14:paraId="41EA2D1A" w14:textId="6F5A0764"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第六十六条</w:t>
      </w:r>
      <w:r w:rsidR="00A45A13">
        <w:rPr>
          <w:rFonts w:ascii="宋体" w:hAnsi="宋体" w:cs="宋体" w:hint="eastAsia"/>
          <w:sz w:val="24"/>
        </w:rPr>
        <w:t xml:space="preserve"> </w:t>
      </w:r>
      <w:r>
        <w:rPr>
          <w:rFonts w:ascii="宋体" w:hAnsi="宋体" w:cs="宋体" w:hint="eastAsia"/>
          <w:sz w:val="24"/>
        </w:rPr>
        <w:t>上市公司董事会应当就本次重组申请股票停止交易前或首次作出决议前（孰早）六个月至重组报告书披露之前一日止，上市公司及其董事、监事、高级管理人员，交易对方及其董事、监事、高级管理人员（或主要负责人），相关</w:t>
      </w:r>
      <w:r>
        <w:rPr>
          <w:rFonts w:ascii="宋体" w:hAnsi="宋体" w:cs="宋体" w:hint="eastAsia"/>
          <w:sz w:val="24"/>
        </w:rPr>
        <w:lastRenderedPageBreak/>
        <w:t>专业机构及其他知悉本次重大资产交易内幕信息的法人和自然人，以及上述相关人员的直系亲属买卖该上市公司股票及其他相关证券情况进行自查，并制作自查报告。</w:t>
      </w:r>
    </w:p>
    <w:p w14:paraId="4FD109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法人的自查报告中应当列明法人的名称、股票账户、有无买卖股票行为并盖章确认；自然人的自查报告应当列明自然人的姓名、职务、身份证号码、股票账户、有无买卖股票行为，并经本人签字确认。</w:t>
      </w:r>
    </w:p>
    <w:p w14:paraId="2155F4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前述法人及自然人在本条第一款规定的期限内存在买卖上市公司股票行为的，当事人应当书面说明其买卖股票行为是否利用了相关内幕信息；上市公司及相关方应当书面说明相关申请事项的动议时间，买卖股票人员是否参与决策，买卖行为与本次申请事项是否存在关联关系；律师事务所应当对相关当事人及其买卖行为进行核查，对该行为是否涉嫌内幕交易、是否对本次交易构成法律障碍发表明确意见。</w:t>
      </w:r>
    </w:p>
    <w:p w14:paraId="798F8B62" w14:textId="391C73F9" w:rsidR="00A320E6" w:rsidRDefault="00000000" w:rsidP="00E348F4">
      <w:pPr>
        <w:pStyle w:val="13"/>
        <w:spacing w:before="62" w:after="62"/>
      </w:pPr>
      <w:r>
        <w:rPr>
          <w:rFonts w:hint="eastAsia"/>
        </w:rPr>
        <w:t>第六章</w:t>
      </w:r>
      <w:r w:rsidR="00E348F4">
        <w:rPr>
          <w:rFonts w:hint="eastAsia"/>
        </w:rPr>
        <w:t xml:space="preserve"> </w:t>
      </w:r>
      <w:r>
        <w:rPr>
          <w:rFonts w:hint="eastAsia"/>
        </w:rPr>
        <w:t>重组实施情况报告书</w:t>
      </w:r>
    </w:p>
    <w:p w14:paraId="2EE3B977" w14:textId="5B6B294E"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第六十七条</w:t>
      </w:r>
      <w:r w:rsidR="00A45A13">
        <w:rPr>
          <w:rFonts w:ascii="宋体" w:hAnsi="宋体" w:cs="宋体" w:hint="eastAsia"/>
          <w:sz w:val="24"/>
        </w:rPr>
        <w:t xml:space="preserve"> </w:t>
      </w:r>
      <w:r>
        <w:rPr>
          <w:rFonts w:ascii="宋体" w:hAnsi="宋体" w:cs="宋体" w:hint="eastAsia"/>
          <w:sz w:val="24"/>
        </w:rPr>
        <w:t>上市公司编制的重大资产重组实施情况报告书应当至少披露以下内容：</w:t>
      </w:r>
    </w:p>
    <w:p w14:paraId="714EDE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（一）本次重组的实施过程，相关资产过户或交付、相关债权债务处理以及证券发行登记等事宜的办理状况；</w:t>
      </w:r>
    </w:p>
    <w:p w14:paraId="79B8C1E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相关实际情况与此前披露的信息是否存在差异（包括相关资产的权属情况及历史财务数据是否如实披露、相关盈利预测或者管理层预计达到的目标是否实现、控股股东及其一致行动人、董事、监事、高级管理人员等特定主体自本次重组复牌之日起至实施完毕期间的股份减持情况是否与计划一致等）；</w:t>
      </w:r>
    </w:p>
    <w:p w14:paraId="3FF3E3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（三）董事、监事、高级管理人员的更换情况及其他相关人员的调整情况；</w:t>
      </w:r>
    </w:p>
    <w:p w14:paraId="0A6320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（四）重组实施过程中，是否发生上市公司资金、资产被实际控制人或其他关联人占用的情形，或上市公司为实际控制人及其关联人提供担保的情形；</w:t>
      </w:r>
    </w:p>
    <w:p w14:paraId="17E9F0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（五）相关协议及承诺的履行情况；</w:t>
      </w:r>
    </w:p>
    <w:p w14:paraId="04BB71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（六）相关后续事项的合规性及风险；</w:t>
      </w:r>
    </w:p>
    <w:p w14:paraId="2608C9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（七）其他需要披露的事项。</w:t>
      </w:r>
    </w:p>
    <w:p w14:paraId="3A39E1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独立财务顾问应当对前款所述内容逐项进行核查，并发表明确意见。律师事务所应当对前款所述内容涉及的法律问题逐项进行核查，并发表明确意见。</w:t>
      </w:r>
    </w:p>
    <w:p w14:paraId="599D13F8" w14:textId="21A75177" w:rsidR="00A320E6" w:rsidRDefault="00000000" w:rsidP="000B2928">
      <w:pPr>
        <w:pStyle w:val="13"/>
        <w:spacing w:before="62" w:after="62"/>
      </w:pPr>
      <w:r>
        <w:rPr>
          <w:rFonts w:hint="eastAsia"/>
        </w:rPr>
        <w:t>第七章</w:t>
      </w:r>
      <w:r w:rsidR="000B2928">
        <w:rPr>
          <w:rFonts w:hint="eastAsia"/>
        </w:rPr>
        <w:t xml:space="preserve"> </w:t>
      </w:r>
      <w:r>
        <w:rPr>
          <w:rFonts w:hint="eastAsia"/>
        </w:rPr>
        <w:t>重大资产重组申请文件格式和报送方式</w:t>
      </w:r>
    </w:p>
    <w:p w14:paraId="688D6B7A" w14:textId="357AA7AE"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第六十八条</w:t>
      </w:r>
      <w:r w:rsidR="00A45A13">
        <w:rPr>
          <w:rFonts w:ascii="宋体" w:hAnsi="宋体" w:cs="宋体" w:hint="eastAsia"/>
          <w:sz w:val="24"/>
        </w:rPr>
        <w:t xml:space="preserve"> </w:t>
      </w:r>
      <w:r>
        <w:rPr>
          <w:rFonts w:ascii="宋体" w:hAnsi="宋体" w:cs="宋体" w:hint="eastAsia"/>
          <w:sz w:val="24"/>
        </w:rPr>
        <w:t>向中国证监会初次报送申请文件的，应当提供一份书面材料（原</w:t>
      </w:r>
      <w:r>
        <w:rPr>
          <w:rFonts w:ascii="宋体" w:hAnsi="宋体" w:cs="宋体" w:hint="eastAsia"/>
          <w:sz w:val="24"/>
        </w:rPr>
        <w:lastRenderedPageBreak/>
        <w:t>件）、一份电子版（非加密的Word等可编辑、可索引模式）及两份重组报告书（复印件）；按照中国证监会要求提交补充材料的，应当提供一份书面材料（原件）、一份电子版（非加密的Word等可编辑、可索引模式）。其中书面材料按规定报送原件，如不能提供原件，应当由上市公司聘请的律师事务所提供鉴证意见，或由出文单位盖章，以保证与原件一致。如原出文单位不再存续，可由承继其职权的单位或做出撤销决定的单位出文证明文件的真实性。</w:t>
      </w:r>
    </w:p>
    <w:p w14:paraId="6CFF9F51" w14:textId="3D7F7D87"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第六十九条</w:t>
      </w:r>
      <w:r w:rsidR="00A45A13">
        <w:rPr>
          <w:rFonts w:ascii="宋体" w:hAnsi="宋体" w:cs="宋体" w:hint="eastAsia"/>
          <w:sz w:val="24"/>
        </w:rPr>
        <w:t xml:space="preserve"> </w:t>
      </w:r>
      <w:r>
        <w:rPr>
          <w:rFonts w:ascii="宋体" w:hAnsi="宋体" w:cs="宋体" w:hint="eastAsia"/>
          <w:sz w:val="24"/>
        </w:rPr>
        <w:t>申请文件所有需要签名处，均应为签名人亲笔签名，不得以名章、签名章等代替。</w:t>
      </w:r>
    </w:p>
    <w:p w14:paraId="258FD6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申请文件中需要由律师鉴证的文件，律师应在该文件首页注明“以下第××页至第××页与原件一致”，并签名和签署鉴证日期，律师事务所应在该文件首页加盖公章，并在第××页至第××页侧面以公章加盖骑缝章。</w:t>
      </w:r>
    </w:p>
    <w:p w14:paraId="5274811D" w14:textId="5EFF6A2D" w:rsidR="00A320E6" w:rsidRDefault="00B74663" w:rsidP="00E348F4">
      <w:pPr>
        <w:pStyle w:val="a3"/>
        <w:spacing w:line="360" w:lineRule="auto"/>
        <w:ind w:firstLine="482"/>
        <w:rPr>
          <w:rFonts w:ascii="宋体" w:hAnsi="宋体" w:cs="宋体"/>
          <w:sz w:val="24"/>
        </w:rPr>
      </w:pPr>
      <w:r w:rsidRPr="00B74663">
        <w:rPr>
          <w:rFonts w:ascii="宋体" w:hAnsi="宋体" w:cs="宋体" w:hint="eastAsia"/>
          <w:b/>
          <w:sz w:val="24"/>
        </w:rPr>
        <w:t>第七十条</w:t>
      </w:r>
      <w:r w:rsidR="00A45A13">
        <w:rPr>
          <w:rFonts w:ascii="宋体" w:hAnsi="宋体" w:cs="宋体" w:hint="eastAsia"/>
          <w:sz w:val="24"/>
        </w:rPr>
        <w:t xml:space="preserve"> </w:t>
      </w:r>
      <w:r>
        <w:rPr>
          <w:rFonts w:ascii="宋体" w:hAnsi="宋体" w:cs="宋体" w:hint="eastAsia"/>
          <w:sz w:val="24"/>
        </w:rPr>
        <w:t>上市公司应当根据中国证监会对申请文件的反馈意见提供补充材料。相关证券服务机构应对反馈意见相关问题进行尽职调查或补充出具专业意见。</w:t>
      </w:r>
    </w:p>
    <w:p w14:paraId="5A8A240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重大资产重组申请获得中国证监会核准的，上市公司及相关证券服务机构应当根据中国证监会的审核情况重新修订重组报告书及相关证券服务机构的报告或意见，并作出补充披露。上市公司及相关证券服务机构应当在修订的重组报告书及相关证券服务机构报告或意见的首页就补充或修改的内容作出特别提示。</w:t>
      </w:r>
    </w:p>
    <w:p w14:paraId="161EA913" w14:textId="07991ACA" w:rsidR="00A320E6" w:rsidRPr="00E348F4" w:rsidRDefault="00000000" w:rsidP="00E348F4">
      <w:pPr>
        <w:pStyle w:val="a3"/>
        <w:spacing w:line="360" w:lineRule="auto"/>
        <w:ind w:firstLine="482"/>
        <w:rPr>
          <w:rFonts w:ascii="宋体" w:hAnsi="宋体" w:cs="宋体"/>
          <w:b/>
          <w:sz w:val="24"/>
        </w:rPr>
      </w:pPr>
      <w:r w:rsidRPr="00B74663">
        <w:rPr>
          <w:rFonts w:ascii="宋体" w:hAnsi="宋体" w:cs="宋体" w:hint="eastAsia"/>
          <w:b/>
          <w:sz w:val="24"/>
        </w:rPr>
        <w:t>第七十</w:t>
      </w:r>
      <w:r w:rsidR="00C36EF7" w:rsidRPr="00B74663">
        <w:rPr>
          <w:rFonts w:ascii="宋体" w:hAnsi="宋体" w:cs="宋体" w:hint="eastAsia"/>
          <w:b/>
          <w:sz w:val="24"/>
        </w:rPr>
        <w:t xml:space="preserve">一条 </w:t>
      </w:r>
      <w:r>
        <w:rPr>
          <w:rFonts w:ascii="宋体" w:hAnsi="宋体" w:cs="宋体" w:hint="eastAsia"/>
          <w:sz w:val="24"/>
        </w:rPr>
        <w:t>申请文件的纸张应当采用幅面为209×295毫米规格的纸张（标准A4纸张规格）。</w:t>
      </w:r>
    </w:p>
    <w:p w14:paraId="58A2B96A" w14:textId="17A57414" w:rsidR="00A320E6" w:rsidRPr="00E348F4" w:rsidRDefault="00000000" w:rsidP="00E348F4">
      <w:pPr>
        <w:pStyle w:val="a3"/>
        <w:spacing w:line="360" w:lineRule="auto"/>
        <w:ind w:firstLine="482"/>
        <w:rPr>
          <w:rFonts w:ascii="宋体" w:hAnsi="宋体" w:cs="宋体"/>
          <w:b/>
          <w:sz w:val="24"/>
        </w:rPr>
      </w:pPr>
      <w:r w:rsidRPr="00AE0286">
        <w:rPr>
          <w:rFonts w:ascii="宋体" w:hAnsi="宋体" w:cs="宋体" w:hint="eastAsia"/>
          <w:b/>
          <w:sz w:val="24"/>
        </w:rPr>
        <w:t>第七十</w:t>
      </w:r>
      <w:r w:rsidR="00C36EF7" w:rsidRPr="00AE0286">
        <w:rPr>
          <w:rFonts w:ascii="宋体" w:hAnsi="宋体" w:cs="宋体" w:hint="eastAsia"/>
          <w:b/>
          <w:sz w:val="24"/>
        </w:rPr>
        <w:t xml:space="preserve">二条 </w:t>
      </w:r>
      <w:r>
        <w:rPr>
          <w:rFonts w:ascii="宋体" w:hAnsi="宋体" w:cs="宋体" w:hint="eastAsia"/>
          <w:sz w:val="24"/>
        </w:rPr>
        <w:t>申请文件的封面应当标有“××股份有限公司重大资产重组申请文件”字样及重大资产重组报告书标题，侧面应当标注“××股份有限公司重大资产重组申请文件原件”字样。申请文件的扉页应当附有上市公司董事会秘书、联系人、独立财务顾问及其他专业机构的联系人姓名、电话、传真及其他方便的联系方式。</w:t>
      </w:r>
    </w:p>
    <w:p w14:paraId="7E44316D" w14:textId="4162DBB0" w:rsidR="00A320E6" w:rsidRPr="00E348F4" w:rsidRDefault="00000000" w:rsidP="00E348F4">
      <w:pPr>
        <w:pStyle w:val="a3"/>
        <w:spacing w:line="360" w:lineRule="auto"/>
        <w:ind w:firstLine="482"/>
        <w:rPr>
          <w:rFonts w:ascii="宋体" w:hAnsi="宋体" w:cs="宋体"/>
          <w:b/>
          <w:sz w:val="24"/>
        </w:rPr>
      </w:pPr>
      <w:r w:rsidRPr="00AE0286">
        <w:rPr>
          <w:rFonts w:ascii="宋体" w:hAnsi="宋体" w:cs="宋体" w:hint="eastAsia"/>
          <w:b/>
          <w:sz w:val="24"/>
        </w:rPr>
        <w:t>第七十</w:t>
      </w:r>
      <w:r w:rsidR="00C36EF7" w:rsidRPr="00AE0286">
        <w:rPr>
          <w:rFonts w:ascii="宋体" w:hAnsi="宋体" w:cs="宋体" w:hint="eastAsia"/>
          <w:b/>
          <w:sz w:val="24"/>
        </w:rPr>
        <w:t xml:space="preserve">三条 </w:t>
      </w:r>
      <w:r>
        <w:rPr>
          <w:rFonts w:ascii="宋体" w:hAnsi="宋体" w:cs="宋体" w:hint="eastAsia"/>
          <w:sz w:val="24"/>
        </w:rPr>
        <w:t>申请文件章与章之间、章与节之间应当有明显的分隔标识。</w:t>
      </w:r>
    </w:p>
    <w:p w14:paraId="5AB2DE03" w14:textId="0892C02A" w:rsidR="00A320E6" w:rsidRPr="00E348F4" w:rsidRDefault="00000000" w:rsidP="00E348F4">
      <w:pPr>
        <w:pStyle w:val="a3"/>
        <w:spacing w:line="360" w:lineRule="auto"/>
        <w:ind w:firstLine="482"/>
        <w:rPr>
          <w:rFonts w:ascii="宋体" w:hAnsi="宋体" w:cs="宋体"/>
          <w:b/>
          <w:sz w:val="24"/>
        </w:rPr>
      </w:pPr>
      <w:r w:rsidRPr="00AE0286">
        <w:rPr>
          <w:rFonts w:ascii="宋体" w:hAnsi="宋体" w:cs="宋体" w:hint="eastAsia"/>
          <w:b/>
          <w:sz w:val="24"/>
        </w:rPr>
        <w:t>第七十</w:t>
      </w:r>
      <w:r w:rsidR="00A45A13" w:rsidRPr="00AE0286">
        <w:rPr>
          <w:rFonts w:ascii="宋体" w:hAnsi="宋体" w:cs="宋体" w:hint="eastAsia"/>
          <w:b/>
          <w:sz w:val="24"/>
        </w:rPr>
        <w:t xml:space="preserve">四条 </w:t>
      </w:r>
      <w:r>
        <w:rPr>
          <w:rFonts w:ascii="宋体" w:hAnsi="宋体" w:cs="宋体" w:hint="eastAsia"/>
          <w:sz w:val="24"/>
        </w:rPr>
        <w:t>申请文件中的页码应当与目录中的页码相符。例如，第四部分4－1的页码标注为4－1－1，4－1－2，4－1－3，……4－1－n。</w:t>
      </w:r>
    </w:p>
    <w:p w14:paraId="1AFBF375" w14:textId="77777777" w:rsidR="00A320E6" w:rsidRDefault="00000000" w:rsidP="000B2928">
      <w:pPr>
        <w:pStyle w:val="13"/>
        <w:spacing w:before="62" w:after="62"/>
      </w:pPr>
      <w:r>
        <w:rPr>
          <w:rFonts w:hint="eastAsia"/>
        </w:rPr>
        <w:t>第八章附则</w:t>
      </w:r>
    </w:p>
    <w:p w14:paraId="717EE4F9" w14:textId="2AED0CA3" w:rsidR="00A320E6" w:rsidRPr="000B2928" w:rsidRDefault="00000000" w:rsidP="000B2928">
      <w:pPr>
        <w:pStyle w:val="a3"/>
        <w:spacing w:line="360" w:lineRule="auto"/>
        <w:ind w:firstLine="482"/>
        <w:rPr>
          <w:rFonts w:ascii="宋体" w:hAnsi="宋体" w:cs="宋体"/>
          <w:b/>
          <w:sz w:val="24"/>
        </w:rPr>
      </w:pPr>
      <w:r w:rsidRPr="00AE0286">
        <w:rPr>
          <w:rFonts w:ascii="宋体" w:hAnsi="宋体" w:cs="宋体" w:hint="eastAsia"/>
          <w:b/>
          <w:sz w:val="24"/>
        </w:rPr>
        <w:t>第七十</w:t>
      </w:r>
      <w:r w:rsidR="00A45A13" w:rsidRPr="00AE0286">
        <w:rPr>
          <w:rFonts w:ascii="宋体" w:hAnsi="宋体" w:cs="宋体" w:hint="eastAsia"/>
          <w:b/>
          <w:sz w:val="24"/>
        </w:rPr>
        <w:t xml:space="preserve">五条 </w:t>
      </w:r>
      <w:r>
        <w:rPr>
          <w:rFonts w:ascii="宋体" w:hAnsi="宋体" w:cs="宋体" w:hint="eastAsia"/>
          <w:sz w:val="24"/>
        </w:rPr>
        <w:t>本准则由中国证监会负责解释。</w:t>
      </w:r>
    </w:p>
    <w:p w14:paraId="59E948A9" w14:textId="630A8ADA" w:rsidR="00A320E6" w:rsidRPr="000B2928" w:rsidRDefault="00000000" w:rsidP="000B2928">
      <w:pPr>
        <w:pStyle w:val="a3"/>
        <w:spacing w:line="360" w:lineRule="auto"/>
        <w:ind w:firstLine="482"/>
        <w:rPr>
          <w:rFonts w:ascii="宋体" w:hAnsi="宋体" w:cs="宋体"/>
          <w:b/>
          <w:sz w:val="24"/>
        </w:rPr>
      </w:pPr>
      <w:r w:rsidRPr="00AE0286">
        <w:rPr>
          <w:rFonts w:ascii="宋体" w:hAnsi="宋体" w:cs="宋体" w:hint="eastAsia"/>
          <w:b/>
          <w:sz w:val="24"/>
        </w:rPr>
        <w:t>第七十</w:t>
      </w:r>
      <w:r w:rsidR="00A45A13" w:rsidRPr="00AE0286">
        <w:rPr>
          <w:rFonts w:ascii="宋体" w:hAnsi="宋体" w:cs="宋体" w:hint="eastAsia"/>
          <w:b/>
          <w:sz w:val="24"/>
        </w:rPr>
        <w:t xml:space="preserve">六条 </w:t>
      </w:r>
      <w:r>
        <w:rPr>
          <w:rFonts w:ascii="宋体" w:hAnsi="宋体" w:cs="宋体" w:hint="eastAsia"/>
          <w:sz w:val="24"/>
        </w:rPr>
        <w:t>本准则自公布之日起施行。2018年11月15日施行的《公开发行证</w:t>
      </w:r>
      <w:r>
        <w:rPr>
          <w:rFonts w:ascii="宋体" w:hAnsi="宋体" w:cs="宋体" w:hint="eastAsia"/>
          <w:sz w:val="24"/>
        </w:rPr>
        <w:lastRenderedPageBreak/>
        <w:t>券的公司信息披露内容与格式准则第26号——上市公司重大资产重组》（证监会公告〔2018〕36号）同时废止。</w:t>
      </w:r>
    </w:p>
    <w:p w14:paraId="6595578E" w14:textId="77777777" w:rsidR="00A320E6" w:rsidRPr="00242998" w:rsidRDefault="00000000" w:rsidP="00242998">
      <w:pPr>
        <w:pStyle w:val="34"/>
        <w:rPr>
          <w:rStyle w:val="aa"/>
          <w:b/>
        </w:rPr>
      </w:pPr>
      <w:bookmarkStart w:id="68" w:name="_Toc112227376"/>
      <w:r w:rsidRPr="00242998">
        <w:rPr>
          <w:rStyle w:val="aa"/>
          <w:rFonts w:hint="eastAsia"/>
          <w:b/>
        </w:rPr>
        <w:t>非上市公司股权估值指引</w:t>
      </w:r>
      <w:bookmarkEnd w:id="68"/>
    </w:p>
    <w:p w14:paraId="2D4CCC76" w14:textId="77777777" w:rsidR="00A320E6" w:rsidRDefault="00000000" w:rsidP="00EF4D3D">
      <w:pPr>
        <w:pStyle w:val="a3"/>
        <w:spacing w:line="360" w:lineRule="auto"/>
        <w:ind w:firstLineChars="0" w:firstLine="0"/>
        <w:jc w:val="center"/>
        <w:rPr>
          <w:rFonts w:ascii="宋体" w:hAnsi="宋体" w:cs="宋体"/>
          <w:sz w:val="24"/>
        </w:rPr>
      </w:pPr>
      <w:r>
        <w:rPr>
          <w:rFonts w:ascii="宋体" w:hAnsi="宋体" w:cs="宋体" w:hint="eastAsia"/>
          <w:sz w:val="24"/>
        </w:rPr>
        <w:t>中证协发〔2018〕216号</w:t>
      </w:r>
    </w:p>
    <w:p w14:paraId="764C9797" w14:textId="50AEB9AE" w:rsidR="00A320E6" w:rsidRDefault="00000000" w:rsidP="000B2928">
      <w:pPr>
        <w:pStyle w:val="13"/>
        <w:spacing w:before="62" w:after="62"/>
      </w:pPr>
      <w:r>
        <w:rPr>
          <w:rFonts w:hint="eastAsia"/>
        </w:rPr>
        <w:t>第一章</w:t>
      </w:r>
      <w:r w:rsidR="000B2928">
        <w:rPr>
          <w:rFonts w:hint="eastAsia"/>
        </w:rPr>
        <w:t xml:space="preserve"> </w:t>
      </w:r>
      <w:r>
        <w:rPr>
          <w:rFonts w:hint="eastAsia"/>
        </w:rPr>
        <w:t>总则</w:t>
      </w:r>
    </w:p>
    <w:p w14:paraId="73607C0E" w14:textId="2CA266A1"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【宗旨和目标】   </w:t>
      </w:r>
    </w:p>
    <w:p w14:paraId="57841D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为规范以公允价值计量的非上市公司股权投资的估值方法，制定本指引。</w:t>
      </w:r>
    </w:p>
    <w:p w14:paraId="0260E79A" w14:textId="25E3C81D"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【适用范围】   </w:t>
      </w:r>
    </w:p>
    <w:p w14:paraId="5AA1A9A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本指引适用于证券公司及相关境内子公司持有的非上市公司股权的估值。</w:t>
      </w:r>
    </w:p>
    <w:p w14:paraId="06F65A0B" w14:textId="4A490160" w:rsidR="00A320E6" w:rsidRDefault="00000000" w:rsidP="00EF4D3D">
      <w:pPr>
        <w:pStyle w:val="13"/>
        <w:spacing w:before="62" w:after="62"/>
      </w:pPr>
      <w:r>
        <w:rPr>
          <w:rFonts w:hint="eastAsia"/>
        </w:rPr>
        <w:t>第二章</w:t>
      </w:r>
      <w:r w:rsidR="00EF4D3D">
        <w:rPr>
          <w:rFonts w:hint="eastAsia"/>
        </w:rPr>
        <w:t xml:space="preserve"> </w:t>
      </w:r>
      <w:r>
        <w:rPr>
          <w:rFonts w:hint="eastAsia"/>
        </w:rPr>
        <w:t>非上市公司股权的估值原则</w:t>
      </w:r>
    </w:p>
    <w:p w14:paraId="33E91178" w14:textId="1B55B413"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【估值原则】   </w:t>
      </w:r>
    </w:p>
    <w:p w14:paraId="0F4FE84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非上市公司股权的估值是在被评估企业整体股权价值的基础上，考虑持股比例并结合流动性折扣等因素评估确定。</w:t>
      </w:r>
    </w:p>
    <w:p w14:paraId="078EFB22" w14:textId="281B903A"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【主要估值技术概述】   </w:t>
      </w:r>
    </w:p>
    <w:p w14:paraId="13450D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非上市公司股权的常用估值技术包括市场法、收益法和成本法。</w:t>
      </w:r>
    </w:p>
    <w:p w14:paraId="5B17A9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证券公司及相关境内子公司可根据被评估企业实际情况、市场交易情况及其他可获得的信息，采用一种或多种估值技术，并选取在当前情况下最能代表公允价值的金额作为公允价值。</w:t>
      </w:r>
    </w:p>
    <w:p w14:paraId="35BB588A" w14:textId="289BC9A2"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【估值技术的选择】   </w:t>
      </w:r>
    </w:p>
    <w:p w14:paraId="6F4083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证券公司及相关境内子公司应当运用职业判断，确定恰当的估值技术。选择估值技术时，至少应当考虑以下因素：</w:t>
      </w:r>
    </w:p>
    <w:p w14:paraId="18FE7F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1）根据可获得的市场数据和其他信息，其中一种估值技术是否比其他估值技术更恰当；</w:t>
      </w:r>
    </w:p>
    <w:p w14:paraId="7661E3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2）其中一种估值技术所使用的输入值是否更容易在市场上观察到或者只需作更少的调整；</w:t>
      </w:r>
    </w:p>
    <w:p w14:paraId="245BAC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3）其中一种估值技术得到的估值结果区间是否在其他估值技术的估值结果区间内；</w:t>
      </w:r>
    </w:p>
    <w:p w14:paraId="6C00AB1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4）多种估值技术的估值结果存在较大差异的，进一步分析存在较大差异的原因，例如其中一种估值技术可能使用不当，或者其中一种估值技术所使用的输入值可能</w:t>
      </w:r>
      <w:r>
        <w:rPr>
          <w:rFonts w:ascii="宋体" w:hAnsi="宋体" w:cs="宋体" w:hint="eastAsia"/>
          <w:sz w:val="24"/>
        </w:rPr>
        <w:lastRenderedPageBreak/>
        <w:t>不恰当等。</w:t>
      </w:r>
    </w:p>
    <w:p w14:paraId="70B10FF6" w14:textId="673E7553" w:rsidR="00A320E6" w:rsidRDefault="00000000" w:rsidP="00EF4D3D">
      <w:pPr>
        <w:pStyle w:val="13"/>
        <w:spacing w:before="62" w:after="62"/>
      </w:pPr>
      <w:r>
        <w:rPr>
          <w:rFonts w:hint="eastAsia"/>
        </w:rPr>
        <w:t>第三章</w:t>
      </w:r>
      <w:r w:rsidR="00EF4D3D">
        <w:rPr>
          <w:rFonts w:hint="eastAsia"/>
        </w:rPr>
        <w:t xml:space="preserve"> </w:t>
      </w:r>
      <w:r>
        <w:rPr>
          <w:rFonts w:hint="eastAsia"/>
        </w:rPr>
        <w:t>非上市公司股权的估值方法</w:t>
      </w:r>
    </w:p>
    <w:p w14:paraId="53BE3299" w14:textId="1FEDC6FA"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【市场法定义】   </w:t>
      </w:r>
    </w:p>
    <w:p w14:paraId="42A7F6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市场法是利用相同或类似的资产、负债或资产和负债组合的价格以及其他相关市场交易信息进行估值的技术，常用方法包括市场乘数法、最近融资价格法、行业指标法等。</w:t>
      </w:r>
    </w:p>
    <w:p w14:paraId="40A9051D" w14:textId="69117CA6"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【市场乘数法定义及适用范围】   </w:t>
      </w:r>
    </w:p>
    <w:p w14:paraId="2F35F73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市场乘数法是利用可比公司市场交易数据估计公允价值的方法，包括市盈率法、市净率法、企业价值倍数法等。</w:t>
      </w:r>
    </w:p>
    <w:p w14:paraId="445AA0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市场乘数法适用于存在多家上市公司与被评估企业在业务性质与构成、企业规模、企业所处经营阶段、盈利水平等方面相似,或同行业近期存在类似交易案例的情形；评估人员需获取被评估企业与可比公司价值乘数的相关数据，用于计算估值结果。</w:t>
      </w:r>
    </w:p>
    <w:p w14:paraId="63CC10F6" w14:textId="455F7813"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【市场乘数法操作步骤】   </w:t>
      </w:r>
    </w:p>
    <w:p w14:paraId="26B38B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在使用市场乘数法评估企业价值时，应考虑与计量相关的定性和定量因素，选择恰当的价值乘数，具体操作步骤如下：</w:t>
      </w:r>
    </w:p>
    <w:p w14:paraId="510066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一步：选取可比公司或交易案例。选择可比公司时应考虑业务性质与构成、企业规模、企业所处经营阶段和盈利水平等因素；选择交易案例时应选择与评估对象在同一行业或受同一经济因素影响的交易，交易的发生时间与估值日接近。</w:t>
      </w:r>
    </w:p>
    <w:p w14:paraId="17613E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第二步：对所选择可比公司的业务和财务情况进行分析，与评估对象的情况进行比较。</w:t>
      </w:r>
    </w:p>
    <w:p w14:paraId="0895C3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第三步：从市盈率（P/E）、市净率（P/B）及企业价值倍数（EV/EBITDA、EV/EBIT、EV/Sales）等价值比率中选取适合的乘数，计算其数值，并根据以上结果对价值比率进行必要的调整。</w:t>
      </w:r>
    </w:p>
    <w:p w14:paraId="747DA6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四步：将价值乘数运用到评估对象所对应的近期财务数据，得到企业每股价值或企业价值（EV）。运用企业价值倍数法计算得出的企业价值后，还需扣除负债，并考虑是否存在非运营资产/负债，得到企业股权价值。</w:t>
      </w:r>
    </w:p>
    <w:p w14:paraId="137278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第五步：在企业每股价值或企业股权价值的基础上，考虑持股情况、流动性折扣等因素得出非上市公司股权公允价值。</w:t>
      </w:r>
    </w:p>
    <w:p w14:paraId="2987959C" w14:textId="2594FC61"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lastRenderedPageBreak/>
        <w:t>第九条</w:t>
      </w:r>
      <w:r w:rsidR="00A45A13">
        <w:rPr>
          <w:rFonts w:ascii="宋体" w:hAnsi="宋体" w:cs="宋体" w:hint="eastAsia"/>
          <w:sz w:val="24"/>
        </w:rPr>
        <w:t xml:space="preserve"> </w:t>
      </w:r>
      <w:r>
        <w:rPr>
          <w:rFonts w:ascii="宋体" w:hAnsi="宋体" w:cs="宋体" w:hint="eastAsia"/>
          <w:sz w:val="24"/>
        </w:rPr>
        <w:t>【最近融资价格法的适用情形】   </w:t>
      </w:r>
    </w:p>
    <w:p w14:paraId="51835A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最近融资价格法是以企业最近一期融资价格为基础评估公允价值的方法。采用最近融资价格法评估非上市公司股权公允价值时，需充分考虑时间因素。如果待评估的非上市公司股权本身是在近期取得，且交易日后未发生影响公允价值计量的重大事件的，其投资成本可作为公允价值的最佳估计。如果被投资单位近期进行过新一轮融资的，可以最近融资价格作为非上市公司股权估值。但以下情况可能导致最近融资价格不能代表公允价值：</w:t>
      </w:r>
    </w:p>
    <w:p w14:paraId="3723E4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1）新投资与已有投资附带的权利或义务不同；</w:t>
      </w:r>
    </w:p>
    <w:p w14:paraId="770A41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2）新投资带来不成比例的稀释；</w:t>
      </w:r>
    </w:p>
    <w:p w14:paraId="5F8B69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3）新投资的价格明显低于市场公允价格，例如强迫交易、“救援措施”、员工激励或显失公允的关联交易等；</w:t>
      </w:r>
    </w:p>
    <w:p w14:paraId="0253BD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4）新投资融资金额过低，或发行对象有限，发行价格不足以代表市场公允价格；</w:t>
      </w:r>
    </w:p>
    <w:p w14:paraId="61A1C9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5）近期宏观经济情况、市场环境及企业相关政策发生重大变化；</w:t>
      </w:r>
    </w:p>
    <w:p w14:paraId="16CC8F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6）企业自身发生影响其公允价值的重大事件，例如主营业务发生变化、企业发生欺诈或诉讼事件、管理层或核心技术人员发生变动、企业突破技术性壁垒等。</w:t>
      </w:r>
    </w:p>
    <w:p w14:paraId="4096AD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若估值日距最近融资日间隔较远，市场环境及企业自身运营情况等已发生较大变化，最近融资价格不宜作为公允价值的最佳估计。评估人员在估值时可依据最能反映企业价值的业务指标自最近融资日至估值日的变化情况，对最近融资价格进行调整。</w:t>
      </w:r>
    </w:p>
    <w:p w14:paraId="6F971B51" w14:textId="76588408"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【行业指标法的定义及适用】   </w:t>
      </w:r>
    </w:p>
    <w:p w14:paraId="12FFDD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行业指标法是指某些行业中存在特定的与公允价值直接相关的行业指标，此指标可作为被投资企业公允价值的参考依据。</w:t>
      </w:r>
    </w:p>
    <w:p w14:paraId="7CF27F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行业指标法适用于行业发展比较成熟及行业内各企业差别较小的情况，一般被用于检验其他估值方法得出的估值结论是否相对合理，而不作为主要的估值方法单独运用。</w:t>
      </w:r>
    </w:p>
    <w:p w14:paraId="7E22A054" w14:textId="302D2CF1"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【收益法定义】   </w:t>
      </w:r>
    </w:p>
    <w:p w14:paraId="116DB2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收益法是将未来预期收益转换成现值的估值技术，常用方法包括自由现金流折现法、股利折现法等。</w:t>
      </w:r>
    </w:p>
    <w:p w14:paraId="38720951" w14:textId="5AC1A8FD"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【收益法操作步骤】   </w:t>
      </w:r>
    </w:p>
    <w:p w14:paraId="09DC38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使用收益法评估企业价值时，应考虑与计量相关的定性和定量因素，预测未来收益，确定折现率，具体操作步骤如下：</w:t>
      </w:r>
    </w:p>
    <w:p w14:paraId="607FAC8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一步：分析历史财务报表。对历史财务报表进行分析，了解评估对象各项收入、费用、资产、负债的构成状况，判断影响评估对象历史收益的各类因素及其影响方式和影响程度，同时对评估对象历史财务报表进行必要的调整。</w:t>
      </w:r>
    </w:p>
    <w:p w14:paraId="1D0B13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二步：预测未来收益。根据评估对象特征，结合宏观政策、行业周期及其他可比企业进入稳定期的所需时间，合理确定预测期。根据评估对象的经营状况、历史经营业绩、发展趋势，考虑宏观经济因素、所在行业现状与发展前景，结合其他相关资料合理预测未来收益。</w:t>
      </w:r>
    </w:p>
    <w:p w14:paraId="4D087D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第三步：确定折现率。综合考虑估值日利率水平、市场投资收益率等资本市场相关信息和所在行业、估值对象的特定风险等因素，测算并确定折现率。</w:t>
      </w:r>
    </w:p>
    <w:p w14:paraId="59C69B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第四步：计算评估对象经营性资产及负债价值。经营性资产及负债价值=预测期收益现值+永续期收益现值</w:t>
      </w:r>
    </w:p>
    <w:p w14:paraId="333892A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五步：如果被评估企业在评估基准日拥有非经营性资产、非经营性负债和溢余资产，评估专业人员应恰当考虑这些项目的影响，并采用合适的方法单独予以评估。在评估模型测算出被评估企业的经营性资产及负债价值后，加上单独评估的非经营性资产、非经营性负债和溢余资产的价值，得出股东全部权益价值或企业整体价值。</w:t>
      </w:r>
    </w:p>
    <w:p w14:paraId="1C5EED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第六步：根据上述步骤计算得出企业整体价值后，减去企业负债价值得到企业股权价值。</w:t>
      </w:r>
    </w:p>
    <w:p w14:paraId="00CD29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第七步：在企业股权价值的基础上，考虑持股情况、流动性折扣等因素得出非上市公司股权公允价值。</w:t>
      </w:r>
    </w:p>
    <w:p w14:paraId="59C19C76" w14:textId="76F6AE9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【自由现金流折现法的定义、适用范围及计算公式】   </w:t>
      </w:r>
    </w:p>
    <w:p w14:paraId="739C38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自由现金流折现法是对企业未来的现金流量及其风险进行预期，选择合理的折现率，把企业未来特定期间内的预期现金流量折合成现值的估值方法，通常包括企业自由现金流（FCFF）折现模型和权益自由现金流（FCFE）折现模型。</w:t>
      </w:r>
    </w:p>
    <w:p w14:paraId="4B2E9A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自由现金流折现法适用于被评估企业经营稳定、未来期间有持续的现金流流入，且能够对未来现金流做出合理预测的情形；评估人员需了解被评估企业未来经营发展，且能合理预测企业的经营情况和发展速度。</w:t>
      </w:r>
    </w:p>
    <w:p w14:paraId="55E70A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1）企业自由现金流(FCFF)折现模型</w:t>
      </w:r>
    </w:p>
    <w:p w14:paraId="1B967E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1B078170" wp14:editId="09FD6262">
            <wp:extent cx="4975860" cy="1100455"/>
            <wp:effectExtent l="0" t="0" r="2540" b="17145"/>
            <wp:docPr id="2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6"/>
                    <pic:cNvPicPr>
                      <a:picLocks noChangeAspect="1"/>
                    </pic:cNvPicPr>
                  </pic:nvPicPr>
                  <pic:blipFill>
                    <a:blip r:embed="rId27"/>
                    <a:stretch>
                      <a:fillRect/>
                    </a:stretch>
                  </pic:blipFill>
                  <pic:spPr>
                    <a:xfrm>
                      <a:off x="0" y="0"/>
                      <a:ext cx="4975860" cy="1100455"/>
                    </a:xfrm>
                    <a:prstGeom prst="rect">
                      <a:avLst/>
                    </a:prstGeom>
                    <a:noFill/>
                    <a:ln w="9525">
                      <a:noFill/>
                    </a:ln>
                  </pic:spPr>
                </pic:pic>
              </a:graphicData>
            </a:graphic>
          </wp:inline>
        </w:drawing>
      </w:r>
    </w:p>
    <w:p w14:paraId="777C92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0119C5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58B40205" wp14:editId="0CBE7168">
            <wp:extent cx="4982210" cy="762635"/>
            <wp:effectExtent l="0" t="0" r="21590" b="24765"/>
            <wp:docPr id="24"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57"/>
                    <pic:cNvPicPr>
                      <a:picLocks noChangeAspect="1"/>
                    </pic:cNvPicPr>
                  </pic:nvPicPr>
                  <pic:blipFill>
                    <a:blip r:embed="rId28"/>
                    <a:stretch>
                      <a:fillRect/>
                    </a:stretch>
                  </pic:blipFill>
                  <pic:spPr>
                    <a:xfrm>
                      <a:off x="0" y="0"/>
                      <a:ext cx="4982210" cy="762635"/>
                    </a:xfrm>
                    <a:prstGeom prst="rect">
                      <a:avLst/>
                    </a:prstGeom>
                    <a:noFill/>
                    <a:ln w="9525">
                      <a:noFill/>
                    </a:ln>
                  </pic:spPr>
                </pic:pic>
              </a:graphicData>
            </a:graphic>
          </wp:inline>
        </w:drawing>
      </w:r>
    </w:p>
    <w:p w14:paraId="54BC99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EBIT:息税前利润</w:t>
      </w:r>
    </w:p>
    <w:p w14:paraId="6266FB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Tc:公司所得税率:折旧与摊销</w:t>
      </w:r>
    </w:p>
    <w:p w14:paraId="23D27C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D&amp;a:资本性支出</w:t>
      </w:r>
    </w:p>
    <w:p w14:paraId="5D09E9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NWC:净营运资金变动</w:t>
      </w:r>
    </w:p>
    <w:p w14:paraId="604D2C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t：预测期</w:t>
      </w:r>
    </w:p>
    <w:p w14:paraId="0BC165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Rwacc：加权平均资本成本：终值</w:t>
      </w:r>
    </w:p>
    <w:p w14:paraId="156489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g：永续增长率（现金流长期稳定增长率）</w:t>
      </w:r>
    </w:p>
    <w:p w14:paraId="4D02E1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2）权益自由现金流(FCFE)折现模型</w:t>
      </w:r>
    </w:p>
    <w:p w14:paraId="02885C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0111525D" wp14:editId="49F154A4">
            <wp:extent cx="2743200" cy="108912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758382" cy="1095152"/>
                    </a:xfrm>
                    <a:prstGeom prst="rect">
                      <a:avLst/>
                    </a:prstGeom>
                    <a:noFill/>
                    <a:ln w="9525">
                      <a:noFill/>
                    </a:ln>
                  </pic:spPr>
                </pic:pic>
              </a:graphicData>
            </a:graphic>
          </wp:inline>
        </w:drawing>
      </w:r>
    </w:p>
    <w:p w14:paraId="4461893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6CD93D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38107E62" wp14:editId="6BCD3BD8">
            <wp:extent cx="4578985" cy="748030"/>
            <wp:effectExtent l="0" t="0" r="18415" b="13970"/>
            <wp:docPr id="1"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59"/>
                    <pic:cNvPicPr>
                      <a:picLocks noChangeAspect="1"/>
                    </pic:cNvPicPr>
                  </pic:nvPicPr>
                  <pic:blipFill>
                    <a:blip r:embed="rId30"/>
                    <a:stretch>
                      <a:fillRect/>
                    </a:stretch>
                  </pic:blipFill>
                  <pic:spPr>
                    <a:xfrm>
                      <a:off x="0" y="0"/>
                      <a:ext cx="4578985" cy="748030"/>
                    </a:xfrm>
                    <a:prstGeom prst="rect">
                      <a:avLst/>
                    </a:prstGeom>
                    <a:noFill/>
                    <a:ln w="9525">
                      <a:noFill/>
                    </a:ln>
                  </pic:spPr>
                </pic:pic>
              </a:graphicData>
            </a:graphic>
          </wp:inline>
        </w:drawing>
      </w:r>
    </w:p>
    <w:p w14:paraId="651CFF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Tc:公司所得税率</w:t>
      </w:r>
    </w:p>
    <w:p w14:paraId="248D76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T：预测期</w:t>
      </w:r>
    </w:p>
    <w:p w14:paraId="6203D9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RE：权益资本成本</w:t>
      </w:r>
    </w:p>
    <w:p w14:paraId="48B287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pT：终值</w:t>
      </w:r>
    </w:p>
    <w:p w14:paraId="03FC81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g：永续增长率（现金流长期稳定增长率）</w:t>
      </w:r>
    </w:p>
    <w:p w14:paraId="09016CD0" w14:textId="375197F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第十四条</w:t>
      </w:r>
      <w:r w:rsidR="00A45A13">
        <w:rPr>
          <w:rFonts w:ascii="宋体" w:hAnsi="宋体" w:cs="宋体" w:hint="eastAsia"/>
          <w:sz w:val="24"/>
        </w:rPr>
        <w:t xml:space="preserve"> </w:t>
      </w:r>
      <w:r>
        <w:rPr>
          <w:rFonts w:ascii="宋体" w:hAnsi="宋体" w:cs="宋体" w:hint="eastAsia"/>
          <w:sz w:val="24"/>
        </w:rPr>
        <w:t>【股利折现法的定义、适用范围及计算公式】   </w:t>
      </w:r>
    </w:p>
    <w:p w14:paraId="16B822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股利折现法是将预期股利进行折现以确定评估对象价值的估值方法。股利折现法根据股利增长的不同情景，可细分为戈登永续增长模型、二阶段股利增长模型及三阶段股利增长模型。</w:t>
      </w:r>
    </w:p>
    <w:p w14:paraId="310EB3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股利折现法适用于被投资企业平稳发展、股利分配政策较为稳定，且能够对股利进行合理预测的情形。</w:t>
      </w:r>
    </w:p>
    <w:p w14:paraId="1C091C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以戈登永续增长模型为例，假设股利增长率固定，即股利以一个稳定的增长率永续增长，将未来期间所有股利现金流折现到基准时点并加总，得到评估对象的价值：</w:t>
      </w:r>
    </w:p>
    <w:p w14:paraId="24A696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企业价值=D∗(1+g)/(R−g)</w:t>
      </w:r>
    </w:p>
    <w:p w14:paraId="25F6B1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040035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D:标的公司基准时点年度分红</w:t>
      </w:r>
    </w:p>
    <w:p w14:paraId="16FE1B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g：永续增长率（股利长期稳定增长率）</w:t>
      </w:r>
    </w:p>
    <w:p w14:paraId="2D725A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R：折现率，可使用权益资本成本（实际操作中常用资本资产定价模型计算确定）</w:t>
      </w:r>
    </w:p>
    <w:p w14:paraId="170B13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当股利增长率分阶段变化时，可以采用二阶段股利增长模型及三阶段股利增长模型。</w:t>
      </w:r>
    </w:p>
    <w:p w14:paraId="1EFF8BA0" w14:textId="14F530A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A45A13">
        <w:rPr>
          <w:rFonts w:ascii="宋体" w:hAnsi="宋体" w:cs="宋体" w:hint="eastAsia"/>
          <w:sz w:val="24"/>
        </w:rPr>
        <w:t xml:space="preserve"> </w:t>
      </w:r>
      <w:r>
        <w:rPr>
          <w:rFonts w:ascii="宋体" w:hAnsi="宋体" w:cs="宋体" w:hint="eastAsia"/>
          <w:sz w:val="24"/>
        </w:rPr>
        <w:t>【成本法的定义】   </w:t>
      </w:r>
    </w:p>
    <w:p w14:paraId="4C9C4B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成本法是以评估对象估值日的资产负债表为基础，合理估计表内及表外各项资产和负债价值，确定估值对象价值的估值方法，常用方法主要为重置成本法。</w:t>
      </w:r>
    </w:p>
    <w:p w14:paraId="230B0C35" w14:textId="6FDA214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【重置成本法的定义及适用范围】   </w:t>
      </w:r>
    </w:p>
    <w:p w14:paraId="79E018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重置成本法是在现时条件下重新购置或建造一个全新状态的被评估资产所需的全部成本，减去评估对象已经发生的实体性贬值、功能性贬值和经济性贬值，以得到的结果作为评估对象估值的方法。</w:t>
      </w:r>
    </w:p>
    <w:p w14:paraId="251DCE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重置成本法适用于企业价值主要来源于其资产的公允价值的情形，运用时需对评估对象的实体性、功能性及经济性贬值做出判断。</w:t>
      </w:r>
    </w:p>
    <w:p w14:paraId="038221E6" w14:textId="751B33A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【重置成本法操作步骤】   </w:t>
      </w:r>
    </w:p>
    <w:p w14:paraId="325B27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使用重置成本法评估企业价值的具体操作步骤如下：</w:t>
      </w:r>
    </w:p>
    <w:p w14:paraId="6E12EC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第一步：获得被评估企业的资产负债表。若获取的资产负债表并非估值日编制的，需进行调整。</w:t>
      </w:r>
    </w:p>
    <w:p w14:paraId="6719A5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第二步：确定需要重新评估的表内资产与负债。分析和了解评估对象表内资产和负债，确定是否需要重估。</w:t>
      </w:r>
    </w:p>
    <w:p w14:paraId="5DEE53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第三步：确定表外资产、表外或有负债。对于存在未予判决的经济诉讼、所得税等方面的争议或环境治理要求等情形的企业，需评估或有负债对企业经营风险的影响。</w:t>
      </w:r>
    </w:p>
    <w:p w14:paraId="1AFE6E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第四步：根据重新评估后的资产负债数据得到企业股权价值。</w:t>
      </w:r>
    </w:p>
    <w:p w14:paraId="2DEFEF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第五步：在企业股权价值的基础上，考虑持股情况、流动性折扣等因素得出非上市公司股权公允价值。</w:t>
      </w:r>
    </w:p>
    <w:p w14:paraId="68C2D0F8" w14:textId="107E83B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【其他估值技术】   </w:t>
      </w:r>
    </w:p>
    <w:p w14:paraId="14D796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除上述估值技术以外，若能合理估计非上市公司股权公允价值的，也可采取其他估值技术。</w:t>
      </w:r>
    </w:p>
    <w:p w14:paraId="2DA385E0" w14:textId="3A1F1331" w:rsidR="00A320E6" w:rsidRDefault="00000000" w:rsidP="00EF4D3D">
      <w:pPr>
        <w:pStyle w:val="13"/>
        <w:spacing w:before="62" w:after="62"/>
      </w:pPr>
      <w:r>
        <w:rPr>
          <w:rFonts w:hint="eastAsia"/>
        </w:rPr>
        <w:t>第四章</w:t>
      </w:r>
      <w:r w:rsidR="00EF4D3D">
        <w:rPr>
          <w:rFonts w:hint="eastAsia"/>
        </w:rPr>
        <w:t xml:space="preserve"> </w:t>
      </w:r>
      <w:r>
        <w:rPr>
          <w:rFonts w:hint="eastAsia"/>
        </w:rPr>
        <w:t>流动性折扣的分析方法</w:t>
      </w:r>
    </w:p>
    <w:p w14:paraId="7553BB76" w14:textId="4DFD19D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【流动性折扣的常用分析方法】   </w:t>
      </w:r>
    </w:p>
    <w:p w14:paraId="284B9C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股权流动性折扣通常可参考看跌期权法的分析结果确定，或参考第三方机构的统计分析数据，结合行业经验确定。</w:t>
      </w:r>
    </w:p>
    <w:p w14:paraId="77D0CC26" w14:textId="48DFFC8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【看跌期权法】   </w:t>
      </w:r>
    </w:p>
    <w:p w14:paraId="2034BE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采用看跌期权法评估非上市公司股权的流通受限因素是利用看跌期权定价模型衡量因流通受限导致的股权价值折损，并以此作为非上市公司股权与上市股票间流动性差异的参考。常用的期权模型有欧式看跌期权以及亚式看跌期权。</w:t>
      </w:r>
    </w:p>
    <w:p w14:paraId="2282AF1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1）欧式期权模型公式如下所示：</w:t>
      </w:r>
    </w:p>
    <w:p w14:paraId="0A82BA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3B7DC581" wp14:editId="630EBF67">
            <wp:extent cx="2800350" cy="228600"/>
            <wp:effectExtent l="0" t="0" r="19050" b="0"/>
            <wp:docPr id="5"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60"/>
                    <pic:cNvPicPr>
                      <a:picLocks noChangeAspect="1"/>
                    </pic:cNvPicPr>
                  </pic:nvPicPr>
                  <pic:blipFill>
                    <a:blip r:embed="rId31"/>
                    <a:stretch>
                      <a:fillRect/>
                    </a:stretch>
                  </pic:blipFill>
                  <pic:spPr>
                    <a:xfrm>
                      <a:off x="0" y="0"/>
                      <a:ext cx="2800350" cy="228600"/>
                    </a:xfrm>
                    <a:prstGeom prst="rect">
                      <a:avLst/>
                    </a:prstGeom>
                    <a:noFill/>
                    <a:ln w="9525">
                      <a:noFill/>
                    </a:ln>
                  </pic:spPr>
                </pic:pic>
              </a:graphicData>
            </a:graphic>
          </wp:inline>
        </w:drawing>
      </w:r>
    </w:p>
    <w:p w14:paraId="543D6B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流动性折扣=P/S</w:t>
      </w:r>
    </w:p>
    <w:p w14:paraId="535F76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10423F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47D1AE94" wp14:editId="52234DA3">
            <wp:extent cx="2790825" cy="504825"/>
            <wp:effectExtent l="0" t="0" r="3175" b="3175"/>
            <wp:docPr id="20"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61"/>
                    <pic:cNvPicPr>
                      <a:picLocks noChangeAspect="1"/>
                    </pic:cNvPicPr>
                  </pic:nvPicPr>
                  <pic:blipFill>
                    <a:blip r:embed="rId32"/>
                    <a:stretch>
                      <a:fillRect/>
                    </a:stretch>
                  </pic:blipFill>
                  <pic:spPr>
                    <a:xfrm>
                      <a:off x="0" y="0"/>
                      <a:ext cx="2790825" cy="504825"/>
                    </a:xfrm>
                    <a:prstGeom prst="rect">
                      <a:avLst/>
                    </a:prstGeom>
                    <a:noFill/>
                    <a:ln w="9525">
                      <a:noFill/>
                    </a:ln>
                  </pic:spPr>
                </pic:pic>
              </a:graphicData>
            </a:graphic>
          </wp:inline>
        </w:drawing>
      </w:r>
    </w:p>
    <w:p w14:paraId="58956C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S：资产的现行价</w:t>
      </w:r>
    </w:p>
    <w:p w14:paraId="7773B8A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X：期权的执行价格，与资产的现行价格相同</w:t>
      </w:r>
    </w:p>
    <w:p w14:paraId="2D7F58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T：期权有效期，自估值基准日至可退出日</w:t>
      </w:r>
    </w:p>
    <w:p w14:paraId="098529C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r：无风险利率</w:t>
      </w:r>
    </w:p>
    <w:p w14:paraId="54A1025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q：股息率</w:t>
      </w:r>
    </w:p>
    <w:p w14:paraId="3FE3F3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σ：股票在有效期内的股价的预期年化波动率（实践中，可使用可比公司的波动率或指数波动率）</w:t>
      </w:r>
    </w:p>
    <w:p w14:paraId="27059B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N：标准正态分布的累积分布函数</w:t>
      </w:r>
    </w:p>
    <w:p w14:paraId="1D2603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2）亚式期权模型公式如下所示：</w:t>
      </w:r>
    </w:p>
    <w:p w14:paraId="5666A80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2F66594E" wp14:editId="047CDF2E">
            <wp:extent cx="5005070" cy="579120"/>
            <wp:effectExtent l="0" t="0" r="24130" b="5080"/>
            <wp:docPr id="21"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62"/>
                    <pic:cNvPicPr>
                      <a:picLocks noChangeAspect="1"/>
                    </pic:cNvPicPr>
                  </pic:nvPicPr>
                  <pic:blipFill>
                    <a:blip r:embed="rId33"/>
                    <a:stretch>
                      <a:fillRect/>
                    </a:stretch>
                  </pic:blipFill>
                  <pic:spPr>
                    <a:xfrm>
                      <a:off x="0" y="0"/>
                      <a:ext cx="5005070" cy="579120"/>
                    </a:xfrm>
                    <a:prstGeom prst="rect">
                      <a:avLst/>
                    </a:prstGeom>
                    <a:noFill/>
                    <a:ln w="9525">
                      <a:noFill/>
                    </a:ln>
                  </pic:spPr>
                </pic:pic>
              </a:graphicData>
            </a:graphic>
          </wp:inline>
        </w:drawing>
      </w:r>
    </w:p>
    <w:p w14:paraId="3B48311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流动性折扣=P/S</w:t>
      </w:r>
    </w:p>
    <w:p w14:paraId="5B90FD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其中：</w:t>
      </w:r>
    </w:p>
    <w:p w14:paraId="646B3A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noProof/>
          <w:sz w:val="24"/>
        </w:rPr>
        <w:drawing>
          <wp:inline distT="0" distB="0" distL="114300" distR="114300" wp14:anchorId="458A9305" wp14:editId="70370034">
            <wp:extent cx="5427980" cy="479425"/>
            <wp:effectExtent l="0" t="0" r="7620" b="3175"/>
            <wp:docPr id="22"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63"/>
                    <pic:cNvPicPr>
                      <a:picLocks noChangeAspect="1"/>
                    </pic:cNvPicPr>
                  </pic:nvPicPr>
                  <pic:blipFill>
                    <a:blip r:embed="rId34"/>
                    <a:stretch>
                      <a:fillRect/>
                    </a:stretch>
                  </pic:blipFill>
                  <pic:spPr>
                    <a:xfrm>
                      <a:off x="0" y="0"/>
                      <a:ext cx="5427980" cy="479425"/>
                    </a:xfrm>
                    <a:prstGeom prst="rect">
                      <a:avLst/>
                    </a:prstGeom>
                    <a:noFill/>
                    <a:ln w="9525">
                      <a:noFill/>
                    </a:ln>
                  </pic:spPr>
                </pic:pic>
              </a:graphicData>
            </a:graphic>
          </wp:inline>
        </w:drawing>
      </w:r>
    </w:p>
    <w:p w14:paraId="009D135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S：资产的现行价格</w:t>
      </w:r>
    </w:p>
    <w:p w14:paraId="24FB44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T：期权有效期，自估值基准日至可退出日</w:t>
      </w:r>
    </w:p>
    <w:p w14:paraId="5684701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q：股息率</w:t>
      </w:r>
    </w:p>
    <w:p w14:paraId="31CBF5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σ：股票在有效期内的股价的预期年化波动率（实践中，可使用可比公司的波动率或指数波动率）</w:t>
      </w:r>
    </w:p>
    <w:p w14:paraId="7888F1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N：标准正态分布的累积分布函数</w:t>
      </w:r>
    </w:p>
    <w:p w14:paraId="38B3D8E5" w14:textId="76B572F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【其他流动性折扣分析方法】   </w:t>
      </w:r>
    </w:p>
    <w:p w14:paraId="66949D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除上述分析方法以外，若能合理估计流动性折扣的，也可采取其他分析技术。</w:t>
      </w:r>
    </w:p>
    <w:p w14:paraId="6E7604A1" w14:textId="5FA94F8D" w:rsidR="00A320E6" w:rsidRDefault="00000000" w:rsidP="00EF4D3D">
      <w:pPr>
        <w:pStyle w:val="13"/>
        <w:spacing w:before="62" w:after="62"/>
      </w:pPr>
      <w:r>
        <w:rPr>
          <w:rFonts w:hint="eastAsia"/>
        </w:rPr>
        <w:t>第五章</w:t>
      </w:r>
      <w:r w:rsidR="00EF4D3D">
        <w:rPr>
          <w:rFonts w:hint="eastAsia"/>
        </w:rPr>
        <w:t xml:space="preserve"> </w:t>
      </w:r>
      <w:r>
        <w:rPr>
          <w:rFonts w:hint="eastAsia"/>
        </w:rPr>
        <w:t>附则</w:t>
      </w:r>
    </w:p>
    <w:p w14:paraId="409C81CF" w14:textId="793A494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977BD5">
        <w:rPr>
          <w:rFonts w:ascii="宋体" w:hAnsi="宋体" w:cs="宋体" w:hint="eastAsia"/>
          <w:sz w:val="24"/>
        </w:rPr>
        <w:t xml:space="preserve"> </w:t>
      </w:r>
    </w:p>
    <w:p w14:paraId="4F2CBC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本指引由中国证券业协会负责解释、修订。</w:t>
      </w:r>
    </w:p>
    <w:p w14:paraId="024D9C46" w14:textId="6837FE50"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第二十三条</w:t>
      </w:r>
      <w:r w:rsidR="00977BD5">
        <w:rPr>
          <w:rFonts w:ascii="宋体" w:hAnsi="宋体" w:cs="宋体" w:hint="eastAsia"/>
          <w:sz w:val="24"/>
        </w:rPr>
        <w:t xml:space="preserve"> </w:t>
      </w:r>
    </w:p>
    <w:p w14:paraId="7670E1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本指引自发布之日起施行。</w:t>
      </w:r>
    </w:p>
    <w:p w14:paraId="6395396B" w14:textId="77777777" w:rsidR="00A320E6" w:rsidRDefault="00A320E6" w:rsidP="00AE0286">
      <w:pPr>
        <w:pStyle w:val="a3"/>
        <w:spacing w:line="360" w:lineRule="auto"/>
        <w:ind w:firstLine="480"/>
        <w:rPr>
          <w:rFonts w:ascii="宋体" w:hAnsi="宋体" w:cs="宋体"/>
          <w:sz w:val="24"/>
        </w:rPr>
      </w:pPr>
    </w:p>
    <w:p w14:paraId="6EC8AAE4" w14:textId="77777777" w:rsidR="00A320E6" w:rsidRDefault="00000000" w:rsidP="00F67407">
      <w:pPr>
        <w:spacing w:beforeLines="50" w:before="156" w:afterLines="20" w:after="62" w:line="360" w:lineRule="auto"/>
        <w:jc w:val="center"/>
        <w:outlineLvl w:val="2"/>
        <w:rPr>
          <w:rStyle w:val="aa"/>
          <w:rFonts w:ascii="宋体" w:hAnsi="宋体" w:cs="宋体"/>
          <w:color w:val="000000"/>
          <w:kern w:val="0"/>
          <w:sz w:val="24"/>
          <w:szCs w:val="24"/>
          <w:lang w:bidi="ar"/>
        </w:rPr>
      </w:pPr>
      <w:bookmarkStart w:id="69" w:name="_Toc112227377"/>
      <w:r>
        <w:rPr>
          <w:rStyle w:val="aa"/>
          <w:rFonts w:ascii="宋体" w:hAnsi="宋体" w:cs="宋体" w:hint="eastAsia"/>
          <w:color w:val="000000"/>
          <w:kern w:val="0"/>
          <w:sz w:val="24"/>
          <w:szCs w:val="24"/>
          <w:lang w:bidi="ar"/>
        </w:rPr>
        <w:t>证券公司金融工具估值指引</w:t>
      </w:r>
      <w:bookmarkEnd w:id="69"/>
    </w:p>
    <w:p w14:paraId="2350D1AF" w14:textId="77777777" w:rsidR="00A320E6" w:rsidRDefault="00000000" w:rsidP="00EF4D3D">
      <w:pPr>
        <w:pStyle w:val="a3"/>
        <w:spacing w:line="360" w:lineRule="auto"/>
        <w:ind w:firstLineChars="0" w:firstLine="0"/>
        <w:jc w:val="center"/>
        <w:rPr>
          <w:rFonts w:ascii="宋体" w:hAnsi="宋体" w:cs="宋体"/>
          <w:sz w:val="24"/>
        </w:rPr>
      </w:pPr>
      <w:r>
        <w:rPr>
          <w:rFonts w:ascii="宋体" w:hAnsi="宋体" w:cs="宋体" w:hint="eastAsia"/>
          <w:sz w:val="24"/>
        </w:rPr>
        <w:t>中证协发〔2018〕216号</w:t>
      </w:r>
    </w:p>
    <w:p w14:paraId="6E88ECEE" w14:textId="67947923" w:rsidR="00A320E6" w:rsidRDefault="00000000" w:rsidP="00EF4D3D">
      <w:pPr>
        <w:pStyle w:val="13"/>
        <w:spacing w:before="62" w:after="62"/>
      </w:pPr>
      <w:r>
        <w:rPr>
          <w:rFonts w:hint="eastAsia"/>
        </w:rPr>
        <w:t>第一章</w:t>
      </w:r>
      <w:r w:rsidR="00EF4D3D">
        <w:rPr>
          <w:rFonts w:hint="eastAsia"/>
        </w:rPr>
        <w:t xml:space="preserve"> </w:t>
      </w:r>
      <w:r>
        <w:rPr>
          <w:rFonts w:hint="eastAsia"/>
        </w:rPr>
        <w:t>总则</w:t>
      </w:r>
    </w:p>
    <w:p w14:paraId="15F655CF" w14:textId="7ED0778E"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第一条</w:t>
      </w:r>
      <w:r w:rsidR="00C36EF7">
        <w:rPr>
          <w:rFonts w:ascii="宋体" w:hAnsi="宋体" w:cs="宋体" w:hint="eastAsia"/>
          <w:sz w:val="24"/>
        </w:rPr>
        <w:t xml:space="preserve"> </w:t>
      </w:r>
      <w:r>
        <w:rPr>
          <w:rFonts w:ascii="宋体" w:hAnsi="宋体" w:cs="宋体" w:hint="eastAsia"/>
          <w:sz w:val="24"/>
        </w:rPr>
        <w:t>【宗旨和依据】   </w:t>
      </w:r>
    </w:p>
    <w:p w14:paraId="264696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为规范证券公司金融工具的估值方法,根据《会计法》、《企业会计准则》及国家其他有关法律法规，制定本指引。</w:t>
      </w:r>
    </w:p>
    <w:p w14:paraId="7D0F58B0" w14:textId="1CC2AF07"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第二条</w:t>
      </w:r>
      <w:r w:rsidR="00C36EF7">
        <w:rPr>
          <w:rFonts w:ascii="宋体" w:hAnsi="宋体" w:cs="宋体" w:hint="eastAsia"/>
          <w:sz w:val="24"/>
        </w:rPr>
        <w:t xml:space="preserve"> </w:t>
      </w:r>
      <w:r>
        <w:rPr>
          <w:rFonts w:ascii="宋体" w:hAnsi="宋体" w:cs="宋体" w:hint="eastAsia"/>
          <w:sz w:val="24"/>
        </w:rPr>
        <w:t>【适用范围】   </w:t>
      </w:r>
    </w:p>
    <w:p w14:paraId="50CA63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本指引适用于证券公司以公允价值计量的金融工具的估值，涵盖范围包括但不限于证券公司持有的股票、债券、基金、衍生工具、非上市公司股权、资产管理计划等金融资产和承担的金融负债。</w:t>
      </w:r>
    </w:p>
    <w:p w14:paraId="7F47DBF1" w14:textId="12AA2128" w:rsidR="00A320E6" w:rsidRDefault="00000000" w:rsidP="00EF4D3D">
      <w:pPr>
        <w:pStyle w:val="13"/>
        <w:spacing w:before="62" w:after="62"/>
      </w:pPr>
      <w:r>
        <w:rPr>
          <w:rFonts w:hint="eastAsia"/>
        </w:rPr>
        <w:t>第二章</w:t>
      </w:r>
      <w:r w:rsidR="00EF4D3D">
        <w:rPr>
          <w:rFonts w:hint="eastAsia"/>
        </w:rPr>
        <w:t xml:space="preserve"> </w:t>
      </w:r>
      <w:r>
        <w:rPr>
          <w:rFonts w:hint="eastAsia"/>
        </w:rPr>
        <w:t>估值基本原则</w:t>
      </w:r>
    </w:p>
    <w:p w14:paraId="02CD990D" w14:textId="4AC25C5A"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第三条</w:t>
      </w:r>
      <w:r w:rsidR="00C36EF7">
        <w:rPr>
          <w:rFonts w:ascii="宋体" w:hAnsi="宋体" w:cs="宋体" w:hint="eastAsia"/>
          <w:sz w:val="24"/>
        </w:rPr>
        <w:t xml:space="preserve"> </w:t>
      </w:r>
      <w:r>
        <w:rPr>
          <w:rFonts w:ascii="宋体" w:hAnsi="宋体" w:cs="宋体" w:hint="eastAsia"/>
          <w:sz w:val="24"/>
        </w:rPr>
        <w:t>【存在活跃市场投资品种的估值原则】   </w:t>
      </w:r>
    </w:p>
    <w:p w14:paraId="24753B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存在活跃市场且能够获取相同资产或负债报价的投资品种，在估值日有报价的，除会计准则规定的例外情况外，应将该报价不加调整地应用于该资产或负债的公允价值计量。估值日无报价且最近交易日后未发生影响公允价值计量的重大事件的，应采用最近交易日的报价确定公允价值。有充足证据表明估值日或最近交易日的报价不能真实反映公允价值的，应对报价进行调整，确定公允价值。</w:t>
      </w:r>
    </w:p>
    <w:p w14:paraId="4083E4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与上述投资品种相同，但具有不同特征的，应以相同资产或负债的公允价值为基础，并在估值技术中考虑不同特征因素的影响。特征是指对资产出售或使用的限制等，如果该限制是针对资产持有者的，</w:t>
      </w:r>
    </w:p>
    <w:p w14:paraId="1ED515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那么在估值技术中不应将该限制作为特征考虑。此外，持有人不应考虑因其大量持有相关资产或负债所产生的溢价或折价。</w:t>
      </w:r>
    </w:p>
    <w:p w14:paraId="6F953583" w14:textId="6865117E" w:rsidR="00A320E6" w:rsidRDefault="00A45A13" w:rsidP="00AE0286">
      <w:pPr>
        <w:pStyle w:val="a3"/>
        <w:spacing w:line="360" w:lineRule="auto"/>
        <w:ind w:firstLine="482"/>
        <w:rPr>
          <w:rFonts w:ascii="宋体" w:hAnsi="宋体" w:cs="宋体"/>
          <w:sz w:val="24"/>
        </w:rPr>
      </w:pPr>
      <w:r w:rsidRPr="00A45A13">
        <w:rPr>
          <w:rFonts w:ascii="宋体" w:hAnsi="宋体" w:cs="宋体" w:hint="eastAsia"/>
          <w:b/>
          <w:sz w:val="24"/>
        </w:rPr>
        <w:t>第四条</w:t>
      </w:r>
      <w:r>
        <w:rPr>
          <w:rFonts w:ascii="宋体" w:hAnsi="宋体" w:cs="宋体" w:hint="eastAsia"/>
          <w:sz w:val="24"/>
        </w:rPr>
        <w:t xml:space="preserve"> 【不存在活跃市场投资品种的估值原则】   </w:t>
      </w:r>
    </w:p>
    <w:p w14:paraId="4A32DF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不存在活跃市场的投资品种，应采用在当前情况下适用并且有足够可利用数据和其他信息支持的估值技术确定公允价值。采用估值技术确定公允价值时，应优先使用可观察输入值，只有在无法取得相关资产或负债可观察输入值或取得不切实可行的情况下，才可以使用不可观察输入值。</w:t>
      </w:r>
    </w:p>
    <w:p w14:paraId="1CBD7CDF" w14:textId="570B699E"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第五条</w:t>
      </w:r>
      <w:r w:rsidR="00A45A13">
        <w:rPr>
          <w:rFonts w:ascii="宋体" w:hAnsi="宋体" w:cs="宋体" w:hint="eastAsia"/>
          <w:sz w:val="24"/>
        </w:rPr>
        <w:t xml:space="preserve"> </w:t>
      </w:r>
      <w:r>
        <w:rPr>
          <w:rFonts w:ascii="宋体" w:hAnsi="宋体" w:cs="宋体" w:hint="eastAsia"/>
          <w:sz w:val="24"/>
        </w:rPr>
        <w:t>【影响公允价值计量的重大事件的参考标准】   </w:t>
      </w:r>
    </w:p>
    <w:p w14:paraId="2C6C47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当权益工具、债务工具的发行方发生以下情况时，证券公司需判断金融工具的公允价值是否产生重大变动：</w:t>
      </w:r>
    </w:p>
    <w:p w14:paraId="50FF3D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1）与预算、计划或阶段性目标相比，公司的业绩发生重大的变化；</w:t>
      </w:r>
    </w:p>
    <w:p w14:paraId="6AD545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2）对技术产品实现阶段性目标的预期发生变化；</w:t>
      </w:r>
    </w:p>
    <w:p w14:paraId="12DFF6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3）所在市场或其产品或潜在产品发生重大变化；</w:t>
      </w:r>
    </w:p>
    <w:p w14:paraId="3500DD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4）全球经济或者所处的经济环境发生重大变化；</w:t>
      </w:r>
    </w:p>
    <w:p w14:paraId="7D431B6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5）可观察到的可比公司的业绩，或整体市场的估值结果发生重大变化；</w:t>
      </w:r>
    </w:p>
    <w:p w14:paraId="127EA4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6）内部事件，如欺诈、商业纠纷、诉讼、管理层或战略的改变；</w:t>
      </w:r>
    </w:p>
    <w:p w14:paraId="1F6AF6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7）其他影响公允价值的重大事件。</w:t>
      </w:r>
    </w:p>
    <w:p w14:paraId="65731009" w14:textId="495FBFC2"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第六条</w:t>
      </w:r>
      <w:r w:rsidR="00A45A13">
        <w:rPr>
          <w:rFonts w:ascii="宋体" w:hAnsi="宋体" w:cs="宋体" w:hint="eastAsia"/>
          <w:sz w:val="24"/>
        </w:rPr>
        <w:t xml:space="preserve"> </w:t>
      </w:r>
      <w:r>
        <w:rPr>
          <w:rFonts w:ascii="宋体" w:hAnsi="宋体" w:cs="宋体" w:hint="eastAsia"/>
          <w:sz w:val="24"/>
        </w:rPr>
        <w:t>【成本作为公允价值恰当估计的情形】   </w:t>
      </w:r>
    </w:p>
    <w:p w14:paraId="0A3B14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对权益工具的投资和与此类投资相联系的合同应当以公允价值计量。在满足会计准则的前提下，如果用以确定公允价值的近期信息不足，或者公允价值的可能估计金额分布范围很广，而成本代表了该范围内对公允价值的最佳估计的，该成本可代表其在该分布范围内对公允价值的恰当估计。证券公司应当利用初始确认日后可获得的关于被投资方业绩和经营的所有信息，判断成本能否代表公允价值。</w:t>
      </w:r>
    </w:p>
    <w:p w14:paraId="178DFC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权益工具投资或合同存在报价的，证券公司不应当将成本作为对其公允价值的最佳估计。</w:t>
      </w:r>
    </w:p>
    <w:p w14:paraId="3D29A07E" w14:textId="00947DFC"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第七条</w:t>
      </w:r>
      <w:r w:rsidR="00A45A13">
        <w:rPr>
          <w:rFonts w:ascii="宋体" w:hAnsi="宋体" w:cs="宋体" w:hint="eastAsia"/>
          <w:sz w:val="24"/>
        </w:rPr>
        <w:t xml:space="preserve"> </w:t>
      </w:r>
      <w:r>
        <w:rPr>
          <w:rFonts w:ascii="宋体" w:hAnsi="宋体" w:cs="宋体" w:hint="eastAsia"/>
          <w:sz w:val="24"/>
        </w:rPr>
        <w:t>【估值质量特征】   </w:t>
      </w:r>
    </w:p>
    <w:p w14:paraId="00FEDA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证券公司各类金融工具的估值程序和估值技术，应遵循可靠性、可比性和一致性原则。</w:t>
      </w:r>
    </w:p>
    <w:p w14:paraId="4C054A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允价值计量使用的估值技术或其应用一经确定，不得随意变更，但变更估值技术能使计量结果在当前情况下同样或更能代表公允价值的情况除外。证券公司变更估值技术及其应用方法的，应当按照会计准则要求进行披露。</w:t>
      </w:r>
    </w:p>
    <w:p w14:paraId="01FB083A" w14:textId="40CA9017"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第八条</w:t>
      </w:r>
      <w:r w:rsidR="00A45A13">
        <w:rPr>
          <w:rFonts w:ascii="宋体" w:hAnsi="宋体" w:cs="宋体" w:hint="eastAsia"/>
          <w:sz w:val="24"/>
        </w:rPr>
        <w:t xml:space="preserve"> </w:t>
      </w:r>
      <w:r>
        <w:rPr>
          <w:rFonts w:ascii="宋体" w:hAnsi="宋体" w:cs="宋体" w:hint="eastAsia"/>
          <w:sz w:val="24"/>
        </w:rPr>
        <w:t>【实质重于形式原则】   </w:t>
      </w:r>
    </w:p>
    <w:p w14:paraId="167745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证券公司应当根据金融工具的合同条款及其所反映的经济实质而非仅以法律形式，结合金融资产和金融负债的定义，采取恰当的估值方法确定公允价值。</w:t>
      </w:r>
    </w:p>
    <w:p w14:paraId="78A99513" w14:textId="03F21B09"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第九条</w:t>
      </w:r>
      <w:r w:rsidR="00A45A13">
        <w:rPr>
          <w:rFonts w:ascii="宋体" w:hAnsi="宋体" w:cs="宋体" w:hint="eastAsia"/>
          <w:sz w:val="24"/>
        </w:rPr>
        <w:t xml:space="preserve"> </w:t>
      </w:r>
      <w:r>
        <w:rPr>
          <w:rFonts w:ascii="宋体" w:hAnsi="宋体" w:cs="宋体" w:hint="eastAsia"/>
          <w:sz w:val="24"/>
        </w:rPr>
        <w:t>【特殊选择权对估值的影响】   </w:t>
      </w:r>
    </w:p>
    <w:p w14:paraId="1CC8FA6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对合同中规定附有特殊选择权的金融工具，包括但不限于投资人回售选择权、发行人赎回选择权、投资人可调换选择权、定向转让选</w:t>
      </w:r>
    </w:p>
    <w:p w14:paraId="653B2F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择权、合并选择权、延期兑付选择权等，证券公司在评估其公允价值时，应考虑该类选择权对金融工具估值的影响。</w:t>
      </w:r>
    </w:p>
    <w:p w14:paraId="2A886282" w14:textId="4A521F45"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第十条</w:t>
      </w:r>
      <w:r w:rsidR="00A45A13">
        <w:rPr>
          <w:rFonts w:ascii="宋体" w:hAnsi="宋体" w:cs="宋体" w:hint="eastAsia"/>
          <w:sz w:val="24"/>
        </w:rPr>
        <w:t xml:space="preserve"> </w:t>
      </w:r>
      <w:r>
        <w:rPr>
          <w:rFonts w:ascii="宋体" w:hAnsi="宋体" w:cs="宋体" w:hint="eastAsia"/>
          <w:sz w:val="24"/>
        </w:rPr>
        <w:t>【第三方估值的应用】   </w:t>
      </w:r>
    </w:p>
    <w:p w14:paraId="4D37E0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证券公司使用第三方估值机构提供的价格数据计量相关资产或负债的公允价值时，应选取可靠的、信誉良好的第三方估值机构。证券公司作为估值的第一责任人，</w:t>
      </w:r>
      <w:r>
        <w:rPr>
          <w:rFonts w:ascii="宋体" w:hAnsi="宋体" w:cs="宋体" w:hint="eastAsia"/>
          <w:sz w:val="24"/>
        </w:rPr>
        <w:lastRenderedPageBreak/>
        <w:t>应充分了解第三方所使用的估值技术及估值结果的产生过程是否符合会计准则要求，定期评估其估值质量，并对估值结果进行检验，防范可能出现的估值偏差。</w:t>
      </w:r>
    </w:p>
    <w:p w14:paraId="73B9096B" w14:textId="41F05016"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第十一条</w:t>
      </w:r>
      <w:r w:rsidR="00C36EF7">
        <w:rPr>
          <w:rFonts w:ascii="宋体" w:hAnsi="宋体" w:cs="宋体" w:hint="eastAsia"/>
          <w:sz w:val="24"/>
        </w:rPr>
        <w:t xml:space="preserve"> </w:t>
      </w:r>
      <w:r>
        <w:rPr>
          <w:rFonts w:ascii="宋体" w:hAnsi="宋体" w:cs="宋体" w:hint="eastAsia"/>
          <w:sz w:val="24"/>
        </w:rPr>
        <w:t>【估值工作管理要求】   </w:t>
      </w:r>
    </w:p>
    <w:p w14:paraId="1CAB36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证券公司应当规范金融工具估值的方法、模型和流程，建立业务部门、分支机构、子公司与风险管理部门、财务部门的协调机制，确保估值的科学性。</w:t>
      </w:r>
    </w:p>
    <w:p w14:paraId="6F69A8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证券公司风险管理部门应定期对估值模型的有效性进行检验和评价，确保相关假设、参数、数据来源和计量程序的合理性和可靠性，并根据检验结果进行调整和改进。</w:t>
      </w:r>
    </w:p>
    <w:p w14:paraId="43715A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合并报表范围内各主体对相同金融工具的估值方法应当一致，若主体之间采用不同方法，导致相同金融工具的估值结果存在差异的，证券公司应对该差异进行分析，调整改进估值方法；对于调整后仍存在差异的，应有充分合理的依据，确保估值的合理性和可靠性，并按相关规定对估值方法进行披露。会计师事务所实施财务报表审计工作时，应当关注该差异的合理性。</w:t>
      </w:r>
    </w:p>
    <w:p w14:paraId="6EA3858F" w14:textId="5065786C" w:rsidR="00A320E6" w:rsidRDefault="00000000" w:rsidP="00EF4D3D">
      <w:pPr>
        <w:pStyle w:val="13"/>
        <w:spacing w:before="62" w:after="62"/>
      </w:pPr>
      <w:r>
        <w:rPr>
          <w:rFonts w:hint="eastAsia"/>
        </w:rPr>
        <w:t>第三章</w:t>
      </w:r>
      <w:r w:rsidR="00EF4D3D">
        <w:rPr>
          <w:rFonts w:hint="eastAsia"/>
        </w:rPr>
        <w:t xml:space="preserve"> </w:t>
      </w:r>
      <w:r>
        <w:rPr>
          <w:rFonts w:hint="eastAsia"/>
        </w:rPr>
        <w:t>投资股票的估值方法</w:t>
      </w:r>
    </w:p>
    <w:p w14:paraId="1247A382" w14:textId="196A8D5F" w:rsidR="00A320E6" w:rsidRDefault="00977BD5" w:rsidP="00AE0286">
      <w:pPr>
        <w:pStyle w:val="a3"/>
        <w:spacing w:line="360" w:lineRule="auto"/>
        <w:ind w:firstLine="482"/>
        <w:rPr>
          <w:rFonts w:ascii="宋体" w:hAnsi="宋体" w:cs="宋体"/>
          <w:sz w:val="24"/>
        </w:rPr>
      </w:pPr>
      <w:r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【证券交易所上市流通股票的估值方法】   </w:t>
      </w:r>
    </w:p>
    <w:p w14:paraId="61585CB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证券交易所上市流通的股票，估值日有交易的，按估值日收盘&gt;价估值；估值日无交易，且最近交易日后未发生影响公允价值计量的重大事件的，按最近交易日的收盘价估值；估值日无交易，且最近交易日后发生影响公允价值计量的重大事件的，应参考类似投资品种的现行价格及重大变化因素，调整最近交易日的收盘价确定公允价值。</w:t>
      </w:r>
    </w:p>
    <w:p w14:paraId="15E98B96" w14:textId="6FCD2748"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第十三条</w:t>
      </w:r>
      <w:r w:rsidR="00C36EF7">
        <w:rPr>
          <w:rFonts w:ascii="宋体" w:hAnsi="宋体" w:cs="宋体" w:hint="eastAsia"/>
          <w:sz w:val="24"/>
        </w:rPr>
        <w:t xml:space="preserve"> </w:t>
      </w:r>
      <w:r>
        <w:rPr>
          <w:rFonts w:ascii="宋体" w:hAnsi="宋体" w:cs="宋体" w:hint="eastAsia"/>
          <w:sz w:val="24"/>
        </w:rPr>
        <w:t>【未上市股票的估值方法】   </w:t>
      </w:r>
    </w:p>
    <w:p w14:paraId="3B9CA85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首次发行未上市的股票，在未上市期间按发行价格估值。送股、转增股、配股和公开增发新股等发行未上市的股票，按估值日在证券交易所上市的同一股票的收盘价或最近交易日的收盘价确定公允价值。</w:t>
      </w:r>
    </w:p>
    <w:p w14:paraId="03F23FCA" w14:textId="0D74901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第十四条</w:t>
      </w:r>
      <w:r w:rsidR="00A45A13">
        <w:rPr>
          <w:rFonts w:ascii="宋体" w:hAnsi="宋体" w:cs="宋体" w:hint="eastAsia"/>
          <w:sz w:val="24"/>
        </w:rPr>
        <w:t xml:space="preserve"> </w:t>
      </w:r>
      <w:r>
        <w:rPr>
          <w:rFonts w:ascii="宋体" w:hAnsi="宋体" w:cs="宋体" w:hint="eastAsia"/>
          <w:sz w:val="24"/>
        </w:rPr>
        <w:t>【有明确限售期股票的估值方法】   </w:t>
      </w:r>
    </w:p>
    <w:p w14:paraId="7F85CE5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通过公开、非公开等方式取得且有明确限售期的股票，在限售期内，应以证券交易所上市交易的同一股票的公允价值为基础，引入流动性折扣进行估值。流动性折扣可依据第三方估值机构提供的数据，或采用看跌期权法以及其他合理的估值方法分析确定。分析流动性折扣时，不应考虑因大量持有股票产生的溢价或折价。</w:t>
      </w:r>
    </w:p>
    <w:p w14:paraId="4B4AEFDF" w14:textId="47E9248B"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同一股票在证券交易所上市流通后，参照</w:t>
      </w:r>
      <w:r w:rsidR="00977BD5" w:rsidRPr="00977BD5">
        <w:rPr>
          <w:rFonts w:ascii="宋体" w:hAnsi="宋体" w:cs="宋体" w:hint="eastAsia"/>
          <w:b/>
          <w:sz w:val="24"/>
        </w:rPr>
        <w:t>第十二条</w:t>
      </w:r>
      <w:r w:rsidR="00C36EF7">
        <w:rPr>
          <w:rFonts w:ascii="宋体" w:hAnsi="宋体" w:cs="宋体" w:hint="eastAsia"/>
          <w:sz w:val="24"/>
        </w:rPr>
        <w:t xml:space="preserve"> </w:t>
      </w:r>
      <w:r>
        <w:rPr>
          <w:rFonts w:ascii="宋体" w:hAnsi="宋体" w:cs="宋体" w:hint="eastAsia"/>
          <w:sz w:val="24"/>
        </w:rPr>
        <w:t>证券交易所上市流通股票的估值方法确定公允价值。</w:t>
      </w:r>
    </w:p>
    <w:p w14:paraId="14E12471" w14:textId="5FFE5DE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第十五条</w:t>
      </w:r>
      <w:r w:rsidR="00977BD5">
        <w:rPr>
          <w:rFonts w:ascii="宋体" w:hAnsi="宋体" w:cs="宋体" w:hint="eastAsia"/>
          <w:sz w:val="24"/>
        </w:rPr>
        <w:t xml:space="preserve"> </w:t>
      </w:r>
      <w:r>
        <w:rPr>
          <w:rFonts w:ascii="宋体" w:hAnsi="宋体" w:cs="宋体" w:hint="eastAsia"/>
          <w:sz w:val="24"/>
        </w:rPr>
        <w:t>【优先股的估值方法】</w:t>
      </w:r>
    </w:p>
    <w:p w14:paraId="1C3FC2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证券交易所及全国中小企业股份转让系统等市场交易的优先股，其交易量及交易频率足以持续提供定价信息的，估值日有交易，可按估值日收盘价估值；估值日无交易，且最近交易日后未发生影响公允价值计量的重大事件的，可参考该优先股或类似投资品种最近交易日收盘价确定公允价值。</w:t>
      </w:r>
    </w:p>
    <w:p w14:paraId="5507B6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不满足上述条件的，可根据优先股的股息支付条款，采用现金流折现模型等估值模型，或依据第三方估值机构提供的价格数据确定公允价值。</w:t>
      </w:r>
    </w:p>
    <w:p w14:paraId="23F7A4ED" w14:textId="5974F30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第十六条</w:t>
      </w:r>
      <w:r w:rsidR="00A45A13">
        <w:rPr>
          <w:rFonts w:ascii="宋体" w:hAnsi="宋体" w:cs="宋体" w:hint="eastAsia"/>
          <w:sz w:val="24"/>
        </w:rPr>
        <w:t xml:space="preserve"> </w:t>
      </w:r>
      <w:r>
        <w:rPr>
          <w:rFonts w:ascii="宋体" w:hAnsi="宋体" w:cs="宋体" w:hint="eastAsia"/>
          <w:sz w:val="24"/>
        </w:rPr>
        <w:t>【长期停牌股票的估值方法】   </w:t>
      </w:r>
    </w:p>
    <w:p w14:paraId="6E7ED3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长期停牌股票应根据停牌原因、停牌时间及停牌公司公告等信息，采用市场法、收益法、成本法等估值技术确定公允价值，具体估值方法包括指数收益法、可比公司法、市场价格模型法、现金流折现法、市场乘数法、重置成本法等。</w:t>
      </w:r>
    </w:p>
    <w:p w14:paraId="128B0A1C" w14:textId="2411C97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第十七条</w:t>
      </w:r>
      <w:r w:rsidR="00A45A13">
        <w:rPr>
          <w:rFonts w:ascii="宋体" w:hAnsi="宋体" w:cs="宋体" w:hint="eastAsia"/>
          <w:sz w:val="24"/>
        </w:rPr>
        <w:t xml:space="preserve"> </w:t>
      </w:r>
      <w:r>
        <w:rPr>
          <w:rFonts w:ascii="宋体" w:hAnsi="宋体" w:cs="宋体" w:hint="eastAsia"/>
          <w:sz w:val="24"/>
        </w:rPr>
        <w:t>【非证券交易所交易股票的估值方法】   </w:t>
      </w:r>
    </w:p>
    <w:p w14:paraId="7B0F96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未包含在上述条款中的、非证券交易所交易的股票（如：在全国中小企业股份转让系统、区域性股权市场挂牌交易的股票等），交易量及交易频率足以持续提供定价信息的，按估值日收盘价估值；交易量或交易频率不足以反映公允价值的情况下，应综合考虑交易活跃程度、转让方式等，对收盘价进行调整或采取其他估值技术确定公允价值。</w:t>
      </w:r>
    </w:p>
    <w:p w14:paraId="2012A31D" w14:textId="49E8AC28" w:rsidR="00A320E6" w:rsidRDefault="00000000" w:rsidP="00EF4D3D">
      <w:pPr>
        <w:pStyle w:val="13"/>
        <w:spacing w:before="62" w:after="62"/>
      </w:pPr>
      <w:r>
        <w:rPr>
          <w:rFonts w:hint="eastAsia"/>
        </w:rPr>
        <w:t>第四章</w:t>
      </w:r>
      <w:r w:rsidR="00EF4D3D">
        <w:rPr>
          <w:rFonts w:hint="eastAsia"/>
        </w:rPr>
        <w:t xml:space="preserve"> </w:t>
      </w:r>
      <w:r>
        <w:rPr>
          <w:rFonts w:hint="eastAsia"/>
        </w:rPr>
        <w:t>投资固定收益品种的估值方法</w:t>
      </w:r>
    </w:p>
    <w:p w14:paraId="0608567F" w14:textId="0A35E3F2"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第十八条</w:t>
      </w:r>
      <w:r w:rsidR="00A45A13">
        <w:rPr>
          <w:rFonts w:ascii="宋体" w:hAnsi="宋体" w:cs="宋体" w:hint="eastAsia"/>
          <w:sz w:val="24"/>
        </w:rPr>
        <w:t xml:space="preserve"> </w:t>
      </w:r>
      <w:r>
        <w:rPr>
          <w:rFonts w:ascii="宋体" w:hAnsi="宋体" w:cs="宋体" w:hint="eastAsia"/>
          <w:sz w:val="24"/>
        </w:rPr>
        <w:t>【固定收益品种（不含转股权）估值的一般方法】   </w:t>
      </w:r>
    </w:p>
    <w:p w14:paraId="08EAFA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交易所交易的各类债券、票据、资产支持证券等固定收益品种，交易量及交易频率足以持续提供定价信息的，可按估值日收盘价估值；交易量或交易频率不足以反映公允价值的情况下，可采用第三方估值机构提供的价格数据或其他估值技术确定公允价值。</w:t>
      </w:r>
    </w:p>
    <w:p w14:paraId="398AEC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在全国银行间市场交易的固定收益品种，可主要依据第三方估值机构提供的价格数据确定公允价值。</w:t>
      </w:r>
    </w:p>
    <w:p w14:paraId="21AB5761" w14:textId="121D4D1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第十九条</w:t>
      </w:r>
      <w:r w:rsidR="00A45A13">
        <w:rPr>
          <w:rFonts w:ascii="宋体" w:hAnsi="宋体" w:cs="宋体" w:hint="eastAsia"/>
          <w:sz w:val="24"/>
        </w:rPr>
        <w:t xml:space="preserve"> </w:t>
      </w:r>
      <w:r>
        <w:rPr>
          <w:rFonts w:ascii="宋体" w:hAnsi="宋体" w:cs="宋体" w:hint="eastAsia"/>
          <w:sz w:val="24"/>
        </w:rPr>
        <w:t>【含转股权债券的估值方法】   </w:t>
      </w:r>
    </w:p>
    <w:p w14:paraId="4543F5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证券交易所交易的含有转股权的债券（如：可转换债券、可交换债券等），对</w:t>
      </w:r>
      <w:r>
        <w:rPr>
          <w:rFonts w:ascii="宋体" w:hAnsi="宋体" w:cs="宋体" w:hint="eastAsia"/>
          <w:sz w:val="24"/>
        </w:rPr>
        <w:lastRenderedPageBreak/>
        <w:t>净价部分以交易所收盘价为基础确定公允价值：</w:t>
      </w:r>
    </w:p>
    <w:p w14:paraId="5B1E26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实行净价交易的，按估值日收盘价估值；估值日无交易，且最近交易日后未发生影响公允价值计量的重大事件的，按最近交易日的收盘价确定公允价值；估值日无交易，且最近交易日后发生影响公允价值计量的重大事件的，应参考类似投资品种的现行价格及重大变化因素，调整最近交易日的收盘价确定公允价值。</w:t>
      </w:r>
    </w:p>
    <w:p w14:paraId="2EB62BB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实行全价交易的，按估值日收盘价减去所含的债券应收利息得到的净价确定公允价值；估值日无交易，且最近交易日后未发生影响公允价值计量的重大事件的，按最近交易日债券收盘价减去截至最近交易日所含的债券应收利息得到的净价估值；估值日无交易，且最近交易日后发生影响公允价值计量的重大事件的，应参考类似投资品种的现行价格及重大变化因素，调整最近交易日的收盘价并减去所含的债券应收利息后确定公允价值。</w:t>
      </w:r>
    </w:p>
    <w:p w14:paraId="1DB739A9" w14:textId="6F2C565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第二十条</w:t>
      </w:r>
      <w:r w:rsidR="00A45A13">
        <w:rPr>
          <w:rFonts w:ascii="宋体" w:hAnsi="宋体" w:cs="宋体" w:hint="eastAsia"/>
          <w:sz w:val="24"/>
        </w:rPr>
        <w:t xml:space="preserve"> </w:t>
      </w:r>
      <w:r>
        <w:rPr>
          <w:rFonts w:ascii="宋体" w:hAnsi="宋体" w:cs="宋体" w:hint="eastAsia"/>
          <w:sz w:val="24"/>
        </w:rPr>
        <w:t>【特殊情况下固定收益品种的估值方法】   </w:t>
      </w:r>
    </w:p>
    <w:p w14:paraId="192BD4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未包含在前述条款中，且第三方估值机构未提供价格数据的固定收益品种，可采用现金流折现法确定公允价值。在发行利率与二级市场利率不存在明显差异、未上市（或无估值）期间发行人信用状况等没有发生重大变动的情况下，可参考近期投资价格进行估值。</w:t>
      </w:r>
    </w:p>
    <w:p w14:paraId="418D80BF" w14:textId="3B77C928" w:rsidR="00A320E6" w:rsidRDefault="00000000" w:rsidP="00EF4D3D">
      <w:pPr>
        <w:pStyle w:val="13"/>
        <w:spacing w:before="62" w:after="62"/>
      </w:pPr>
      <w:r>
        <w:rPr>
          <w:rFonts w:hint="eastAsia"/>
        </w:rPr>
        <w:t>第五章</w:t>
      </w:r>
      <w:r w:rsidR="00EF4D3D">
        <w:rPr>
          <w:rFonts w:hint="eastAsia"/>
        </w:rPr>
        <w:t xml:space="preserve"> </w:t>
      </w:r>
      <w:r>
        <w:rPr>
          <w:rFonts w:hint="eastAsia"/>
        </w:rPr>
        <w:t>投资资产管理产品的估值方法</w:t>
      </w:r>
    </w:p>
    <w:p w14:paraId="6C9105A9" w14:textId="4104044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第二十一条</w:t>
      </w:r>
      <w:r w:rsidR="00C36EF7">
        <w:rPr>
          <w:rFonts w:ascii="宋体" w:hAnsi="宋体" w:cs="宋体" w:hint="eastAsia"/>
          <w:sz w:val="24"/>
        </w:rPr>
        <w:t xml:space="preserve"> </w:t>
      </w:r>
      <w:r>
        <w:rPr>
          <w:rFonts w:ascii="宋体" w:hAnsi="宋体" w:cs="宋体" w:hint="eastAsia"/>
          <w:sz w:val="24"/>
        </w:rPr>
        <w:t>【资产管理产品的定义】   </w:t>
      </w:r>
    </w:p>
    <w:p w14:paraId="129322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所称“资产管理产品”是指银行、信托、证券、基金、期货、保险资产管理机构、金融资产投资公司等金融机构接受投资者委托，对受托的投资者财产提供投资和管理的金融服务所形成的金融工具，包括但不限于银行理财产品，资金信托，证券公司、证券公司子公司、基金管理公司、基金管理子公司、期货公司、期货公司子公司、保险资产管理机构、金融资产投资公司发行的资产管理产品等。</w:t>
      </w:r>
    </w:p>
    <w:p w14:paraId="3196B744" w14:textId="28D648F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第二十二条</w:t>
      </w:r>
      <w:r w:rsidR="00C36EF7">
        <w:rPr>
          <w:rFonts w:ascii="宋体" w:hAnsi="宋体" w:cs="宋体" w:hint="eastAsia"/>
          <w:sz w:val="24"/>
        </w:rPr>
        <w:t xml:space="preserve"> </w:t>
      </w:r>
      <w:r>
        <w:rPr>
          <w:rFonts w:ascii="宋体" w:hAnsi="宋体" w:cs="宋体" w:hint="eastAsia"/>
          <w:sz w:val="24"/>
        </w:rPr>
        <w:t>【上市资产管理产品的估值方法】   </w:t>
      </w:r>
    </w:p>
    <w:p w14:paraId="7E016B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交易所上市的资产管理产品，按估值日收盘价估值；估值日无交易，且最近交易日后未发生影响公允价值计量的重大事件的，按最近交易日的收盘价估值；估值日无交易，且最近交易日后发生影响公允价值计量的重大事件的，可以最新净值为基础或参考类似投资品种的现行市价及重大变化因素，调整最近交易日的收盘价确定公允价值。</w:t>
      </w:r>
    </w:p>
    <w:p w14:paraId="1781C44E" w14:textId="52471B2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lastRenderedPageBreak/>
        <w:t>第二十三条</w:t>
      </w:r>
      <w:r w:rsidR="00C36EF7">
        <w:rPr>
          <w:rFonts w:ascii="宋体" w:hAnsi="宋体" w:cs="宋体" w:hint="eastAsia"/>
          <w:sz w:val="24"/>
        </w:rPr>
        <w:t xml:space="preserve"> </w:t>
      </w:r>
      <w:r>
        <w:rPr>
          <w:rFonts w:ascii="宋体" w:hAnsi="宋体" w:cs="宋体" w:hint="eastAsia"/>
          <w:sz w:val="24"/>
        </w:rPr>
        <w:t>【非交易所上市资产管理产品的估值方法】   </w:t>
      </w:r>
    </w:p>
    <w:p w14:paraId="6854AA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证券交易所上市的资产管理产品，估值日资产管理人提供单位&gt;净值的，按资产管理人提供的估值日单位净值估值；估值日资产管理人未提供单位净值，且从最近净值提供日到估值日整体市场环境及投资标的未发生重大变化的，可参考最近可获取的单位净值确定公允价值；若有充足证据表明最近可获取的单位净值不能真实反映公允价值的，可采用估值技术确定公允价值。</w:t>
      </w:r>
    </w:p>
    <w:p w14:paraId="1313F86C" w14:textId="4902F7C3"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第二十四条</w:t>
      </w:r>
      <w:r w:rsidR="00A45A13">
        <w:rPr>
          <w:rFonts w:ascii="宋体" w:hAnsi="宋体" w:cs="宋体" w:hint="eastAsia"/>
          <w:sz w:val="24"/>
        </w:rPr>
        <w:t xml:space="preserve"> </w:t>
      </w:r>
      <w:r>
        <w:rPr>
          <w:rFonts w:ascii="宋体" w:hAnsi="宋体" w:cs="宋体" w:hint="eastAsia"/>
          <w:sz w:val="24"/>
        </w:rPr>
        <w:t>【特殊情况下资产管理产品的估值方法】   </w:t>
      </w:r>
    </w:p>
    <w:p w14:paraId="002E10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资产管理产品处于封闭期的，封闭期内如无重大变化的，按照最新公布的单位净值估值；无单位净值的，可参考近期投资价格进行估值。</w:t>
      </w:r>
    </w:p>
    <w:p w14:paraId="0233C48C" w14:textId="03F78A82" w:rsidR="00A320E6" w:rsidRDefault="00000000" w:rsidP="00EF4D3D">
      <w:pPr>
        <w:pStyle w:val="13"/>
        <w:spacing w:before="62" w:after="62"/>
      </w:pPr>
      <w:r>
        <w:rPr>
          <w:rFonts w:hint="eastAsia"/>
        </w:rPr>
        <w:t>第六章</w:t>
      </w:r>
      <w:r w:rsidR="00EF4D3D">
        <w:rPr>
          <w:rFonts w:hint="eastAsia"/>
        </w:rPr>
        <w:t xml:space="preserve"> </w:t>
      </w:r>
      <w:r>
        <w:rPr>
          <w:rFonts w:hint="eastAsia"/>
        </w:rPr>
        <w:t>投资其他金融资产的估值方法</w:t>
      </w:r>
    </w:p>
    <w:p w14:paraId="1707E44A" w14:textId="1636BA2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第二十五条</w:t>
      </w:r>
      <w:r w:rsidR="00A45A13">
        <w:rPr>
          <w:rFonts w:ascii="宋体" w:hAnsi="宋体" w:cs="宋体" w:hint="eastAsia"/>
          <w:sz w:val="24"/>
        </w:rPr>
        <w:t xml:space="preserve"> </w:t>
      </w:r>
      <w:r>
        <w:rPr>
          <w:rFonts w:ascii="宋体" w:hAnsi="宋体" w:cs="宋体" w:hint="eastAsia"/>
          <w:sz w:val="24"/>
        </w:rPr>
        <w:t>【交易所交易衍生品的估值方法】   </w:t>
      </w:r>
    </w:p>
    <w:p w14:paraId="24CD99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交易所交易的衍生品或具有衍生品性质的其他合约（如：股票期权、股指期货、国债期货、商品期货、贵金属现货延期交收合约等），按估值日交易所公布的当日结算价估值；估值日无交易，且最近交易日后未发生影响公允价值计量的重大事件的，按最近交易日的结算价估值；如最近交易日后发生影响公允价值计量的重大事件的，应采取相应的衍生品估值模型，确定公允价值。</w:t>
      </w:r>
    </w:p>
    <w:p w14:paraId="7E96F5BE" w14:textId="5EFB982F"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第二十六条</w:t>
      </w:r>
      <w:r w:rsidR="00A45A13">
        <w:rPr>
          <w:rFonts w:ascii="宋体" w:hAnsi="宋体" w:cs="宋体" w:hint="eastAsia"/>
          <w:sz w:val="24"/>
        </w:rPr>
        <w:t xml:space="preserve"> </w:t>
      </w:r>
      <w:r>
        <w:rPr>
          <w:rFonts w:ascii="宋体" w:hAnsi="宋体" w:cs="宋体" w:hint="eastAsia"/>
          <w:sz w:val="24"/>
        </w:rPr>
        <w:t>【非交易所交易衍生品的估值方法】   </w:t>
      </w:r>
    </w:p>
    <w:p w14:paraId="005E7E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非交易所交易的衍生品，可依据第三方估值机构提供的价格数据或采取相应的衍生品估值模型确定公允价值。</w:t>
      </w:r>
    </w:p>
    <w:p w14:paraId="4414FE40" w14:textId="7E8941F1"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第二十七条</w:t>
      </w:r>
      <w:r w:rsidR="00A45A13">
        <w:rPr>
          <w:rFonts w:ascii="宋体" w:hAnsi="宋体" w:cs="宋体" w:hint="eastAsia"/>
          <w:sz w:val="24"/>
        </w:rPr>
        <w:t xml:space="preserve"> </w:t>
      </w:r>
      <w:r>
        <w:rPr>
          <w:rFonts w:ascii="宋体" w:hAnsi="宋体" w:cs="宋体" w:hint="eastAsia"/>
          <w:sz w:val="24"/>
        </w:rPr>
        <w:t>【非上市公司股权的估值方法】   </w:t>
      </w:r>
    </w:p>
    <w:p w14:paraId="746AA9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非上市公司股权，应综合考虑被评估企业实际情况、市场交易情况及其他可获得的信息，采用市场法、收益法、成本法等估值技术，结合流动性折扣等因素评估公允价值。</w:t>
      </w:r>
    </w:p>
    <w:p w14:paraId="3B02044E" w14:textId="2542DDAA"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第二十八条</w:t>
      </w:r>
      <w:r w:rsidR="00A45A13">
        <w:rPr>
          <w:rFonts w:ascii="宋体" w:hAnsi="宋体" w:cs="宋体" w:hint="eastAsia"/>
          <w:sz w:val="24"/>
        </w:rPr>
        <w:t xml:space="preserve"> </w:t>
      </w:r>
      <w:r>
        <w:rPr>
          <w:rFonts w:ascii="宋体" w:hAnsi="宋体" w:cs="宋体" w:hint="eastAsia"/>
          <w:sz w:val="24"/>
        </w:rPr>
        <w:t>【其他投资品种的估值方法】   </w:t>
      </w:r>
    </w:p>
    <w:p w14:paraId="576BF9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对未包含在前述条款中的其他投资品种，按照估值原则选取恰当的估值方法确定公允价值。</w:t>
      </w:r>
    </w:p>
    <w:p w14:paraId="64509E09" w14:textId="0CA99A87" w:rsidR="00A320E6" w:rsidRDefault="00000000" w:rsidP="003F57DD">
      <w:pPr>
        <w:pStyle w:val="13"/>
        <w:spacing w:before="62" w:after="62"/>
      </w:pPr>
      <w:r>
        <w:rPr>
          <w:rFonts w:hint="eastAsia"/>
        </w:rPr>
        <w:t>第七章</w:t>
      </w:r>
      <w:r w:rsidR="003F57DD">
        <w:rPr>
          <w:rFonts w:hint="eastAsia"/>
        </w:rPr>
        <w:t xml:space="preserve"> </w:t>
      </w:r>
      <w:r>
        <w:rPr>
          <w:rFonts w:hint="eastAsia"/>
        </w:rPr>
        <w:t>金融负债的估值方法</w:t>
      </w:r>
    </w:p>
    <w:p w14:paraId="03CBB1FD" w14:textId="0B4ADD3D"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第二十九条</w:t>
      </w:r>
      <w:r w:rsidR="00A45A13">
        <w:rPr>
          <w:rFonts w:ascii="宋体" w:hAnsi="宋体" w:cs="宋体" w:hint="eastAsia"/>
          <w:sz w:val="24"/>
        </w:rPr>
        <w:t xml:space="preserve"> </w:t>
      </w:r>
      <w:r>
        <w:rPr>
          <w:rFonts w:ascii="宋体" w:hAnsi="宋体" w:cs="宋体" w:hint="eastAsia"/>
          <w:sz w:val="24"/>
        </w:rPr>
        <w:t>【金融负债的估值方法】   </w:t>
      </w:r>
    </w:p>
    <w:p w14:paraId="3877ED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证券公司承担的、以公允价值计量的金融负债，按照负债本身及对应资产的市</w:t>
      </w:r>
      <w:r>
        <w:rPr>
          <w:rFonts w:ascii="宋体" w:hAnsi="宋体" w:cs="宋体" w:hint="eastAsia"/>
          <w:sz w:val="24"/>
        </w:rPr>
        <w:lastRenderedPageBreak/>
        <w:t>场交易情况，采取不同的估值方法。</w:t>
      </w:r>
    </w:p>
    <w:p w14:paraId="6BEEC38E" w14:textId="1BCEEC24"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第三十条</w:t>
      </w:r>
      <w:r w:rsidR="00A45A13">
        <w:rPr>
          <w:rFonts w:ascii="宋体" w:hAnsi="宋体" w:cs="宋体" w:hint="eastAsia"/>
          <w:sz w:val="24"/>
        </w:rPr>
        <w:t xml:space="preserve"> </w:t>
      </w:r>
      <w:r>
        <w:rPr>
          <w:rFonts w:ascii="宋体" w:hAnsi="宋体" w:cs="宋体" w:hint="eastAsia"/>
          <w:sz w:val="24"/>
        </w:rPr>
        <w:t>【存在活跃市场负债的估值方法】   </w:t>
      </w:r>
    </w:p>
    <w:p w14:paraId="41D11C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负债本身存在活跃市场的，按估值日收盘价估值；估值日无交易，且最近交易日后未发生影响公允价值计量的重大事件的，按最近交易日的收盘价估值；估值日无交易，且最近交易日后发生影响公允价值计量的重大事件的，应参考类似投资品种的现行价格及重大变化因素，调整最近交易日的收盘价，确定公允价值。</w:t>
      </w:r>
    </w:p>
    <w:p w14:paraId="0E3DE111" w14:textId="119E8CBE"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第三十一条</w:t>
      </w:r>
      <w:r w:rsidR="00C36EF7">
        <w:rPr>
          <w:rFonts w:ascii="宋体" w:hAnsi="宋体" w:cs="宋体" w:hint="eastAsia"/>
          <w:sz w:val="24"/>
        </w:rPr>
        <w:t xml:space="preserve"> </w:t>
      </w:r>
      <w:r>
        <w:rPr>
          <w:rFonts w:ascii="宋体" w:hAnsi="宋体" w:cs="宋体" w:hint="eastAsia"/>
          <w:sz w:val="24"/>
        </w:rPr>
        <w:t>【不存在活跃市场负债的估值方法】   </w:t>
      </w:r>
    </w:p>
    <w:p w14:paraId="76F008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负债本身不存在活跃市场，但其他方将其作为资产持有，可以对应资产的估值为基础确定负债的公允价值。</w:t>
      </w:r>
    </w:p>
    <w:p w14:paraId="7190EF42" w14:textId="5287A1DF" w:rsidR="00A320E6" w:rsidRDefault="00000000" w:rsidP="00EF4D3D">
      <w:pPr>
        <w:pStyle w:val="13"/>
        <w:spacing w:before="62" w:after="62"/>
      </w:pPr>
      <w:r>
        <w:rPr>
          <w:rFonts w:hint="eastAsia"/>
        </w:rPr>
        <w:t>第八章</w:t>
      </w:r>
      <w:r w:rsidR="00EF4D3D">
        <w:rPr>
          <w:rFonts w:hint="eastAsia"/>
        </w:rPr>
        <w:t xml:space="preserve"> </w:t>
      </w:r>
      <w:r>
        <w:rPr>
          <w:rFonts w:hint="eastAsia"/>
        </w:rPr>
        <w:t>附则</w:t>
      </w:r>
    </w:p>
    <w:p w14:paraId="6037A33F" w14:textId="716FA4E5"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第三十二条</w:t>
      </w:r>
      <w:r w:rsidR="00977BD5">
        <w:rPr>
          <w:rFonts w:ascii="宋体" w:hAnsi="宋体" w:cs="宋体" w:hint="eastAsia"/>
          <w:sz w:val="24"/>
        </w:rPr>
        <w:t xml:space="preserve"> </w:t>
      </w:r>
    </w:p>
    <w:p w14:paraId="517E93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本指引由中国证券业协会负责解释、修订。</w:t>
      </w:r>
    </w:p>
    <w:p w14:paraId="7FFB2EF1" w14:textId="3FAE8DB7"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第三十三条</w:t>
      </w:r>
      <w:r w:rsidR="00977BD5">
        <w:rPr>
          <w:rFonts w:ascii="宋体" w:hAnsi="宋体" w:cs="宋体" w:hint="eastAsia"/>
          <w:sz w:val="24"/>
        </w:rPr>
        <w:t xml:space="preserve"> </w:t>
      </w:r>
    </w:p>
    <w:p w14:paraId="6244D3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证券公司相关境内子公司参照执行。</w:t>
      </w:r>
    </w:p>
    <w:p w14:paraId="0570E562" w14:textId="03E2C80C" w:rsidR="00A320E6" w:rsidRDefault="00EC0B72" w:rsidP="00AE0286">
      <w:pPr>
        <w:pStyle w:val="a3"/>
        <w:spacing w:line="360" w:lineRule="auto"/>
        <w:ind w:firstLine="482"/>
        <w:rPr>
          <w:rFonts w:ascii="宋体" w:hAnsi="宋体" w:cs="宋体"/>
          <w:sz w:val="24"/>
        </w:rPr>
      </w:pPr>
      <w:r w:rsidRPr="00EC0B72">
        <w:rPr>
          <w:rFonts w:ascii="宋体" w:hAnsi="宋体" w:cs="宋体" w:hint="eastAsia"/>
          <w:b/>
          <w:sz w:val="24"/>
        </w:rPr>
        <w:t>第三十四条</w:t>
      </w:r>
      <w:r w:rsidR="00977BD5">
        <w:rPr>
          <w:rFonts w:ascii="宋体" w:hAnsi="宋体" w:cs="宋体" w:hint="eastAsia"/>
          <w:sz w:val="24"/>
        </w:rPr>
        <w:t xml:space="preserve"> </w:t>
      </w:r>
    </w:p>
    <w:p w14:paraId="571C84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本指引自发布之日起施行。</w:t>
      </w:r>
    </w:p>
    <w:p w14:paraId="7C1C4F72" w14:textId="77777777" w:rsidR="00A320E6" w:rsidRPr="00242998" w:rsidRDefault="00000000" w:rsidP="00242998">
      <w:pPr>
        <w:pStyle w:val="34"/>
        <w:rPr>
          <w:rStyle w:val="aa"/>
          <w:b/>
        </w:rPr>
      </w:pPr>
      <w:bookmarkStart w:id="70" w:name="_Toc112227378"/>
      <w:r w:rsidRPr="00242998">
        <w:rPr>
          <w:rStyle w:val="aa"/>
          <w:rFonts w:hint="eastAsia"/>
          <w:b/>
        </w:rPr>
        <w:t>私募投资基金非上市股权投资估值指引（试行）</w:t>
      </w:r>
      <w:bookmarkEnd w:id="70"/>
    </w:p>
    <w:p w14:paraId="6520C8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引导私募投资基金非上市股权投资专业化估值，完善资产管理行业估值标准体系，促进私募基金行业健康发展，保护基金持有人利益，中国证券投资基金业协会（以下简称“协会”）托管与运营专业委员会估值核算小组制定了《私募投资基金非上市股权投资估值指引(试行)》，于2018年3月5日经协会第二届理事会表决通过，并经中国证券监督管理委员会批准，现予发布，自2018年7月1日起施行。</w:t>
      </w:r>
    </w:p>
    <w:p w14:paraId="35CB866D" w14:textId="77777777" w:rsidR="00A320E6" w:rsidRDefault="00000000" w:rsidP="00AE0286">
      <w:pPr>
        <w:pStyle w:val="a3"/>
        <w:spacing w:line="360" w:lineRule="auto"/>
        <w:ind w:firstLine="480"/>
        <w:jc w:val="right"/>
        <w:rPr>
          <w:rFonts w:ascii="宋体" w:hAnsi="宋体" w:cs="宋体"/>
          <w:sz w:val="24"/>
        </w:rPr>
      </w:pPr>
      <w:r>
        <w:rPr>
          <w:rFonts w:ascii="宋体" w:hAnsi="宋体" w:cs="宋体" w:hint="eastAsia"/>
          <w:sz w:val="24"/>
        </w:rPr>
        <w:t>中国证券投资基金业协会</w:t>
      </w:r>
      <w:r>
        <w:rPr>
          <w:rFonts w:ascii="宋体" w:hAnsi="宋体" w:cs="宋体" w:hint="eastAsia"/>
          <w:sz w:val="24"/>
        </w:rPr>
        <w:br/>
        <w:t>二零一八年三月三十日</w:t>
      </w:r>
    </w:p>
    <w:p w14:paraId="5BF0C861" w14:textId="26DEF395" w:rsidR="00A320E6" w:rsidRDefault="00000000" w:rsidP="003F57DD">
      <w:pPr>
        <w:pStyle w:val="1a"/>
      </w:pPr>
      <w:r>
        <w:rPr>
          <w:rFonts w:hint="eastAsia"/>
        </w:rPr>
        <w:t>一、总则</w:t>
      </w:r>
    </w:p>
    <w:p w14:paraId="34B3DE89" w14:textId="0084622F"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一）为引导私募投资基金（以下简称“私募基金”）专业化估值，保护基金持有人的利益，根据《证券投资基金法》、《企业会计准则》、《私募投资基金监督管理暂行办法》、《证券期货经营机构私募资产管理业务运作管理暂行规定》等法律、法规，及《私募投资基金信息披露管理办法》、《私募投资基金服务业务管</w:t>
      </w:r>
      <w:r>
        <w:rPr>
          <w:rFonts w:ascii="宋体" w:hAnsi="宋体" w:cs="宋体" w:hint="eastAsia"/>
          <w:sz w:val="24"/>
        </w:rPr>
        <w:lastRenderedPageBreak/>
        <w:t>理办法（试行）》等自律规则，制定本指引。</w:t>
      </w:r>
    </w:p>
    <w:p w14:paraId="3884C073" w14:textId="43D17142" w:rsidR="00A320E6" w:rsidRDefault="00000000" w:rsidP="003F57DD">
      <w:pPr>
        <w:pStyle w:val="a3"/>
        <w:spacing w:line="360" w:lineRule="auto"/>
        <w:ind w:firstLine="480"/>
        <w:rPr>
          <w:rFonts w:ascii="宋体" w:hAnsi="宋体" w:cs="宋体"/>
          <w:sz w:val="24"/>
        </w:rPr>
      </w:pPr>
      <w:r>
        <w:rPr>
          <w:rFonts w:ascii="宋体" w:hAnsi="宋体" w:cs="宋体" w:hint="eastAsia"/>
          <w:sz w:val="24"/>
        </w:rPr>
        <w:t>（二）本指引所称的私募基金，包括基金管理公司及其子公司管理的特定客户资产管理计划、证券公司及其子公司管理的资产管理计划、期货公司及其子公司管理的资产管理计划以及经中国证券投资基金业协会登记的私募基金管理人管理的私募投资基金。</w:t>
      </w:r>
    </w:p>
    <w:p w14:paraId="0BB27C87" w14:textId="7C0DB73F"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（三）本指引所称的非上市股权投资，是指私募基金对未上市企业进行的股权投资。对于已在全国中小企业股份转让系统挂牌但交易不活跃的企业，其股权估值参考本指引执行。</w:t>
      </w:r>
    </w:p>
    <w:p w14:paraId="4FECEB14" w14:textId="7DFEF190" w:rsidR="00A320E6" w:rsidRDefault="00000000" w:rsidP="003F57DD">
      <w:pPr>
        <w:pStyle w:val="a3"/>
        <w:spacing w:line="360" w:lineRule="auto"/>
        <w:ind w:firstLine="480"/>
        <w:rPr>
          <w:rFonts w:ascii="宋体" w:hAnsi="宋体" w:cs="宋体"/>
          <w:sz w:val="24"/>
        </w:rPr>
      </w:pPr>
      <w:r>
        <w:rPr>
          <w:rFonts w:ascii="宋体" w:hAnsi="宋体" w:cs="宋体" w:hint="eastAsia"/>
          <w:sz w:val="24"/>
        </w:rPr>
        <w:t>（四）私募基金管理人（以下简称“基金管理人”）和基金服务机构对私募基金持有的非上市股权进行估值时，参照本指引执行。其他类型的投资基金在对其持有的非上市股权进行估值时，参考本指引执行。</w:t>
      </w:r>
    </w:p>
    <w:p w14:paraId="488F40DC" w14:textId="4834F1EF" w:rsidR="00A320E6" w:rsidRDefault="00000000" w:rsidP="003F57DD">
      <w:pPr>
        <w:pStyle w:val="a3"/>
        <w:spacing w:line="360" w:lineRule="auto"/>
        <w:ind w:firstLine="480"/>
        <w:rPr>
          <w:rFonts w:ascii="宋体" w:hAnsi="宋体" w:cs="宋体"/>
          <w:sz w:val="24"/>
        </w:rPr>
      </w:pPr>
      <w:r>
        <w:rPr>
          <w:rFonts w:ascii="宋体" w:hAnsi="宋体" w:cs="宋体" w:hint="eastAsia"/>
          <w:sz w:val="24"/>
        </w:rPr>
        <w:t>（五）如果基金管理人未按照第（三）、（四）条进行估值，应当在相关的合同或协议中进行约定并依据相关法律法规、会计准则及自律规则履行相应的信息披露义务。</w:t>
      </w:r>
    </w:p>
    <w:p w14:paraId="4517DA49" w14:textId="1EDD0525" w:rsidR="00A320E6" w:rsidRDefault="00000000" w:rsidP="003F57DD">
      <w:pPr>
        <w:pStyle w:val="a3"/>
        <w:spacing w:line="360" w:lineRule="auto"/>
        <w:ind w:firstLine="480"/>
        <w:rPr>
          <w:rFonts w:ascii="宋体" w:hAnsi="宋体" w:cs="宋体"/>
          <w:sz w:val="24"/>
        </w:rPr>
      </w:pPr>
      <w:r>
        <w:rPr>
          <w:rFonts w:ascii="宋体" w:hAnsi="宋体" w:cs="宋体" w:hint="eastAsia"/>
          <w:sz w:val="24"/>
        </w:rPr>
        <w:t>（六）基金管理人作为估值的第一责任人，应当对估值方法和估值参数等承担最终责任，并定期对估值结论进行检验，防范可能出现的重大偏差。</w:t>
      </w:r>
    </w:p>
    <w:p w14:paraId="7ABDBA3B" w14:textId="5E79D3E4"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（七）本指引自2018年7月1日起施行。</w:t>
      </w:r>
    </w:p>
    <w:p w14:paraId="2003B426" w14:textId="5B0D0AC8" w:rsidR="003F57DD" w:rsidRDefault="003F57DD" w:rsidP="003F57DD">
      <w:pPr>
        <w:pStyle w:val="1a"/>
      </w:pPr>
      <w:r w:rsidRPr="003F57DD">
        <w:rPr>
          <w:rFonts w:hint="eastAsia"/>
        </w:rPr>
        <w:t>二、估值原则</w:t>
      </w:r>
    </w:p>
    <w:p w14:paraId="66A0AB76" w14:textId="71FD5DC8"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一）基金管理人应当在估值日估计各单项投资的公允价值。具有相同资产特征的投资每个估值日采用的估值技术应当保持一致。只有在变更估值技术或其应用能使计量结果在当前情况下同样或者更能代表公允价值的情况下,基金管理人方可采用不同的估值技术，并依据相关法律法规、会计准则及自律规则履行相应的信息披露义务。本指引中所指估值技术与《企业会计准则第39号——公允价值计量》中的估值技术含义相同，估值方法是指对估值技术的具体应用。</w:t>
      </w:r>
    </w:p>
    <w:p w14:paraId="4721E1EA" w14:textId="2DAC8ACC" w:rsidR="00A320E6" w:rsidRDefault="00000000" w:rsidP="003F57DD">
      <w:pPr>
        <w:pStyle w:val="a3"/>
        <w:spacing w:line="360" w:lineRule="auto"/>
        <w:ind w:firstLine="480"/>
        <w:rPr>
          <w:rFonts w:ascii="宋体" w:hAnsi="宋体" w:cs="宋体"/>
          <w:sz w:val="24"/>
        </w:rPr>
      </w:pPr>
      <w:r>
        <w:rPr>
          <w:rFonts w:ascii="宋体" w:hAnsi="宋体" w:cs="宋体" w:hint="eastAsia"/>
          <w:sz w:val="24"/>
        </w:rPr>
        <w:t>（二）如果非上市股权投资采用的货币与私募基金的记账货币不同，基金管理人应当使用估值日的即期汇率将投资货币转换为记账货币。</w:t>
      </w:r>
    </w:p>
    <w:p w14:paraId="53D723B4" w14:textId="0D55B8E8"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（三）在确定非上市股权的公允价值时，基金管理人应当遵循实质重于形式的原则，对于可能影响公允价值的具体投资条款做出相应的判断。</w:t>
      </w:r>
    </w:p>
    <w:p w14:paraId="26929744" w14:textId="3D76BBA5" w:rsidR="00A320E6" w:rsidRDefault="00000000" w:rsidP="003F57DD">
      <w:pPr>
        <w:pStyle w:val="a3"/>
        <w:spacing w:line="360" w:lineRule="auto"/>
        <w:ind w:firstLine="480"/>
        <w:rPr>
          <w:rFonts w:ascii="宋体" w:hAnsi="宋体" w:cs="宋体"/>
          <w:sz w:val="24"/>
        </w:rPr>
      </w:pPr>
      <w:r>
        <w:rPr>
          <w:rFonts w:ascii="宋体" w:hAnsi="宋体" w:cs="宋体" w:hint="eastAsia"/>
          <w:sz w:val="24"/>
        </w:rPr>
        <w:t>（四）由于通常不存在为非上市股权提供活跃报价的交易市场，因此在估计非</w:t>
      </w:r>
      <w:r>
        <w:rPr>
          <w:rFonts w:ascii="宋体" w:hAnsi="宋体" w:cs="宋体" w:hint="eastAsia"/>
          <w:sz w:val="24"/>
        </w:rPr>
        <w:lastRenderedPageBreak/>
        <w:t>上市股权公允价值时，无论该股权是否准备于近期出售，基金管理人都应假定估值日发生了出售该股权的交易，并以此假定交易的价格为基础计量该股权的公允价值。</w:t>
      </w:r>
    </w:p>
    <w:p w14:paraId="044E93B2" w14:textId="0C2268B9" w:rsidR="00A320E6" w:rsidRDefault="00000000" w:rsidP="003F57DD">
      <w:pPr>
        <w:pStyle w:val="a3"/>
        <w:spacing w:line="360" w:lineRule="auto"/>
        <w:ind w:firstLine="480"/>
        <w:rPr>
          <w:rFonts w:ascii="宋体" w:hAnsi="宋体" w:cs="宋体"/>
          <w:sz w:val="24"/>
        </w:rPr>
      </w:pPr>
      <w:r>
        <w:rPr>
          <w:rFonts w:ascii="宋体" w:hAnsi="宋体" w:cs="宋体" w:hint="eastAsia"/>
          <w:sz w:val="24"/>
        </w:rPr>
        <w:t>（五）私募基金投资于同一被投资企业发行的不同轮次的股权，若各轮次股权之间的权利与义务存在差异，基金管理人需考虑各轮次股权不同的权利和义务对公允价值的影响并对其分别进行估值。</w:t>
      </w:r>
    </w:p>
    <w:p w14:paraId="6359B06B" w14:textId="6C6F11CD" w:rsidR="00A320E6" w:rsidRDefault="00000000" w:rsidP="003F57DD">
      <w:pPr>
        <w:pStyle w:val="a3"/>
        <w:spacing w:line="360" w:lineRule="auto"/>
        <w:ind w:firstLine="480"/>
        <w:rPr>
          <w:rFonts w:ascii="宋体" w:hAnsi="宋体" w:cs="宋体"/>
          <w:sz w:val="24"/>
        </w:rPr>
      </w:pPr>
      <w:r>
        <w:rPr>
          <w:rFonts w:ascii="宋体" w:hAnsi="宋体" w:cs="宋体" w:hint="eastAsia"/>
          <w:sz w:val="24"/>
        </w:rPr>
        <w:t>（六）在估计某项非上市股权的公允价值时，基金管理人应从该股权的自身情况和市场环境出发，谨慎选择使用多种分属不同估值技术的方法，在可合理取得市场参与者假设的前提下采用合理的市场数据。基金管理人应当对各种估值方法形成的估值结果之间的差异进行分析，结合各种估值方法的适用条件、重要参数的选取依据、估值方法的运用过程等相关因素，综合判断后确定最合理的估值结果。</w:t>
      </w:r>
    </w:p>
    <w:p w14:paraId="49F73A79" w14:textId="1B2DDF64" w:rsidR="00A320E6" w:rsidRDefault="00000000" w:rsidP="003F57DD">
      <w:pPr>
        <w:pStyle w:val="a3"/>
        <w:spacing w:line="360" w:lineRule="auto"/>
        <w:ind w:firstLine="480"/>
        <w:rPr>
          <w:rFonts w:ascii="宋体" w:hAnsi="宋体" w:cs="宋体"/>
          <w:sz w:val="24"/>
        </w:rPr>
      </w:pPr>
      <w:r>
        <w:rPr>
          <w:rFonts w:ascii="宋体" w:hAnsi="宋体" w:cs="宋体" w:hint="eastAsia"/>
          <w:sz w:val="24"/>
        </w:rPr>
        <w:t>（七）基金管理人可以采用情景分析的方式综合运用多种估值方法。基金管理人可以从非上市股权投资的各种潜在退出方式出发，在不同退出方式下采用不同的估值方法，并结合各退出方式的可实现概率对非上市股权的公允价值进行综合分析。</w:t>
      </w:r>
    </w:p>
    <w:p w14:paraId="6F85DDCC" w14:textId="23F939E2" w:rsidR="00A320E6" w:rsidRDefault="00000000" w:rsidP="003F57DD">
      <w:pPr>
        <w:pStyle w:val="a3"/>
        <w:spacing w:line="360" w:lineRule="auto"/>
        <w:ind w:firstLine="480"/>
        <w:rPr>
          <w:rFonts w:ascii="宋体" w:hAnsi="宋体" w:cs="宋体"/>
          <w:sz w:val="24"/>
        </w:rPr>
      </w:pPr>
      <w:r>
        <w:rPr>
          <w:rFonts w:ascii="宋体" w:hAnsi="宋体" w:cs="宋体" w:hint="eastAsia"/>
          <w:sz w:val="24"/>
        </w:rPr>
        <w:t>（八）非上市股权成功上市后的公允价值或采用其他退出方式实现的退出价格与私募基金持有非上市股权期间的公允价值估计之间可能存在重大差异，基金管理人必须对此差异予以关注并进行分析，即通过分析下列问题提升基金管理人今后的估值水平：</w:t>
      </w:r>
    </w:p>
    <w:p w14:paraId="7D9AC7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1、在估值日，确认哪些信息是已知的或可获取的；</w:t>
      </w:r>
    </w:p>
    <w:p w14:paraId="35EE1FA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2、上述信息是如何反映在最近的公允价值估计中的；</w:t>
      </w:r>
    </w:p>
    <w:p w14:paraId="0B4099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3、以上市后的公允价值或退出价格为参照，之前的公允价值估值过程是否恰当地反映了上述信息。</w:t>
      </w:r>
    </w:p>
    <w:p w14:paraId="483BF2E4" w14:textId="7AD056E7" w:rsidR="00A320E6" w:rsidRDefault="00000000" w:rsidP="003F57DD">
      <w:pPr>
        <w:pStyle w:val="1a"/>
      </w:pPr>
      <w:r>
        <w:rPr>
          <w:rFonts w:hint="eastAsia"/>
        </w:rPr>
        <w:t>三、估值方法</w:t>
      </w:r>
    </w:p>
    <w:p w14:paraId="3EE202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基金管理人应当充分考虑市场参与者在选择估值方法时考虑的各种因素，并结合自己的判断，采用多种分属不同估值技术的方法对非上市股权进行估值。</w:t>
      </w:r>
    </w:p>
    <w:p w14:paraId="13F27B34" w14:textId="586D31A3" w:rsidR="003F57DD" w:rsidRDefault="00000000" w:rsidP="003F57DD">
      <w:pPr>
        <w:pStyle w:val="1a"/>
      </w:pPr>
      <w:r>
        <w:rPr>
          <w:rFonts w:hint="eastAsia"/>
        </w:rPr>
        <w:t>（一）市场法</w:t>
      </w:r>
    </w:p>
    <w:p w14:paraId="0DF8E7EE" w14:textId="631E1402" w:rsidR="00A320E6" w:rsidRDefault="00000000" w:rsidP="003F57DD">
      <w:pPr>
        <w:pStyle w:val="a3"/>
        <w:spacing w:line="360" w:lineRule="auto"/>
        <w:ind w:firstLine="480"/>
        <w:rPr>
          <w:rFonts w:ascii="宋体" w:hAnsi="宋体" w:cs="宋体"/>
          <w:sz w:val="24"/>
        </w:rPr>
      </w:pPr>
      <w:r>
        <w:rPr>
          <w:rFonts w:ascii="宋体" w:hAnsi="宋体" w:cs="宋体" w:hint="eastAsia"/>
          <w:sz w:val="24"/>
        </w:rPr>
        <w:t>在估计非上市股权的公允价值时，通常使用的市场法包括参考最近融资价格法、市场乘数法、行业指标法。</w:t>
      </w:r>
    </w:p>
    <w:p w14:paraId="20E6515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1、参考最近融资价格法</w:t>
      </w:r>
    </w:p>
    <w:p w14:paraId="3ECAE26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（1）基金管理人可采用被投资企业最近一次融资的价格对私募基金持有的非上</w:t>
      </w:r>
      <w:r>
        <w:rPr>
          <w:rFonts w:ascii="宋体" w:hAnsi="宋体" w:cs="宋体" w:hint="eastAsia"/>
          <w:sz w:val="24"/>
        </w:rPr>
        <w:lastRenderedPageBreak/>
        <w:t>市股权进行估值。由于初创企业通常尚未产生稳定的收入或利润，但融资活动一般比较频繁，因此参考最近融资价格法在此类企业的估值中应用较多。</w:t>
      </w:r>
    </w:p>
    <w:p w14:paraId="085B55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在运用参考最近融资价格法时，基金管理人应当对最近融资价格的公允性做出判断。如果没有主要的新投资人参与最近融资，或最近融资金额对被投资企业而言并不重大，或最近交易被认为是非有序交易（如被迫出售股权或对被投资企业陷入危机后的拯救性投资），则该融资价格一般不作为被投资企业公允价值的最佳估计使用。此外，基金管理人还应当结合最近融资的具体情况，考虑是否需要对影响最近融资价格公允性的因素进行调整，相关因素包括但不限于：</w:t>
      </w:r>
    </w:p>
    <w:p w14:paraId="32DB3F0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①最近融资使用的权益工具与私募基金持有的非上市股权在权利和义务上是否相同；</w:t>
      </w:r>
    </w:p>
    <w:p w14:paraId="200CA3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②被投资企业的关联方或其他第三方是否为新投资人提供各种形式的投资回报担保；</w:t>
      </w:r>
    </w:p>
    <w:p w14:paraId="1FFB00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③新投资人的投资是否造成对原股东的非等比例摊薄；</w:t>
      </w:r>
    </w:p>
    <w:p w14:paraId="7B5738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④最近融资价格中是否包括了新投资人可实现的特定协同效应，或新投资人是否可享有某些特定投资条款，或新投资人除现金出资外是否还投入了其他有形或无形的资源。</w:t>
      </w:r>
    </w:p>
    <w:p w14:paraId="5C31E0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特定情况下，伴随新发股权融资，被投资企业的现有股东会将其持有的一部分股权（以下简称“老股”）出售给新投资人，老股的出售价格往往与新发股权的价格不同。针对此价格差异，基金管理人需要分析差异形成的原因，如老股与新发股权是否对应了不同的权利和义务、是否面临着不同的限制，以及老股出售的动机等。基金管理人应当结合价格差异形成原因，综合考虑其他可用信息，合理确定公允价值的取值依据。</w:t>
      </w:r>
    </w:p>
    <w:p w14:paraId="007DAC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估值日距离融资完成的时间越久，最近融资价格的参考意义越弱。基金管理人在后续估值日运用最近融资价格法时，应当根据市场情况及被投资企业自身情况的变化判断最近融资价格是否仍可作为公允价值的最佳估计。基金管理人在后续估值日通常需要对最近融资价格进行调整的情形包括但不限于：</w:t>
      </w:r>
    </w:p>
    <w:p w14:paraId="7057E71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①被投资企业的经营业绩与财务预算或预设业绩指标之间出现重大差异；</w:t>
      </w:r>
    </w:p>
    <w:p w14:paraId="7749F5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②被投资企业实现原定技术突破的预期发生了重大变化；</w:t>
      </w:r>
    </w:p>
    <w:p w14:paraId="6B6DCD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③被投资企业面对的宏观经济环境、市场竞争格局、产业政策等发生了重大变</w:t>
      </w:r>
      <w:r>
        <w:rPr>
          <w:rFonts w:ascii="宋体" w:hAnsi="宋体" w:cs="宋体" w:hint="eastAsia"/>
          <w:sz w:val="24"/>
        </w:rPr>
        <w:lastRenderedPageBreak/>
        <w:t>化；</w:t>
      </w:r>
    </w:p>
    <w:p w14:paraId="6E6576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④被投资企业的主营业务或经营战略发生了重大变化；</w:t>
      </w:r>
    </w:p>
    <w:p w14:paraId="458B00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⑤被投资企业的可比公司的业绩或者市场估值水平出现重大变化；</w:t>
      </w:r>
    </w:p>
    <w:p w14:paraId="00AB3F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⑥被投资企业内部发生欺诈、争议或诉讼等事件，管理层或核心技术人员发生重大变动。</w:t>
      </w:r>
    </w:p>
    <w:p w14:paraId="44A62E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若基金管理人因被投资企业在最近融资后发生了重大变化而判定最近融资价格无法直接作为公允价值的最佳估计，同时也无法找到合适的可比公司或可比交易案例以运用市场乘8数法进行估值，基金管理人可以根据被投资企业主要业务指标自融资时点至估值日的变化，对最近融资价格进行调整。主要业务指标包括但不限于有代表性的财务指标、技术发展阶段、市场份额等，在选择主要业务指标时，应重点考虑被投资企业所处行业特点及其自身的特点，选择最能反映被投资企业价值变化的业务指标。</w:t>
      </w:r>
    </w:p>
    <w:p w14:paraId="364929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2、市场乘数法</w:t>
      </w:r>
    </w:p>
    <w:p w14:paraId="2FC3B6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根据被投资企业的所处发展阶段和所属行业的不同，基金管理人可运用各种市场乘数（如市盈率、市净率、企业价值/销售收入、企业价值/息税折摊前利润等）对非上市股权进行估值。市场乘数法通常在被投资企业相对成熟，可产生持续的利润或收入的情况下使用。</w:t>
      </w:r>
    </w:p>
    <w:p w14:paraId="02416D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（2）在运用市场乘数法时，基金管理人应当从市场参与者角度出发，参照下列步骤完成估值工作：</w:t>
      </w:r>
    </w:p>
    <w:p w14:paraId="2320A66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①选择被投资企业可持续的财务指标（如利润、收入）为基础的市场乘数类型，查找在企业规模、风险状况和盈利增长潜力等方面与被投资企业相似的可比上市公司或可比交易案例，通过分析计算获得可比市场乘数，并将其与被投资企业相应的财务指标结合得到股东全部权益价值（调整前）或企业价值。</w:t>
      </w:r>
    </w:p>
    <w:p w14:paraId="369CA5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②若市场乘数法计算结果为企业价值，基金管理人应当扣除企业价值中需要支付利息的债务，得到股东全部权益价值（调整前）。基金管理人应当在股东全部权益价值（调整前）9基础上，针对被投资企业的溢余资产或负债、或有事项、流动性、控制权、其他权益工具（如期权）可能产生的摊薄影响及其他相关因素等进行调整，得到被投资企业的股东全部权益价值（调整后）。</w:t>
      </w:r>
    </w:p>
    <w:p w14:paraId="3288AE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③如果被投资企业的股权结构复杂，各轮次股权的权利和义务存在明显区别，</w:t>
      </w:r>
      <w:r>
        <w:rPr>
          <w:rFonts w:ascii="宋体" w:hAnsi="宋体" w:cs="宋体" w:hint="eastAsia"/>
          <w:sz w:val="24"/>
        </w:rPr>
        <w:lastRenderedPageBreak/>
        <w:t>基金管理人应当采用合理方法将股东全部权益价值（调整后）分配至私募基金持有部分的股权。如果被投资企业的股权结构简单（即同股同权），则可按照私募基金的持股比例计算持有部分的股权价值。</w:t>
      </w:r>
    </w:p>
    <w:p w14:paraId="40AC83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市场乘数的分子可以采用股东权益价值（股票市值或股权交易价格）或企业价值，基金管理人应当基于估值日的价格信息和相关财务信息得出，若估值日无相关信息，可采用距离估值日最近的信息并作一定的调整后进行计算。市场乘数的分母可采用特定时期的收入、利润等指标，也可以采用特定时点的净资产等指标，上述时期或时点指标可以是历史数据，也可采用预期数据。基金管理人应确保估值时采用的被投资企业的利润、收入或净资产等指标与市场乘数的分母在对应的时期或时点方面保持完全一致。</w:t>
      </w:r>
    </w:p>
    <w:p w14:paraId="352E93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在估值实践中各种市场乘数均有应用，如市盈率（P/E）、市净率（P/B）、企业价值/销售收入（EV/Sales）、企业价值/息税折摊前利润（EV/EBITDA）、企业价值/息税前利润（EV/EBIT）等。基金管理人应当从市场参与者角度出发，根据被投资企业的特点选择合适的市场乘数。</w:t>
      </w:r>
    </w:p>
    <w:p w14:paraId="56CC374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在使用各种市场乘数时，应当保证分子与分母的口径一致，如市盈率中的盈利指标应为归属于母公司的净利润，而非全部净利润；市净率中的净资产应为归属于母公司的所有者权益，而非全部所有者权益。一般不采用市销率（P/Sales）、市值/息税折摊前利润（P/EBITDA）、市值/息税前利润（P/EBIT）等市场乘数，除非可比公司或交易与被投资企业在财务杠杆和资本结构上非常接近。</w:t>
      </w:r>
    </w:p>
    <w:p w14:paraId="7372A6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考虑到被投资企业可能存在不同的财务杠杆和资本结构，在EV/EBITDA适用的情况下，通常可考虑优先使用EV/EBITDA。在EV/EBITDA不适用的情况下，可考虑采用市盈率进行估值，但需要注意被投资企业应具有与可比公司或可比交易案例相似的财务杠杆和资本结构，并对净利润中包括的特殊事项导致的利润或亏损通常应进行正常化调整，同时考虑不同的实际税率对市盈率的影响。如果被投资企业尚未达到可产生可持续利润的阶段，基金管理人可以考虑采用销售收入市场乘数（EV/Sales），在确定被投资企业的收入指标时，可以考虑市场参与者收购被投资企业时可能实现的收入。</w:t>
      </w:r>
    </w:p>
    <w:p w14:paraId="106B07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（7）市场乘数通常可通过分析计算可比上市公司或可比交易案例相关财务和价格信息获得。基金管理人应当关注通过可比上市公司和可比交易案例两种方式得到</w:t>
      </w:r>
      <w:r>
        <w:rPr>
          <w:rFonts w:ascii="宋体" w:hAnsi="宋体" w:cs="宋体" w:hint="eastAsia"/>
          <w:sz w:val="24"/>
        </w:rPr>
        <w:lastRenderedPageBreak/>
        <w:t>的市场乘数之间的差异并对其进行必要的调整，对于通过可比交易案例得到的市场乘数，在应用时应注意按照估值日与可比交易发生日市场情况的变化对其进行校准。</w:t>
      </w:r>
    </w:p>
    <w:p w14:paraId="750A679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基金管理人应充分考虑上市公司股票与非上市股权之间的流动性差异。对于通过可比上市公司得到的市场乘数，通常需要考虑一定的流动性折扣后才能将其应用于非上市股权估值。流动性折扣可通过经验研究数据或者看跌期权等模型，并结合非上市股权投资实际情况综合确定。</w:t>
      </w:r>
    </w:p>
    <w:p w14:paraId="2B3647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（9）对市场乘数进行调整的其他因素包括企业规模和抗风险能力、利润增速、财务杠杆水平等。上述调整不应包括由于计量单位不一致导致的溢价和折扣，如大宗交易折扣。</w:t>
      </w:r>
    </w:p>
    <w:p w14:paraId="5C64EC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3、行业指标法</w:t>
      </w:r>
    </w:p>
    <w:p w14:paraId="26D8A8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行业指标法是指某些行业中存在特定的与公允价值直接相关的行业指标，此指标可作为被投资企业公允价值估值的参考依据。行业指标法通常只在有限的情况下运用，此方法一般被用于检验其他估值法得出的估值结论是否相对合理，而不作为主要的估值方法单独运用。</w:t>
      </w:r>
    </w:p>
    <w:p w14:paraId="60D749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（2）并非所有行业的被投资企业都适用行业指标法，通常在行业发展比较成熟及行业内各企业差别较小的情况下，行业指标才更具代表意义。</w:t>
      </w:r>
    </w:p>
    <w:p w14:paraId="3E2C7731" w14:textId="14FA802F" w:rsidR="00A320E6" w:rsidRDefault="00000000" w:rsidP="003F57DD">
      <w:pPr>
        <w:pStyle w:val="1a"/>
      </w:pPr>
      <w:r>
        <w:rPr>
          <w:rFonts w:hint="eastAsia"/>
        </w:rPr>
        <w:t>（二）收益法</w:t>
      </w:r>
    </w:p>
    <w:p w14:paraId="4AE560A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在估计非上市股权的公允价值时，通常使用的收益法为现金流折现法。</w:t>
      </w:r>
    </w:p>
    <w:p w14:paraId="5CB9B5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金管理人可采用合理的假设预测被投资企业未来现金流及预测期后的现金流终值，并采用合理的折现率将上述现金流及终值折现至估值日得到被投资企业相应的企业价值，折现率的确定应当能够反映现金流预测的内在风险。基金管理人还应参照市场乘数法中提及的调整或分配方法将企业价值调整至私募基金持有部分的股权价值。</w:t>
      </w:r>
    </w:p>
    <w:p w14:paraId="5B85BF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2、现金流折现法具有较高灵活性，在其他估值方法受限制之时仍可使用。</w:t>
      </w:r>
    </w:p>
    <w:p w14:paraId="35025A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基金管理人在确定此方法采用的财务预测、预测期后终值以及经过合理风险调整的折现率时，需要大量的主观判断，折现结果对上述输入值的变化较为敏感，因此，现金流折现法的结果易受各种因素干扰。特别是当被投资企业处于初创、持续亏损、战略转型、扭亏为盈、财务困境等阶段时，基金管理人通常难以对被投资企业的现金流进行可靠预测，应当谨慎评估运用现金流折现法的估值风险。</w:t>
      </w:r>
    </w:p>
    <w:p w14:paraId="3651618D" w14:textId="1300D9FA" w:rsidR="00A320E6" w:rsidRDefault="00000000" w:rsidP="003F57DD">
      <w:pPr>
        <w:pStyle w:val="1a"/>
      </w:pPr>
      <w:r>
        <w:rPr>
          <w:rFonts w:hint="eastAsia"/>
        </w:rPr>
        <w:lastRenderedPageBreak/>
        <w:t>（三）成本法</w:t>
      </w:r>
    </w:p>
    <w:p w14:paraId="6B1827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在估计非上市股权的公允价值时，通常使用的成本法为净资产法。</w:t>
      </w:r>
    </w:p>
    <w:p w14:paraId="18BBCB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金管理人可使用适当的方法分别估计被投资企业的各项资产和负债的公允价值（在适用的情况下需要对溢余资产和负债、或有事项、流动性、控制权及其他相关因素进行调整)，综合考虑后得到股东全部权益价值，进而得到私募基金持有部分的股权价值。如果被投资企业股权结构复杂，基金管理人还应参照市场乘数法中提及的分配方法得到持有部分的股权价值。</w:t>
      </w:r>
    </w:p>
    <w:p w14:paraId="777C9F3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2、净资产法适用于企业的价值主要来源于其占有的资产的情况，如重资产型的企业或者投资控股企业。此外，此方法也可以用于经营情况不佳，可能面临清算的被投资企业。</w:t>
      </w:r>
    </w:p>
    <w:p w14:paraId="02F5B7C9" w14:textId="77777777" w:rsidR="00A320E6" w:rsidRDefault="00000000" w:rsidP="00F67407">
      <w:pPr>
        <w:spacing w:beforeLines="50" w:before="156" w:afterLines="20" w:after="62" w:line="360" w:lineRule="auto"/>
        <w:jc w:val="center"/>
        <w:outlineLvl w:val="2"/>
        <w:rPr>
          <w:rStyle w:val="aa"/>
          <w:rFonts w:ascii="宋体" w:hAnsi="宋体" w:cs="宋体"/>
          <w:color w:val="000000"/>
          <w:kern w:val="0"/>
          <w:sz w:val="24"/>
          <w:szCs w:val="24"/>
          <w:lang w:bidi="ar"/>
        </w:rPr>
      </w:pPr>
      <w:bookmarkStart w:id="71" w:name="_Toc112227379"/>
      <w:r>
        <w:rPr>
          <w:rStyle w:val="aa"/>
          <w:rFonts w:ascii="宋体" w:hAnsi="宋体" w:cs="宋体" w:hint="eastAsia"/>
          <w:color w:val="000000"/>
          <w:kern w:val="0"/>
          <w:sz w:val="24"/>
          <w:szCs w:val="24"/>
          <w:lang w:bidi="ar"/>
        </w:rPr>
        <w:t>基金中基金估值业务指引（试行）</w:t>
      </w:r>
      <w:bookmarkEnd w:id="71"/>
    </w:p>
    <w:p w14:paraId="1B713554" w14:textId="77777777" w:rsidR="00A320E6" w:rsidRDefault="00000000" w:rsidP="003F57DD">
      <w:pPr>
        <w:pStyle w:val="1a"/>
      </w:pPr>
      <w:r>
        <w:rPr>
          <w:rFonts w:hint="eastAsia"/>
        </w:rPr>
        <w:t>一、总则</w:t>
      </w:r>
    </w:p>
    <w:p w14:paraId="61178E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（一）为规范基金中基金的估值，保护基金份额持有人的利益，根据《证券投资基金法》、《企业会计准则》、《公开募集证券投资基金运作指引第2号——基金中基金指引》等法律法规，制定本指引。</w:t>
      </w:r>
    </w:p>
    <w:p w14:paraId="5FC8DD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（二）本指引所称基金中基金，是指将80%以上的基金资产投资于经中国证监会依法核准或注册的公开募集的基金份额的基金。</w:t>
      </w:r>
    </w:p>
    <w:p w14:paraId="37EA78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（三）基金管理人和基金托管人对基金中基金投资的证券投资基金进行估值、计算基金中基金份额净值时，可参考本指引。</w:t>
      </w:r>
    </w:p>
    <w:p w14:paraId="392EBC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基金管理人应当充分关注可投资标的基金的估值方法、估值频率和估值披露频率与基金中基金所采用的估值方法、估值频率和估值披露频率的一致性。当可投资标的基金的估值方法、估值频率和估值披露频率与基金中基金存在差异时，基金管理人应在设定投资策略时评估该差异对基金中基金估值公允性的影响。</w:t>
      </w:r>
    </w:p>
    <w:p w14:paraId="510233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基金中基金投资于交易所交易型开放式指数基金（ETF）、境内上市开放式基金（LOF）、境内上市的其他开放式基金等提供二级市场交易方式和一级市场份额申购赎回方式的标的基金时，应考虑投资份额的计划退出方式对估值价选取的影响，并参照本指引所列示的上市基金估值原则进行估值。本指引中的上市基金估值原则是为适应当前的市场条件和产品类型而制定的，并将根据未来市场情况的变化进行定期评估和调整。</w:t>
      </w:r>
    </w:p>
    <w:p w14:paraId="5C70F89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（六）本指引所称估值日，是指基金份额净值和基金份额累计净值的归属日。</w:t>
      </w:r>
    </w:p>
    <w:p w14:paraId="74FCC2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（七）本指引自公布之日起实施。</w:t>
      </w:r>
    </w:p>
    <w:p w14:paraId="19357A56" w14:textId="77777777" w:rsidR="00A320E6" w:rsidRDefault="00000000" w:rsidP="003F57DD">
      <w:pPr>
        <w:pStyle w:val="1a"/>
      </w:pPr>
      <w:r>
        <w:rPr>
          <w:rFonts w:hint="eastAsia"/>
        </w:rPr>
        <w:t>二、估值业务处理</w:t>
      </w:r>
    </w:p>
    <w:p w14:paraId="33A305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（一）【非上市基金估值】基金中基金投资于非上市基金的估值。</w:t>
      </w:r>
    </w:p>
    <w:p w14:paraId="1024DA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1、基金中基金投资的境内非货币市场基金，按所投资基金估值日的份额净值估值。</w:t>
      </w:r>
    </w:p>
    <w:p w14:paraId="70D404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2、基金中基金投资的境内货币货币市场基金，按所投资基金前一估值日后至估值日期间（含节假日）的万份收益计提估值日基金收益。</w:t>
      </w:r>
    </w:p>
    <w:p w14:paraId="10C966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（二）【上市基金估值】基金中基金投资于交易所上市基金的估值。</w:t>
      </w:r>
    </w:p>
    <w:p w14:paraId="195D97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1、基金中基金（ETF联接基金除外）投资的ETF基金，按所投资ETF基金估值日的收盘价估值。</w:t>
      </w:r>
    </w:p>
    <w:p w14:paraId="368B11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2、ETF联接基金投资的ETF基金，按所投资ETF基金估值日的份额净值估值。</w:t>
      </w:r>
    </w:p>
    <w:p w14:paraId="1037A8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3、基金中基金投资的境内上市开放式基金（LOF），按所投资基金估值日的份额净值估值。</w:t>
      </w:r>
    </w:p>
    <w:p w14:paraId="423C1F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4、基金中基金投资的境内上市定期开放式基金、封闭式基金，按所投资基金估值日的收盘价估值。</w:t>
      </w:r>
    </w:p>
    <w:p w14:paraId="179C66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基金中基金投资的境内上市交易型货币市场基金，如所投资基金披露份额净值，则按所投资基金估值日的份额净值估值；如所投资基金披露万份（百份）收益，则按所投资基金前一估值日后至估值日期间（含节假日）的万份（百份）收益计提估值日基金收益。</w:t>
      </w:r>
    </w:p>
    <w:p w14:paraId="66232E5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（三）【特殊情况处理】如遇所投资基金不公布基金份额净值、进行折算或拆分、估值日无交易等特殊情况，基金管理人根据以下原则进行估值：</w:t>
      </w:r>
    </w:p>
    <w:p w14:paraId="6EB665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1、以所投资基金的基金份额净值估值的，若所投资基金与基金中基金估值频率一致但未公布估值日基金份额净值，按其最近公布的基金份额净值为基础估值。</w:t>
      </w:r>
    </w:p>
    <w:p w14:paraId="666E1B4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以所投资基金的收盘价估值的，若估值日无交易，且最近交易日后市场环境未发生重大变化，按最近交易日的收盘价估值；如最近交易日后市场环境发生了重大变化的，可使用最新的基金份额净值为基础或参考类似投资品种的现行市价及重大变化因素调整最近交易市价，确定公允价值。</w:t>
      </w:r>
    </w:p>
    <w:p w14:paraId="291997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3、如果所投资基金前一估值日至估值日期间发生分红除权、折算或拆分，基金</w:t>
      </w:r>
      <w:r>
        <w:rPr>
          <w:rFonts w:ascii="宋体" w:hAnsi="宋体" w:cs="宋体" w:hint="eastAsia"/>
          <w:sz w:val="24"/>
        </w:rPr>
        <w:lastRenderedPageBreak/>
        <w:t>管理人应根据基金份额净值或收盘价、单位基金份额分红金额、折算拆分比例、持仓份额等因素合理确定公允价值。</w:t>
      </w:r>
    </w:p>
    <w:p w14:paraId="55CCB3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（四）当基金管理人认为所投资基金按上述第（一）至第（三）条进行估值存在不公允时，应与托管人协商一致采用合理的估值技术或估值标准确定其公允价值。</w:t>
      </w:r>
    </w:p>
    <w:p w14:paraId="29174D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估值处理时点】基金管理人应当根据基金合同约定的投资范围，对于标的基金按照本指引规定全部以收盘价估值的，应当在取得收盘价的当日对基金中基金进行会计核算和估值处理，并在次日披露基金中基金估值日的基金份额净值和基金份额累计净值。对于标的基金按照本指引规定未全部以收盘价估值的，应当根据标的基金合同约定在披露净值或万份收益的当日（法定节假日顺延至第一个交易日）对基金中基金进行会计核算和估值处理，并在次日披露基金中基金估值日的基金份额净值和基金份额累计净值。</w:t>
      </w:r>
    </w:p>
    <w:p w14:paraId="7DF854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ETF联接基金在持有的目标ETF的估值当日进行会计核算和估值处理，并在次日披露ETF联接基金的基金份额净值和基金份额累计净值。</w:t>
      </w:r>
    </w:p>
    <w:p w14:paraId="3AD6F87A" w14:textId="77777777" w:rsidR="00A320E6" w:rsidRDefault="00000000" w:rsidP="00AE0286">
      <w:pPr>
        <w:pStyle w:val="a3"/>
        <w:numPr>
          <w:ilvl w:val="0"/>
          <w:numId w:val="5"/>
        </w:numPr>
        <w:spacing w:line="360" w:lineRule="auto"/>
        <w:ind w:firstLine="480"/>
        <w:rPr>
          <w:rFonts w:ascii="宋体" w:hAnsi="宋体" w:cs="宋体"/>
          <w:sz w:val="24"/>
        </w:rPr>
      </w:pPr>
      <w:r>
        <w:rPr>
          <w:rFonts w:ascii="宋体" w:hAnsi="宋体" w:cs="宋体" w:hint="eastAsia"/>
          <w:sz w:val="24"/>
        </w:rPr>
        <w:t>【监控机制】基金管理人应在业务管理制度中进一步明确相关估值监控程序，根据市场情况建立以上估值方法公允性的评估机制，完善相关风险监测、控制和报告机制，确保基金估值的公允合理。</w:t>
      </w:r>
    </w:p>
    <w:p w14:paraId="64072DDF" w14:textId="1E13FDD5" w:rsidR="00A320E6" w:rsidRDefault="00000000" w:rsidP="00F67407">
      <w:pPr>
        <w:spacing w:beforeLines="50" w:before="156" w:afterLines="20" w:after="62" w:line="360" w:lineRule="auto"/>
        <w:jc w:val="center"/>
        <w:outlineLvl w:val="2"/>
        <w:rPr>
          <w:rFonts w:ascii="宋体" w:hAnsi="宋体" w:cs="宋体"/>
          <w:b/>
          <w:bCs/>
          <w:sz w:val="24"/>
        </w:rPr>
      </w:pPr>
      <w:bookmarkStart w:id="72" w:name="_Toc112227380"/>
      <w:r>
        <w:rPr>
          <w:rFonts w:ascii="宋体" w:hAnsi="宋体" w:cs="宋体" w:hint="eastAsia"/>
          <w:b/>
          <w:bCs/>
          <w:sz w:val="24"/>
        </w:rPr>
        <w:t>《关于加强注册制下中介机构廉洁从业监管的意见》</w:t>
      </w:r>
      <w:bookmarkEnd w:id="72"/>
    </w:p>
    <w:p w14:paraId="02779DC8" w14:textId="77777777" w:rsidR="00A320E6" w:rsidRDefault="00000000" w:rsidP="00AE0286">
      <w:pPr>
        <w:pStyle w:val="a3"/>
        <w:spacing w:line="360" w:lineRule="auto"/>
        <w:ind w:firstLineChars="0" w:firstLine="0"/>
        <w:jc w:val="center"/>
        <w:rPr>
          <w:rFonts w:ascii="宋体" w:hAnsi="宋体" w:cs="宋体"/>
          <w:sz w:val="24"/>
        </w:rPr>
      </w:pPr>
      <w:r>
        <w:rPr>
          <w:rFonts w:ascii="宋体" w:hAnsi="宋体" w:cs="宋体" w:hint="eastAsia"/>
          <w:sz w:val="24"/>
        </w:rPr>
        <w:t>中国证券监督管理委员会公告</w:t>
      </w:r>
    </w:p>
    <w:p w14:paraId="41ECA5FF" w14:textId="77777777" w:rsidR="00A320E6" w:rsidRDefault="00000000" w:rsidP="00AE0286">
      <w:pPr>
        <w:pStyle w:val="a3"/>
        <w:spacing w:line="360" w:lineRule="auto"/>
        <w:ind w:firstLineChars="0" w:firstLine="0"/>
        <w:jc w:val="center"/>
        <w:rPr>
          <w:rFonts w:ascii="宋体" w:hAnsi="宋体" w:cs="宋体"/>
          <w:sz w:val="24"/>
        </w:rPr>
      </w:pPr>
      <w:r>
        <w:rPr>
          <w:rFonts w:ascii="宋体" w:hAnsi="宋体" w:cs="宋体" w:hint="eastAsia"/>
          <w:sz w:val="24"/>
        </w:rPr>
        <w:t>〔2022〕37号</w:t>
      </w:r>
    </w:p>
    <w:p w14:paraId="2EA90527" w14:textId="77777777" w:rsidR="00A320E6" w:rsidRDefault="00000000" w:rsidP="00AE0286">
      <w:pPr>
        <w:pStyle w:val="a3"/>
        <w:spacing w:line="360" w:lineRule="auto"/>
        <w:ind w:firstLineChars="0" w:firstLine="0"/>
        <w:rPr>
          <w:rFonts w:ascii="宋体" w:hAnsi="宋体" w:cs="宋体"/>
          <w:sz w:val="24"/>
        </w:rPr>
      </w:pPr>
      <w:r>
        <w:rPr>
          <w:rFonts w:ascii="宋体" w:hAnsi="宋体" w:cs="宋体" w:hint="eastAsia"/>
          <w:sz w:val="24"/>
        </w:rPr>
        <w:t>现公布《关于加强注册制下中介机构廉洁从业监管的意见》,自公布之日起施行。</w:t>
      </w:r>
    </w:p>
    <w:p w14:paraId="253767A9" w14:textId="77777777" w:rsidR="00A320E6" w:rsidRDefault="00000000" w:rsidP="00AE0286">
      <w:pPr>
        <w:pStyle w:val="a3"/>
        <w:spacing w:line="360" w:lineRule="auto"/>
        <w:ind w:firstLineChars="0" w:firstLine="0"/>
        <w:jc w:val="right"/>
        <w:rPr>
          <w:rFonts w:ascii="宋体" w:hAnsi="宋体" w:cs="宋体"/>
          <w:sz w:val="24"/>
        </w:rPr>
      </w:pPr>
      <w:r>
        <w:rPr>
          <w:rFonts w:ascii="宋体" w:hAnsi="宋体" w:cs="宋体" w:hint="eastAsia"/>
          <w:sz w:val="24"/>
        </w:rPr>
        <w:t>中国证监会 司法部 财政部</w:t>
      </w:r>
    </w:p>
    <w:p w14:paraId="5990849A" w14:textId="77777777" w:rsidR="00A320E6" w:rsidRDefault="00000000" w:rsidP="00AE0286">
      <w:pPr>
        <w:pStyle w:val="a3"/>
        <w:spacing w:line="360" w:lineRule="auto"/>
        <w:ind w:firstLineChars="0" w:firstLine="0"/>
        <w:jc w:val="right"/>
        <w:rPr>
          <w:rFonts w:ascii="宋体" w:hAnsi="宋体" w:cs="宋体"/>
          <w:sz w:val="24"/>
        </w:rPr>
      </w:pPr>
      <w:r>
        <w:rPr>
          <w:rFonts w:ascii="宋体" w:hAnsi="宋体" w:cs="宋体" w:hint="eastAsia"/>
          <w:sz w:val="24"/>
        </w:rPr>
        <w:t>2022年5月31日</w:t>
      </w:r>
    </w:p>
    <w:p w14:paraId="183BE95B" w14:textId="77777777" w:rsidR="00A320E6" w:rsidRPr="00F64CCD" w:rsidRDefault="00000000" w:rsidP="00F64CCD">
      <w:pPr>
        <w:pStyle w:val="13"/>
        <w:spacing w:before="62" w:after="62"/>
        <w:rPr>
          <w:rStyle w:val="aa"/>
          <w:b/>
        </w:rPr>
      </w:pPr>
      <w:r w:rsidRPr="00F64CCD">
        <w:rPr>
          <w:rStyle w:val="aa"/>
          <w:b/>
        </w:rPr>
        <w:t>关于加强注册制下中介机构廉洁从业监管的意见</w:t>
      </w:r>
    </w:p>
    <w:p w14:paraId="4D7400A1" w14:textId="77777777" w:rsidR="00A320E6" w:rsidRPr="00F64CCD" w:rsidRDefault="00000000" w:rsidP="00F64CCD">
      <w:pPr>
        <w:pStyle w:val="13"/>
        <w:spacing w:before="62" w:after="62"/>
        <w:rPr>
          <w:rStyle w:val="aa"/>
          <w:b/>
        </w:rPr>
      </w:pPr>
      <w:r w:rsidRPr="00F64CCD">
        <w:rPr>
          <w:rStyle w:val="aa"/>
          <w:b/>
        </w:rPr>
        <w:t>证监会公告[2022]37号</w:t>
      </w:r>
    </w:p>
    <w:p w14:paraId="7648FFA5"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为切实加强对注册制下证券公司、会计师事务所、律师事务所等中介机构及其从业人员从事证券发行上市相关业</w:t>
      </w:r>
    </w:p>
    <w:p w14:paraId="69845101"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务活动的廉洁从业监管，一体推进惩治金融腐败和防控金融风险，持续净化资本市场生态，为注册制改革提供有力保障，根据《证券法》《律师法》《注册会计师法》《证券公司监督管理条例》《证券期货经营机构及其工作人员廉洁从业规定》</w:t>
      </w:r>
      <w:r>
        <w:rPr>
          <w:rFonts w:ascii="宋体" w:hAnsi="宋体" w:cs="宋体"/>
          <w:sz w:val="24"/>
        </w:rPr>
        <w:lastRenderedPageBreak/>
        <w:t>《关于注册制下督促证券公司从事投行业务归位尽责的指导意见》等法律、行政法规及中国证监会、司法部、财政部等相关行业主管部门的有关规定，现就有关工作安排提出以下意见。</w:t>
      </w:r>
    </w:p>
    <w:p w14:paraId="14247B24"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一、证券公司及其从业人员从事投资银行业务，会计师事务所、律师事务所等证券服务机构及其从业人员从事与证券发行上市相关的证券服务业务时，应当严格遵守法律法规和职业道德要求，不断加强廉洁从业管理和风险防范，勤勉尽责、诚实守信、廉洁自律、公平竞争，自觉营造和维护风清气正的企业文化和行业文化，珍视行业声誉。</w:t>
      </w:r>
    </w:p>
    <w:p w14:paraId="5694DD82"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二、证券公司应在公司层面建立健全廉洁从业管理领导机制和基本制度安排，鼓励证券公司将廉洁从业管理目标和总体要求等纳入公司章程。证券公司主要负责人是落实廉洁从业管理职责的第一责任人，对本公司廉洁从业违法违规问题承担领导责任，各级负责人在职责范围内承担相应管理责任。证券公司应当指定内部控制相关部门对本公司及其工作人员的廉洁从业情况进行监督、检查和处理。证券公司应结合组织形式充分发挥党建工作对廉洁从业管理的引领作用。</w:t>
      </w:r>
    </w:p>
    <w:p w14:paraId="28029E5E"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三、证券公司应当建立健全内部控制制度，系统评估和识别廉洁从业风险点，将廉洁从业风险纳入全面风险管理体系，制定全面有效的事前防范、事中管控、事后追责体系机制，完善廉洁从业内部规则，全面覆盖业务各环节和岗位，并定期开展廉洁从业情况内部检查，每年应当不少于一次。</w:t>
      </w:r>
    </w:p>
    <w:p w14:paraId="07824356"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四、证券公司应当建立健全财务管理制度，严格执行财务纪律和内部流程，充分发挥内审稽核等部门作用，重点对业务收入、成本费用支出、薪酬奖金、资金往来等项目中的异常情形加强审查核查，堵塞财务管理漏洞。严格杜绝账外账、“小金库”等不规范行为。</w:t>
      </w:r>
    </w:p>
    <w:p w14:paraId="2B5DDCC9"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五、证券公司应当对从业人员加强廉洁培训和教育，建立健全廉洁从业承诺制度，树立全员廉洁从业理念，培育廉洁从业文化。证券公司应当对从业人员廉洁从业情况进行定期考察和评估，并将评估结果作为人员聘用、晋升、离任、薪酬等事项的重要考量因素。从业人员因廉洁从业问题被开除或辞退的，或被证监会系统以外单位追责的，证券公司得知情况后应当及时向公司所在地证监局报告。</w:t>
      </w:r>
    </w:p>
    <w:p w14:paraId="4AEBDABE"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六、证券公司应当建立科学合理的激励约束机制和内部问责机制，不得将从业人员薪酬收入与其承做或承揽的项目收入直接挂钩，不得以业务包干等过度激励方</w:t>
      </w:r>
      <w:r>
        <w:rPr>
          <w:rFonts w:ascii="宋体" w:hAnsi="宋体" w:cs="宋体"/>
          <w:sz w:val="24"/>
        </w:rPr>
        <w:lastRenderedPageBreak/>
        <w:t>式开展投资银行业务，应当在劳动合同、内部制度中明确，对存在廉洁从业违法违规行为的从业人员，可采取要求其退还与违规行为相关的全部或部分奖金，或者停止对其实施长效激励措施等问责措施。会计师事务所、律师事务所等其他中介机构参照执行。</w:t>
      </w:r>
    </w:p>
    <w:p w14:paraId="55338F0D"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七、证券公司应当加强利益冲突审查，将审查机制贯穿投资银行业务全流程，对从业人员及其配偶、利害关系人是否存在违规从事证券、基金和未上市企业股权投资的情形进行审查，建立健全回避制度并严格执行，从源头上防范廉洁从业风险。会计师事务所、律师事务所等其他中介机构参照执行。</w:t>
      </w:r>
    </w:p>
    <w:p w14:paraId="3603D25F"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八、证券公司及其从业人员在从事投资银行业务过程中，应当遵循证监会及交易所有关沟通交往规定，不得以不</w:t>
      </w:r>
    </w:p>
    <w:p w14:paraId="4BAA4886"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正当方式教唆、指使、协助他人干预影响审核，不得在项目申报、审核、注册过程中通过利益输送、行贿等方式“围猎”监管审核人员，不得利用证监会系统在职人员或离职人员及其近亲属等关系或身份谋取不正当利益。会计师事务所、律师事务所等其他中介机构参照执行。</w:t>
      </w:r>
    </w:p>
    <w:p w14:paraId="5EAD177E"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九、证券公司在投行项目股东穿透等事项核查中，应当重点对证券公司高级管理人员和经办人员、证监会系统离职人员不当入股行为进行严格审查，防范突击入股、利益输送、“影子股东”、违规代持等违法违规行为；发现违法违纪线索的，应及时向公司所在地证监局报告。会计师事务所、律师事务所等其他中介机构参照执行。</w:t>
      </w:r>
    </w:p>
    <w:p w14:paraId="316B1C4F"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证券公司应当加强对上市公司并购重组、证券发行询价定价信息等内幕信息和未公开信息的管理，建立健全信息知情人登记管理制度，完善信息隔离墙机制，禁止传播泄露内幕信息、未公开信息，切实防范利用内幕信息、未公开信息从事串通报价、内幕交易、利用未公开信息交易、操纵证券市场等违法违规行为。会计师事务所、律师事务所等其他中介机构参照执行。</w:t>
      </w:r>
    </w:p>
    <w:p w14:paraId="7529CCE0"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一、证券公司应当强化公平竞争意识，不得以明显低于行业定价水平、利益输送、商业贿赂、不当承诺等不正当竞争方式招揽业务，不得从事其他违反公平竞争、破坏市场秩序的行为。会计师事务所、律师事务所等其他中介机构参照执行。</w:t>
      </w:r>
    </w:p>
    <w:p w14:paraId="5FA5A6D5"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十二、证券公司应当加强对聘请各类第三方机构和个人的廉洁风险防范，制定规范聘用第三方的制度，明确资质条件和遴选流程，确保相关聘请行为合法合规，</w:t>
      </w:r>
      <w:r>
        <w:rPr>
          <w:rFonts w:ascii="宋体" w:hAnsi="宋体" w:cs="宋体"/>
          <w:sz w:val="24"/>
        </w:rPr>
        <w:lastRenderedPageBreak/>
        <w:t>并依据有关规定履行信息披露义务。禁止利用聘请第三方进行利益输送、商业贿赂等违法行为。会计师事务所、律师事务所等其他中介机构参照执行。</w:t>
      </w:r>
    </w:p>
    <w:p w14:paraId="70FE2426"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三、证券公司应当严格按照《证券公司投资银行业务内部控制指引》相关要求，建立健全投资银行业务“三道防线”，充分发挥监督制衡作用。不得在项目申报、审核、发行承销过程中通过欺诈、胁迫发行人获取不正当利益，或者协助发行人隐瞒财务造假等违法违规行为。不得在证券发行过程中协助发行人直接或间接认购自己发行的债券，不得以返费、代持、违规配售等方式输送或谋取不正当利益。</w:t>
      </w:r>
    </w:p>
    <w:p w14:paraId="60BDBFC9"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四、会计师事务所从事证券服务业务时，应当严格执行注册会计师执业准则、职业道德守则，建立健全质量管理体系，严格遵守独立性原则，充分发挥审计鉴证作用，保持职业怀疑，执行必要的审计程序，发表恰当的审计意见，严格执行签字会计师和关键审计合伙人定期轮换制度。不得因偏见、利益冲突或他人的不当干预而影响职业判断，不得参与财务造假。</w:t>
      </w:r>
    </w:p>
    <w:p w14:paraId="6A737721"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五、律师事务所从事证券服务业务时，应当建立健全分工合理、权责明确、相互制衡、有效监督的内部管理制度，明确廉洁从业和风险防控要求，加强对本所从业人员的管理，督促律师恪守职业道德和执业纪律，按照诚实、守信、独立、勤勉、尽责的从业准则，依法审慎履行核查验证义务，保证制作、出具文件的真实性、准确性和完整性，防止出现虚假记载、误导性陈述或者重大遗漏，不得利用提供法律服务的便利谋求或输送不正当利益。</w:t>
      </w:r>
    </w:p>
    <w:p w14:paraId="6AAE2984"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六、中国证监会、司法部、财政部依据相关法规加强对中介机构廉洁从业监管，对中介机构落实本规定的情况进行监督和检查。中介机构及其工作人员违反廉洁从业有关法律法规和规定的，主管部门依法采取监管措施；涉嫌违法犯罪的，移送司法部门处理，并依据有关规定向纪检监察机构转交违法违纪线索。对中介机构主动发现、主动报告、主动处理廉洁从业违法违规问题的，可依法依规从轻或减轻相关机构或人员的责任。</w:t>
      </w:r>
    </w:p>
    <w:p w14:paraId="367BA8CF"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中国证监会及其派出机构、行业自律组织根据《证券期货市场诚信监督管理办法》相关规定，采集中介机构及其从业人员廉洁从业相关诚信信息，并计入证券期货市场诚信档案数据库。</w:t>
      </w:r>
    </w:p>
    <w:p w14:paraId="4107F0B4"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十七、本意见所称投资银行业务是指股票、存托凭证、债券等证券发行承销、保荐，上市公司并购重组财务顾问，非上市公众公司推荐，及资产证券化等其他具</w:t>
      </w:r>
      <w:r>
        <w:rPr>
          <w:rFonts w:ascii="宋体" w:hAnsi="宋体" w:cs="宋体"/>
          <w:sz w:val="24"/>
        </w:rPr>
        <w:lastRenderedPageBreak/>
        <w:t>有投资银行特性的业务。</w:t>
      </w:r>
    </w:p>
    <w:p w14:paraId="68AA0B9F"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证券投资咨询机构、基金子公司等为投资银行业务提供专业服务的廉洁从业要求，参照本意见执行。</w:t>
      </w:r>
    </w:p>
    <w:p w14:paraId="5E8CB19F"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司法部、财政部等相关行业主管部门对中介机构廉洁从业监管另有规定的，从其规定。</w:t>
      </w:r>
    </w:p>
    <w:p w14:paraId="5686F8F4" w14:textId="77777777" w:rsidR="00A320E6" w:rsidRDefault="00000000" w:rsidP="00AE0286">
      <w:pPr>
        <w:pStyle w:val="a3"/>
        <w:spacing w:line="360" w:lineRule="auto"/>
        <w:ind w:firstLine="480"/>
        <w:rPr>
          <w:rFonts w:ascii="宋体" w:hAnsi="宋体" w:cs="宋体"/>
          <w:sz w:val="24"/>
        </w:rPr>
      </w:pPr>
      <w:r>
        <w:rPr>
          <w:rFonts w:ascii="宋体" w:hAnsi="宋体" w:cs="宋体"/>
          <w:sz w:val="24"/>
        </w:rPr>
        <w:t>本意见自发布之日起实施。</w:t>
      </w:r>
    </w:p>
    <w:p w14:paraId="13097A77"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3" w:name="_Toc112227381"/>
      <w:r>
        <w:rPr>
          <w:rFonts w:ascii="宋体" w:hAnsi="宋体" w:cs="宋体" w:hint="eastAsia"/>
          <w:b/>
          <w:bCs/>
          <w:sz w:val="24"/>
          <w:szCs w:val="24"/>
        </w:rPr>
        <w:t>会计及评估监管工作通讯二〇一八年第四期（总第26期）</w:t>
      </w:r>
      <w:bookmarkEnd w:id="73"/>
    </w:p>
    <w:p w14:paraId="6DABE8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北京证监局二〇一八年十月</w:t>
      </w:r>
    </w:p>
    <w:p w14:paraId="76F78C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11C85A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【警钟长鸣】二、三季度辖区证券资格审计与评估机构处理处罚情况</w:t>
      </w:r>
    </w:p>
    <w:p w14:paraId="4E430D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7D67D1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【案例分析】售后回租、回购的收入确认问题</w:t>
      </w:r>
    </w:p>
    <w:p w14:paraId="12DE70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【监管动态】二、三季度相关监管部门发布的监管要求</w:t>
      </w:r>
    </w:p>
    <w:p w14:paraId="7A7C8E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177CCC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截至2018年9月30日，证监会及各地证监局对北京辖区具有证券期货资格的会计师事务所下发的行政处罚、行政监管措施和检查结果告知书共涉及20家事务所的113个项目；具有证券资格的资产评估机构共涉及9家评估机构的13个项目。具体如下：</w:t>
      </w:r>
    </w:p>
    <w:p w14:paraId="29BCC8F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会计师事务所下发行政处罚决定书1份，涉及审计机构1家次、注册会计师3人次；下发行政监管措施17份，涉及审计机构16家次、注册会计师18人次；下发检查结果告知书53份，涉及审计机构53家次。对资产评估机构下发行政处罚决定书1份，涉及评估机构1家次、评估师4人次；下发行政监管措施1份，涉及评估机构1家次、评估师2人次；下发检查结果告知书6份，涉及评估机构6家次。</w:t>
      </w:r>
    </w:p>
    <w:p w14:paraId="36811B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w:t>
      </w:r>
    </w:p>
    <w:p w14:paraId="11FE3A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我局对证监会及各地证监局对辖区证券资格审计与评估机构下发的行政处罚、行政监管措施、检查意见书等指出的审计与评估机构存在的突出问题进行了汇总，现予以发布，提示各审计与评估机构重点关注。</w:t>
      </w:r>
    </w:p>
    <w:p w14:paraId="610F07E4" w14:textId="77777777" w:rsidR="00A320E6" w:rsidRDefault="00000000" w:rsidP="00F64CCD">
      <w:pPr>
        <w:pStyle w:val="1a"/>
      </w:pPr>
      <w:r>
        <w:rPr>
          <w:rFonts w:hint="eastAsia"/>
        </w:rPr>
        <w:t>会计师事务所的突出问题</w:t>
      </w:r>
    </w:p>
    <w:p w14:paraId="18AE9B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一、风险评估程序和控制测试程序不到位</w:t>
      </w:r>
    </w:p>
    <w:p w14:paraId="7DA1CF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一是被审计单位合并报表层面预收账款中单用途商业预付卡余额为1,608亿元，占全部资产的17.48％，发生额及余额均较大，作为现金管理的储值卡业务易产生错误与舞弊风险，但会计师在内控测试程序中未将储值管理认定为关键控制点，仅实施了穿行测试，未针对储值卡申领和领取、写磁和销售、保管等环节实施控制测试，未对储值卡写磁密码管理等相关安全节点进行控制测试，也未对储值卡管理系统权限分配及相关职务分离情况执行相应审计程序。</w:t>
      </w:r>
    </w:p>
    <w:p w14:paraId="43A56F3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在储值卡穿行测试中，未获取与储值卡相关财务部、团购部人员岗位职责说明书，进而检查岗位职责分离及实际执行情况。穿行测试描述的测试方法包括询问、观察检查，但底稿未见相关记录；《穿行测试过程中获取的资料清单》未见“储值卡（空卡）统计表”和财务部储值卡（空卡）盘点表及核对记录；未询问、检查集团财务中心对门店储值卡库存状况随机抽查方式及结果并作出记录。此外，在公司ERP系统用户和权限管理系统应用内控测试中，会计师发现了职责不相容缺陷，但未见与管理层或治理层进行沟通的记录，也未执行进一步审计程序。</w:t>
      </w:r>
    </w:p>
    <w:p w14:paraId="3CA803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针对风险评估程序识别的风险，审计师未实施进一步审计程序。风险评估程序底稿中，将应收账款期末余额减值风险评估为特别风险并详细描述了审计程序，但底稿中并未见减值测试程序；同时审计总结底稿显示未对审计计划作出修改，且评估的特别风险、应对措施及结论均为无。</w:t>
      </w:r>
    </w:p>
    <w:p w14:paraId="14923E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执行风险评估程序时，未对公司违反行业财务制度规定，采用大量现金、本票等非常规结算方式结算信贷业务的情形保持合理怀疑，未对现金结算信贷业务的潜在风险保持执业谨慎的态度，未实施进一步审计程序应对可能存在的风险。</w:t>
      </w:r>
    </w:p>
    <w:p w14:paraId="497BD0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是在了解被审计单位销售与收款流程内部控制中，未记录应收账款管理与减值计提、市场推广费、返利结算及账务处理相关控制了解过程，也未对其进行控制测试。在薪酬与人事流程内部控制审计中，会计师将“工资计提“认定为关键控制，但未获取业务提成表并对其执行进一步审计程序。</w:t>
      </w:r>
    </w:p>
    <w:p w14:paraId="2E0869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六是执行贷款业务循环控制测试时，未发现获取的贷款人申请材料信息存在前后矛盾以及公司部分贷款审批业务内控执行不到位的情形。</w:t>
      </w:r>
    </w:p>
    <w:p w14:paraId="13C35A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二、资产类存在的问题</w:t>
      </w:r>
    </w:p>
    <w:p w14:paraId="4867E0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1.存货。一是会计师发现了被审计单位计提存货跌价准备的会计估计发生变更，但未执行相关审计程序。二是底稿中未见存货发出计价测试和其他核对记录。三是</w:t>
      </w:r>
      <w:r>
        <w:rPr>
          <w:rFonts w:ascii="宋体" w:hAnsi="宋体" w:cs="宋体" w:hint="eastAsia"/>
          <w:sz w:val="24"/>
        </w:rPr>
        <w:lastRenderedPageBreak/>
        <w:t>存货监盘汇总表中的实盘数均为空白，且该表账面结存数额与盘点数额不一致，未见会计师关注上述差异并实施审计程序。</w:t>
      </w:r>
    </w:p>
    <w:p w14:paraId="5424C1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往来款。一是被审计单位期末转让债权形成的应收账款金额较大，会计师未执行检查、函证、期后回款测试、减值测试等审计程序，也未核查款项发生的原因、性质等。二是被审计单位在应收、应付主体不同的情况下，将大额往来款予以抵销，并以对抵净额计提坏账准备后在报表中列示，会计师未对上述往来款抵销保持合理关注，也未执行充分、必要的审计程序。三是预付账款明细账显示公司存在大额预付关联方款项，未见审计机构对其是否合理、是否公允、是否存在资金占用等予以关注并验证。</w:t>
      </w:r>
    </w:p>
    <w:p w14:paraId="21183AE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3.其他流动资产。2016年末母公司其他流动资产中列示境外矿产资源开发支出8.85亿元，未见资产确认的支持依据及执行减值测试程序的相关底稿。</w:t>
      </w:r>
    </w:p>
    <w:p w14:paraId="399895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4.在建工程。被审计单位将代建基础设施项目计入在建工程76亿元，但按相关协议，公司代建项目最终销售给国有部门，应当计入存货科目核算，会计师未实施相关审计程序。</w:t>
      </w:r>
    </w:p>
    <w:p w14:paraId="2DBB543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5.无形资产。年末被审计单位无形资产金额较大（601亿元），会计师未对其进行减值测试。</w:t>
      </w:r>
    </w:p>
    <w:p w14:paraId="0699F27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长期股权投资。一是被审计单位以前年度转让所持某公司股权交易无商业实质，会计师将本不应确认的股权转让收益通过审计调整确认为投资收益，将股权转让产生的回购溢价及管理费错误地计入长期股权投资成本，导致长期股权投资计量不准确。二是公司期末其他应收款余额210万元，审计底稿列示公司将相关其他应收款1200万元调整至长期股权投资，但底稿中未见评估报告、相关调整依据及说明等资料。对于股权交易存在的异常情况，会计师未予关注，未实施进一步审计程序确定款项划转是否合理，是否涉嫌关联交易非关联化等问题。</w:t>
      </w:r>
    </w:p>
    <w:p w14:paraId="5AF83D3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7.递延所得税资产（负债）。被审计单位交易性金融资产和可供出售金融资产公允价值发生变动，但未确认递延所得税资产或递延所得税负债，未见相关底稿和测试记录。</w:t>
      </w:r>
    </w:p>
    <w:p w14:paraId="00521D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8.商誉。一是未评价分析商誉所在资产组的未来盈利能力，仅获取了咨询报告，未评价外部专家工作，也未执行内部专家复核。二是子公司年末净资产为负，会计师未对与该子公司相关的商誉进行减值测试。</w:t>
      </w:r>
    </w:p>
    <w:p w14:paraId="69504C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三、收入和投资收益类存在的问题</w:t>
      </w:r>
    </w:p>
    <w:p w14:paraId="4891B5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收入审计程序存在的问题主要是会计师未保持应有的职业谨慎，未执行相关审计程序，部分程序执行不规范。</w:t>
      </w:r>
    </w:p>
    <w:p w14:paraId="18E1D4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一是被审计单位2017年共确认10.04亿元咨询服务费收入，对该大额咨询费收入，会计师未能保持充分的职业怀疑，未执行必要的审计程序以判断其是否具有商业实质。</w:t>
      </w:r>
    </w:p>
    <w:p w14:paraId="2A9869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被审计单位2017年委托贷款发生额为10.71亿元，收回金额为29.31亿元，会计师仅对期末余额实施了函证程序，未对当期发生交易进行检查；未对2017年委托贷款利息收入、租赁收入执行函证、检查等必要的审计程序。</w:t>
      </w:r>
    </w:p>
    <w:p w14:paraId="342198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三是对于被审计单位购买理财产品取得的收益，会计师未实施测算等审计程序，未能发现公司少记理财产品投资收益。</w:t>
      </w:r>
    </w:p>
    <w:p w14:paraId="07E16B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四是截止性测试程序中选取了11月和次年2月的样本，会计师未检查合同、订单、发运凭证及客户签收单据等相关资料。</w:t>
      </w:r>
    </w:p>
    <w:p w14:paraId="6DDF7E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五是根据营业收入与已开具发票核对表，2017年度营业收入与本期开具的增值税发票、普通发票、未开具发票金额核对不符，会计师未关注上述异常并实施相应审计程序。</w:t>
      </w:r>
    </w:p>
    <w:p w14:paraId="3209F6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是被审计单位有48家农资销售门店，销售门店均以分公司名义开展经营活动，公司2017年确认对上述销售门店的收入1,058万元，会计师未对被审计单位将货物销售给分公司即确认收入、是否存在相关风险等情况予以关注并实施审计程序。</w:t>
      </w:r>
    </w:p>
    <w:p w14:paraId="43340B6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七是2017年11月-12月，被审计单位每月通过某银行善融平台实现销售收入650万元，但底稿中仅有检查运输单据的记录，会计师未对销售合同、出库单、发货单、发票和资金划转等进行核对。</w:t>
      </w:r>
    </w:p>
    <w:p w14:paraId="3EA670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四、成本费用类存在的问题</w:t>
      </w:r>
    </w:p>
    <w:p w14:paraId="122AF8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营业成本。一是未对营业成本结转数据真实性、准确性执行相关审计程序；二是未执行对公司自行开发的成本核算信息系统进行测试的相关审计程序；三是未对“期初产成品产值”金额的真实性、准确性执行相关审计程序，未关注年初产成品产值与上年年年末产值不一致的情况。</w:t>
      </w:r>
    </w:p>
    <w:p w14:paraId="15947A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2.销售费用。一是未执行销售费用的截止性测试，会计师发现销售费用中网点兑现费金额同比大幅增加，但未实施进一步追查程序。二是医药营销公司展览费、</w:t>
      </w:r>
      <w:r>
        <w:rPr>
          <w:rFonts w:ascii="宋体" w:hAnsi="宋体" w:cs="宋体" w:hint="eastAsia"/>
          <w:sz w:val="24"/>
        </w:rPr>
        <w:lastRenderedPageBreak/>
        <w:t>广告费、聘请中介机构费、交通费等大幅增长，会计师未予充分关注并实施进一步审计程序。三是会计师发现公司销售费用存在较大波动，执行了询问程序，并获取了公司提供的情况说明，但未对说明内容的真实性和准确性进行核实。</w:t>
      </w:r>
    </w:p>
    <w:p w14:paraId="7C2930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3.所得税。未见母公司2012年－2014年所得税测算底稿，2015年、2016年所得税测算底稿中纳税调整前的利润总额与审计报告中的数据不一致。</w:t>
      </w:r>
    </w:p>
    <w:p w14:paraId="534842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五、其他方面存在的问题</w:t>
      </w:r>
    </w:p>
    <w:p w14:paraId="16229F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实施前期差错更正的依据不充分。某事务所首次接受委托，对某公司2017年年报进行审计，提出对2016年年报数据实施前期会计差错更正，但并未获取充分、适当的审计证据，实施差错更正的依据不足，底稿缺少重要的证据资料。此外，未提请被审计单位告知前任会计师，也未与前任会计师沟通会计差错更正事项。</w:t>
      </w:r>
    </w:p>
    <w:p w14:paraId="4943C9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实施的审计调整未获取充分、适当的审计证据。某项目审计过程中，会计师调增营业收入0.83亿元、营业成本0.71亿元。经查该工程为代建项目，按照成本加成15％确认营业收入，结算单列示工程直接成本0.55亿元、间接成本0.16亿元，会计师未对间接成本实施进一步审计程序以获取审计证据，底稿中也未说明原因。</w:t>
      </w:r>
    </w:p>
    <w:p w14:paraId="488380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获取会计估计变更的充分、适当的审计证据。被审计单位2016年度财务报告中披露的可供出售金融资产减值测试方法中会计估计较以往年度发生了变更。会计师在2016年度财务报告审计过程中，已知悉上述会计估计变更事项，但未执行相关审计程序，未获取该项会计估计变更合理性和恰当性的充分、适当的审计证据，也未发现2016年度财务报告未对该项会计估计变更进行充分披露的问题。</w:t>
      </w:r>
    </w:p>
    <w:p w14:paraId="77F258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未执行前后任注册会计师沟通程序。审计底稿中未附相关记录证明与前任注册会计师进行了必要的沟通，且底稿中业务承接评价表记录变更会计师事务所的原因为“主要项目负责人均离职”，与实际情况不符，原签字注册会计师并未离职。</w:t>
      </w:r>
    </w:p>
    <w:p w14:paraId="272D86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直接利用其他事务所对子公司、孙公司出具的审计报告，未执行必要的审计程序。被审计单位的部分子公司、孙公司审计报告由其他事务所出具，经其审计的资产总额占合并资产总额的比重为28％，会计师在利用其他事务所的审计报告时，仅复印和沟通了其中一家重要子公司的审计底稿，未执行充分、必要的审计程序，审计底稿中也未附相关复核记录。</w:t>
      </w:r>
    </w:p>
    <w:p w14:paraId="1885E4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6.合并范围和合并数据存在问题。一是母公司单体报表中并入了独立的境外全资子公司财务数据，导致母公司财务报表编制的主体范围错误，会计师未识别并调</w:t>
      </w:r>
      <w:r>
        <w:rPr>
          <w:rFonts w:ascii="宋体" w:hAnsi="宋体" w:cs="宋体" w:hint="eastAsia"/>
          <w:sz w:val="24"/>
        </w:rPr>
        <w:lastRenderedPageBreak/>
        <w:t>整上述财务报表编制主体范围错误的情况。二是未充分关注财务报表合并范围发生变化，未审慎判断原子公司变更为联营企业，未对大额股权转让交易的商业实质保持应有的职业怀疑，未追加进一步审计程序以获取充分适当的审计证据。三是2012－2016年母、子公司对油气资产摊销政策不一致、前后期不一致的情况，会计师未进行审计调整。</w:t>
      </w:r>
    </w:p>
    <w:p w14:paraId="639278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经营活动现金流相关审计程序缺失。公司披露的2015年、2016年、2017年经营活动产生的现金净额波动较大且与营业收入差异较大，会计师未实施分析程序，也未发现债券募集说明书及2017年年报中关于2016年度经营活动产生的现金流量净额披露错误。</w:t>
      </w:r>
    </w:p>
    <w:p w14:paraId="05339B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质量控制复核程序不到位。一是质控复核底稿中相关项目只是程序性的勾选，未见相关问题明细及答疑补充，也未见质控复核人员的签字盖章及复核日期。二是部门复核意见中无部分复核人员的签字盖章及复核日期。</w:t>
      </w:r>
    </w:p>
    <w:p w14:paraId="27E79962" w14:textId="77777777" w:rsidR="00A320E6" w:rsidRDefault="00000000" w:rsidP="00F64CCD">
      <w:pPr>
        <w:pStyle w:val="1a"/>
      </w:pPr>
      <w:r>
        <w:rPr>
          <w:rFonts w:hint="eastAsia"/>
        </w:rPr>
        <w:t>资产评估机构的突出问题</w:t>
      </w:r>
    </w:p>
    <w:p w14:paraId="7AF409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一、收益法</w:t>
      </w:r>
    </w:p>
    <w:p w14:paraId="7F104B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计算存在错误和疏漏，对原评估值影响重大。某项目永续期折现系数计算错误，导致原评估值高估，影响金额占原评估值的7.74%。另一项目在计算永续期企业自由现金流量过程中，未加回财务费用（税后），导致原评估值低估，影响金额占原评估值的8.20%。</w:t>
      </w:r>
    </w:p>
    <w:p w14:paraId="2F2B67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计算折现率时，贝塔取值不合理或计算错误。一是采用的企业所得税税率不适用于被评估单位；二是可比公司均为深圳证券交易所上市公司，但“标的指数”选取的是“上证综合指数”；三是折现率测算过程使用的资本结构不一致，计算贝塔值时使用的是类比公司的平均资本结构，计算加权平均资本成本时使用的是被估值对象估值基准日的资本结构。</w:t>
      </w:r>
    </w:p>
    <w:p w14:paraId="2F39E2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估对象的确定存在问题。资产评估委托合同上的评估对象与估值报告中评估对象的表述不一致，前者为“全部资产及负债形成的权益”，后者为“被评估对象于估值基准日的全部资产及负债形成的资产组组合价值”。</w:t>
      </w:r>
    </w:p>
    <w:p w14:paraId="5AA166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部分评估程序存在瑕疵。一是新增的电子设备折旧金额计算错误，导致少提折旧；二是未关注评估工作底稿中记账凭证与对账单发票金额不符的情况；三是未关注孙公司以个人名义开立银行账户的情况；四是评估工作底稿中关于电子设备的</w:t>
      </w:r>
      <w:r>
        <w:rPr>
          <w:rFonts w:ascii="宋体" w:hAnsi="宋体" w:cs="宋体" w:hint="eastAsia"/>
          <w:sz w:val="24"/>
        </w:rPr>
        <w:lastRenderedPageBreak/>
        <w:t>询价记录，只有打印版的网页报价，没有显示询价日期、询价人员等详细记录；五是确定预测销售价格的过程中，未详细列示预测销售价格各个组成部分的取值依据；六是底稿记录就影视剧的排期及项目实际进度、合同的真实性和执行情况、项目可行性等向发行方和渠道合作方进行电话了解、核实，但底稿并无访谈记录。</w:t>
      </w:r>
    </w:p>
    <w:p w14:paraId="7CF1F0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二、资产基础法</w:t>
      </w:r>
    </w:p>
    <w:p w14:paraId="68A3A4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1.评估资料不完整、部分评估程序不到位。</w:t>
      </w:r>
    </w:p>
    <w:p w14:paraId="68E512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一是部分项目未对往来款项进行函证，部分往来款函证金额与账面不符但评估师未保持必要关注。</w:t>
      </w:r>
    </w:p>
    <w:p w14:paraId="370B16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二是对于银行存款，底稿未见银行对账单、银行存款余额调节表、银行函证等资料。</w:t>
      </w:r>
    </w:p>
    <w:p w14:paraId="3F5C8C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三是未对部分土地使用权进行测算，部分测算过程过于简易。</w:t>
      </w:r>
    </w:p>
    <w:p w14:paraId="5C93C4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四是底稿未见存货盘点表；现场勘查表未填写内容、部分公司车辆行驶证获取不全或过期，部分调查表和盘点表未见评估人员签字和被评估企业盖章。</w:t>
      </w:r>
    </w:p>
    <w:p w14:paraId="2BF7D5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五是对无形资产-软件著作权采用成本法评估，评估说明及工作底稿中均未说明是否考虑无形资产贬值因素。</w:t>
      </w:r>
    </w:p>
    <w:p w14:paraId="5DBFC7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六是仅取得知识产权复印件，未见对知识产权的法律状况、权属状况进行核查验证的记录或证明。</w:t>
      </w:r>
    </w:p>
    <w:p w14:paraId="215C926A" w14:textId="2A2B5D93"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评估报告披露不充分。评估师将生产企业从被评估企业总体中进行剥离并单独使用资产基础法，剩余部分采用收益法，但评估底稿未说明将生产企业从企业总体中剥离的具体操作，对生产企业单独使用资产基础法进行评估的理由描述也不充分。</w:t>
      </w:r>
    </w:p>
    <w:p w14:paraId="7769C0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见综合所得税税率占比情况分析和具体测算过程。评估师采用的综合所得税税率预测值为19%，实际上被评估企业所得税税率有15%和25%两种情况。评估报告中未说明综合所得税税率的测算过程，评估工作底稿中未列示两种税率的占比情况分析和计算过程。</w:t>
      </w:r>
    </w:p>
    <w:p w14:paraId="2F0800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4.未充分识别无形资产且底稿记录不完善。未将公司取得的软件总代理权及系列软件分销权的价值作为无形资产进行辨认和评估，也未在底稿中充分说明和记录不将其辨认为无形资产的原因。</w:t>
      </w:r>
    </w:p>
    <w:p w14:paraId="60FD50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三、市场法</w:t>
      </w:r>
    </w:p>
    <w:p w14:paraId="7104C3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1.未以交易实例成交价格为参考。采用市场法评估房屋建筑物，采用的可比物业的交易价格为中介公司网上挂牌的销售意向价格，而非交易实例的成交价格。</w:t>
      </w:r>
    </w:p>
    <w:p w14:paraId="5EC100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2.可比案例各因素的修正情况前后矛盾。关于产业聚集度、距区域中心距离、临街状况、土地开发程度及宗地形状等因素的描述情况，与其修正值存在差异。</w:t>
      </w:r>
    </w:p>
    <w:p w14:paraId="2D2D9C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四、评估底稿存在瑕疵，评估报告披露错误或不充分</w:t>
      </w:r>
    </w:p>
    <w:p w14:paraId="49C921F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1.工作底稿记录不完整，未充分记录部分参数的确定依据</w:t>
      </w:r>
    </w:p>
    <w:p w14:paraId="442939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充分记录直接采用历史年化波动率作为预期波动率的理由。评估师确定预期年化波动率时，测算了历史年度的年化波动率，底稿中未分析历史波动率波动较大的原因，亦未说明直接选取历史数据作为预期波动率的理由。</w:t>
      </w:r>
    </w:p>
    <w:p w14:paraId="7C92C0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二是未充分记录执行价格等于评估基准日股价的理由。采用布莱克-斯科尔斯期权定价模型时，评估师直接将执行价格等于现实价格，底稿并未充分记录相关理由。</w:t>
      </w:r>
    </w:p>
    <w:p w14:paraId="24F870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三是使用资产基础法对公司外购的各类计算机应用软件进行价值评估，对部分软件采用了市场法，对部分软件采用了重置成本法，工作底稿未完整反映所有软件使用的评估方法及评估值计算过程。</w:t>
      </w:r>
    </w:p>
    <w:p w14:paraId="6A0ED1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2.工作底稿不规范或记录存在错漏</w:t>
      </w:r>
    </w:p>
    <w:p w14:paraId="558D1D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底稿收集的评估申报明细表不规范。评估申报明细表不仅包括各项资产、负债等数据，还列示了各项资产的“评估价值’，评估师未对企业提供的评估申报表进行认真审阅，导致申报明细表出现列示评估值的情形。　　</w:t>
      </w:r>
    </w:p>
    <w:p w14:paraId="21B755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二是承诺函未填写日期。“委托方和被评估单位承诺函”、“资产评估师承诺函”、“企业关于进行资产评估有关事项的说明”等附件的落款日期均空白，无法判定企业签署上述文件的具体时间。</w:t>
      </w:r>
    </w:p>
    <w:p w14:paraId="1155149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三是底稿归集不完整，未见委托方营业执照、委托方承诺函、现场勘察记录及现场照片等资料。</w:t>
      </w:r>
    </w:p>
    <w:p w14:paraId="080283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四是未对评估计划进行必要调整和说明。评估计划中拟采用基准地价法和市场法对土地使用权价值进行评估，但实际仅采用市场法一种方法。</w:t>
      </w:r>
    </w:p>
    <w:p w14:paraId="6371E4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3.工作底稿与评估说明不一致</w:t>
      </w:r>
    </w:p>
    <w:p w14:paraId="236348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一是长期股权投资评估说明及底稿存在错漏。长期股权投资的评估说明与评估明细表的长期股权投资单位数量不一致，缺少部分公司；部分公司的投资时间与评估明细表不一致。</w:t>
      </w:r>
    </w:p>
    <w:p w14:paraId="32F20F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二是评估说明中将“虚拟现金池”软件作为重置成本法评估案例列示，但工作底稿中，“虚拟现金池”软件列示在《其他无形资产作业分析表——市场法》，与评估说明不一致。</w:t>
      </w:r>
    </w:p>
    <w:p w14:paraId="0B46CC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评估说明从“行业监管的风险、对支付平台存在一定依赖的风险、市场竞争加剧的风险’三个方面定性分析得出企业特定风险，但实际执行的是以“管理质量和深度、行业竞争地位、对关键人员的依赖程度、公司规模、产品缺少多样化、对少数客户的依赖程度、对少数供应商的依赖程度”七个因素定量打分得出企业特定风险，两者不一致。</w:t>
      </w:r>
    </w:p>
    <w:p w14:paraId="3621EB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4.评估报告和说明披露存在瑕疵</w:t>
      </w:r>
    </w:p>
    <w:p w14:paraId="4E5B3D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一是评估报告披露有误。评估报告披露所选用的价值类型为资产组可回收价值，但实际上评估结论采用的是土地使用权的市场价值，评估报告披露有误。</w:t>
      </w:r>
    </w:p>
    <w:p w14:paraId="1D4DF9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二是评估依据中包括不相关的准则及未更新的规范。</w:t>
      </w:r>
    </w:p>
    <w:p w14:paraId="5372C9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三是评估报告披露的经济行为文件与后附内容不一致。报告中披露的经济行为文件共5项，附件中实际只有两项，且其中一项不是报告列示的经济行为文件，另外4项未附在报告附件中。</w:t>
      </w:r>
    </w:p>
    <w:p w14:paraId="75A978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w:t>
      </w:r>
    </w:p>
    <w:p w14:paraId="0171BB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售后回租、回购的收入确认问题</w:t>
      </w:r>
    </w:p>
    <w:p w14:paraId="0345AF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一、案例背景情况介绍</w:t>
      </w:r>
    </w:p>
    <w:p w14:paraId="2368C7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A房地产开发公司为促销自行开发的某购物中心商铺，在销售部分商铺时采取了以下两种促销方式：</w:t>
      </w:r>
    </w:p>
    <w:p w14:paraId="05AB7DF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销售时签订售后回购合同和售后回租合同：A房地产开发公司按市场价格的80%（销售价格大于存货账面价值）销售商铺，同时与购房人甲签订了回租协议，约定：自商铺交付日起，甲将该商铺租赁给A公司的全资子公司B物业管理公司，租赁期为10年，租赁期前3年免租金，3年后每年按售房价款的7%支付租金。另外，A房地产开发公司还与甲签订了该商铺的回购协议，约定租赁期满后，如果甲有意向出售该商铺，则A房地产开发公司应当以原售价的120%的价格予以回购。</w:t>
      </w:r>
    </w:p>
    <w:p w14:paraId="1F0B15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（2）销售时只签订了售后回租合同，合同约定同促销方式（1）中回租协议约定内容相同。</w:t>
      </w:r>
    </w:p>
    <w:p w14:paraId="07477F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二、涉及会计准则执行问题</w:t>
      </w:r>
    </w:p>
    <w:p w14:paraId="5CE50B9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1.A房地产公司销售商铺同时签订售后回购合同和售后回租合同的业务，销售时是否确认收入？</w:t>
      </w:r>
    </w:p>
    <w:p w14:paraId="59F96B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2.A房地产公司销售商铺同时签订售后回租合同的业务，销售时是否确认收入？</w:t>
      </w:r>
    </w:p>
    <w:p w14:paraId="508E365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三、相关准则规定</w:t>
      </w:r>
    </w:p>
    <w:p w14:paraId="7AC83B9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根据《企业会计准则讲解2010——收入》，售后回购是指销售商品的同时，销售方同意日后将同样或类似的商品购回的销售方式。在这种方式下，销售方应根据合同或协议的条款判断企业是否已将商品所有权上的主要风险和报酬转移给购货方，以确定是否确认销售商品收入。在大多数情况下，回购价格固定或原销售价格加合理回报，售后回购交易属于融资交易，商品所有权上的主要风险和报酬没有转移，企业不应确认销售商品收入；回购价格大于原售价的差额，企业应在回购期间按期计提利息，计入财务费用。</w:t>
      </w:r>
    </w:p>
    <w:p w14:paraId="6EA202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2.根据《会计准则讲解2010——租赁》满足下列标准之一的，即应认定为融资租赁：</w:t>
      </w:r>
    </w:p>
    <w:p w14:paraId="5853D1F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在租赁期届满时，租赁资产的所有权转移给承租人。即如果在租赁协议中已经约定，或者根据其他条件在租赁开始日就可以合理地判断，租赁期届满时出租人会将资产的所有权转移给承租人，那么该项租赁应当认定为融资租赁。</w:t>
      </w:r>
    </w:p>
    <w:p w14:paraId="22A9CA5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（二）承租人有购买租赁资产的选择权，所订立的购买价款预计将远低于行使选择权时租赁资产的公允价值，因而在租赁开始日就可合理地确定承租人将会行使这种选择权。</w:t>
      </w:r>
    </w:p>
    <w:p w14:paraId="66C34F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（三）即使资产的所有权不转移，但租赁期占租赁资产使用寿命的大部分。这里的“大部分”，通常掌握在租赁期占租赁开始日租赁资产使用寿命的75％以上（含75％）。</w:t>
      </w:r>
    </w:p>
    <w:p w14:paraId="6DBAC1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会计准则讲解2010——租赁》，在形成融资租赁的售后租回交易方式下，对卖主(承租人)而言，与资产所有权有关的全部报酬和风险并未转移，并且售后租回交易的租金和资产的售价往往是以一揽子方式进行谈判的，应视为一项交易。因此，无论卖主（承租人）出售资产的售价高于还是低于出售前资产的账面价值，所发生的收益或损失都不应立即确认为当期损益，而应将其作为未实现售后租回损益递延并按资产的折旧进度进行分摊，作为折旧费用的调整。</w:t>
      </w:r>
    </w:p>
    <w:p w14:paraId="309BCA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3.根据国际财务报告准则15，如果主体具有回购资产的义务或权利（远期合同</w:t>
      </w:r>
      <w:r>
        <w:rPr>
          <w:rFonts w:ascii="宋体" w:hAnsi="宋体" w:cs="宋体" w:hint="eastAsia"/>
          <w:sz w:val="24"/>
        </w:rPr>
        <w:lastRenderedPageBreak/>
        <w:t>或看涨期权），则客户并未获得对该资产的控制，因为客户主导这项资产的使用并获得这项资产几乎所有剩余利益的能力受到限制（即使客户可能已持有该资产实物）。因此，主体应按以下二者之一对合同进行会计处理：</w:t>
      </w:r>
    </w:p>
    <w:p w14:paraId="63C73B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（1）如果主体能够或必须按低于资产原售价的金额回购该资产，则按照《国际会计准则第17号——租赁》作为租赁进行会计处理；或</w:t>
      </w:r>
    </w:p>
    <w:p w14:paraId="6D52E2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（2）如果主体能够或必须按相当于或高于资产原售价的金额回购该资产，则按照附录二应用指南第68段作为融资安排进行会计处理。</w:t>
      </w:r>
    </w:p>
    <w:p w14:paraId="1FBA60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四、初步讨论意见</w:t>
      </w:r>
    </w:p>
    <w:p w14:paraId="4C0BB4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首先，在准则适用方面，根据国际财务报告准则15，如果部分合同属于其他准则范围的，优先使用其他准则。对于本案例中的A房地产公司的两种促销方式，应首先判断所销售商铺的控制权是否发生转移；如果客户不能取得商铺的控制权，则根据《会计准则讲解2010——租赁》，与资产所有权有关的全部报酬和风险并未转移，两种促销方式均不应确认收入、按照售后租回交易形成融资租赁进行会计处理。根据中国会计准则和国际财务报告准则对两种业务的判断结果在特定情况下会有差异，具体如下。</w:t>
      </w:r>
    </w:p>
    <w:p w14:paraId="7816458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1.根据中国会计准则</w:t>
      </w:r>
    </w:p>
    <w:p w14:paraId="0976AD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（1）对于问题1，根据《会计准则讲解2010——租赁》，本案例属于售后回租形成融资租赁的行为，销售商铺同时签订售后回购合同和售后回租合同的业务不应确认收入。</w:t>
      </w:r>
    </w:p>
    <w:p w14:paraId="28FC35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对于问题2，本案例属于销售商铺同时签订售后回租合同的业务。按照协议，销售价格是公允价值的80%。在不考虑时间价值的情况下，即使前3年免收租金的情况下，租期内租金的平均价格约为房屋价值的4.9%，明显高于市场公允价格，可以判定此项销售行为实质上属于A公司的一种融资行为，并没有将房屋的控制权转移给客户甲，收到的价款实质为融资款，销售价格损失与后续所付高于租金市价的部分均属于融资费用。只有在10年后将商铺的控制权转移给甲时才能确认收入，并结转成本。</w:t>
      </w:r>
    </w:p>
    <w:p w14:paraId="6EB02E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2.根据国际会计准则</w:t>
      </w:r>
    </w:p>
    <w:p w14:paraId="77F9E3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（1）对于问题1，根据国际财务报告准则15，A公司有应客户要求按高于资产原售价的金额回购该资产的义务，客户甲并没有控制该项资产，客户主导这项资产</w:t>
      </w:r>
      <w:r>
        <w:rPr>
          <w:rFonts w:ascii="宋体" w:hAnsi="宋体" w:cs="宋体" w:hint="eastAsia"/>
          <w:sz w:val="24"/>
        </w:rPr>
        <w:lastRenderedPageBreak/>
        <w:t>的使用并获得这项资产几乎所有剩余利益的能力受到限制。按照国际财务报告准则15，商铺销售时不应确认销售收入，应作为融资安排进行会计处理，继续确认资产并就从客户取得的对价确认为一项金融负债，将从客户取得的对价与应付给客户的对价之间的差额确认为利息。</w:t>
      </w:r>
    </w:p>
    <w:p w14:paraId="488B40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（2）对于问题2，根据中国会计准则与国际会计准则的判断是一致的。</w:t>
      </w:r>
    </w:p>
    <w:p w14:paraId="213954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2F7100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证监会会计部发布《会计监管工作通讯》</w:t>
      </w:r>
    </w:p>
    <w:p w14:paraId="1D2C2D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第二、三季度，证监会会计部共发布三期《会计监管工作通讯》，主要内容包括会计部、机构部发文明确证券公司实施新会计准则时间及要求，明确基金公司2017年年报格式，对上市公司2017年年报会计问题进行提示等。</w:t>
      </w:r>
    </w:p>
    <w:p w14:paraId="42DC3C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证监会会计部发布《2017年上市公司年报会计监管报告》</w:t>
      </w:r>
    </w:p>
    <w:p w14:paraId="161983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月3日发布，通报了上市公司在合并财务报表、企业合并、收入、金融工具、政府补助、持有待售的非流动资产、处置组和终止经营、资产减值、所得税、非经常性损益等方面存在的会计处理问题，同时指出部分会计师事务所在执行审计业务中存在的主要问题。</w:t>
      </w:r>
    </w:p>
    <w:p w14:paraId="6BD48D3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证监会会计部发布《2017年上市公司非标准意见审计报告情况分析》</w:t>
      </w:r>
    </w:p>
    <w:p w14:paraId="543A91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8月29日发布，通过对130份非标报告进行审阅，梳理和总结非标审计报告的基本情况、主要内容、特点和存在的问题等，在全国予以通报。</w:t>
      </w:r>
    </w:p>
    <w:p w14:paraId="65E36A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财政部修订印发2018年度一般企业财务报表格式</w:t>
      </w:r>
    </w:p>
    <w:p w14:paraId="6085A59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解决执行企业会计准则的企业在财务报告编制中的实际问题，针对2018年1月1日起分阶段实施的四项新金融准则和新收入准则，财政部对一般企业财务报表格式进行了修订，并于2018年6月15日予以印发。执行企业会计准则的非金融企业，针对尚未执行新金融准则和新收入准则的企业以及已执行新金融准则或新收入准则的企业，分别设计了财务报表格式，且明确企业对不存在相应业务的报表项目可结合实际情况进行必要删减、对确需单独列示的内容增加报表项目。执行企业会计准则的金融企业应当根据金融企业经营活动的性质和要求，比照一般企业财务报表格式进行相应调整。</w:t>
      </w:r>
    </w:p>
    <w:p w14:paraId="022EB7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国际会计准则理事会和财政部就《具有权益特征的金融工具（讨论稿）》征求意见</w:t>
      </w:r>
    </w:p>
    <w:p w14:paraId="555499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2018年7月，国际会计准则理事会（IASB）发布了《具有权益特征的金融工具（讨论稿）》，向全球征求意见（征求意见截止时间为2019年1月7日）。为深入参与国际财务报告准则制定，推动我国会计准则持续趋同，财政部也面向社会征求意见，截止时间为2018年11月16日。</w:t>
      </w:r>
    </w:p>
    <w:p w14:paraId="29989A55"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4" w:name="_Toc112227382"/>
      <w:r>
        <w:rPr>
          <w:rFonts w:ascii="宋体" w:hAnsi="宋体" w:cs="宋体" w:hint="eastAsia"/>
          <w:b/>
          <w:bCs/>
          <w:sz w:val="24"/>
          <w:szCs w:val="24"/>
        </w:rPr>
        <w:t>会计及评估监管工作通讯二〇一九年第一期（总第27期）</w:t>
      </w:r>
      <w:bookmarkEnd w:id="74"/>
    </w:p>
    <w:p w14:paraId="5E656B7F"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北京证监局二〇一九年一月</w:t>
      </w:r>
    </w:p>
    <w:p w14:paraId="73D9BEF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037F6BF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【警钟长鸣】四季度辖区证券资格审计与评估机构处理处罚情况</w:t>
      </w:r>
    </w:p>
    <w:p w14:paraId="4A5E78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2535BA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【监管动态】四季度相关监管部门发布的监管政策和要求</w:t>
      </w:r>
    </w:p>
    <w:p w14:paraId="194F23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0C1A76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2018年10-12月证监会及各地证监局对北京辖区证券资格会计师事务所下发行政处罚决定书2份，涉及审计机构2家次、注册会计师5人次；下发行政监管措施17份，涉及审计机构15家次、注册会计师20人次；下发检查结果告知书31份，涉及审计机构31家次。对北京辖区证券资格资产评估机构下发行政处罚决定书1份，涉及评估机构1家次、评估师2人次；下发行政监管措施2份，涉及评估机构2家次、评估师2人次；下发检查结果告知书2份，涉及评估机构2家次。</w:t>
      </w:r>
    </w:p>
    <w:p w14:paraId="55B4D3C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w:t>
      </w:r>
    </w:p>
    <w:p w14:paraId="152CF06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我局对证监会及各地证监局对辖区证券资格审计与评估机构下发的行政处罚、行政监管措施、检查结果告知书等指出的审计与评估机构存在的突出问题进行了汇总，现予以发布，提示各审计与评估机构重点关注。</w:t>
      </w:r>
    </w:p>
    <w:p w14:paraId="780E7B79" w14:textId="77777777" w:rsidR="00A320E6" w:rsidRDefault="00000000" w:rsidP="00F64CCD">
      <w:pPr>
        <w:pStyle w:val="1a"/>
      </w:pPr>
      <w:r>
        <w:rPr>
          <w:rFonts w:hint="eastAsia"/>
        </w:rPr>
        <w:t>新增行政处罚及行政监管措施中会计师事务所的突出问题</w:t>
      </w:r>
    </w:p>
    <w:p w14:paraId="5EA3C0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一、计划审计工作和风险评估程序</w:t>
      </w:r>
    </w:p>
    <w:p w14:paraId="4B23801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1.未有效执行业务保持评价程序。《业务保持评价表》存在明显错误，未按事务所的规定发表承接意见、判定项目风险等级。</w:t>
      </w:r>
    </w:p>
    <w:p w14:paraId="2BF5EA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2.在了解被审计单位内部控制及控制测试审计程序中，对于审批签名不全的单据仍得出“控制有效并得到执行”的审计结论。未对偏差的原因进行调查，也未对其影响进行评估。</w:t>
      </w:r>
    </w:p>
    <w:p w14:paraId="1444D6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3.风险评估阶段未保持应有的职业谨慎和职业怀疑，未识别舞弊风险。一是被</w:t>
      </w:r>
      <w:r>
        <w:rPr>
          <w:rFonts w:ascii="宋体" w:hAnsi="宋体" w:cs="宋体" w:hint="eastAsia"/>
          <w:sz w:val="24"/>
        </w:rPr>
        <w:lastRenderedPageBreak/>
        <w:t>审计单位应收账款和实际控制人承接的广告业务单具有重要性和异常性特征，事务所在年报审计过程中已经识别出公司因面临业绩压力存在收入高估的舞弊风险、因未成立内审部门存在管理层凌驾于控制之上的风险，认定报表层次和营业收入、应收账款认定层次存在特别风险，却未对上述异常情形保持合理的职业怀疑。二是未实施有效程序对公司舞弊风险进行识别，未与公司治理层就公司舞弊情况进行必要沟通。</w:t>
      </w:r>
    </w:p>
    <w:p w14:paraId="2FECCB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二、货币资金</w:t>
      </w:r>
    </w:p>
    <w:p w14:paraId="2A3C0B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对部分银行账户实施函证，未记录不予函证的理由，也未实施替代程序。二是对于部分未回函的银行函证，未实施替代程序。三是审计底稿显示采用亲函方式，但实际并未对所有函证实施亲函，未对亲函过程实施必要的控制。四是未发现其他货币资金回函存在差异（超过重要性水平），未实施替代程序。</w:t>
      </w:r>
    </w:p>
    <w:p w14:paraId="5CA1E62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三、往来款</w:t>
      </w:r>
    </w:p>
    <w:p w14:paraId="4A0821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函证程序不规范。一是底稿未记录部分客户回函的快递单号，也未附快递单据或者亲函证明。二是回函未盖客户公章，仅有函证处理人员签字。三是对总体回函相符率较低的情况未保持合理关注。四是对多笔大额回函金额与账面不符（差异金额超过重要性水平）的情况，未调查不符事项以确定是否表明存在错报。五是未对回函过程保持必要的控制，在函证收回环节，部分回函由被审计单位获取后再寄往事务所。六是对于询证函回函（均系传真件）时间高度集中的异常现象，会计师未给予应有的关注，未对回函的来源进行核验，所获取的审计证据可靠性低。</w:t>
      </w:r>
    </w:p>
    <w:p w14:paraId="350718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2.未核实公司账龄划分的准确性，未发现应收账款账龄划分有误、少计提坏账准备的问题。对方经营困难且被列为失信被执行人，公司仅按账龄计提坏账准备，坏账损失计提不恰当。</w:t>
      </w:r>
    </w:p>
    <w:p w14:paraId="6C47FA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3.被审计单位发生销售退回产生的赔偿金未计入营业外支出，长期挂账“应收账款”。会计师未核实该笔应收账款挂账原因，未发现支付赔偿金账务处理错误。</w:t>
      </w:r>
    </w:p>
    <w:p w14:paraId="20714E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4.预付账款审计程序中，未核实原材料供应商“预付账款”余额未结算原因，未发现该供应商相同性质款项在“预付账款”及“暂估应付账款”同时挂账、未予冲抵的情况。</w:t>
      </w:r>
    </w:p>
    <w:p w14:paraId="35E800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5.其他应收款审计程序不完善。一是函证控制表显示已执行函证程序，均未收到回函，未实施替代审计程序，未确定是否对账龄较长的款项计提了充分坏账准备。</w:t>
      </w:r>
      <w:r>
        <w:rPr>
          <w:rFonts w:ascii="宋体" w:hAnsi="宋体" w:cs="宋体" w:hint="eastAsia"/>
          <w:sz w:val="24"/>
        </w:rPr>
        <w:lastRenderedPageBreak/>
        <w:t>二是被审计单位未按坏账计提政策对单项金额重大的其他应收款实施减值测试，会计师未实施恰当的审计程序以确定坏账准备计提是否充分。</w:t>
      </w:r>
    </w:p>
    <w:p w14:paraId="206D26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6.未对票据余额在审计基准日前后激增又剧减的重大异常情况保持必要的职业怀疑，未能及时识别财务报告的重大错报风险。在未获取充分适当的审计证据的情况下，认定被审计单位在期末对票据享有权益。</w:t>
      </w:r>
    </w:p>
    <w:p w14:paraId="166F0D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通过期后盘点票据并倒轧计算票据期末余额。倒轧计算结果的准确性受到应收票据相关的内部控制执行情况的影响，会计师不恰当地依赖内部控制，对应收票据实施盘点和倒轧程序，所获取的审计证据可靠性低。</w:t>
      </w:r>
    </w:p>
    <w:p w14:paraId="3D6F92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四、长期股权投资和商誉</w:t>
      </w:r>
    </w:p>
    <w:p w14:paraId="7C48E7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1.业绩承诺补偿款会计处理错误。被审计单位将控股股东需支付的业绩承诺补偿款计入营业外收入，会计师未保持应有的职业谨慎，导致公司财务报告存在重大错报。</w:t>
      </w:r>
    </w:p>
    <w:p w14:paraId="13D5AC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商誉减值测试程序不完善。一是在被投资公司收入呈持续下滑趋势且未能完成业绩承诺的情况下，商誉减值测算时仍对营业收入预测采用5％以上的增长率。会计师未获取经营预测所依据的合同、协议等资料，未获取被投资公司2018年度经营计划、2018第一季度财务报表等资料以分析预测经营数据的可实现性，未能有效应对商誉减值存在的重大错报风险。二是根据资产评估报告的评估结果，被审计单位的商誉存在减值迹象，但未见会计师予以关注并执行进一步审计程序。</w:t>
      </w:r>
    </w:p>
    <w:p w14:paraId="0741DA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五、营业收入</w:t>
      </w:r>
    </w:p>
    <w:p w14:paraId="046D15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1.被审计单位未建立开发软件项目各环节内部管理制度、未完整留存各环节相关业务资料，会计师未关注到上述重大内控缺陷，未设计有针对性的审计程序。</w:t>
      </w:r>
    </w:p>
    <w:p w14:paraId="67DDAB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2.收入真实性相关证据不足。被审计单位提供APP推广服务，会计师未获取推广活动相关的业务资料，也未通过走访客户、访谈等方式了解业务的真实性。</w:t>
      </w:r>
    </w:p>
    <w:p w14:paraId="3E0E362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3.销售退回处理不正确。被审计单位以前年度确认的销售收入发生销售退回，公司冲减了收入、成本，但会计师未认定为销售退回，通过审计调整将冲减的收入和成本重新调回，并将相关应收账款予以坏账核销。</w:t>
      </w:r>
    </w:p>
    <w:p w14:paraId="42412B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4.营业收入回函比率计算错误，未剔除增值税销项税额。未对回函不符事项执行进一步审计程序。企业询证函无企业盖章，会计师未关注该情况并执行进一步审计程序。</w:t>
      </w:r>
    </w:p>
    <w:p w14:paraId="592AB3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5.工程项目收入和存货确认的审计程序不充分。按照完工百分比法确认收入的工程项目，完工进度与项目现场实际情况差异较大，会计师未对工程项目执行现场监盘或现场察看程序，未能对期末存货的存在和状况以及完工进度获取充分、适当的审计证据。</w:t>
      </w:r>
    </w:p>
    <w:p w14:paraId="563DF8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六、成本和费用类</w:t>
      </w:r>
    </w:p>
    <w:p w14:paraId="226BAD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暂估返利的真实性和准确性的审计证据不足。被审计单位暂估某域名费达标返利，冲减主营业务成本，会计师未检查该笔返利的暂估依据，未就返利暂估结算差异进行对比分析，以检查暂估返利的真实性和准确性。</w:t>
      </w:r>
    </w:p>
    <w:p w14:paraId="17E5B6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对主营业务成本的准确性获取充分、适当的审计证据。未发现子公司2016年因将土地增值税列入房地产开发成本，导致2016年多结转主营业务成本的问题。被审计单位未就该事项追溯调整2016年报表而是直接冲减了2017年的营业成本，会计师在2017年年报审计工作中关注到上述错报，但未做出正确调整。</w:t>
      </w:r>
    </w:p>
    <w:p w14:paraId="62A0BC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费用类科目审计程序存在瑕疵，审计证据不足。一是未获取公司开展相应市场推广活动的业务资料，有关费用真实发生的审计证据不充分。二是对管理费用实施截止性测试时，选取的测试样本主要为计提固定资产折旧、计提工资等，对于实现截止性测试的审计目的作用较小。三是未对各类税费实施适当的审计程序，未发现税费跨期确认的问题。四是未关注研发费用是否与研发活动相关。</w:t>
      </w:r>
    </w:p>
    <w:p w14:paraId="4B7C3C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七、关联方及关联交易</w:t>
      </w:r>
    </w:p>
    <w:p w14:paraId="78312A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被审计单位豁免关联方的债权，且报告未披露相关情况，会计师未评价关联方交易的商业理由及是否得到恰当披露。二是“其他应收款－刘某”账户本期有发生额，且刘某为公司监事，会计师未在关联交易底稿中列示上述事项，未关注该笔款项是否构成关联方资金占用，未在附注和关联方资金占用报告中予以披露。三是未对房产实际使用单位进行确认，未对关联方占用上市公司资产、股东为上市公司提供资助等问题予以充分关注。</w:t>
      </w:r>
    </w:p>
    <w:p w14:paraId="113515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八、其他方面</w:t>
      </w:r>
    </w:p>
    <w:p w14:paraId="3C8F45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或有负债审计程序不充分。一是对管理层提供的涉诉事项未执行充分的审计程序，向律师事务所发函但未收到回函，会计师未分析未回函原因，未采取进一步审计程序。二是在被审计单位多笔重大诉讼事项已被终审判决，很可能需承担还款责任的情况下，未在账面确认预计负债，会计师未充分估计上述事项对公司财务报</w:t>
      </w:r>
      <w:r>
        <w:rPr>
          <w:rFonts w:ascii="宋体" w:hAnsi="宋体" w:cs="宋体" w:hint="eastAsia"/>
          <w:sz w:val="24"/>
        </w:rPr>
        <w:lastRenderedPageBreak/>
        <w:t>表的影响。</w:t>
      </w:r>
    </w:p>
    <w:p w14:paraId="5F72E38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2.未识别可供出售金融资产估值差错。对期末大额可供出售金融资产，未充分收集与其估值相关的审计证据，未识别部分可供出售金额资产的估值差错，相关审计程序执行不到位。</w:t>
      </w:r>
    </w:p>
    <w:p w14:paraId="558EE4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在建工程资本化金额计算不准确。在建工程利息资本化未严格区分贷款用途，公司将部分用于其他项目的贷款利息费用予以资本化，管理费用亦未进行严格区分即予以资本化。会计师未就上述事项实施恰当的审计程序，相关数据亦无详细底稿。</w:t>
      </w:r>
    </w:p>
    <w:p w14:paraId="65E08F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独立性方面。一是除签字会计师外，其他项目组成员均未签署独立性声明。二是签字注册会计师轮换情况不符合规定，连续签字6年。三是项目组成员执行被审计单位的财务管理工作，影响了审计的独立性与可靠性。</w:t>
      </w:r>
    </w:p>
    <w:p w14:paraId="72F52B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审计工作底稿存在瑕疵。一是年报审计计划、审计总结直接引用以前年度工作底稿，存在多处明显错误。二是审计底稿记录存在前后矛盾。如纳税申报表数据金额前后存在矛盾，应交增值税销项税金测算表审计结论为“发现公司有大量的营业收入未开票未申报纳税，面临逃税风险”，营业收入底稿中对营业收入与已开具发票核对的审计结论为‘营业收入与开票核对基本相符”。</w:t>
      </w:r>
    </w:p>
    <w:p w14:paraId="4295A209" w14:textId="77777777" w:rsidR="00A320E6" w:rsidRDefault="00000000" w:rsidP="00F64CCD">
      <w:pPr>
        <w:pStyle w:val="1a"/>
      </w:pPr>
      <w:r>
        <w:rPr>
          <w:rFonts w:hint="eastAsia"/>
        </w:rPr>
        <w:t>新增行政处罚及行政监管措施中资产评估机构的突出问题</w:t>
      </w:r>
    </w:p>
    <w:p w14:paraId="017602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一、收益法评估中存在的问题</w:t>
      </w:r>
    </w:p>
    <w:p w14:paraId="27384FF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1.收入预测依据不充分</w:t>
      </w:r>
    </w:p>
    <w:p w14:paraId="36614C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一是未收集未来上线游戏等经营规划资料，未形成相关访谈底稿。</w:t>
      </w:r>
    </w:p>
    <w:p w14:paraId="4DAF0A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二是未对历史期收入的真实性进行核查，没有就历史运营情况形成书面访谈记录，也没有收集历史期运营流水。</w:t>
      </w:r>
    </w:p>
    <w:p w14:paraId="4F38000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未对客户委托加工合同期限与预测期间不匹配的问题予以关注，在合同有效期限明显短于预测年度、到期延续委托无约束性规定的情况下，预测被评估单位主要客户的销量在预测期内保持高速增长，未见评估师对合同变动风险予以充分关注。</w:t>
      </w:r>
    </w:p>
    <w:p w14:paraId="3267080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四是部分营业收入预测数据与委托加工合同中计划的品种与数量不一致，未说明差异原因。被评估单位新增客户的委托加工合同未提及具体委托加工数量，评估底稿中未见新增客户营业收入预测数据的依据材料。</w:t>
      </w:r>
    </w:p>
    <w:p w14:paraId="35ACDB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五是对2017年新增客户的真实性及其2018年营业收入预测合理性执行的评估</w:t>
      </w:r>
      <w:r>
        <w:rPr>
          <w:rFonts w:ascii="宋体" w:hAnsi="宋体" w:cs="宋体" w:hint="eastAsia"/>
          <w:sz w:val="24"/>
        </w:rPr>
        <w:lastRenderedPageBreak/>
        <w:t>程序不充分。截止评估基准日，2017年新增客户中仅有1家与被评估单位发生交易，评估师仅执行访谈被评估单位高管和获取委托加工合同程序，未对新增客户的真实性及其2018年营业收入预测合理性进行核查。</w:t>
      </w:r>
    </w:p>
    <w:p w14:paraId="4365E7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是评估师将客户提供的委托加工合同（仅为框架性合同）作为收入预测依据，但上述合同未提及每年委托生产量逐年递增，部分合同也未列明具体委托生产数量，无法作为营业收入数据的预测依据，也无法解释在历史营业收入下降的情况下预测营业收入高速增长的合理性。</w:t>
      </w:r>
    </w:p>
    <w:p w14:paraId="37607B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七是未见对被评估单位代理的游戏与获取的市场上多款游戏的异同点进行比较分析，也未见对预测营业收入中付费用户数、ARPU值等参数的合理性进行分析。</w:t>
      </w:r>
    </w:p>
    <w:p w14:paraId="0B6B3B3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是调整收入预测数据无依据且未进行分析说明。未向企业获取任何调整依据和说明，未就因测算过程导致2015年4月至12月收入预测思路与2016年至2020年收入预测思路不一致的情况进行任何分析说明和获取任何依据。</w:t>
      </w:r>
    </w:p>
    <w:p w14:paraId="2BCC9A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九是评估师仅复核了建造合同收入已签项目及预计项目统计表，未对正在履行的合同执行走访或察看等程序，未对公司预计大额合同的可实现性进行分析，未履行核查义务。</w:t>
      </w:r>
    </w:p>
    <w:p w14:paraId="633DFC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十是在行业整体呈现下滑趋势的情况下，公司预测其2018年销售商品收入增长180％。评估师未对增长合理性进行分析和判断，未履行核查义务。</w:t>
      </w:r>
    </w:p>
    <w:p w14:paraId="5C1DBA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十一是未能根据以财务报告为目的的评估业务具体情况合理确定评估假设。对资产组可回收价值进行估值过程中，评估师认为公司提供的预测数据依据不充分，收入和利润的实现均具有较大不确定性，无法正常出具评估报告。但评估师假设被评估公司提供的预测期内净利润能如期实现，并在此基础上进行预测，出具了带有限制条件的估值咨询报告，评估假设不合理。</w:t>
      </w:r>
    </w:p>
    <w:p w14:paraId="7B7BA6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2.成本预测依据不足</w:t>
      </w:r>
    </w:p>
    <w:p w14:paraId="51ADE8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一是未对单位成本变动进行详细测算。被评估单位历史成本收入比呈上升趋势，评估师预测单位成本降低导致营业成本增长率呈下降趋势，评估底稿中未见对单位成本的变动进行详细测算的记录。</w:t>
      </w:r>
    </w:p>
    <w:p w14:paraId="17BBF0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二是人工成本测算表显示整个预测期职工人数一直保持不变，评估师未根据预测期营业收入增长趋势对其人员构成合理性进行分析。</w:t>
      </w:r>
    </w:p>
    <w:p w14:paraId="2010CA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三是营运资金支出为负，未见合理性分析。评估师对五年预测期及永续期的营</w:t>
      </w:r>
      <w:r>
        <w:rPr>
          <w:rFonts w:ascii="宋体" w:hAnsi="宋体" w:cs="宋体" w:hint="eastAsia"/>
          <w:sz w:val="24"/>
        </w:rPr>
        <w:lastRenderedPageBreak/>
        <w:t>运资金支出预测值均为负数，评估底稿中未见合理性分析的记录。</w:t>
      </w:r>
    </w:p>
    <w:p w14:paraId="3F2515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二、资产基础法评估中存在的问题</w:t>
      </w:r>
    </w:p>
    <w:p w14:paraId="0CAACD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1.其他应收款账面值与企业询证函金额不同，评估师未对上述差异进行分析说明。</w:t>
      </w:r>
    </w:p>
    <w:p w14:paraId="0FAA97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2.未对存货盘点数与账面数之间的差异进行核验，部分原材料、产成品的盘点数量与账面数量不一致，评估师未进行核验分析。</w:t>
      </w:r>
    </w:p>
    <w:p w14:paraId="1E7EF4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3.未见政府补助项目验收合格的依据，评估说明中描述补助所涉及的项目已验收合格，但底稿中未见验收合格的相关证据资料，在相应评估明细表里备注为“未验收”。</w:t>
      </w:r>
    </w:p>
    <w:p w14:paraId="0777BC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三、评估底稿记录不完善</w:t>
      </w:r>
    </w:p>
    <w:p w14:paraId="177542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一是评估底稿中未见无风险报酬率的测算过程，计算风险系数β时使用的数据指标错误。二是应收账款函证程序底稿未归档。三是评估报告未充分披露税务相关风险，评估程序记录不完整。</w:t>
      </w:r>
    </w:p>
    <w:p w14:paraId="087EEF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08BF90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证监会发布《会计监管风险提示第8号——商誉减值》</w:t>
      </w:r>
    </w:p>
    <w:p w14:paraId="381882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强化商誉减值的会计监管，进一步规范上市公司商誉减值的会计处理及信息披露，督促会计师事务所、资产评估机构及其从业人员勤勉尽责、规范执业，11月16日证监会会计部发布《会计监管风险提示第8号——商誉减值》。对拟上市公司、新三板公司等其他资本市场主体商誉减值事项的监管，参照执行。</w:t>
      </w:r>
    </w:p>
    <w:p w14:paraId="1F5B10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财政部对保险合同准则（征求意见稿）征求意见</w:t>
      </w:r>
    </w:p>
    <w:p w14:paraId="038D3C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进一步规范保险合同的会计处理，提高财务报告质量和会计信息透明度，保持我国企业会计准则与国际财务报告准则的持续趋同，财政部草拟了《企业会计准则第×号——保险合同（修订）（征求意见稿）》。现组织征求意见，并要求2019年3月29日之前反馈。保险合同准则和起草说明（征求意见稿）可在财政部官网下载。</w:t>
      </w:r>
    </w:p>
    <w:p w14:paraId="5C6274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财政部修订并印发《企业会计准则第21号——租赁》</w:t>
      </w:r>
    </w:p>
    <w:p w14:paraId="48246E1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规范租赁的会计处理、提高会计信息质量，财政部对《企业会计准则第21号——租赁》进行了修订。在境内外同时上市的企业以及在境外上市并采用国际财务报告准则或企业会计准则编制财务报表的企业，自2019年1月1日起施行；其他执</w:t>
      </w:r>
      <w:r>
        <w:rPr>
          <w:rFonts w:ascii="宋体" w:hAnsi="宋体" w:cs="宋体" w:hint="eastAsia"/>
          <w:sz w:val="24"/>
        </w:rPr>
        <w:lastRenderedPageBreak/>
        <w:t>行企业会计准则的企业自2021年1月1日起施行。母公司或子公司在境外上市且按照国际财务报告准则或企业会计准则编制其境外财务报表的企业，可以提前执行本准则，但不应早于其同时执行2017年3月31日印发的《企业会计准则第22号——金融工具确认和计量》和2017年7月5日印发的《企业会计准则第14号——收入》的日期。</w:t>
      </w:r>
    </w:p>
    <w:p w14:paraId="389F56F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财政部印发2018年度金融企业财务报表格式</w:t>
      </w:r>
    </w:p>
    <w:p w14:paraId="53D93F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12月26日，为进一步规范金融企业财务报表列报、保证会计信息质量，财政部对金融企业财务报表格式进行了修订。已执行新金融工具准则与新收入准则的金融企业应当按照企业会计准则和本通知要求编制财务报表；已执行新金融工具准则但未执行其他新准则的金融企业可参照本通知要求编制财务报表；已执行其他新准则但尚未执行新金融工具准则的金融企业暂不执行本通知要求。金融企业对不存在相应业务的报表项目可根据重要性原则并结合本企业的实际情况进行必要删减，对确需单独列示的内容可增加报表项目。2018年度金融企业财务报表格式可在财政部官网下载。</w:t>
      </w:r>
    </w:p>
    <w:p w14:paraId="50710957"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5" w:name="_Toc112227383"/>
      <w:r>
        <w:rPr>
          <w:rFonts w:ascii="宋体" w:hAnsi="宋体" w:cs="宋体" w:hint="eastAsia"/>
          <w:b/>
          <w:bCs/>
          <w:sz w:val="24"/>
          <w:szCs w:val="24"/>
        </w:rPr>
        <w:t>会计及评估监管工作通讯二〇一九年第二期（总第28期）</w:t>
      </w:r>
      <w:bookmarkEnd w:id="75"/>
    </w:p>
    <w:p w14:paraId="1B802A18"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北京证监局 二〇一九年四月</w:t>
      </w:r>
    </w:p>
    <w:p w14:paraId="1EDBAC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6C6B91F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【监管通报】北京证监局2018年审计与评估机构检查处理情况</w:t>
      </w:r>
    </w:p>
    <w:p w14:paraId="75CBFA4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【警钟长鸣】一季度辖区证券资格审计与评估机构处理处罚情况</w:t>
      </w:r>
    </w:p>
    <w:p w14:paraId="2D4DB4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19009E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【监管动态】一季度相关监管部门发布的监管要求</w:t>
      </w:r>
    </w:p>
    <w:p w14:paraId="47C5D2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【监管通报】</w:t>
      </w:r>
    </w:p>
    <w:p w14:paraId="0B26935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2018年，北京证监局根据中国证监会会计部的统一部署以及日常监管掌握的情况，共对1家审计机构开展全面检查、对6个审计项目开展专项检查、对28个审计项目开展函证程序专项检查。根据检查情况，采取行政监管措施7次，涉及注册会计师14人次。此外，为强化检查效果、督促事务所提高对函证程序的重视程度，我局还开展函证程序自查工作，所有为北京辖区上市公司提供年报审计服务的审计机构均对其函证程序开展自查，涉及26家会计师事务所执行的288个年报审计项目。</w:t>
      </w:r>
    </w:p>
    <w:p w14:paraId="61F0229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评估方面，我局共对1家资产评估机构开展全面检查、对7个评估执业项目开</w:t>
      </w:r>
      <w:r>
        <w:rPr>
          <w:rFonts w:ascii="宋体" w:hAnsi="宋体" w:cs="宋体" w:hint="eastAsia"/>
          <w:sz w:val="24"/>
        </w:rPr>
        <w:lastRenderedPageBreak/>
        <w:t>展专项检查。根据检查情况，采取行政监管措施4次，涉及资产评估师6人次。</w:t>
      </w:r>
    </w:p>
    <w:p w14:paraId="546CB3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306569B3" w14:textId="0B8939E3" w:rsidR="00F64CCD" w:rsidRDefault="00000000" w:rsidP="00C91D92">
      <w:pPr>
        <w:pStyle w:val="a3"/>
        <w:spacing w:line="360" w:lineRule="auto"/>
        <w:ind w:firstLine="480"/>
        <w:rPr>
          <w:rFonts w:ascii="宋体" w:hAnsi="宋体" w:cs="宋体"/>
          <w:sz w:val="24"/>
        </w:rPr>
      </w:pPr>
      <w:r>
        <w:rPr>
          <w:rFonts w:ascii="宋体" w:hAnsi="宋体" w:cs="宋体" w:hint="eastAsia"/>
          <w:sz w:val="24"/>
        </w:rPr>
        <w:t>2019年第一季度，证监会及其派出机构对北京辖区证券资格会计师事务所下发的行政处罚、行政监管措施和检查结果告知书共涉及5家会计师事务所的14个项目；证券资格资产评估机构共涉及5家评估机构的9个项目。具体如下：对会计师事务所下发行政处罚决定书1份，涉及审计机构1家次、注册会计师2人次；下发行政监管措施10份，涉及审计机构3家次、注册会计师13人次；下发检查结果告知书3份，涉及审计机构2家次。对资产评估机构下发行政监管措施8份，涉及评估机构4家次、评估师11人次；下发检查结果告知书1份，涉及评估机构1家次。</w:t>
      </w:r>
    </w:p>
    <w:tbl>
      <w:tblPr>
        <w:tblW w:w="0" w:type="auto"/>
        <w:jc w:val="center"/>
        <w:tblLayout w:type="fixed"/>
        <w:tblLook w:val="04A0" w:firstRow="1" w:lastRow="0" w:firstColumn="1" w:lastColumn="0" w:noHBand="0" w:noVBand="1"/>
      </w:tblPr>
      <w:tblGrid>
        <w:gridCol w:w="1921"/>
        <w:gridCol w:w="1185"/>
        <w:gridCol w:w="1530"/>
        <w:gridCol w:w="1170"/>
        <w:gridCol w:w="1530"/>
        <w:gridCol w:w="1186"/>
      </w:tblGrid>
      <w:tr w:rsidR="00A320E6" w14:paraId="3EC16AFD" w14:textId="77777777" w:rsidTr="00F64CCD">
        <w:trPr>
          <w:jc w:val="center"/>
        </w:trPr>
        <w:tc>
          <w:tcPr>
            <w:tcW w:w="3106" w:type="dxa"/>
            <w:gridSpan w:val="2"/>
            <w:vMerge w:val="restart"/>
            <w:tcBorders>
              <w:top w:val="single" w:sz="4" w:space="0" w:color="auto"/>
              <w:left w:val="single" w:sz="4" w:space="0" w:color="auto"/>
              <w:bottom w:val="single" w:sz="4" w:space="0" w:color="auto"/>
              <w:right w:val="single" w:sz="4" w:space="0" w:color="auto"/>
            </w:tcBorders>
            <w:vAlign w:val="center"/>
          </w:tcPr>
          <w:p w14:paraId="10FC98D0"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项目</w:t>
            </w:r>
          </w:p>
        </w:tc>
        <w:tc>
          <w:tcPr>
            <w:tcW w:w="2700" w:type="dxa"/>
            <w:gridSpan w:val="2"/>
            <w:tcBorders>
              <w:top w:val="single" w:sz="4" w:space="0" w:color="auto"/>
              <w:left w:val="nil"/>
              <w:bottom w:val="single" w:sz="4" w:space="0" w:color="auto"/>
              <w:right w:val="single" w:sz="4" w:space="0" w:color="auto"/>
            </w:tcBorders>
            <w:vAlign w:val="center"/>
          </w:tcPr>
          <w:p w14:paraId="457F0F52"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会计师事务所</w:t>
            </w:r>
          </w:p>
        </w:tc>
        <w:tc>
          <w:tcPr>
            <w:tcW w:w="2716" w:type="dxa"/>
            <w:gridSpan w:val="2"/>
            <w:tcBorders>
              <w:top w:val="single" w:sz="4" w:space="0" w:color="auto"/>
              <w:left w:val="nil"/>
              <w:bottom w:val="single" w:sz="4" w:space="0" w:color="auto"/>
              <w:right w:val="single" w:sz="4" w:space="0" w:color="auto"/>
            </w:tcBorders>
            <w:vAlign w:val="center"/>
          </w:tcPr>
          <w:p w14:paraId="367B99A0"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资产评估机构</w:t>
            </w:r>
          </w:p>
        </w:tc>
      </w:tr>
      <w:tr w:rsidR="00A320E6" w14:paraId="49823C89" w14:textId="77777777" w:rsidTr="00F64CCD">
        <w:trPr>
          <w:jc w:val="center"/>
        </w:trPr>
        <w:tc>
          <w:tcPr>
            <w:tcW w:w="3106" w:type="dxa"/>
            <w:gridSpan w:val="2"/>
            <w:vMerge/>
            <w:tcBorders>
              <w:top w:val="single" w:sz="4" w:space="0" w:color="auto"/>
              <w:left w:val="single" w:sz="4" w:space="0" w:color="auto"/>
              <w:bottom w:val="single" w:sz="4" w:space="0" w:color="auto"/>
              <w:right w:val="single" w:sz="4" w:space="0" w:color="auto"/>
            </w:tcBorders>
            <w:vAlign w:val="center"/>
          </w:tcPr>
          <w:p w14:paraId="1D3239EA" w14:textId="77777777" w:rsidR="00A320E6" w:rsidRDefault="00A320E6" w:rsidP="00F64CCD">
            <w:pPr>
              <w:pStyle w:val="a3"/>
              <w:ind w:firstLineChars="0" w:firstLine="0"/>
              <w:jc w:val="center"/>
              <w:rPr>
                <w:rFonts w:ascii="宋体" w:hAnsi="宋体" w:cs="宋体"/>
                <w:szCs w:val="21"/>
              </w:rPr>
            </w:pPr>
          </w:p>
        </w:tc>
        <w:tc>
          <w:tcPr>
            <w:tcW w:w="1530" w:type="dxa"/>
            <w:tcBorders>
              <w:top w:val="single" w:sz="4" w:space="0" w:color="auto"/>
              <w:left w:val="nil"/>
              <w:bottom w:val="single" w:sz="4" w:space="0" w:color="auto"/>
              <w:right w:val="single" w:sz="4" w:space="0" w:color="auto"/>
            </w:tcBorders>
            <w:vAlign w:val="center"/>
          </w:tcPr>
          <w:p w14:paraId="2AE47CDB"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2019年一季度新增</w:t>
            </w:r>
          </w:p>
        </w:tc>
        <w:tc>
          <w:tcPr>
            <w:tcW w:w="1170" w:type="dxa"/>
            <w:tcBorders>
              <w:top w:val="single" w:sz="4" w:space="0" w:color="auto"/>
              <w:left w:val="nil"/>
              <w:bottom w:val="single" w:sz="4" w:space="0" w:color="auto"/>
              <w:right w:val="single" w:sz="4" w:space="0" w:color="auto"/>
            </w:tcBorders>
            <w:vAlign w:val="center"/>
          </w:tcPr>
          <w:p w14:paraId="1A96B5E7"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2019年累计</w:t>
            </w:r>
          </w:p>
        </w:tc>
        <w:tc>
          <w:tcPr>
            <w:tcW w:w="1530" w:type="dxa"/>
            <w:tcBorders>
              <w:top w:val="single" w:sz="4" w:space="0" w:color="auto"/>
              <w:left w:val="nil"/>
              <w:bottom w:val="single" w:sz="4" w:space="0" w:color="auto"/>
              <w:right w:val="single" w:sz="4" w:space="0" w:color="auto"/>
            </w:tcBorders>
            <w:vAlign w:val="center"/>
          </w:tcPr>
          <w:p w14:paraId="22CD1851"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2019年一季度新增</w:t>
            </w:r>
          </w:p>
        </w:tc>
        <w:tc>
          <w:tcPr>
            <w:tcW w:w="1186" w:type="dxa"/>
            <w:tcBorders>
              <w:top w:val="single" w:sz="4" w:space="0" w:color="auto"/>
              <w:left w:val="nil"/>
              <w:bottom w:val="single" w:sz="4" w:space="0" w:color="auto"/>
              <w:right w:val="single" w:sz="4" w:space="0" w:color="auto"/>
            </w:tcBorders>
            <w:vAlign w:val="center"/>
          </w:tcPr>
          <w:p w14:paraId="312A9426"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2019年累计</w:t>
            </w:r>
          </w:p>
        </w:tc>
      </w:tr>
      <w:tr w:rsidR="00A320E6" w14:paraId="1317618D" w14:textId="77777777" w:rsidTr="00F64CCD">
        <w:trPr>
          <w:jc w:val="center"/>
        </w:trPr>
        <w:tc>
          <w:tcPr>
            <w:tcW w:w="1921" w:type="dxa"/>
            <w:tcBorders>
              <w:top w:val="single" w:sz="4" w:space="0" w:color="auto"/>
              <w:left w:val="single" w:sz="4" w:space="0" w:color="auto"/>
              <w:bottom w:val="single" w:sz="4" w:space="0" w:color="auto"/>
              <w:right w:val="single" w:sz="4" w:space="0" w:color="auto"/>
            </w:tcBorders>
            <w:vAlign w:val="center"/>
          </w:tcPr>
          <w:p w14:paraId="24593F98"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行政处罚</w:t>
            </w:r>
          </w:p>
        </w:tc>
        <w:tc>
          <w:tcPr>
            <w:tcW w:w="1185" w:type="dxa"/>
            <w:tcBorders>
              <w:top w:val="single" w:sz="4" w:space="0" w:color="auto"/>
              <w:left w:val="nil"/>
              <w:bottom w:val="single" w:sz="4" w:space="0" w:color="auto"/>
              <w:right w:val="single" w:sz="4" w:space="0" w:color="auto"/>
            </w:tcBorders>
            <w:vAlign w:val="center"/>
          </w:tcPr>
          <w:p w14:paraId="0EE96C4F"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2BECCE1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70" w:type="dxa"/>
            <w:tcBorders>
              <w:top w:val="single" w:sz="4" w:space="0" w:color="auto"/>
              <w:left w:val="nil"/>
              <w:bottom w:val="single" w:sz="4" w:space="0" w:color="auto"/>
              <w:right w:val="single" w:sz="4" w:space="0" w:color="auto"/>
            </w:tcBorders>
          </w:tcPr>
          <w:p w14:paraId="36AC305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06C6379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D5077F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3BA718E4" w14:textId="77777777" w:rsidTr="00F64CCD">
        <w:trPr>
          <w:jc w:val="center"/>
        </w:trPr>
        <w:tc>
          <w:tcPr>
            <w:tcW w:w="1921" w:type="dxa"/>
            <w:tcBorders>
              <w:top w:val="single" w:sz="4" w:space="0" w:color="auto"/>
              <w:left w:val="single" w:sz="4" w:space="0" w:color="auto"/>
              <w:bottom w:val="single" w:sz="4" w:space="0" w:color="auto"/>
              <w:right w:val="single" w:sz="4" w:space="0" w:color="auto"/>
            </w:tcBorders>
            <w:vAlign w:val="center"/>
          </w:tcPr>
          <w:p w14:paraId="03062CD4"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市场禁入</w:t>
            </w:r>
          </w:p>
        </w:tc>
        <w:tc>
          <w:tcPr>
            <w:tcW w:w="1185" w:type="dxa"/>
            <w:tcBorders>
              <w:top w:val="single" w:sz="4" w:space="0" w:color="auto"/>
              <w:left w:val="nil"/>
              <w:bottom w:val="single" w:sz="4" w:space="0" w:color="auto"/>
              <w:right w:val="single" w:sz="4" w:space="0" w:color="auto"/>
            </w:tcBorders>
            <w:vAlign w:val="center"/>
          </w:tcPr>
          <w:p w14:paraId="1EF262E3"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53C855D7"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4791EC8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442ACAB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38AF644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30189359" w14:textId="77777777" w:rsidTr="00F64CCD">
        <w:trPr>
          <w:jc w:val="center"/>
        </w:trPr>
        <w:tc>
          <w:tcPr>
            <w:tcW w:w="1921" w:type="dxa"/>
            <w:vMerge w:val="restart"/>
            <w:tcBorders>
              <w:top w:val="nil"/>
              <w:left w:val="single" w:sz="4" w:space="0" w:color="auto"/>
              <w:bottom w:val="single" w:sz="4" w:space="0" w:color="auto"/>
              <w:right w:val="single" w:sz="4" w:space="0" w:color="auto"/>
            </w:tcBorders>
            <w:vAlign w:val="center"/>
          </w:tcPr>
          <w:p w14:paraId="1472AA8A"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行政监管措施</w:t>
            </w:r>
          </w:p>
        </w:tc>
        <w:tc>
          <w:tcPr>
            <w:tcW w:w="1185" w:type="dxa"/>
            <w:tcBorders>
              <w:top w:val="single" w:sz="4" w:space="0" w:color="auto"/>
              <w:left w:val="nil"/>
              <w:bottom w:val="single" w:sz="4" w:space="0" w:color="auto"/>
              <w:right w:val="single" w:sz="4" w:space="0" w:color="auto"/>
            </w:tcBorders>
            <w:vAlign w:val="center"/>
          </w:tcPr>
          <w:p w14:paraId="0E051D18"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警示函</w:t>
            </w:r>
          </w:p>
        </w:tc>
        <w:tc>
          <w:tcPr>
            <w:tcW w:w="1530" w:type="dxa"/>
            <w:tcBorders>
              <w:top w:val="single" w:sz="4" w:space="0" w:color="auto"/>
              <w:left w:val="nil"/>
              <w:bottom w:val="single" w:sz="4" w:space="0" w:color="auto"/>
              <w:right w:val="single" w:sz="4" w:space="0" w:color="auto"/>
            </w:tcBorders>
          </w:tcPr>
          <w:p w14:paraId="7539D49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9</w:t>
            </w:r>
          </w:p>
        </w:tc>
        <w:tc>
          <w:tcPr>
            <w:tcW w:w="1170" w:type="dxa"/>
            <w:tcBorders>
              <w:top w:val="single" w:sz="4" w:space="0" w:color="auto"/>
              <w:left w:val="nil"/>
              <w:bottom w:val="single" w:sz="4" w:space="0" w:color="auto"/>
              <w:right w:val="single" w:sz="4" w:space="0" w:color="auto"/>
            </w:tcBorders>
          </w:tcPr>
          <w:p w14:paraId="469DB1D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9</w:t>
            </w:r>
          </w:p>
        </w:tc>
        <w:tc>
          <w:tcPr>
            <w:tcW w:w="1530" w:type="dxa"/>
            <w:tcBorders>
              <w:top w:val="single" w:sz="4" w:space="0" w:color="auto"/>
              <w:left w:val="nil"/>
              <w:bottom w:val="single" w:sz="4" w:space="0" w:color="auto"/>
              <w:right w:val="single" w:sz="4" w:space="0" w:color="auto"/>
            </w:tcBorders>
          </w:tcPr>
          <w:p w14:paraId="2ABD8C2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7</w:t>
            </w:r>
          </w:p>
        </w:tc>
        <w:tc>
          <w:tcPr>
            <w:tcW w:w="1186" w:type="dxa"/>
            <w:tcBorders>
              <w:top w:val="single" w:sz="4" w:space="0" w:color="auto"/>
              <w:left w:val="nil"/>
              <w:bottom w:val="single" w:sz="4" w:space="0" w:color="auto"/>
              <w:right w:val="single" w:sz="4" w:space="0" w:color="auto"/>
            </w:tcBorders>
          </w:tcPr>
          <w:p w14:paraId="44B6B3B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7</w:t>
            </w:r>
          </w:p>
        </w:tc>
      </w:tr>
      <w:tr w:rsidR="00A320E6" w14:paraId="2E7DE866" w14:textId="77777777" w:rsidTr="00F64CCD">
        <w:trPr>
          <w:jc w:val="center"/>
        </w:trPr>
        <w:tc>
          <w:tcPr>
            <w:tcW w:w="1921" w:type="dxa"/>
            <w:vMerge/>
            <w:tcBorders>
              <w:top w:val="nil"/>
              <w:left w:val="single" w:sz="4" w:space="0" w:color="auto"/>
              <w:bottom w:val="single" w:sz="4" w:space="0" w:color="auto"/>
              <w:right w:val="single" w:sz="4" w:space="0" w:color="auto"/>
            </w:tcBorders>
            <w:vAlign w:val="center"/>
          </w:tcPr>
          <w:p w14:paraId="39D99573" w14:textId="77777777" w:rsidR="00A320E6" w:rsidRDefault="00A320E6" w:rsidP="00F64CCD">
            <w:pPr>
              <w:pStyle w:val="a3"/>
              <w:ind w:firstLineChars="0" w:firstLine="0"/>
              <w:jc w:val="center"/>
              <w:rPr>
                <w:rFonts w:ascii="宋体" w:hAnsi="宋体" w:cs="宋体"/>
                <w:szCs w:val="21"/>
              </w:rPr>
            </w:pPr>
          </w:p>
        </w:tc>
        <w:tc>
          <w:tcPr>
            <w:tcW w:w="1185" w:type="dxa"/>
            <w:tcBorders>
              <w:top w:val="single" w:sz="4" w:space="0" w:color="auto"/>
              <w:left w:val="nil"/>
              <w:bottom w:val="single" w:sz="4" w:space="0" w:color="auto"/>
              <w:right w:val="single" w:sz="4" w:space="0" w:color="auto"/>
            </w:tcBorders>
            <w:vAlign w:val="center"/>
          </w:tcPr>
          <w:p w14:paraId="6B4727A1"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责令改正</w:t>
            </w:r>
          </w:p>
        </w:tc>
        <w:tc>
          <w:tcPr>
            <w:tcW w:w="1530" w:type="dxa"/>
            <w:tcBorders>
              <w:top w:val="single" w:sz="4" w:space="0" w:color="auto"/>
              <w:left w:val="nil"/>
              <w:bottom w:val="single" w:sz="4" w:space="0" w:color="auto"/>
              <w:right w:val="single" w:sz="4" w:space="0" w:color="auto"/>
            </w:tcBorders>
          </w:tcPr>
          <w:p w14:paraId="23C836F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52F05AF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69DDD3D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E1609A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7E0B4C0F" w14:textId="77777777" w:rsidTr="00F64CCD">
        <w:trPr>
          <w:jc w:val="center"/>
        </w:trPr>
        <w:tc>
          <w:tcPr>
            <w:tcW w:w="1921" w:type="dxa"/>
            <w:vMerge/>
            <w:tcBorders>
              <w:top w:val="nil"/>
              <w:left w:val="single" w:sz="4" w:space="0" w:color="auto"/>
              <w:bottom w:val="single" w:sz="4" w:space="0" w:color="auto"/>
              <w:right w:val="single" w:sz="4" w:space="0" w:color="auto"/>
            </w:tcBorders>
            <w:vAlign w:val="center"/>
          </w:tcPr>
          <w:p w14:paraId="2F494D86" w14:textId="77777777" w:rsidR="00A320E6" w:rsidRDefault="00A320E6" w:rsidP="00F64CCD">
            <w:pPr>
              <w:pStyle w:val="a3"/>
              <w:ind w:firstLineChars="0" w:firstLine="0"/>
              <w:jc w:val="center"/>
              <w:rPr>
                <w:rFonts w:ascii="宋体" w:hAnsi="宋体" w:cs="宋体"/>
                <w:szCs w:val="21"/>
              </w:rPr>
            </w:pPr>
          </w:p>
        </w:tc>
        <w:tc>
          <w:tcPr>
            <w:tcW w:w="1185" w:type="dxa"/>
            <w:tcBorders>
              <w:top w:val="single" w:sz="4" w:space="0" w:color="auto"/>
              <w:left w:val="nil"/>
              <w:bottom w:val="single" w:sz="4" w:space="0" w:color="auto"/>
              <w:right w:val="single" w:sz="4" w:space="0" w:color="auto"/>
            </w:tcBorders>
            <w:vAlign w:val="center"/>
          </w:tcPr>
          <w:p w14:paraId="2A2FD790"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监管谈话</w:t>
            </w:r>
          </w:p>
        </w:tc>
        <w:tc>
          <w:tcPr>
            <w:tcW w:w="1530" w:type="dxa"/>
            <w:tcBorders>
              <w:top w:val="single" w:sz="4" w:space="0" w:color="auto"/>
              <w:left w:val="nil"/>
              <w:bottom w:val="single" w:sz="4" w:space="0" w:color="auto"/>
              <w:right w:val="single" w:sz="4" w:space="0" w:color="auto"/>
            </w:tcBorders>
          </w:tcPr>
          <w:p w14:paraId="086D668A"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70" w:type="dxa"/>
            <w:tcBorders>
              <w:top w:val="single" w:sz="4" w:space="0" w:color="auto"/>
              <w:left w:val="nil"/>
              <w:bottom w:val="single" w:sz="4" w:space="0" w:color="auto"/>
              <w:right w:val="single" w:sz="4" w:space="0" w:color="auto"/>
            </w:tcBorders>
          </w:tcPr>
          <w:p w14:paraId="68036A9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661CEE0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86" w:type="dxa"/>
            <w:tcBorders>
              <w:top w:val="single" w:sz="4" w:space="0" w:color="auto"/>
              <w:left w:val="nil"/>
              <w:bottom w:val="single" w:sz="4" w:space="0" w:color="auto"/>
              <w:right w:val="single" w:sz="4" w:space="0" w:color="auto"/>
            </w:tcBorders>
          </w:tcPr>
          <w:p w14:paraId="7EE3A3A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12A7DD79" w14:textId="77777777" w:rsidTr="00F64CCD">
        <w:trPr>
          <w:jc w:val="center"/>
        </w:trPr>
        <w:tc>
          <w:tcPr>
            <w:tcW w:w="1921" w:type="dxa"/>
            <w:tcBorders>
              <w:top w:val="single" w:sz="4" w:space="0" w:color="auto"/>
              <w:left w:val="single" w:sz="4" w:space="0" w:color="auto"/>
              <w:bottom w:val="single" w:sz="4" w:space="0" w:color="auto"/>
              <w:right w:val="single" w:sz="4" w:space="0" w:color="auto"/>
            </w:tcBorders>
            <w:vAlign w:val="center"/>
          </w:tcPr>
          <w:p w14:paraId="1271D36A"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检查结果告知书</w:t>
            </w:r>
          </w:p>
        </w:tc>
        <w:tc>
          <w:tcPr>
            <w:tcW w:w="1185" w:type="dxa"/>
            <w:tcBorders>
              <w:top w:val="single" w:sz="4" w:space="0" w:color="auto"/>
              <w:left w:val="nil"/>
              <w:bottom w:val="single" w:sz="4" w:space="0" w:color="auto"/>
              <w:right w:val="single" w:sz="4" w:space="0" w:color="auto"/>
            </w:tcBorders>
            <w:vAlign w:val="center"/>
          </w:tcPr>
          <w:p w14:paraId="33C835A4" w14:textId="77777777" w:rsidR="00A320E6" w:rsidRDefault="00000000" w:rsidP="00F64CCD">
            <w:pPr>
              <w:pStyle w:val="a3"/>
              <w:ind w:firstLineChars="0" w:firstLine="0"/>
              <w:jc w:val="center"/>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22BEADE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w:t>
            </w:r>
          </w:p>
        </w:tc>
        <w:tc>
          <w:tcPr>
            <w:tcW w:w="1170" w:type="dxa"/>
            <w:tcBorders>
              <w:top w:val="single" w:sz="4" w:space="0" w:color="auto"/>
              <w:left w:val="nil"/>
              <w:bottom w:val="single" w:sz="4" w:space="0" w:color="auto"/>
              <w:right w:val="single" w:sz="4" w:space="0" w:color="auto"/>
            </w:tcBorders>
          </w:tcPr>
          <w:p w14:paraId="0821F174"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w:t>
            </w:r>
          </w:p>
        </w:tc>
        <w:tc>
          <w:tcPr>
            <w:tcW w:w="1530" w:type="dxa"/>
            <w:tcBorders>
              <w:top w:val="single" w:sz="4" w:space="0" w:color="auto"/>
              <w:left w:val="nil"/>
              <w:bottom w:val="single" w:sz="4" w:space="0" w:color="auto"/>
              <w:right w:val="single" w:sz="4" w:space="0" w:color="auto"/>
            </w:tcBorders>
          </w:tcPr>
          <w:p w14:paraId="193898A7"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86" w:type="dxa"/>
            <w:tcBorders>
              <w:top w:val="single" w:sz="4" w:space="0" w:color="auto"/>
              <w:left w:val="nil"/>
              <w:bottom w:val="single" w:sz="4" w:space="0" w:color="auto"/>
              <w:right w:val="single" w:sz="4" w:space="0" w:color="auto"/>
            </w:tcBorders>
          </w:tcPr>
          <w:p w14:paraId="2B450A4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bl>
    <w:p w14:paraId="022EBF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w:t>
      </w:r>
    </w:p>
    <w:p w14:paraId="5679C6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我局对证监会及各地证监局对辖区证券资格审计与评估机构下发的行政处罚、行政监管措施、检查意见书等指出的审计与评估机构存在的突出问题进行了汇总，现予以发布，提示各审计与评估机构重点关注。</w:t>
      </w:r>
    </w:p>
    <w:p w14:paraId="18C97523" w14:textId="77777777" w:rsidR="00A320E6" w:rsidRDefault="00000000" w:rsidP="00F64CCD">
      <w:pPr>
        <w:pStyle w:val="1a"/>
      </w:pPr>
      <w:r>
        <w:rPr>
          <w:rFonts w:hint="eastAsia"/>
        </w:rPr>
        <w:t>新增行政处罚及行政监管措施中会计师事务所的突出问题</w:t>
      </w:r>
    </w:p>
    <w:p w14:paraId="039F86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一、事务所内部治理、质量控制和独立性方面存在的问题</w:t>
      </w:r>
    </w:p>
    <w:p w14:paraId="19FB6E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1.内部管理不完善</w:t>
      </w:r>
    </w:p>
    <w:p w14:paraId="5DDD4D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部分制度规定过于原则化，缺乏实际指导性，如《印章与证书管理制度》中部分规定未明确各自的适用情形及被授权人员。二是员工培训管理制度、注册会计师执业资格管理制度等制度执行不到位，部分事项实际执行情况与制度规定不完全一致。三是业务员信息管理系统不完善。四是分所管理不规范，任命分所负责人相关资料中缺少合伙事务管理委员会聘任决议、对分所合伙人的管理情况不统一。</w:t>
      </w:r>
    </w:p>
    <w:p w14:paraId="0DE0E81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2.质量控制制度执行不到位</w:t>
      </w:r>
    </w:p>
    <w:p w14:paraId="0833F5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一是部分项目审计计划未见项目质量控制复核人的复核记录。事务所制定的《项</w:t>
      </w:r>
      <w:r>
        <w:rPr>
          <w:rFonts w:ascii="宋体" w:hAnsi="宋体" w:cs="宋体" w:hint="eastAsia"/>
          <w:sz w:val="24"/>
        </w:rPr>
        <w:lastRenderedPageBreak/>
        <w:t>目质量与风险控制政策和程序管理规定》明确审计计划由项目经理负责拟定，项目负责合伙人复核批准，其中A、B类项目需经项目质量控制复核人复核。</w:t>
      </w:r>
    </w:p>
    <w:p w14:paraId="4C5546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二是当得知审计报告用于发债目的时，未按照事务所的制度规定将该项目风险级别从C类调整为风险程度更高的B类，未追加相应的审计程序。</w:t>
      </w:r>
    </w:p>
    <w:p w14:paraId="7E7080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3.独立性遵循不到位</w:t>
      </w:r>
    </w:p>
    <w:p w14:paraId="3CECB28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事务所实际每年仅公布一次禁投名单，与事务所《关于禁止员工投资行为的规定》要求不符，该文规定职业道德与风险管控委员会于每年的5月底和12月底定期公布禁投名单，期间如果禁投名单需要更新，职业道德与风险管控委员会应及时公布。</w:t>
      </w:r>
    </w:p>
    <w:p w14:paraId="5F890B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二是个别注册会计师为与个人存在重大利害关系的被审计单位出具审计报告。签字注册会计师在名义上间接持有被审计单位股份，却为其出具2016年、2017年的审计报告，违反独立性要求。</w:t>
      </w:r>
    </w:p>
    <w:p w14:paraId="279C6A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三是存在审计人员及其亲属买卖事务所审计的上市公司股票的情形，部分事务所甚至存在股东或管理人员违规买卖的情况。</w:t>
      </w:r>
    </w:p>
    <w:p w14:paraId="36B283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四是部分项目组成员未签署独立性声明。</w:t>
      </w:r>
    </w:p>
    <w:p w14:paraId="796861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二、风险评估程序和控制测试执行不到位</w:t>
      </w:r>
    </w:p>
    <w:p w14:paraId="347D16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1.风险评估程序底稿前后矛盾</w:t>
      </w:r>
    </w:p>
    <w:p w14:paraId="3DC387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底稿风险评估结果汇总表中，记录被审计单位与并购子公司签有业绩承诺协议，存在业绩压力，可能导致舞弊风险，属于报表层次风险，但在针对评估出的报表层次重大错报风险应对措施及审计方案中，报表层次重大错报风险评估为无，两者矛盾。</w:t>
      </w:r>
    </w:p>
    <w:p w14:paraId="113ABB5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2.控制测试执行不到位</w:t>
      </w:r>
    </w:p>
    <w:p w14:paraId="1531F1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未掌握被审计单位基本情况，对关键控制环节的描述明显与被审计单位业务模式不符，控制测试结论缺乏审计证据支持。</w:t>
      </w:r>
    </w:p>
    <w:p w14:paraId="38093B8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三、函证程序执行中存在的问题</w:t>
      </w:r>
    </w:p>
    <w:p w14:paraId="553E311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1.函证对象不完整</w:t>
      </w:r>
    </w:p>
    <w:p w14:paraId="4DEF1BC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未对重大预付款项、应收款项进行函证，未说明不予函证的理由。仅抽取了小金额项目执行替代测试，或仅对合同金额实施函证，未对合同的履行情况及应收账款期末余额实施函证。</w:t>
      </w:r>
    </w:p>
    <w:p w14:paraId="690946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2.未对函证实施有效控制</w:t>
      </w:r>
    </w:p>
    <w:p w14:paraId="23E3B3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取得自然人的身份证复印件或其他能证明被函证方身份的审计证据。二是部分询证函的回函快递单据显示收件单位、地址均不是事务所，寄件物显示为夏凉被等无关物品，寄件人不是被询证者（部分寄件人甚至为被审计单位），所附快递单据与询证函无对应关系。三是以电子邮件方式实施的函证，对方邮件回复“确认”二字，但底稿中未见具体函证内容，也未见对方盖章的询证函回函。四是未正确编制往来款项和银行存款的函证控制表，函证控制表与询证函记录的相关信息如函证日期、回函日期、函证方式等存在矛盾。</w:t>
      </w:r>
    </w:p>
    <w:p w14:paraId="7175F5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3.替代测试程序执行不到位</w:t>
      </w:r>
    </w:p>
    <w:p w14:paraId="555144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未回函应收账款执行替代测试时，仅检查了部分发生额凭证及合同，未对客户对账单、期后回款、发货凭证、运单、验收单等实施审计程序。二是未说明银行存款基本户等个别重要银行账户函证未回函的原因，仅以查验银行对账单作为替代程序，未考虑必要时再次函证。三是在其他应付款函证的替代测试底稿中未见支撑材料。</w:t>
      </w:r>
    </w:p>
    <w:p w14:paraId="29CDEE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四、审计项目资产负债类科目存在的问题</w:t>
      </w:r>
    </w:p>
    <w:p w14:paraId="5C4632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1.货币资金</w:t>
      </w:r>
    </w:p>
    <w:p w14:paraId="0C1B95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大额定期存单被质押、大额现金收付事项、大额未到期银行保函等事项，未予以关注并实施进一步核查程序。二是银行开立账户清单显示2017年度有两个银行账户状态为正常，但银行存款明细表中显示有三个银行账户正常使用，会计师未关注上述差异情况。</w:t>
      </w:r>
    </w:p>
    <w:p w14:paraId="195335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2.往来款项</w:t>
      </w:r>
    </w:p>
    <w:p w14:paraId="283B6D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被审计单位应收款冲抵应付款的情况，未实施进一步审计程序，也未说明抵销原因及其恰当性。例如，被审计单位违反会计准则，通过将所承接工程项目应收账款和应付账款“对抵”的方式，虚增2012年至2014年净利润分别不少于3,052.27万元、6,492.71万元和15,505.47万元，对其财务报表相关科目的影响金额远远超出了财务报表整体层面实际执行的重要性水平，会计师在未获取充分、适当的审计证据加以验证的前提下，认可了被审计单位关于应收账款和应付账款“对抵”的账务处理。二是在应收账款金额不断增加的情况下，被审计单位变更了应收款项坏账计提政策，下调了坏账计提比例，底稿中仅附会计估计变更的公告，未对</w:t>
      </w:r>
      <w:r>
        <w:rPr>
          <w:rFonts w:ascii="宋体" w:hAnsi="宋体" w:cs="宋体" w:hint="eastAsia"/>
          <w:sz w:val="24"/>
        </w:rPr>
        <w:lastRenderedPageBreak/>
        <w:t>会计估计变更的合理性实施进一步审计程序。三是对于既是供应商又是销售客户的往来单位，未实施审计程序并分析其合理性。四是对应付款项中涉及业绩对赌的股权转让款，未充分关注被收购单位的业绩承诺完成情况及涉及的或有对价调整、信息披露等事项，且相关事项在审计底稿中记录不完整。五是对个别客户的回款异常未予关注并实施进一步审计程序。</w:t>
      </w:r>
    </w:p>
    <w:p w14:paraId="0AE374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存货</w:t>
      </w:r>
    </w:p>
    <w:p w14:paraId="52F37F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在确认版权价值时，未取得部分版权的拍摄计划，审计底稿中未见访谈记录，没有取得与存货价值确认相关的充分的审计证据。二是实施抽盘日期为2018年1月31日，底稿未见对抽盘日与财务报表日之间的存货变动情况实施审计程序的记录。</w:t>
      </w:r>
    </w:p>
    <w:p w14:paraId="6279E26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可供出售金融资产</w:t>
      </w:r>
    </w:p>
    <w:p w14:paraId="78EEDB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一是被审计单位向被投资单位派出董事,对于其是否构成重大影响以及分类为可供出售金融资产是否恰当，会计师未充分关注。</w:t>
      </w:r>
    </w:p>
    <w:p w14:paraId="7E7296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可供出售金融资产由应收账款资产支持专项计划形成，根据后附的资产支持证券情况，本次专项计划募集12.1亿元，次级资产支持证券由被审计单位全额认购，共计8,470万元，占比约为7％，被审计单位将其计入可供出售金融资产，并对上述业务做应收账款出表处理。对于上述会计处理及披露是否恰当，会计师未予以关注并实施进一步审计程序。</w:t>
      </w:r>
    </w:p>
    <w:p w14:paraId="0D035B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长期股权投资</w:t>
      </w:r>
    </w:p>
    <w:p w14:paraId="54DB0D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根据股权转让合作协议书，被审计单位进行收购时，股权转让溢价款的支付涉及业绩对赌，公司未根据该对赌协议合理预计未来将要支付或收到的金额确认或有对价，也未在年度报告中披露该事项，会计师未予以关注。</w:t>
      </w:r>
    </w:p>
    <w:p w14:paraId="72928E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短期借款</w:t>
      </w:r>
    </w:p>
    <w:p w14:paraId="7B61D4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未充分关注短期借款的担保情况，底稿列示被审计单位的短期借款8,000万元为保证借款，根据后附借款合同，该笔借款由关联方共同担保，被审计单位未披露该关联方担保，会计师未予关注。</w:t>
      </w:r>
    </w:p>
    <w:p w14:paraId="732441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五、审计项目收入和成本费用类科目存在的问题</w:t>
      </w:r>
    </w:p>
    <w:p w14:paraId="50EFA7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1.营业收入</w:t>
      </w:r>
    </w:p>
    <w:p w14:paraId="150BFB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一是未充分关注被审计单位的收入确认政策及其合理性。未发现电影票兑换卡、</w:t>
      </w:r>
      <w:r>
        <w:rPr>
          <w:rFonts w:ascii="宋体" w:hAnsi="宋体" w:cs="宋体" w:hint="eastAsia"/>
          <w:sz w:val="24"/>
        </w:rPr>
        <w:lastRenderedPageBreak/>
        <w:t>电子码等产品收入确认政策的不合理和当期收入确认不准确。未分析网络游戏收入确认方法的合理性，未考虑游戏充值金额与实际消费金额的差异对营业收入准确性认定的影响。</w:t>
      </w:r>
    </w:p>
    <w:p w14:paraId="07BC94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未取得营业收入确认的充分、适当的审计证据。第一，未关注部分销售发货日期早于合同签订日期，部分销售缺少验收人与验收日期，部分采购商品入库时间早于送货时间的情况。第二，部分项目未取得发票、出库单、运输单等证明风险转移的关键审计证据，执行截止测试时，未取得相关凭证。第三，对设有验收条款的合同确认收入时，未对验收情况进行核查。例如，验收条款中规定被审计单位需向客户提供相关检测报告、网络截屏报告、结案报告等供客户验收，验收不合格将减少付款并承担违约责任，但底稿中未见对客户验收情况进行核查的记录。</w:t>
      </w:r>
    </w:p>
    <w:p w14:paraId="689315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对关联方收入审计不到位。关联交易查验底稿中对关联交易列示交易金额并显示价格公允，但底稿中未见对关联交易价格是否公允实施审计程序的记录。例如，某被审计单位子公司94％的收入来自关联方，且部分关联方未纳入合并范围，2017年度销售毛利率达39％，远高于合并报表18.41％的整体毛利率水平，会计师仅在关联交易查验底稿中列示了关联方金额，未见对关联交易价格是否公允、交易是否真实实施审计程序的记录。</w:t>
      </w:r>
    </w:p>
    <w:p w14:paraId="6DB78D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四是对部分项目成本确认进度与收入确认进度不一致的情况，会计师未予以关注并执行进一步审计程序。</w:t>
      </w:r>
    </w:p>
    <w:p w14:paraId="35BC13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五是对交易的实质与形式不符、不符合正常商业逻辑等异常情况，未取得充分、适当的审计证据，对收入的异常变动未予以充分关注并执行分析性程序。</w:t>
      </w:r>
    </w:p>
    <w:p w14:paraId="0B5586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营业成本</w:t>
      </w:r>
    </w:p>
    <w:p w14:paraId="6B1E4B4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一是未关注部分施工项目存在严重超期情况，未查明超期施工的原因。二是未对项目成本发生额进行充分的细节测试，且未说明测试标准，部分项目未取得细节测试审计证据。</w:t>
      </w:r>
    </w:p>
    <w:p w14:paraId="043C095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期间费用</w:t>
      </w:r>
    </w:p>
    <w:p w14:paraId="0E3E26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成本费用的波动异常或金额异常等情况未实施分析性复核程序。例如被审计单位管理费用审定数为2,677.84万元，较上期增加203.67％，底稿中未见实施分析复核程序的记录。二是被审计单位一子公司一月份财务费用——利息收入2,929万元，金额异常，底稿中未见对利息收入实施分析性复核。</w:t>
      </w:r>
    </w:p>
    <w:p w14:paraId="0153AC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六、其他问题</w:t>
      </w:r>
    </w:p>
    <w:p w14:paraId="020CE8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ab/>
        <w:t>1.商誉审计程序执行不到位</w:t>
      </w:r>
    </w:p>
    <w:p w14:paraId="44511B8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商誉审定表审计说明中提到对于1,000万元以上商誉由评估机构评估确认，l,000万元以下商誉由事务所进行复核测试。在1,000万元以下商誉进行复核测试的过程中，未见对使用参数的检查说明，无折现系数11.54％的得出依据及说明，无商誉减值测试过程中所使用方法的记录，也无2017年预计销售毛利率与后六年相差较大的相关说明。</w:t>
      </w:r>
    </w:p>
    <w:p w14:paraId="7698DA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信息披露不准确</w:t>
      </w:r>
    </w:p>
    <w:p w14:paraId="610129F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被审计单位将持股4%的被投资单位纳入合并范围，原因系附条件的股权转让因转让条件未达成，被审计单位持有的股权一直未能转让，仍按照原100％持股比例将其纳入合并范围。但审计报告中披露持股比例4％，与实际持股比例不一致。</w:t>
      </w:r>
    </w:p>
    <w:p w14:paraId="04B2FD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管理层在对或有事项的声明书中显示对外担保、商业票据背书及贴现均为空白，但年度报告披露存在商业票据背书或贴现、对外担保等事项。对被审计单位未将实际情况在或有事项明细表中列示的情况，会计师未予以关注。</w:t>
      </w:r>
    </w:p>
    <w:p w14:paraId="61AE8118" w14:textId="77777777" w:rsidR="00A320E6" w:rsidRDefault="00000000" w:rsidP="00F64CCD">
      <w:pPr>
        <w:pStyle w:val="1a"/>
      </w:pPr>
      <w:r>
        <w:rPr>
          <w:rFonts w:hint="eastAsia"/>
        </w:rPr>
        <w:t>新增行政处罚及行政监管措施中资产评估机构的突出问题</w:t>
      </w:r>
    </w:p>
    <w:p w14:paraId="7E9B6B4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一、内部治理、质量控制和独立性方面存在的问题</w:t>
      </w:r>
    </w:p>
    <w:p w14:paraId="2B6F82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1.内部治理不规范</w:t>
      </w:r>
    </w:p>
    <w:p w14:paraId="6FF8A2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公司章程内容与实际情况不符，未设立监事会，监事人数不符合要求。二是未建立内部项目业务质量责任追究机制。三是一体化管理不足，分、子公司员工的招聘、培训、考核自行管理，公司与各分支机构使用不同的财务系统，个别分支机构的管理不统一，且公司章程内容不完整。四是对常任专业人员（外聘人员）管理存在疏漏。五是员工考核中未包含遵守行业监管法规、自律规则项目，或虽然包含但权重较小。六是财务管理、职业风险基金管理使用不规范。七是内部审计制度执行不到位。八是存在资产评估师挂靠的情况。</w:t>
      </w:r>
    </w:p>
    <w:p w14:paraId="30866C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质量控制不完善</w:t>
      </w:r>
    </w:p>
    <w:p w14:paraId="2FFA12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相关质量控制制度不健全，未制定估值项目的质控标准。二是质控政策和程序执行不到位，连续3年未对分支机构执业质量进行检查，风险委员会的重大风险报告制度执行未留痕，解决疑难问题或争议事项的控制政策或程序执行未留痕，个别分支机构未设置专门部门或岗位从事质控工作。三是项目管理工作不规范，立</w:t>
      </w:r>
      <w:r>
        <w:rPr>
          <w:rFonts w:ascii="宋体" w:hAnsi="宋体" w:cs="宋体" w:hint="eastAsia"/>
          <w:sz w:val="24"/>
        </w:rPr>
        <w:lastRenderedPageBreak/>
        <w:t>项申请表填写不完整，立项负责人开发的项目仍由该立项负责人进行立项审批；部分项目业务约定书或委托合同要素缺失；部分工作底稿归档不及时、电子底稿存档内容不统一。四是未披露相关系数选择依据及数据来源，部分项目未说明相关系数选择依据，未披露所参考审计报告具体内容，评估依据材料缺少提供方盖章。</w:t>
      </w:r>
    </w:p>
    <w:p w14:paraId="279613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违反独立性</w:t>
      </w:r>
    </w:p>
    <w:p w14:paraId="43778A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建立定期投资申报制度及内幕信息知情人登记制度，员工未签订保密协议。二是项目承接时未对公司的独立性进行评价，或独立性评价工作记录不完整，项目独立性评价时间滞后，《独立性自查表》未涵盖三级复核人员。三是从业人员违反法律规定交易股票。</w:t>
      </w:r>
    </w:p>
    <w:p w14:paraId="5BFB63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二、收益法中盈利预测依据不充分</w:t>
      </w:r>
    </w:p>
    <w:p w14:paraId="561545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1.收入预测依据不足</w:t>
      </w:r>
    </w:p>
    <w:p w14:paraId="0910233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对分项收入毛利率、收入增长率、未来资本结构、企业市场份额、政策对业务的影响、关键影响因素等进行充分分析。例如，在对游戏公司进行收益法评估时，对游戏生命周期、未来上线游戏的数量、未来游戏收入中“月活跃登陆人次”核查不充分。二是收益预测时主要依据的合同项目及客户情况的调查分析工作不到位，评估依据不充分。例如某项目未签订合同，仅以县领导批示“认真研究所提事项，依据法定政策与程序提出意见”为评估依据。</w:t>
      </w:r>
    </w:p>
    <w:p w14:paraId="4B23CE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2.成本预测依据不足</w:t>
      </w:r>
    </w:p>
    <w:p w14:paraId="37A561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未说明预测期营业成本中生产工资、包材等项目的预测依据及测算过程，未说明成本率预测的依据，未考虑市场开拓让利等因素对成本预测的影响，未分析成本率大幅波动的原因。</w:t>
      </w:r>
    </w:p>
    <w:p w14:paraId="5E90D6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3.分析程序执行不到位</w:t>
      </w:r>
    </w:p>
    <w:p w14:paraId="758F33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对预测趋势与历史业绩和现实经营状况存在重大差异、预测收入与实际收入出现重大差异、预测收入未实现的原因与以后年度预测收入的可实现性等未进行充分分析并合理调整相关预测参数。</w:t>
      </w:r>
    </w:p>
    <w:p w14:paraId="11BE3C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三、其他评估程序执行不到位</w:t>
      </w:r>
    </w:p>
    <w:p w14:paraId="4A22086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1.合同查验不到位</w:t>
      </w:r>
    </w:p>
    <w:p w14:paraId="16AA391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未对合同真实性执行询问、检查、函证等相关评估程序。比如，被评估单位与部分客户签订的2018年销售合同与2017年销售合同内容和签章完全一致或基本一</w:t>
      </w:r>
      <w:r>
        <w:rPr>
          <w:rFonts w:ascii="宋体" w:hAnsi="宋体" w:cs="宋体" w:hint="eastAsia"/>
          <w:sz w:val="24"/>
        </w:rPr>
        <w:lastRenderedPageBreak/>
        <w:t>致，只在时间上有所区别，评估师未关注到销售合同翻印的异常情况，未开展进一步核查和验证程序。</w:t>
      </w:r>
    </w:p>
    <w:p w14:paraId="1B5C9B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2.函证程序不规范</w:t>
      </w:r>
    </w:p>
    <w:p w14:paraId="4ABE5C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一是对评估报告出具日未回函的情况未予以关注或执行替代程序。二是未预留充足的函证回函时间，比如函证落款日期为2018年2月25日，而评估报告出具日期为2018年3月1日。</w:t>
      </w:r>
    </w:p>
    <w:p w14:paraId="03F7DB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3.重新计算程序执行不到位</w:t>
      </w:r>
    </w:p>
    <w:p w14:paraId="56B93D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对企业提供的预测表执行重新计算程序不到位，对银行存款、往来款项、存货的评估程序执行不到位。</w:t>
      </w:r>
    </w:p>
    <w:p w14:paraId="1B8540B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四、评估底稿不完善   </w:t>
      </w:r>
    </w:p>
    <w:p w14:paraId="620F57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1.底稿不规范</w:t>
      </w:r>
    </w:p>
    <w:p w14:paraId="019DF4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一是评估底稿中部分记录缺失，未保存对客户的函证记录。二是工作底稿中部分凭证模糊不清、字迹难辨，存在低级错误，部分底稿未获得提供方签字、盖章。</w:t>
      </w:r>
    </w:p>
    <w:p w14:paraId="23A90D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2.底稿之间存在不一致</w:t>
      </w:r>
    </w:p>
    <w:p w14:paraId="2767E7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一是评估底稿中保存的销售合同签订时间晚于评估报告出具时间。比如某销售合同的签订时间为2018年3月2日，晚于资产评估报告的出具时间2018年3月1日。</w:t>
      </w:r>
    </w:p>
    <w:p w14:paraId="58355F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评估说明与评估底稿中保存的支撑性资料不一致。比如评估说明中称“预计2018年公司将实现4亿元左右的收入，Q公司和G公司将分别贡献1.2亿销售收入，K公司、Z公司、Y公司将贡献约1亿左右销售收入”，而评估底稿中Q公司2018年合同为0.82亿元，G公司2017至2018年合同为1.35亿元，K公司2018年合同为0.1亿元，未见Z公司和Y公司的2018年合同。</w:t>
      </w:r>
    </w:p>
    <w:p w14:paraId="128BA2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五、其他问题</w:t>
      </w:r>
    </w:p>
    <w:p w14:paraId="11D814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1.业务承接</w:t>
      </w:r>
    </w:p>
    <w:p w14:paraId="299168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部分项目未按照新准则要求订立资产评估委托合同，业务约定书签订日期有明显涂改痕迹，业务约定书实际签订时间、评估计划晚于实际现场工作时间，评估报告记载时间与实际执行业务时间不一致。</w:t>
      </w:r>
    </w:p>
    <w:p w14:paraId="4A73610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2.低级错误较多</w:t>
      </w:r>
    </w:p>
    <w:p w14:paraId="475F33D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预测收入计算错误、盈余资金增加额计算错误、估值报告中净利润数披露错误</w:t>
      </w:r>
      <w:r>
        <w:rPr>
          <w:rFonts w:ascii="宋体" w:hAnsi="宋体" w:cs="宋体" w:hint="eastAsia"/>
          <w:sz w:val="24"/>
        </w:rPr>
        <w:lastRenderedPageBreak/>
        <w:t>等。</w:t>
      </w:r>
    </w:p>
    <w:p w14:paraId="2A53E2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6F13A9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证监会发布《公开发行证券的公司信息披露编报规则第24号——科创板创新试点红筹企业财务报告信息特别规定》 </w:t>
      </w:r>
    </w:p>
    <w:p w14:paraId="60519DC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3月7日，证监会发布《公开发行证券的公司信息披露编报规则第24号——科创板创新试点红筹企业财务报告信息特别规定》，对在科创板公开发行证券并上市的创新试点红筹企业财务信息披露行为进行规范。该规定自公布之日起实施。</w:t>
      </w:r>
    </w:p>
    <w:p w14:paraId="361E896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证监会通报2018年度审计与评估机构检查处理情况</w:t>
      </w:r>
    </w:p>
    <w:p w14:paraId="4C88F6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3月29日，证监会通报2018年度审计和评估机构全面检查及专项检查情况。根据检查结果，拟对8家次审计机构及30人次注册会计师、7家次评估机构及22人次资产评估师、6名违法买卖股票的执业人员分别采取行政监管措施并记入诚信档案；同时，将个别涉嫌违法违规的项目移交稽查处理。此外，2018年度各派出机构根据自主安排项目的检查结果，共对63家次审计机构及93人次注册会计师、9家次评估机构及12人次资产评估师分别采取行政监管措施并记入诚信档案。</w:t>
      </w:r>
    </w:p>
    <w:p w14:paraId="3D674E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财政部、证监会、中注协等多部门就商誉减值审计风险进行提示</w:t>
      </w:r>
    </w:p>
    <w:p w14:paraId="3F385E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   证监会会计部于2018年11月发布《会计监管风险提示第8号——商誉减值》，以指导市场相关各方做好商誉减值工作。目前，上市公司2018年年报审计正在进行，财政部、证监会、中注协等多部门高度重视商誉减值监管工作，通过召开商誉减值风险警示会、约谈相关机构等方式提示风险，督促中介机构勤勉尽责、规范执业，切实做好商誉减值审计工作。</w:t>
      </w:r>
    </w:p>
    <w:p w14:paraId="709B8D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财政部修订印发2018年度合并财务报表格式</w:t>
      </w:r>
    </w:p>
    <w:p w14:paraId="1AA1FC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月18日，财政部修订印发2018年度合并财务报表格式，适用于已执行新金融工具准则和新收入准则的企业集团。企业应根据重要性原则并结合本企业实际情况，对确需单独列示的内容，可增加合并财务报表项目；对不存在相应业务的合并财务报表项目，可进行必要删减。以金融企业为主的企业集团，应以金融企业财务报表格式为基础，结合一般企业财务报表格式和本通知的要求，对相关合并财务报表项目进行调整后编制。</w:t>
      </w:r>
    </w:p>
    <w:p w14:paraId="5351FE8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财政部印发《永续债相关会计处理的规定》</w:t>
      </w:r>
    </w:p>
    <w:p w14:paraId="0B9DCB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2019年1月28日，财政部印发《永续债相关会计处理的规定》，于发布之日生</w:t>
      </w:r>
      <w:r>
        <w:rPr>
          <w:rFonts w:ascii="宋体" w:hAnsi="宋体" w:cs="宋体" w:hint="eastAsia"/>
          <w:sz w:val="24"/>
        </w:rPr>
        <w:lastRenderedPageBreak/>
        <w:t>效。根据该规定，永续债发行方会计分类应当应当根据第37号准则，同时考虑到期日、清偿顺序、利率跳升和间接义务的等因素；永续债持有方应当区分持有方已执行新金融工具准则和暂未执行新金融工具准则两种情况进行会计处理。</w:t>
      </w:r>
    </w:p>
    <w:p w14:paraId="3FA1F8A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中注协制定《科创板创新试点红筹企业财务报告差异调节信息和补充财务信息审计指引》</w:t>
      </w:r>
    </w:p>
    <w:p w14:paraId="43CD21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了服务红筹企业在科创板发行上市试点工作，明确相关要求，中注协制定了《科创板创新试点红筹企业财务报告差异调节信息和补充财务信息审计指引》，对注册会计师执行科创板创新试点红筹企业财务报告差异调节信息和补充财务信息审计业务进行规范。该指引于2019年3月28日印发。</w:t>
      </w:r>
    </w:p>
    <w:p w14:paraId="2F797EEF"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6" w:name="_Toc112227384"/>
      <w:r>
        <w:rPr>
          <w:rFonts w:ascii="宋体" w:hAnsi="宋体" w:cs="宋体" w:hint="eastAsia"/>
          <w:b/>
          <w:bCs/>
          <w:sz w:val="24"/>
        </w:rPr>
        <w:t>会计及评估监管工作通讯二〇一九年第四期（总第30期）</w:t>
      </w:r>
      <w:bookmarkEnd w:id="76"/>
    </w:p>
    <w:p w14:paraId="63076BCB"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北京证监局二〇一九年七月</w:t>
      </w:r>
    </w:p>
    <w:p w14:paraId="2EBF23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75CEA1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【警钟长鸣】二季度辖区证券资格审计与评估机构处理处罚情况</w:t>
      </w:r>
    </w:p>
    <w:p w14:paraId="1314E1B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232500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【案例分析】非营利性民办学校的受限结余如何列报和披露</w:t>
      </w:r>
    </w:p>
    <w:p w14:paraId="5D93FD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【监管动态】近期相关监管部门发布的监管政策和要求</w:t>
      </w:r>
    </w:p>
    <w:p w14:paraId="116AC8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48A249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2019年第二季度，证监会及各地证监局对北京辖区具有证券期货资格的会计师事务所和资产评估机构下发的行政处罚、行政监管措施和检查结果告知书共涉及5家会计师事务所的11个项目和4家资产评估机构的5个项目。具体如下：</w:t>
      </w:r>
    </w:p>
    <w:p w14:paraId="14EC8DDA" w14:textId="019E840D"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会计师事务所下发行政监管措施4份，涉及事务所4家次、注册会计师8人次；下发检查结果告知书3份，涉及事务所3家次。对资产评估机构下发行政处罚1份，涉及资产评估机构1家次、评估师2人次；下发行政监管措施4份，涉及资产评估机构2家次、评估师6人次；下发检查结果告知书1份，涉及资产评估机构1家次。</w:t>
      </w:r>
    </w:p>
    <w:p w14:paraId="393CA06B" w14:textId="77777777" w:rsidR="00C91D92" w:rsidRDefault="00C91D92" w:rsidP="00AE0286">
      <w:pPr>
        <w:pStyle w:val="a3"/>
        <w:spacing w:line="360" w:lineRule="auto"/>
        <w:ind w:firstLine="480"/>
        <w:rPr>
          <w:rFonts w:ascii="宋体" w:hAnsi="宋体" w:cs="宋体"/>
          <w:sz w:val="24"/>
        </w:rPr>
      </w:pPr>
    </w:p>
    <w:tbl>
      <w:tblPr>
        <w:tblW w:w="0" w:type="auto"/>
        <w:jc w:val="center"/>
        <w:tblLayout w:type="fixed"/>
        <w:tblLook w:val="04A0" w:firstRow="1" w:lastRow="0" w:firstColumn="1" w:lastColumn="0" w:noHBand="0" w:noVBand="1"/>
      </w:tblPr>
      <w:tblGrid>
        <w:gridCol w:w="1921"/>
        <w:gridCol w:w="1185"/>
        <w:gridCol w:w="1530"/>
        <w:gridCol w:w="1170"/>
        <w:gridCol w:w="1530"/>
        <w:gridCol w:w="1186"/>
      </w:tblGrid>
      <w:tr w:rsidR="00A320E6" w14:paraId="2A8A17A8" w14:textId="77777777" w:rsidTr="00C91D92">
        <w:trPr>
          <w:tblHeader/>
          <w:jc w:val="center"/>
        </w:trPr>
        <w:tc>
          <w:tcPr>
            <w:tcW w:w="3106" w:type="dxa"/>
            <w:gridSpan w:val="2"/>
            <w:vMerge w:val="restart"/>
            <w:tcBorders>
              <w:top w:val="single" w:sz="4" w:space="0" w:color="auto"/>
              <w:left w:val="single" w:sz="4" w:space="0" w:color="auto"/>
              <w:bottom w:val="single" w:sz="4" w:space="0" w:color="auto"/>
              <w:right w:val="single" w:sz="4" w:space="0" w:color="auto"/>
            </w:tcBorders>
            <w:vAlign w:val="center"/>
          </w:tcPr>
          <w:p w14:paraId="520A9FB0"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项目</w:t>
            </w:r>
          </w:p>
        </w:tc>
        <w:tc>
          <w:tcPr>
            <w:tcW w:w="2700" w:type="dxa"/>
            <w:gridSpan w:val="2"/>
            <w:tcBorders>
              <w:top w:val="single" w:sz="4" w:space="0" w:color="auto"/>
              <w:left w:val="nil"/>
              <w:bottom w:val="single" w:sz="4" w:space="0" w:color="auto"/>
              <w:right w:val="single" w:sz="4" w:space="0" w:color="auto"/>
            </w:tcBorders>
            <w:vAlign w:val="center"/>
          </w:tcPr>
          <w:p w14:paraId="7C9D0551"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会计师事务所</w:t>
            </w:r>
          </w:p>
        </w:tc>
        <w:tc>
          <w:tcPr>
            <w:tcW w:w="2716" w:type="dxa"/>
            <w:gridSpan w:val="2"/>
            <w:tcBorders>
              <w:top w:val="single" w:sz="4" w:space="0" w:color="auto"/>
              <w:left w:val="nil"/>
              <w:bottom w:val="single" w:sz="4" w:space="0" w:color="auto"/>
              <w:right w:val="single" w:sz="4" w:space="0" w:color="auto"/>
            </w:tcBorders>
            <w:vAlign w:val="center"/>
          </w:tcPr>
          <w:p w14:paraId="2EE1E139"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资产评估机构</w:t>
            </w:r>
          </w:p>
        </w:tc>
      </w:tr>
      <w:tr w:rsidR="00A320E6" w14:paraId="159AFA88" w14:textId="77777777" w:rsidTr="00C91D92">
        <w:trPr>
          <w:tblHeader/>
          <w:jc w:val="center"/>
        </w:trPr>
        <w:tc>
          <w:tcPr>
            <w:tcW w:w="3106" w:type="dxa"/>
            <w:gridSpan w:val="2"/>
            <w:vMerge/>
            <w:tcBorders>
              <w:top w:val="single" w:sz="4" w:space="0" w:color="auto"/>
              <w:left w:val="single" w:sz="4" w:space="0" w:color="auto"/>
              <w:bottom w:val="single" w:sz="4" w:space="0" w:color="auto"/>
              <w:right w:val="single" w:sz="4" w:space="0" w:color="auto"/>
            </w:tcBorders>
            <w:vAlign w:val="center"/>
          </w:tcPr>
          <w:p w14:paraId="0EBA5A9B" w14:textId="77777777" w:rsidR="00A320E6" w:rsidRDefault="00A320E6" w:rsidP="00C91D92">
            <w:pPr>
              <w:pStyle w:val="a3"/>
              <w:ind w:firstLineChars="0" w:firstLine="0"/>
              <w:jc w:val="center"/>
              <w:rPr>
                <w:rFonts w:ascii="宋体" w:hAnsi="宋体" w:cs="宋体"/>
                <w:szCs w:val="21"/>
              </w:rPr>
            </w:pPr>
          </w:p>
        </w:tc>
        <w:tc>
          <w:tcPr>
            <w:tcW w:w="1530" w:type="dxa"/>
            <w:tcBorders>
              <w:top w:val="single" w:sz="4" w:space="0" w:color="auto"/>
              <w:left w:val="nil"/>
              <w:bottom w:val="single" w:sz="4" w:space="0" w:color="auto"/>
              <w:right w:val="single" w:sz="4" w:space="0" w:color="auto"/>
            </w:tcBorders>
            <w:vAlign w:val="center"/>
          </w:tcPr>
          <w:p w14:paraId="1E32A63B"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2019年二季度新增</w:t>
            </w:r>
          </w:p>
        </w:tc>
        <w:tc>
          <w:tcPr>
            <w:tcW w:w="1170" w:type="dxa"/>
            <w:tcBorders>
              <w:top w:val="single" w:sz="4" w:space="0" w:color="auto"/>
              <w:left w:val="nil"/>
              <w:bottom w:val="single" w:sz="4" w:space="0" w:color="auto"/>
              <w:right w:val="single" w:sz="4" w:space="0" w:color="auto"/>
            </w:tcBorders>
            <w:vAlign w:val="center"/>
          </w:tcPr>
          <w:p w14:paraId="181FE892"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2019年累计</w:t>
            </w:r>
          </w:p>
        </w:tc>
        <w:tc>
          <w:tcPr>
            <w:tcW w:w="1530" w:type="dxa"/>
            <w:tcBorders>
              <w:top w:val="single" w:sz="4" w:space="0" w:color="auto"/>
              <w:left w:val="nil"/>
              <w:bottom w:val="single" w:sz="4" w:space="0" w:color="auto"/>
              <w:right w:val="single" w:sz="4" w:space="0" w:color="auto"/>
            </w:tcBorders>
            <w:vAlign w:val="center"/>
          </w:tcPr>
          <w:p w14:paraId="1B29F94A"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2019年二季度新增</w:t>
            </w:r>
          </w:p>
        </w:tc>
        <w:tc>
          <w:tcPr>
            <w:tcW w:w="1186" w:type="dxa"/>
            <w:tcBorders>
              <w:top w:val="single" w:sz="4" w:space="0" w:color="auto"/>
              <w:left w:val="nil"/>
              <w:bottom w:val="single" w:sz="4" w:space="0" w:color="auto"/>
              <w:right w:val="single" w:sz="4" w:space="0" w:color="auto"/>
            </w:tcBorders>
            <w:vAlign w:val="center"/>
          </w:tcPr>
          <w:p w14:paraId="344D53F7"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2019年累计</w:t>
            </w:r>
          </w:p>
        </w:tc>
      </w:tr>
      <w:tr w:rsidR="00A320E6" w14:paraId="5D7CEF0E"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7589F80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行政处罚</w:t>
            </w:r>
          </w:p>
        </w:tc>
        <w:tc>
          <w:tcPr>
            <w:tcW w:w="1185" w:type="dxa"/>
            <w:tcBorders>
              <w:top w:val="single" w:sz="4" w:space="0" w:color="auto"/>
              <w:left w:val="nil"/>
              <w:bottom w:val="single" w:sz="4" w:space="0" w:color="auto"/>
              <w:right w:val="single" w:sz="4" w:space="0" w:color="auto"/>
            </w:tcBorders>
          </w:tcPr>
          <w:p w14:paraId="48FD802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402A675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35CBEC5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6B35CC9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86" w:type="dxa"/>
            <w:tcBorders>
              <w:top w:val="single" w:sz="4" w:space="0" w:color="auto"/>
              <w:left w:val="nil"/>
              <w:bottom w:val="single" w:sz="4" w:space="0" w:color="auto"/>
              <w:right w:val="single" w:sz="4" w:space="0" w:color="auto"/>
            </w:tcBorders>
          </w:tcPr>
          <w:p w14:paraId="09F6D603"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1DCA3D8A"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1CEBCE3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lastRenderedPageBreak/>
              <w:t>市场禁入</w:t>
            </w:r>
          </w:p>
        </w:tc>
        <w:tc>
          <w:tcPr>
            <w:tcW w:w="1185" w:type="dxa"/>
            <w:tcBorders>
              <w:top w:val="single" w:sz="4" w:space="0" w:color="auto"/>
              <w:left w:val="nil"/>
              <w:bottom w:val="single" w:sz="4" w:space="0" w:color="auto"/>
              <w:right w:val="single" w:sz="4" w:space="0" w:color="auto"/>
            </w:tcBorders>
          </w:tcPr>
          <w:p w14:paraId="1D53F86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396DD6D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45D707BC"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6550A22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61694007"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378DD94B" w14:textId="77777777">
        <w:trPr>
          <w:jc w:val="center"/>
        </w:trPr>
        <w:tc>
          <w:tcPr>
            <w:tcW w:w="1921" w:type="dxa"/>
            <w:vMerge w:val="restart"/>
            <w:tcBorders>
              <w:top w:val="nil"/>
              <w:left w:val="single" w:sz="4" w:space="0" w:color="auto"/>
              <w:bottom w:val="single" w:sz="4" w:space="0" w:color="auto"/>
              <w:right w:val="single" w:sz="4" w:space="0" w:color="auto"/>
            </w:tcBorders>
            <w:vAlign w:val="center"/>
          </w:tcPr>
          <w:p w14:paraId="72A7874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行政监管措施</w:t>
            </w:r>
          </w:p>
        </w:tc>
        <w:tc>
          <w:tcPr>
            <w:tcW w:w="1185" w:type="dxa"/>
            <w:tcBorders>
              <w:top w:val="single" w:sz="4" w:space="0" w:color="auto"/>
              <w:left w:val="nil"/>
              <w:bottom w:val="single" w:sz="4" w:space="0" w:color="auto"/>
              <w:right w:val="single" w:sz="4" w:space="0" w:color="auto"/>
            </w:tcBorders>
          </w:tcPr>
          <w:p w14:paraId="1FFEDA0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警示函</w:t>
            </w:r>
          </w:p>
        </w:tc>
        <w:tc>
          <w:tcPr>
            <w:tcW w:w="1530" w:type="dxa"/>
            <w:tcBorders>
              <w:top w:val="single" w:sz="4" w:space="0" w:color="auto"/>
              <w:left w:val="nil"/>
              <w:bottom w:val="single" w:sz="4" w:space="0" w:color="auto"/>
              <w:right w:val="single" w:sz="4" w:space="0" w:color="auto"/>
            </w:tcBorders>
          </w:tcPr>
          <w:p w14:paraId="0EFF5A5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4</w:t>
            </w:r>
          </w:p>
        </w:tc>
        <w:tc>
          <w:tcPr>
            <w:tcW w:w="1170" w:type="dxa"/>
            <w:tcBorders>
              <w:top w:val="single" w:sz="4" w:space="0" w:color="auto"/>
              <w:left w:val="nil"/>
              <w:bottom w:val="single" w:sz="4" w:space="0" w:color="auto"/>
              <w:right w:val="single" w:sz="4" w:space="0" w:color="auto"/>
            </w:tcBorders>
          </w:tcPr>
          <w:p w14:paraId="7538C777"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13</w:t>
            </w:r>
          </w:p>
        </w:tc>
        <w:tc>
          <w:tcPr>
            <w:tcW w:w="1530" w:type="dxa"/>
            <w:tcBorders>
              <w:top w:val="single" w:sz="4" w:space="0" w:color="auto"/>
              <w:left w:val="nil"/>
              <w:bottom w:val="single" w:sz="4" w:space="0" w:color="auto"/>
              <w:right w:val="single" w:sz="4" w:space="0" w:color="auto"/>
            </w:tcBorders>
          </w:tcPr>
          <w:p w14:paraId="1E490B9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4</w:t>
            </w:r>
          </w:p>
        </w:tc>
        <w:tc>
          <w:tcPr>
            <w:tcW w:w="1186" w:type="dxa"/>
            <w:tcBorders>
              <w:top w:val="single" w:sz="4" w:space="0" w:color="auto"/>
              <w:left w:val="nil"/>
              <w:bottom w:val="single" w:sz="4" w:space="0" w:color="auto"/>
              <w:right w:val="single" w:sz="4" w:space="0" w:color="auto"/>
            </w:tcBorders>
          </w:tcPr>
          <w:p w14:paraId="734EF80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11</w:t>
            </w:r>
          </w:p>
        </w:tc>
      </w:tr>
      <w:tr w:rsidR="00A320E6" w14:paraId="79C9CC60" w14:textId="77777777">
        <w:trPr>
          <w:jc w:val="center"/>
        </w:trPr>
        <w:tc>
          <w:tcPr>
            <w:tcW w:w="1921" w:type="dxa"/>
            <w:vMerge/>
            <w:tcBorders>
              <w:top w:val="nil"/>
              <w:left w:val="single" w:sz="4" w:space="0" w:color="auto"/>
              <w:bottom w:val="single" w:sz="4" w:space="0" w:color="auto"/>
              <w:right w:val="single" w:sz="4" w:space="0" w:color="auto"/>
            </w:tcBorders>
          </w:tcPr>
          <w:p w14:paraId="57D5E74A"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4416E1F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责令改正</w:t>
            </w:r>
          </w:p>
        </w:tc>
        <w:tc>
          <w:tcPr>
            <w:tcW w:w="1530" w:type="dxa"/>
            <w:tcBorders>
              <w:top w:val="single" w:sz="4" w:space="0" w:color="auto"/>
              <w:left w:val="nil"/>
              <w:bottom w:val="single" w:sz="4" w:space="0" w:color="auto"/>
              <w:right w:val="single" w:sz="4" w:space="0" w:color="auto"/>
            </w:tcBorders>
          </w:tcPr>
          <w:p w14:paraId="3CE6AF2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78D9FB0D"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5D810F0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3B2AF36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42A57E4D" w14:textId="77777777">
        <w:trPr>
          <w:jc w:val="center"/>
        </w:trPr>
        <w:tc>
          <w:tcPr>
            <w:tcW w:w="1921" w:type="dxa"/>
            <w:vMerge/>
            <w:tcBorders>
              <w:top w:val="nil"/>
              <w:left w:val="single" w:sz="4" w:space="0" w:color="auto"/>
              <w:bottom w:val="single" w:sz="4" w:space="0" w:color="auto"/>
              <w:right w:val="single" w:sz="4" w:space="0" w:color="auto"/>
            </w:tcBorders>
          </w:tcPr>
          <w:p w14:paraId="4DB28406"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547FAB7A"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监管谈话</w:t>
            </w:r>
          </w:p>
        </w:tc>
        <w:tc>
          <w:tcPr>
            <w:tcW w:w="1530" w:type="dxa"/>
            <w:tcBorders>
              <w:top w:val="single" w:sz="4" w:space="0" w:color="auto"/>
              <w:left w:val="nil"/>
              <w:bottom w:val="single" w:sz="4" w:space="0" w:color="auto"/>
              <w:right w:val="single" w:sz="4" w:space="0" w:color="auto"/>
            </w:tcBorders>
          </w:tcPr>
          <w:p w14:paraId="40E2443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43606E44"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6572F09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058461B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0AEFFF4A"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61EB1B2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检查结果告知书</w:t>
            </w:r>
          </w:p>
        </w:tc>
        <w:tc>
          <w:tcPr>
            <w:tcW w:w="1185" w:type="dxa"/>
            <w:tcBorders>
              <w:top w:val="single" w:sz="4" w:space="0" w:color="auto"/>
              <w:left w:val="nil"/>
              <w:bottom w:val="single" w:sz="4" w:space="0" w:color="auto"/>
              <w:right w:val="single" w:sz="4" w:space="0" w:color="auto"/>
            </w:tcBorders>
          </w:tcPr>
          <w:p w14:paraId="137C7B9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299DDE9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w:t>
            </w:r>
          </w:p>
        </w:tc>
        <w:tc>
          <w:tcPr>
            <w:tcW w:w="1170" w:type="dxa"/>
            <w:tcBorders>
              <w:top w:val="single" w:sz="4" w:space="0" w:color="auto"/>
              <w:left w:val="nil"/>
              <w:bottom w:val="single" w:sz="4" w:space="0" w:color="auto"/>
              <w:right w:val="single" w:sz="4" w:space="0" w:color="auto"/>
            </w:tcBorders>
          </w:tcPr>
          <w:p w14:paraId="287224EC"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6</w:t>
            </w:r>
          </w:p>
        </w:tc>
        <w:tc>
          <w:tcPr>
            <w:tcW w:w="1530" w:type="dxa"/>
            <w:tcBorders>
              <w:top w:val="single" w:sz="4" w:space="0" w:color="auto"/>
              <w:left w:val="nil"/>
              <w:bottom w:val="single" w:sz="4" w:space="0" w:color="auto"/>
              <w:right w:val="single" w:sz="4" w:space="0" w:color="auto"/>
            </w:tcBorders>
          </w:tcPr>
          <w:p w14:paraId="3DFF3D3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86" w:type="dxa"/>
            <w:tcBorders>
              <w:top w:val="single" w:sz="4" w:space="0" w:color="auto"/>
              <w:left w:val="nil"/>
              <w:bottom w:val="single" w:sz="4" w:space="0" w:color="auto"/>
              <w:right w:val="single" w:sz="4" w:space="0" w:color="auto"/>
            </w:tcBorders>
          </w:tcPr>
          <w:p w14:paraId="03DB30E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w:t>
            </w:r>
          </w:p>
        </w:tc>
      </w:tr>
    </w:tbl>
    <w:p w14:paraId="00679F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w:t>
      </w:r>
    </w:p>
    <w:p w14:paraId="226CB2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会计师事务所与资产评估机构下发的行政处罚、行政监管措施、检查结果告知书等指出的突出问题进行了汇总，现予以发布，提示各会计师事务所与资产评估机构重点关注。</w:t>
      </w:r>
    </w:p>
    <w:p w14:paraId="3EF7BBF2" w14:textId="77777777" w:rsidR="00A320E6" w:rsidRDefault="00000000" w:rsidP="006E4111">
      <w:pPr>
        <w:pStyle w:val="1a"/>
      </w:pPr>
      <w:r>
        <w:rPr>
          <w:rFonts w:hint="eastAsia"/>
        </w:rPr>
        <w:t>新增行政处罚及行政监管措施中会计师事务所的突出问题</w:t>
      </w:r>
    </w:p>
    <w:p w14:paraId="40F21A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一、银行存款和往来款的函证程序执行不到位</w:t>
      </w:r>
    </w:p>
    <w:p w14:paraId="22F3E1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银行函证方面。一是审计底稿未记录银行存款基本户等个别重要银行账户函证未回函的原因，仅以查验银行对账单作为替代程序，未考虑必要时再次函证。二是未对银行函证回函的涂改痕迹保持职业怀疑态度，未实施进一步审计程序予以核实。</w:t>
      </w:r>
    </w:p>
    <w:p w14:paraId="012C93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应收账款函证方面。一是执行部分重要应收账款函证未回函替代程序时，未查验客户确认单等收入确认关键证据。二是未取得相关自然人的身份证复印件，或其他能证明身份的审计证据。三是函证过程控制记录不全，回函单快递不全，底稿中也未记录对函证地址的核对过程。</w:t>
      </w:r>
    </w:p>
    <w:p w14:paraId="261738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二、固定资产减值准备计提、预计净残值会计估计审计程序执行不到位</w:t>
      </w:r>
    </w:p>
    <w:p w14:paraId="63EE02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利用专家工作审计程序执行不充分。计提固定资产减值准备过程中，上市公司依据资产评估机构出具的评估报告，确定固定资产的可收回金额。但会计师未评价评估专家的胜任能力、专业素质和客观性，未了解专家的工作，未评价将专家的工作用作相关认定的审计证据的适当性。</w:t>
      </w:r>
    </w:p>
    <w:p w14:paraId="3CE3E4E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关注净残值估计的合理性。公司计提船舶折旧时，按预计废钢单价乘以船舶轻吨位预计净残值。公司采用的废钢价格自2010年至2017年一直未有变动，船舶预计净残值一直未做调整。近几年废钢价格波动较大，公司未按会计估计规定对废钢价格变动影响预计净残值,进而对利润总额造成的影响进行必要测试，会计师亦未执行相应的审计程序。</w:t>
      </w:r>
    </w:p>
    <w:p w14:paraId="0DD02FD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三、营业收入和营业成本审计程序不到位</w:t>
      </w:r>
    </w:p>
    <w:p w14:paraId="06C8AD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销售与收款循环个别关键控制测试执行不到位。部分抽查样本显示实际收入确认日期早于客户验收单日期、合同日期和发票日期等，但审计底稿却记录“财务入账日期与确认单日期一致”并得出控制运行有效的结论。</w:t>
      </w:r>
    </w:p>
    <w:p w14:paraId="5BA7FE7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2.收入截止性测试执行不到位。截止性测试数量不足，审计底稿未记录样本选取标准，未执行从实到账、从账到实的双向查验，未针对不同的收入确认模式分别执行截止性测试。</w:t>
      </w:r>
    </w:p>
    <w:p w14:paraId="56DA361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3.未关注异常情况。审计底稿中未见会计师关注个别客户注册日期晚于合同起始日期的异常情况，未见获取公司无法提供广告实际播放后台数据的原因并分析合理性。</w:t>
      </w:r>
    </w:p>
    <w:p w14:paraId="0C5A94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未关注收入确认的重要依据客户确认单中部分关键信息不完整的情况。审计底稿留存的12份客户确认单中有9份内容表述笼统（仅表述为在合同期内完成业务），未说明对应的合同编号、合同期间、合同金额、确认时间，无法识别客户确认内容的具体特征。</w:t>
      </w:r>
    </w:p>
    <w:p w14:paraId="0A114B1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5.营业成本中预提的修理费和实际发生金额差异率较大，会计师未实施充分的审计程序以确认修理费预提的准确性，审计证据不充分。</w:t>
      </w:r>
    </w:p>
    <w:p w14:paraId="547B04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四、费用审计程序执行不到位</w:t>
      </w:r>
    </w:p>
    <w:p w14:paraId="0E79DC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1.未发现借款费用资本化不合规。对于购买探矿权过程中支付的资金占用费资本化的会计处理是否符合会计准则的规定，会计师未保持应有的职业谨慎，未发现借款费用资本化核算不符合会计准则。</w:t>
      </w:r>
    </w:p>
    <w:p w14:paraId="7413E9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发现销售费用跨期确认。会计师在了解到公司销售返利政策做出较大调整的情况下，未关注因不同年份销售政策的变化对当期损益产生的重大影响，未测算销售返利跨期事项对当期损益的影响，未对销售返利跨期事项实施充分、适当的审计程序。</w:t>
      </w:r>
    </w:p>
    <w:p w14:paraId="3AF01D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五、其他方面</w:t>
      </w:r>
    </w:p>
    <w:p w14:paraId="289827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商誉减值审计程序不充分。底稿中无公司未来经营计划，且对管理层编制的现金流量预测和经董事会批准的财务预算、预测期的收入增长率和历史收入增长率、预测期毛利率和历史毛利率进行比较的记录不完善。</w:t>
      </w:r>
    </w:p>
    <w:p w14:paraId="70251D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2.递延所得税资产审计程序不充分。会计师在对公司基于可抵扣亏损确认的递</w:t>
      </w:r>
      <w:r>
        <w:rPr>
          <w:rFonts w:ascii="宋体" w:hAnsi="宋体" w:cs="宋体" w:hint="eastAsia"/>
          <w:sz w:val="24"/>
        </w:rPr>
        <w:lastRenderedPageBreak/>
        <w:t>延所得税资产实施审计时，未关注子公司在停产的情况下仍确认递延所得税资产的情形，未对公司提供的盈利预测表进行复核，未分析盈利预测表中各期收入、费用等预测数据的合理性，未对核销的递延所得税资产实施充分、适当的审计程序。</w:t>
      </w:r>
    </w:p>
    <w:p w14:paraId="5ADB65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3.或有对价审计程序不到位。会计师对于子公司相关的业绩补偿款确认事项未实施审计程序，未保持应有的职业谨慎判断公司对相关或有对价的会计处理是否符合会计准则的规定，直接认可了公司的会计处理。</w:t>
      </w:r>
    </w:p>
    <w:p w14:paraId="2DBEFE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4.或有事项审计程序执行不到位。上市公司期后收到判决结果，会计师未针对期后事项实施追加审计程序，未针对或有事项（未决诉讼）实施必要的审计程序。</w:t>
      </w:r>
    </w:p>
    <w:p w14:paraId="1342E395" w14:textId="77777777" w:rsidR="00A320E6" w:rsidRDefault="00000000" w:rsidP="006E4111">
      <w:pPr>
        <w:pStyle w:val="1a"/>
      </w:pPr>
      <w:r>
        <w:rPr>
          <w:rFonts w:hint="eastAsia"/>
        </w:rPr>
        <w:t>新增行政处罚及行政监管措施中资产评估机构的突出问题</w:t>
      </w:r>
    </w:p>
    <w:p w14:paraId="082199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一、内部管理方面存在的问题</w:t>
      </w:r>
    </w:p>
    <w:p w14:paraId="0C07E3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公司章程中未载明首席评估师制度，未明确约定首席评估师的职责和任职条件；未设置专户存放职业风险基金，而是将职业风险基金存放在公司基本账户中；未建立信息系统；部分资产评估师未在公司缴纳社会保险。</w:t>
      </w:r>
    </w:p>
    <w:p w14:paraId="25B678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二、质量控制方面存在的问题</w:t>
      </w:r>
    </w:p>
    <w:p w14:paraId="6436F5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1.质量控制体系建设不完善。主要包括：制度未明确A类项目承接的批准部门、未对监控责任追究进行规定、无具体的收费标准等。</w:t>
      </w:r>
    </w:p>
    <w:p w14:paraId="2B6A36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2.未严格执行公司的制度。未执行公司规定的重大项目负责人制度、内部检查项目未达到内部制度中规定的数量比例。</w:t>
      </w:r>
    </w:p>
    <w:p w14:paraId="24B38F0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3.个别项目业务约定书签订不规范。具体问题包括：业务承接审核时间晚于业务约定书签订日期，有的项目未签订业务约定书，部分业务约定书未填写签订日期，部分项目业务约定书签订在报告日之后。</w:t>
      </w:r>
    </w:p>
    <w:p w14:paraId="17820C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4.内部审核程序流于形式。在签字评估师未对质量复核人提出的复核意见予以充分回复的情况下，仍出具评估报告。</w:t>
      </w:r>
    </w:p>
    <w:p w14:paraId="732D37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三、收入预测依据不充分，相关核查程序不到位</w:t>
      </w:r>
    </w:p>
    <w:p w14:paraId="28BA87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获取销售收入高增长的预测依据。管理层预测分销、天猫、电商品牌批发、小红书POP等销售渠道收入2019年及以后呈现高增长趋势，预测依据为历史销售收入规模、同比增长情况、销售计划、开店计划、运营规划、营销推广计划等，但管理层盈利预测中并无2019年度及以后的具体销售计划、开店计划、运营规划、营销推广计划等。评估师在未获取上述依据的情况下，认可了管理层的预测金额，业绩</w:t>
      </w:r>
      <w:r>
        <w:rPr>
          <w:rFonts w:ascii="宋体" w:hAnsi="宋体" w:cs="宋体" w:hint="eastAsia"/>
          <w:sz w:val="24"/>
        </w:rPr>
        <w:lastRenderedPageBreak/>
        <w:t>高增长的预测依据不足，评估师获取的管理层关于天猫渠道销售预测的底稿中，缺乏部分品牌高增长的依据及其说明。</w:t>
      </w:r>
    </w:p>
    <w:p w14:paraId="16EE20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充分核查公司与品牌商合作的可持续性。对于21家与公司合作的品牌供应商，评估师只抽样访谈了2家，抽样比例低；评估工作底稿中无核查公司品牌可持续性计划的记录，对于品牌授权到期后能否续约的问题也无相应的核查材料。</w:t>
      </w:r>
    </w:p>
    <w:p w14:paraId="4866B1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未充分关注并核查管理层预测的合理性。管理层的盈利预测存在未来收入预测趋势不合理或与历史业绩和现实经营状况相矛盾的情况。评估师未对上述预测趋势与历史数据存在差异的原因及合理性进行分析查证，也未要求委托人和其他相关当事人说明差异的合理性及其可持续性。</w:t>
      </w:r>
    </w:p>
    <w:p w14:paraId="26B392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历史数据的核查不充分。资产评估报告所列示的财务基础数据及引用的相关审计数据存在虚假记载，标的公司通过制作“虚假合同”虚增利润。评估师预测收入时，使用的基础数据为标的公司向其提供的电子版数据，并对相关电子数据进行了直接引用或汇总使用，未执行程序以核实数据的真实、准确和完整。</w:t>
      </w:r>
    </w:p>
    <w:p w14:paraId="51FD8D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资产评估预测支持性资料不充分。评估说明显示“在未来5至10年的时间里，中国智能制造装备行业增长率将达到年均25%”。被评估公司2016-2018年营业收入呈下降趋势，年度环比下降分别为17.75%、21.51%，但是预测未来收入前三年增幅均为30.00%、后两年均为12.00%。公司预测未来收入增长趋势与自身差距较大，且前三年预期高于行业平均增长率。评估师未获取充分的预测支持性材料。</w:t>
      </w:r>
    </w:p>
    <w:p w14:paraId="0718AD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四、营运资金预测依据不足</w:t>
      </w:r>
    </w:p>
    <w:p w14:paraId="58D40E4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预测趋势与评估说明矛盾。评估说明中描述“随着新股东的进入，公司的影响力和谈判能力会增强，后期应收账款余额会逐步降低。”但是预测的未来营运资金随着收入的增长呈现逐年增加的趋势，与评估说明描述存在矛盾。</w:t>
      </w:r>
    </w:p>
    <w:p w14:paraId="5A3546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2.预测数据与历史数据差异较大。公司历史期三年营运资金平均约3.0亿元，但测算2019年营运资金为1.36亿元，与公司历史数据相差较大，评估师未结合公司自身情况进行分析。</w:t>
      </w:r>
    </w:p>
    <w:p w14:paraId="48EC4A2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数据计算问题。一是计算2017年末营运资金时，应收账款、预付账款、货币资金计算基础中的主营业务收入及相关成本费用等仅包括2017年4-12月数据，未包括2017年1-3月的数据。二是2017年4-12月营运资金追加额计算按照2017年营运资金与2016年营运资金的差额确定，未按照2017年底营运资金与2017年3月</w:t>
      </w:r>
      <w:r>
        <w:rPr>
          <w:rFonts w:ascii="宋体" w:hAnsi="宋体" w:cs="宋体" w:hint="eastAsia"/>
          <w:sz w:val="24"/>
        </w:rPr>
        <w:lastRenderedPageBreak/>
        <w:t>底营运资金的差额确定。三是评估预测期间的预付账款按照主营业务收入除以相应的周转率计算，未以成本为基数计算。四是计算预测期间货币资金时，按照“成本及相关费用/付现次数”确定，分子未减去“折旧与摊销”的金额。</w:t>
      </w:r>
    </w:p>
    <w:p w14:paraId="2BE67B8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分析过程不到位。底稿中未记录预付账款周转率、应付账款周转率及预收账款周转率取值依据及分析过程。另外付现次数、存货周转率、应收账款周转率根据历史数据平均值进行预测，但历史数据波动较大，底稿中未对取值的合理性进行相关分析。</w:t>
      </w:r>
    </w:p>
    <w:p w14:paraId="441E12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五、对应收账款执行函证程序时未保持有效控制</w:t>
      </w:r>
    </w:p>
    <w:p w14:paraId="50C35E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询证函回函编号显示，评估师选取了标的公司31家销售客户对其收入及应收账款进行函证，但底稿中只保留了23份回函，缺失8份。同时，底稿中未见评估师执行对发函和回函保持控制程序的记录，未见函证收发统计表和函证收发快递单等任何控制程序的记录。</w:t>
      </w:r>
    </w:p>
    <w:p w14:paraId="7210C2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六、评估底稿记录不充分，评估证据存在瑕疵</w:t>
      </w:r>
    </w:p>
    <w:p w14:paraId="07F684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1.评估底稿记录不完善</w:t>
      </w:r>
    </w:p>
    <w:p w14:paraId="174707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一是评估底稿中企业提供的收益预测表与定稿存在差异，无与管理层进行讨论、分析的记录；底稿中成本资料为凭证或合同，且未与预测表形成索引关系；评估底稿中对评估对象的调查记录不完整。</w:t>
      </w:r>
    </w:p>
    <w:p w14:paraId="1B0459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底稿中的询证函不完整。针对预付账款、其他应付款、应收账款，评估说明中反映评估人员进行了相关函证，但实际情况为评估人员利用了审计师的函证结果，复印了审计师的询证函，且收集的回函复印件不全，应付账款函证缺5份，其他应付款函证缺3份。</w:t>
      </w:r>
    </w:p>
    <w:p w14:paraId="10ED95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三是勘察表填写不完整。底稿中归集的机器设备现场勘查表、车辆状况调查表和电子设备勘查表，仅有编制时间2017年7月8日和复核时间2017年7月10日，无勘查时间及勘查人员（被评估单位人员和评估人员）签字。</w:t>
      </w:r>
    </w:p>
    <w:p w14:paraId="059A95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评估底稿无相关记录</w:t>
      </w:r>
    </w:p>
    <w:p w14:paraId="1659B6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一是无资本性支出的确定依据。评估师预测2017年6-12月发生资本性支出130万元、2018年发生资本性支出120万元，用于增加2条生产线（200万元）和设备（50万元）。但底稿中无相关依据。</w:t>
      </w:r>
    </w:p>
    <w:p w14:paraId="0AA97D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二是底稿中未见评估师对比分析生产方式的转变及其影响。公司历史年度采用</w:t>
      </w:r>
      <w:r>
        <w:rPr>
          <w:rFonts w:ascii="宋体" w:hAnsi="宋体" w:cs="宋体" w:hint="eastAsia"/>
          <w:sz w:val="24"/>
        </w:rPr>
        <w:lastRenderedPageBreak/>
        <w:t>委托加工方式，无自主生产，评估师预测过程中假设公司未来逐步自主生产。但底稿中未见评估师分析生产方式发生转变后历史数据的可参考性，未见对比母公司将产成品销售给子公司的定价与公司自主生产的生产成本是否存在差异，未见考虑生产方式的转变对营业成本的影响的相关记录。</w:t>
      </w:r>
    </w:p>
    <w:p w14:paraId="234204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三是存货单价与收集的历史销售合同单价存在差异，底稿未记录存货单价的确定依据。</w:t>
      </w:r>
    </w:p>
    <w:p w14:paraId="36A631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3.评估证据瑕疵。评估工作底稿中部分证据获取时间晚于评估报告出具日期，部分重要资料无公司的签字、盖章。</w:t>
      </w:r>
    </w:p>
    <w:p w14:paraId="20B379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七、信息披露不充分</w:t>
      </w:r>
    </w:p>
    <w:p w14:paraId="2044AC6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预测期收入增长率、管理费用及研发费用占营业收入比例、管理费用中职工薪酬占营业收入的比重、营运资金金额均与历史期数据有很大差异，上述情况均未在评估报告中披露。也未披露随着人力资源数量的减少，销售收入出现快速增长的判断依据。</w:t>
      </w:r>
    </w:p>
    <w:p w14:paraId="059597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八、其他评估程序不到位</w:t>
      </w:r>
    </w:p>
    <w:p w14:paraId="56DFCF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1.未充分考虑少数股东损益对商誉减值的影响。2017年在51家公司有不同比例的持股，且部分公司为非全资持股，未来现金流量预测时，未考虑对外投资单位少数股东损益对商誉减值测试的影响。</w:t>
      </w:r>
    </w:p>
    <w:p w14:paraId="632B08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充分考虑增资事项对商誉减值的影响。2016年1月、2016年8月，B公司分别向A公司以货币资金增加注册资本3,000万元、1,000万元，评估过程中未充分考虑增资事项可能会引起商誉所在资产组或资产组合的构成与形成时发生改变的情况。</w:t>
      </w:r>
    </w:p>
    <w:p w14:paraId="04E2B5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3.未对采用其他证券服务机构的专业意见的内容审慎核查。根据评估报告，评估师在评估时使用了会计师事务所的审计报告作为参考依据，但底稿中未见相关核查记录。</w:t>
      </w:r>
    </w:p>
    <w:p w14:paraId="084C35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对重要指标的分析不完整。评估说明“盈利能力分析”中，对标的公司净资产收益率、总资产报酬率在2011年和2012年的变动情况进行分析时，评估师只解释了2011年上述指标下降的原因，对2012年上述指标下降的原因未给出明确解释。</w:t>
      </w:r>
    </w:p>
    <w:p w14:paraId="6EA44FF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5.股权自由现金流计算过程中漏算其他非流动资产。截至评估基准日，公司拥有其他非流动资产20万元，评估过程中未考虑该项资产对现金流的影响。</w:t>
      </w:r>
    </w:p>
    <w:p w14:paraId="309C7D8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6.未考虑递延所得税资产和应付股利。评估说明披露“截至评估基准日2017年5月31日，无非经营性或溢余性资产”，而实际上公司拥有递延所得税资产20.08万元、应付股利1.77万元，评估过程中未考虑。</w:t>
      </w:r>
    </w:p>
    <w:p w14:paraId="7E88E3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w:t>
      </w:r>
    </w:p>
    <w:p w14:paraId="6491A9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非营利性民办学校的受限结余如何列报和披露</w:t>
      </w:r>
    </w:p>
    <w:p w14:paraId="4312F4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一、案例背景</w:t>
      </w:r>
    </w:p>
    <w:p w14:paraId="4947B45F" w14:textId="31351AF5"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上市公司K主业为教育及相关产业，采用“K12实体学校+体育、艺术培训+营地教育+品牌输出”的经营模式，以实体学校为依托获得资源、品牌效应与受众群体，以体育培训、艺术培训、营地教育、品牌输出与上下游培训为盈利点，开展教育及相关业务。目前，公司持有两所实施义务教育的民办学校100%股份，根据《中华人民共和国民办教育促进法》（2013年修订）的相关规定“ 民办学校在扣除办学成本、预留发展基金以及按照国家有关规定提取其他必需的费用后，出资人可以从办学结余中取得合理回报。取得合理回报的具体办法由国务院规定。”但2016年、2018年对民促法进行了修订，修订后的民促法（以下简称新民促法）</w:t>
      </w:r>
      <w:r w:rsidR="00EC0B72" w:rsidRPr="00C91D92">
        <w:rPr>
          <w:rFonts w:ascii="宋体" w:hAnsi="宋体" w:cs="宋体" w:hint="eastAsia"/>
          <w:bCs/>
          <w:sz w:val="24"/>
        </w:rPr>
        <w:t>第十九条</w:t>
      </w:r>
      <w:r>
        <w:rPr>
          <w:rFonts w:ascii="宋体" w:hAnsi="宋体" w:cs="宋体" w:hint="eastAsia"/>
          <w:sz w:val="24"/>
        </w:rPr>
        <w:t>规定：“不得设立实施义务教育的营利性民办学校。非营利性民办学校的举办者不得取得办学收益，学校的办学结余全部用于办学。”上市公司拥有的两所学校属于实施义务教育的民办学校，按新民促法规定只能为非营利性民办学校，学校的办学结余（净利润）不能进行分配，K作为举办者不能支配学校办学结余。K公司在2018年报中将持有的两所民办学校纳入合并范围，在年报“重大事项”及财务报表附注“其他重要事项”中披露两所学校办学结余受限情况。</w:t>
      </w:r>
    </w:p>
    <w:p w14:paraId="5EDF794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问题：两所学校是否应纳入上市公司合并报表范围，以及如何进行列报和信息披露。</w:t>
      </w:r>
    </w:p>
    <w:p w14:paraId="3E3D62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二、相关准则规定</w:t>
      </w:r>
    </w:p>
    <w:p w14:paraId="53EC4511" w14:textId="5D57E7B8"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《企业会计准则第33号——合并财务报表》（2014年修订）</w:t>
      </w:r>
      <w:r w:rsidR="00977BD5" w:rsidRPr="00C91D92">
        <w:rPr>
          <w:rFonts w:ascii="宋体" w:hAnsi="宋体" w:cs="宋体" w:hint="eastAsia"/>
          <w:bCs/>
          <w:sz w:val="24"/>
        </w:rPr>
        <w:t>第七条</w:t>
      </w:r>
      <w:r>
        <w:rPr>
          <w:rFonts w:ascii="宋体" w:hAnsi="宋体" w:cs="宋体" w:hint="eastAsia"/>
          <w:sz w:val="24"/>
        </w:rPr>
        <w:t>“合并财务报表的合并范围应当以控制为基础予以确定。控制，是指投资方拥有对被投资方的权力，通过参与被投资方的相关活动而享有可变回报，并且有能力运用对被投资方的权力影响其回报金额”。</w:t>
      </w:r>
    </w:p>
    <w:p w14:paraId="2A228C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《企业会计准则第33号——合并财务报表》应用指南指出“受法律、法规的限制，投资方有时无法通过分配被投资方的利润或盈余的形式获得回报。此时，需要</w:t>
      </w:r>
      <w:r>
        <w:rPr>
          <w:rFonts w:ascii="宋体" w:hAnsi="宋体" w:cs="宋体" w:hint="eastAsia"/>
          <w:sz w:val="24"/>
        </w:rPr>
        <w:lastRenderedPageBreak/>
        <w:t>根据具体情况，以投资方的投资目的为出发点，综合分析投资方是否获得除股利以外的其他可变回报，被投资方不能进行利润分配并不必然代表投资方不能获得可变回报”。</w:t>
      </w:r>
    </w:p>
    <w:p w14:paraId="0A75A103" w14:textId="106158F6"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《企业会计准则第41号——在其他主体中权益的披露》</w:t>
      </w:r>
      <w:r w:rsidR="00977BD5" w:rsidRPr="00C91D92">
        <w:rPr>
          <w:rFonts w:ascii="宋体" w:hAnsi="宋体" w:cs="宋体" w:hint="eastAsia"/>
          <w:bCs/>
          <w:sz w:val="24"/>
        </w:rPr>
        <w:t>第九条</w:t>
      </w:r>
      <w:r>
        <w:rPr>
          <w:rFonts w:ascii="宋体" w:hAnsi="宋体" w:cs="宋体" w:hint="eastAsia"/>
          <w:sz w:val="24"/>
        </w:rPr>
        <w:t>“使用企业集团资产和清偿企业集团债务存在重大限制的，企业应当在合并财务报表附注中披露下列信息：（一）该限制的内容，包括对母公司或其子公司与企业集团内其他主体相互转移现金或其他资产的限制，以及对企业集团内主体之间发放股利进行利润分配、发放或回收贷款或垫款等的现值”。</w:t>
      </w:r>
    </w:p>
    <w:p w14:paraId="5DAEA9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30号——财务报表列报》应用指南“企业如存在特殊项目或特殊行业企业确有特别需要的，可以结合本企业的实际情况，在本应用指南规定的财务报表格式的基础上对财务报表格式进行相应调整和补充”。</w:t>
      </w:r>
    </w:p>
    <w:p w14:paraId="10AE98E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三、案例解析</w:t>
      </w:r>
    </w:p>
    <w:p w14:paraId="152B87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于非营利性民办学校是否纳入合并范围，按照《企业会计准则》，投资方对于被投资单位是否具有控制权还是要回归控制的定义和基本原则来判断，即投资方拥有对被投资方的权力、参与被投资方的相关活动而享有可变回报、有能力运用对被投资方的权力影响其回报金额。虽然非盈利性民办学校受民促法约束，举办者不能取得办学收益，学校的办学结余应全部用于办学，但是被投资方不能进行利润分配并不必然代表投资方不能获取可变回报。因此，应结合K公司是否具有学校财务和经营决策决定权、从学校获取利益的方式和程度等情况进行分析。若具有主导学校相关活动的权利，通过参加学校的相关活动取得可变回报，且能运用权利改变回报金额，则满足控制三要素，应将非盈利性民办学校纳入合并范围。</w:t>
      </w:r>
    </w:p>
    <w:p w14:paraId="420815D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于受限办学结余如何进行列报和披露，目前实务中主要有两种做法：一是累计受限办学结余在合并资产负债表“未分配利润”项目列示，当年办学结余计入合并利润表“归属于母公司股东的净利润”项目中列示；二是累计受限办学结余在合并资产负债表“少数股东权益”项目中列示，当年受限办学结余在合并利润表“少数股东损益”项目中列示。上述两种做法都存在一定缺陷，方法一混同了受限办学结余与母公司真正可享有的利润，导致未分配利润及本年归母净利润虚高，方法二混同了受限办学结余与合并报表中真正的少数股东权益/损益，办学结余并不符合少数股东权益/损益的定义。</w:t>
      </w:r>
    </w:p>
    <w:p w14:paraId="4B3B53F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企业会计准则第30号——财务报表列报》应用指南提出“企业如存在特殊项目或特殊行业企业确有特别需要的，可以结合本企业的实际情况，在本应用指南规定的财务报表格式的基础上对财务报表格式进行相应调整和补充”，因此K公司可以考虑在未分配利润下增设科目单独列示受限的办学结余。同时，可以结合自身情况，根据重要性原则判断受限情况是否重大，在财务报表附注中充分披露对两家学校办学结余分配存在的限制情况。通过在定期报告中充分披露，实现让投资者了解其真实财务状况的目的。</w:t>
      </w:r>
    </w:p>
    <w:p w14:paraId="3E1109A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2EAC9DE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财政部印发《中国注册会计师审计准则第1101号——注册会计师的总体目标和审计工作的基本要求》等18项审计准则</w:t>
      </w:r>
    </w:p>
    <w:p w14:paraId="2F330E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了满足资本市场改革与发展对高质量会计信息的需求，保持我国审计准则与国际准则的持续全面趋同，中国注册会计师协会修订了《中国注册会计师审计准则第1101号——注册会计师的总体目标和审计工作的基本要求》等18项审计准则，财政部于2019年2月20日予批准印发，于2019年7月1日起施行。</w:t>
      </w:r>
    </w:p>
    <w:p w14:paraId="54AFB03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中注协发布新修订的18项审计准则及应用指南</w:t>
      </w:r>
    </w:p>
    <w:p w14:paraId="7308FC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2月20日，财政部发布《关于印发&lt;中国注册会计师审计准则第1101号——注册会计师的总体目标和审计工作的基本要求&gt;等18项准则的通知》（财会[2019]5号）。3月29日,中注协针对上述修订的审计准则发布24项应用指南，并于2019年7月1日起施行。本次修订的18项审计准则和24项应用指南，涉及利用内部审计人员的工作、应对违反法律法规行为、财务报表披露审计三方面。</w:t>
      </w:r>
    </w:p>
    <w:p w14:paraId="3ADE2D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财政部印发《关于修订印发2019年度一般企业财务报表格式的通知》</w:t>
      </w:r>
    </w:p>
    <w:p w14:paraId="789025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针对2019年1月1日起分阶段实施的《企业会计准则第21号——租赁》（财会〔2018〕35号），以及企业会计准则实施中的有关情况，2019年4月30日财政部印发《关于修订印发2019年度一般企业财务报表格式的通知》，对一般企业财务报表格式进行了修订，适用于执行企业会计准则的非金融企业2019年度中期财务报表和年度财务报表及以后期间的财务报表。</w:t>
      </w:r>
    </w:p>
    <w:p w14:paraId="4CEE49E5"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7" w:name="_Toc112227385"/>
      <w:r>
        <w:rPr>
          <w:rFonts w:ascii="宋体" w:hAnsi="宋体" w:cs="宋体" w:hint="eastAsia"/>
          <w:b/>
          <w:bCs/>
          <w:sz w:val="24"/>
        </w:rPr>
        <w:t>会计及评估监管工作通讯二〇一九年第六期（总第32期）</w:t>
      </w:r>
      <w:bookmarkEnd w:id="77"/>
    </w:p>
    <w:p w14:paraId="6C95B26D"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北京证监局 二〇一九年十月</w:t>
      </w:r>
    </w:p>
    <w:p w14:paraId="45EAF0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6116E7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【警钟长鸣】三季度辖区证券资格审计与评估机构处理处罚情况</w:t>
      </w:r>
    </w:p>
    <w:p w14:paraId="46C7B1F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7603FCD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【投诉举报】典型投诉举报情况</w:t>
      </w:r>
    </w:p>
    <w:p w14:paraId="1206C9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【监管动态】三季度北京证监局重点监管工作</w:t>
      </w:r>
    </w:p>
    <w:p w14:paraId="29796CB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【经验交流】会计师事务所质量控制自查整改工作经验分享</w:t>
      </w:r>
    </w:p>
    <w:p w14:paraId="324C39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314373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2019年第三季度，证监会及各地证监局对北京辖区具有证券期货资格的会计师事务所下发的行政处罚、行政监管措施和检查结果告知书共涉及3家事务所的4个项目；对具有证券期货资格的资产评估机构下发的行政处罚、行政监管措施和检查结果告知书共涉及2家资产评估机构的2个项目。具体如下：</w:t>
      </w:r>
    </w:p>
    <w:p w14:paraId="03AAF1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对会计师事务所下发行政监管措施2份，涉及审计机构2家次、注册会计师5人次；下发检查结果告知书2份，涉及审计机构2家次。对资产评估机构下发检查结果告知书2份，涉及资产评估机构2家次。</w:t>
      </w:r>
    </w:p>
    <w:tbl>
      <w:tblPr>
        <w:tblW w:w="0" w:type="auto"/>
        <w:jc w:val="center"/>
        <w:tblLayout w:type="fixed"/>
        <w:tblLook w:val="04A0" w:firstRow="1" w:lastRow="0" w:firstColumn="1" w:lastColumn="0" w:noHBand="0" w:noVBand="1"/>
      </w:tblPr>
      <w:tblGrid>
        <w:gridCol w:w="1921"/>
        <w:gridCol w:w="1185"/>
        <w:gridCol w:w="1530"/>
        <w:gridCol w:w="1170"/>
        <w:gridCol w:w="1530"/>
        <w:gridCol w:w="1186"/>
      </w:tblGrid>
      <w:tr w:rsidR="00A320E6" w14:paraId="7DEA0C0A" w14:textId="77777777" w:rsidTr="00C91D92">
        <w:trPr>
          <w:jc w:val="center"/>
        </w:trPr>
        <w:tc>
          <w:tcPr>
            <w:tcW w:w="3106" w:type="dxa"/>
            <w:gridSpan w:val="2"/>
            <w:vMerge w:val="restart"/>
            <w:tcBorders>
              <w:top w:val="single" w:sz="4" w:space="0" w:color="auto"/>
              <w:left w:val="single" w:sz="4" w:space="0" w:color="auto"/>
              <w:bottom w:val="single" w:sz="4" w:space="0" w:color="auto"/>
              <w:right w:val="single" w:sz="4" w:space="0" w:color="auto"/>
            </w:tcBorders>
            <w:vAlign w:val="center"/>
          </w:tcPr>
          <w:p w14:paraId="500501E9"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项目</w:t>
            </w:r>
          </w:p>
        </w:tc>
        <w:tc>
          <w:tcPr>
            <w:tcW w:w="2700" w:type="dxa"/>
            <w:gridSpan w:val="2"/>
            <w:tcBorders>
              <w:top w:val="single" w:sz="4" w:space="0" w:color="auto"/>
              <w:left w:val="nil"/>
              <w:bottom w:val="single" w:sz="4" w:space="0" w:color="auto"/>
              <w:right w:val="single" w:sz="4" w:space="0" w:color="auto"/>
            </w:tcBorders>
            <w:vAlign w:val="center"/>
          </w:tcPr>
          <w:p w14:paraId="6B271F9C"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会计师事务所</w:t>
            </w:r>
          </w:p>
        </w:tc>
        <w:tc>
          <w:tcPr>
            <w:tcW w:w="2716" w:type="dxa"/>
            <w:gridSpan w:val="2"/>
            <w:tcBorders>
              <w:top w:val="single" w:sz="4" w:space="0" w:color="auto"/>
              <w:left w:val="nil"/>
              <w:bottom w:val="single" w:sz="4" w:space="0" w:color="auto"/>
              <w:right w:val="single" w:sz="4" w:space="0" w:color="auto"/>
            </w:tcBorders>
            <w:vAlign w:val="center"/>
          </w:tcPr>
          <w:p w14:paraId="56F486F3"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资产评估机构</w:t>
            </w:r>
          </w:p>
        </w:tc>
      </w:tr>
      <w:tr w:rsidR="00A320E6" w14:paraId="1808A27E" w14:textId="77777777" w:rsidTr="00C91D92">
        <w:trPr>
          <w:jc w:val="center"/>
        </w:trPr>
        <w:tc>
          <w:tcPr>
            <w:tcW w:w="3106" w:type="dxa"/>
            <w:gridSpan w:val="2"/>
            <w:vMerge/>
            <w:tcBorders>
              <w:top w:val="single" w:sz="4" w:space="0" w:color="auto"/>
              <w:left w:val="single" w:sz="4" w:space="0" w:color="auto"/>
              <w:bottom w:val="single" w:sz="4" w:space="0" w:color="auto"/>
              <w:right w:val="single" w:sz="4" w:space="0" w:color="auto"/>
            </w:tcBorders>
            <w:vAlign w:val="center"/>
          </w:tcPr>
          <w:p w14:paraId="16DCCDD4" w14:textId="77777777" w:rsidR="00A320E6" w:rsidRDefault="00A320E6" w:rsidP="00C91D92">
            <w:pPr>
              <w:pStyle w:val="a3"/>
              <w:ind w:firstLineChars="0" w:firstLine="0"/>
              <w:jc w:val="center"/>
              <w:rPr>
                <w:rFonts w:ascii="宋体" w:hAnsi="宋体" w:cs="宋体"/>
                <w:szCs w:val="21"/>
              </w:rPr>
            </w:pPr>
          </w:p>
        </w:tc>
        <w:tc>
          <w:tcPr>
            <w:tcW w:w="1530" w:type="dxa"/>
            <w:tcBorders>
              <w:top w:val="single" w:sz="4" w:space="0" w:color="auto"/>
              <w:left w:val="nil"/>
              <w:bottom w:val="single" w:sz="4" w:space="0" w:color="auto"/>
              <w:right w:val="single" w:sz="4" w:space="0" w:color="auto"/>
            </w:tcBorders>
            <w:vAlign w:val="center"/>
          </w:tcPr>
          <w:p w14:paraId="2FD0EA99"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2019年三季度新增</w:t>
            </w:r>
          </w:p>
        </w:tc>
        <w:tc>
          <w:tcPr>
            <w:tcW w:w="1170" w:type="dxa"/>
            <w:tcBorders>
              <w:top w:val="single" w:sz="4" w:space="0" w:color="auto"/>
              <w:left w:val="nil"/>
              <w:bottom w:val="single" w:sz="4" w:space="0" w:color="auto"/>
              <w:right w:val="single" w:sz="4" w:space="0" w:color="auto"/>
            </w:tcBorders>
            <w:vAlign w:val="center"/>
          </w:tcPr>
          <w:p w14:paraId="7CC4CC57"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2019年累计</w:t>
            </w:r>
          </w:p>
        </w:tc>
        <w:tc>
          <w:tcPr>
            <w:tcW w:w="1530" w:type="dxa"/>
            <w:tcBorders>
              <w:top w:val="single" w:sz="4" w:space="0" w:color="auto"/>
              <w:left w:val="nil"/>
              <w:bottom w:val="single" w:sz="4" w:space="0" w:color="auto"/>
              <w:right w:val="single" w:sz="4" w:space="0" w:color="auto"/>
            </w:tcBorders>
            <w:vAlign w:val="center"/>
          </w:tcPr>
          <w:p w14:paraId="24E020DD"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2019年三季度新增</w:t>
            </w:r>
          </w:p>
        </w:tc>
        <w:tc>
          <w:tcPr>
            <w:tcW w:w="1186" w:type="dxa"/>
            <w:tcBorders>
              <w:top w:val="single" w:sz="4" w:space="0" w:color="auto"/>
              <w:left w:val="nil"/>
              <w:bottom w:val="single" w:sz="4" w:space="0" w:color="auto"/>
              <w:right w:val="single" w:sz="4" w:space="0" w:color="auto"/>
            </w:tcBorders>
            <w:vAlign w:val="center"/>
          </w:tcPr>
          <w:p w14:paraId="4559907B" w14:textId="77777777" w:rsidR="00A320E6" w:rsidRDefault="00000000" w:rsidP="00C91D92">
            <w:pPr>
              <w:pStyle w:val="a3"/>
              <w:ind w:firstLineChars="0" w:firstLine="0"/>
              <w:jc w:val="center"/>
              <w:rPr>
                <w:rFonts w:ascii="宋体" w:hAnsi="宋体" w:cs="宋体"/>
                <w:szCs w:val="21"/>
              </w:rPr>
            </w:pPr>
            <w:r>
              <w:rPr>
                <w:rFonts w:ascii="宋体" w:hAnsi="宋体" w:cs="宋体" w:hint="eastAsia"/>
                <w:szCs w:val="21"/>
              </w:rPr>
              <w:t>2019年累计</w:t>
            </w:r>
          </w:p>
        </w:tc>
      </w:tr>
      <w:tr w:rsidR="00A320E6" w14:paraId="31DAE12C"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1E4E6D2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行政处罚</w:t>
            </w:r>
          </w:p>
        </w:tc>
        <w:tc>
          <w:tcPr>
            <w:tcW w:w="1185" w:type="dxa"/>
            <w:tcBorders>
              <w:top w:val="single" w:sz="4" w:space="0" w:color="auto"/>
              <w:left w:val="nil"/>
              <w:bottom w:val="single" w:sz="4" w:space="0" w:color="auto"/>
              <w:right w:val="single" w:sz="4" w:space="0" w:color="auto"/>
            </w:tcBorders>
          </w:tcPr>
          <w:p w14:paraId="41BE3F8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3A98913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0A06A22D"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3B88539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7FCA1D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57ADC480"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34FD23E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市场禁入</w:t>
            </w:r>
          </w:p>
        </w:tc>
        <w:tc>
          <w:tcPr>
            <w:tcW w:w="1185" w:type="dxa"/>
            <w:tcBorders>
              <w:top w:val="single" w:sz="4" w:space="0" w:color="auto"/>
              <w:left w:val="nil"/>
              <w:bottom w:val="single" w:sz="4" w:space="0" w:color="auto"/>
              <w:right w:val="single" w:sz="4" w:space="0" w:color="auto"/>
            </w:tcBorders>
          </w:tcPr>
          <w:p w14:paraId="6E56793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0674B38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4617403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050679F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648183E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2319BA66" w14:textId="77777777">
        <w:trPr>
          <w:jc w:val="center"/>
        </w:trPr>
        <w:tc>
          <w:tcPr>
            <w:tcW w:w="1921" w:type="dxa"/>
            <w:vMerge w:val="restart"/>
            <w:tcBorders>
              <w:top w:val="nil"/>
              <w:left w:val="single" w:sz="4" w:space="0" w:color="auto"/>
              <w:bottom w:val="single" w:sz="4" w:space="0" w:color="auto"/>
              <w:right w:val="single" w:sz="4" w:space="0" w:color="auto"/>
            </w:tcBorders>
            <w:vAlign w:val="center"/>
          </w:tcPr>
          <w:p w14:paraId="40585A5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行政监管措施</w:t>
            </w:r>
          </w:p>
        </w:tc>
        <w:tc>
          <w:tcPr>
            <w:tcW w:w="1185" w:type="dxa"/>
            <w:tcBorders>
              <w:top w:val="single" w:sz="4" w:space="0" w:color="auto"/>
              <w:left w:val="nil"/>
              <w:bottom w:val="single" w:sz="4" w:space="0" w:color="auto"/>
              <w:right w:val="single" w:sz="4" w:space="0" w:color="auto"/>
            </w:tcBorders>
          </w:tcPr>
          <w:p w14:paraId="188D738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警示函</w:t>
            </w:r>
          </w:p>
        </w:tc>
        <w:tc>
          <w:tcPr>
            <w:tcW w:w="1530" w:type="dxa"/>
            <w:tcBorders>
              <w:top w:val="single" w:sz="4" w:space="0" w:color="auto"/>
              <w:left w:val="nil"/>
              <w:bottom w:val="single" w:sz="4" w:space="0" w:color="auto"/>
              <w:right w:val="single" w:sz="4" w:space="0" w:color="auto"/>
            </w:tcBorders>
          </w:tcPr>
          <w:p w14:paraId="05969C74"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w:t>
            </w:r>
          </w:p>
        </w:tc>
        <w:tc>
          <w:tcPr>
            <w:tcW w:w="1170" w:type="dxa"/>
            <w:tcBorders>
              <w:top w:val="single" w:sz="4" w:space="0" w:color="auto"/>
              <w:left w:val="nil"/>
              <w:bottom w:val="single" w:sz="4" w:space="0" w:color="auto"/>
              <w:right w:val="single" w:sz="4" w:space="0" w:color="auto"/>
            </w:tcBorders>
          </w:tcPr>
          <w:p w14:paraId="7DFCB267"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15</w:t>
            </w:r>
          </w:p>
        </w:tc>
        <w:tc>
          <w:tcPr>
            <w:tcW w:w="1530" w:type="dxa"/>
            <w:tcBorders>
              <w:top w:val="single" w:sz="4" w:space="0" w:color="auto"/>
              <w:left w:val="nil"/>
              <w:bottom w:val="single" w:sz="4" w:space="0" w:color="auto"/>
              <w:right w:val="single" w:sz="4" w:space="0" w:color="auto"/>
            </w:tcBorders>
          </w:tcPr>
          <w:p w14:paraId="6255165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546403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11</w:t>
            </w:r>
          </w:p>
        </w:tc>
      </w:tr>
      <w:tr w:rsidR="00A320E6" w14:paraId="5902D0B4" w14:textId="77777777">
        <w:trPr>
          <w:jc w:val="center"/>
        </w:trPr>
        <w:tc>
          <w:tcPr>
            <w:tcW w:w="1921" w:type="dxa"/>
            <w:vMerge/>
            <w:tcBorders>
              <w:top w:val="nil"/>
              <w:left w:val="single" w:sz="4" w:space="0" w:color="auto"/>
              <w:bottom w:val="single" w:sz="4" w:space="0" w:color="auto"/>
              <w:right w:val="single" w:sz="4" w:space="0" w:color="auto"/>
            </w:tcBorders>
          </w:tcPr>
          <w:p w14:paraId="2D1094D3"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702A3E36"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责令改正</w:t>
            </w:r>
          </w:p>
        </w:tc>
        <w:tc>
          <w:tcPr>
            <w:tcW w:w="1530" w:type="dxa"/>
            <w:tcBorders>
              <w:top w:val="single" w:sz="4" w:space="0" w:color="auto"/>
              <w:left w:val="nil"/>
              <w:bottom w:val="single" w:sz="4" w:space="0" w:color="auto"/>
              <w:right w:val="single" w:sz="4" w:space="0" w:color="auto"/>
            </w:tcBorders>
          </w:tcPr>
          <w:p w14:paraId="1FA19C7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15FC955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15FAEE9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56A026F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7E5339FE" w14:textId="77777777">
        <w:trPr>
          <w:jc w:val="center"/>
        </w:trPr>
        <w:tc>
          <w:tcPr>
            <w:tcW w:w="1921" w:type="dxa"/>
            <w:vMerge/>
            <w:tcBorders>
              <w:top w:val="nil"/>
              <w:left w:val="single" w:sz="4" w:space="0" w:color="auto"/>
              <w:bottom w:val="single" w:sz="4" w:space="0" w:color="auto"/>
              <w:right w:val="single" w:sz="4" w:space="0" w:color="auto"/>
            </w:tcBorders>
          </w:tcPr>
          <w:p w14:paraId="5C0D6B78"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09E0D1E2"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监管谈话</w:t>
            </w:r>
          </w:p>
        </w:tc>
        <w:tc>
          <w:tcPr>
            <w:tcW w:w="1530" w:type="dxa"/>
            <w:tcBorders>
              <w:top w:val="single" w:sz="4" w:space="0" w:color="auto"/>
              <w:left w:val="nil"/>
              <w:bottom w:val="single" w:sz="4" w:space="0" w:color="auto"/>
              <w:right w:val="single" w:sz="4" w:space="0" w:color="auto"/>
            </w:tcBorders>
          </w:tcPr>
          <w:p w14:paraId="10E0852D"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1061BA0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102B997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3AAE65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3BF5D1B9"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59E4D3DC"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检查结果告知书</w:t>
            </w:r>
          </w:p>
        </w:tc>
        <w:tc>
          <w:tcPr>
            <w:tcW w:w="1185" w:type="dxa"/>
            <w:tcBorders>
              <w:top w:val="single" w:sz="4" w:space="0" w:color="auto"/>
              <w:left w:val="nil"/>
              <w:bottom w:val="single" w:sz="4" w:space="0" w:color="auto"/>
              <w:right w:val="single" w:sz="4" w:space="0" w:color="auto"/>
            </w:tcBorders>
          </w:tcPr>
          <w:p w14:paraId="3AA0923D"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3D16F68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w:t>
            </w:r>
          </w:p>
        </w:tc>
        <w:tc>
          <w:tcPr>
            <w:tcW w:w="1170" w:type="dxa"/>
            <w:tcBorders>
              <w:top w:val="single" w:sz="4" w:space="0" w:color="auto"/>
              <w:left w:val="nil"/>
              <w:bottom w:val="single" w:sz="4" w:space="0" w:color="auto"/>
              <w:right w:val="single" w:sz="4" w:space="0" w:color="auto"/>
            </w:tcBorders>
          </w:tcPr>
          <w:p w14:paraId="34FCF7C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8</w:t>
            </w:r>
          </w:p>
        </w:tc>
        <w:tc>
          <w:tcPr>
            <w:tcW w:w="1530" w:type="dxa"/>
            <w:tcBorders>
              <w:top w:val="single" w:sz="4" w:space="0" w:color="auto"/>
              <w:left w:val="nil"/>
              <w:bottom w:val="single" w:sz="4" w:space="0" w:color="auto"/>
              <w:right w:val="single" w:sz="4" w:space="0" w:color="auto"/>
            </w:tcBorders>
          </w:tcPr>
          <w:p w14:paraId="67BB745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w:t>
            </w:r>
          </w:p>
        </w:tc>
        <w:tc>
          <w:tcPr>
            <w:tcW w:w="1186" w:type="dxa"/>
            <w:tcBorders>
              <w:top w:val="single" w:sz="4" w:space="0" w:color="auto"/>
              <w:left w:val="nil"/>
              <w:bottom w:val="single" w:sz="4" w:space="0" w:color="auto"/>
              <w:right w:val="single" w:sz="4" w:space="0" w:color="auto"/>
            </w:tcBorders>
          </w:tcPr>
          <w:p w14:paraId="1D6B645C"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4</w:t>
            </w:r>
          </w:p>
        </w:tc>
      </w:tr>
    </w:tbl>
    <w:p w14:paraId="607B77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w:t>
      </w:r>
    </w:p>
    <w:p w14:paraId="7BAFEC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会计师事务所与资产评估机构下发的行政处罚、行政监管措施、检查结果告知书等指出的突出问题进行了汇总，现予以发布，提示各会计师事务所与资产评估机构重点关注。</w:t>
      </w:r>
    </w:p>
    <w:p w14:paraId="27077253" w14:textId="77777777" w:rsidR="00A320E6" w:rsidRDefault="00000000" w:rsidP="006E4111">
      <w:pPr>
        <w:pStyle w:val="1a"/>
      </w:pPr>
      <w:r>
        <w:rPr>
          <w:rFonts w:hint="eastAsia"/>
        </w:rPr>
        <w:t>新增行政处罚及行政监管措施中会计师事务所的突出问题</w:t>
      </w:r>
    </w:p>
    <w:p w14:paraId="63B9A5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一、营业收入审计程序执行不到位</w:t>
      </w:r>
    </w:p>
    <w:p w14:paraId="641301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于走访中发现的与财务账面记录存在的差异，未采取进一步审计程序,导致未能发现提前确认收入的行为。二是未对部分大额工程的重要子项目进行走访，以致未能全面了解该大额工程项目的实际情况，未能发现公司提前确认收入的行为。</w:t>
      </w:r>
    </w:p>
    <w:p w14:paraId="4837FA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二、应收账款和应收票据审计程序执行不到位</w:t>
      </w:r>
    </w:p>
    <w:p w14:paraId="268A08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一是公司账龄划分错误，导致坏账计提金额不准确，按账龄计算勾稽关系修正后应调减利润，审计底稿未见对相关调整事项的说明。二是未对单项金额重大并应单独计提坏账准备的应收账款进行减值测试，直接按固定比例计提坏账准备，与公司会计政策不符。三是未对部分应收账款或应收票据进行函证或函证控制存在瑕疵，审计底稿未见替代审计程序或相关说明。</w:t>
      </w:r>
    </w:p>
    <w:p w14:paraId="1879EC3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三、商誉减值审计程序不到位</w:t>
      </w:r>
    </w:p>
    <w:p w14:paraId="1867F1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在复核时未取得部分商誉相关资产组未来收入、成本、销售费用、管理费用等关键参数的具体依据，未取得充分、适当的审计证据。二是利用专家工作时，未询问可能对外部专家客观性产生不利影响的利益和关系。</w:t>
      </w:r>
    </w:p>
    <w:p w14:paraId="6699DE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四、审计师未充分关注公司合并报表编制存在的错误</w:t>
      </w:r>
    </w:p>
    <w:p w14:paraId="37F5A20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公司账面记录的合并范围内往来款余额与年报披露的抵消金额存在差异，并在未消除差异的情况下强行把表做平，审计底稿未见对抵消差异调整的说明。二是公司未将个别子公司纳入合并范围，审计底稿未见对合并范围的核查和情况说明。</w:t>
      </w:r>
    </w:p>
    <w:p w14:paraId="6554ED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五、预测性审核未获取充分、适当的证据</w:t>
      </w:r>
    </w:p>
    <w:p w14:paraId="063AAC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在预测性财务信息审核业务中，审计师未获取充分适当的审计证据，未考虑基础资产的实际经营情况和承租人的实际偿债能力，直接认可了公司的测算结论。</w:t>
      </w:r>
    </w:p>
    <w:p w14:paraId="13F576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六、其他</w:t>
      </w:r>
    </w:p>
    <w:p w14:paraId="4ADCD4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控制测试存在瑕疵，审计师设计的存货控制测试程序不能取得控制有效运行相关的审计证据。二是关联方审计程序执行不到位，审计师未采取有效审计程序识别关联方及关联交易情况，导致相关披露不全面。三是未对在建工程转为固定资产获取充分证据。四是未对IT系统的控制环境和数据安全性进行测试。五是部分审计底稿与目录不一致，审计师未记录对审计底稿的修改情况。</w:t>
      </w:r>
    </w:p>
    <w:p w14:paraId="14C37892" w14:textId="77777777" w:rsidR="00A320E6" w:rsidRDefault="00000000" w:rsidP="006E4111">
      <w:pPr>
        <w:pStyle w:val="1a"/>
      </w:pPr>
      <w:r>
        <w:rPr>
          <w:rFonts w:hint="eastAsia"/>
        </w:rPr>
        <w:t>新增行政处罚及行政监管措施中资产评估机构的突出问题</w:t>
      </w:r>
    </w:p>
    <w:p w14:paraId="29F526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一、对收入预测的分析不到位</w:t>
      </w:r>
    </w:p>
    <w:p w14:paraId="3CD0C01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1.未对收入下滑原因进行充分分析。被评估单位2017年营业收入621.27万元，远低于2016年5,187.45万元及2015年3,036.19万元，评估师未在底稿中记录2017年收入大幅下滑的原因。</w:t>
      </w:r>
    </w:p>
    <w:p w14:paraId="2F6673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2.未对收入持续增长进行充分分析。被评估单位2017年收入较2016年下滑69%，2018年1-3月没有相关业务收入。而2018年4-12月收入按照2017年收入162.4万</w:t>
      </w:r>
      <w:r>
        <w:rPr>
          <w:rFonts w:ascii="宋体" w:hAnsi="宋体" w:cs="宋体" w:hint="eastAsia"/>
          <w:sz w:val="24"/>
        </w:rPr>
        <w:lastRenderedPageBreak/>
        <w:t>元进行预测，2019年收入预测为250万元，以后每年增加100万元。底稿仅收集了与公司管理人员的相关访谈记录，未充分记录对该类收入持续增长的分析过程。</w:t>
      </w:r>
    </w:p>
    <w:p w14:paraId="0864D9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二、底稿记录不完善</w:t>
      </w:r>
    </w:p>
    <w:p w14:paraId="20029D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评估师未在底稿中充分记录按照被评估单位历史年度周转率预测子公司营运资金增加额的原因；二是评估说明中期间费用列示错误；三是评估报告使用限制说明缺少“资产评估报告使用人应当正确理解评估结论。评估结论不等同于评估对象可实现价格，评估结论不应当被认为是对评估对象可实现价格的保证”的表述；四是底稿收集的部分合同需要受托人具备甲级资质，但评估师未在底稿中记录查验被评估单位资质的情况并留存相关资料；五是评估师在收益预测中，预测以后每年新增一个3年分享期、年收入1,000万元的拟运营项目，未在底稿中充分记录相关项目情况及成本率预测依据。</w:t>
      </w:r>
    </w:p>
    <w:p w14:paraId="1F63EF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三、其他</w:t>
      </w:r>
    </w:p>
    <w:p w14:paraId="57F2D4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评估师在评估过程中虽然考虑了公司原股东、创始人、商务经理、媒介经理等人因涉嫌合同诈骗被公安机关带走等事项，但仅获取了重要合同及其对应的应收账款明细表，未对重要合同相关客户实施其他查验程序。</w:t>
      </w:r>
    </w:p>
    <w:p w14:paraId="19D3D9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【投诉举报】</w:t>
      </w:r>
    </w:p>
    <w:p w14:paraId="6F4A6D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举报A会计师事务所执业质量存在问题</w:t>
      </w:r>
    </w:p>
    <w:p w14:paraId="1563BEA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举报人反映本地A会计师事务所（特殊普通合伙）在执行两家异地新三板挂牌公司2018年年报审计中存在未对全部银行账户执行函证程序、仅从企业取得银行对账单复印件（未核对原件）、未取得银行征信报告、未执行期后回款测试、内控测试流于形式等情形。同时，隶属于A事务所的外地B部门与当地一家非证券类会计师事务所C为一套人马两个牌子，B部门证券类业务由C事务所完成。</w:t>
      </w:r>
    </w:p>
    <w:p w14:paraId="2E94AF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已将前述问题转至新三板挂牌公司所在地的派出机构办理，将视核查情况采取进一步措施。在此提示辖区会计师事务所规范银行存款、内控测试等审计程序，加强事务所异地部门的内部管理，杜绝挂靠合作情况出现。</w:t>
      </w:r>
    </w:p>
    <w:p w14:paraId="191FB3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事务所内部管理不善，函证底稿丢失，被举报未执行函证程序</w:t>
      </w:r>
    </w:p>
    <w:p w14:paraId="7039EC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举报人举报D会计师事务所（特殊普通合伙）在E公司2018年年报审计过程中未充分执行函证程序，包括未对两家银行的存款账户实施函证程序、未对两家客户的应收账款实施函证程序。</w:t>
      </w:r>
    </w:p>
    <w:p w14:paraId="793A22A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经查，D会计师事务所执行了相应审计程序，但由于内部管理不善，导致部分询证函丢失,审计底稿中确实无相关询证函。在此提示辖区会计师事务所加强内部管理，规范审计底稿归档、保存程序，妥善保管审计底稿。</w:t>
      </w:r>
    </w:p>
    <w:p w14:paraId="465077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180AF5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北京证监局开展审计报告审阅工作，关注审计执业质量</w:t>
      </w:r>
    </w:p>
    <w:p w14:paraId="7776DD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今年，我局首次开展审计报告审阅工作，丰富非现场监管手段。区别于公司监管条线的年报审阅，审计报告审阅更多的是关注公司财务信息和审计执业情况，对照审计计划、审计总结和关键审计事项，对审计报告内容进行详细审阅，从披露的角度关注执业质量。通过多维度综合考量，筛选了19个项目，既有对执业问题较多机构的监管，也有对</w:t>
      </w:r>
      <w:r>
        <w:rPr>
          <w:rFonts w:ascii="宋体" w:hAnsi="宋体" w:cs="宋体" w:hint="eastAsia"/>
          <w:sz w:val="24"/>
          <w:lang w:val="zh-CN"/>
        </w:rPr>
        <w:t>商誉减值计提、会计政策变更、收入等新准则执行等</w:t>
      </w:r>
      <w:r>
        <w:rPr>
          <w:rFonts w:ascii="宋体" w:hAnsi="宋体" w:cs="宋体" w:hint="eastAsia"/>
          <w:sz w:val="24"/>
        </w:rPr>
        <w:t>重点问题的监管；不仅侧重上市公司年报审计项目，还覆盖证券、期货、基金等各类机构年报审计项目，提高监管覆盖面，体现会计监管对各监管条线的支持。审阅后发现4个方面、14个问题。对审计报告披露质量较差的项目，在进一步落实问题、夯实证据后，采取进一步监管措施；涉及报告主体信息披露和会计处理问题的，移交相关监管条线予以关注；对于共性问题，如审计报告信息披露不充分，审计计划、审计总结不符合准则要求及审计师未充分关注相关会计处理等，通过质控工作会进行通报，督促辖区各所对照检查和改进，提高审计报告披露质量和整体执业水平。</w:t>
      </w:r>
    </w:p>
    <w:p w14:paraId="261FFF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强化质控作用，不忘审计初心，不断提高审计执业质量和行业公信力</w:t>
      </w:r>
    </w:p>
    <w:p w14:paraId="34992E3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促进辖区证券资格会计师事务所提高内部管理水平，强化质量控制作用，我局于2019年9月11日召开第二次辖区证券资格会计师事务所质量控制工作会议。辖区22家在京总所、15家异地在京分所的近70名质控负责人和质控联络人参加了会议。</w:t>
      </w:r>
    </w:p>
    <w:p w14:paraId="738E92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会上通报了辖区事务所质控自查整改工作的相关情况。针对事务所整改不到位、相同问题在不同项目里反复出现的情况，我局前期部署了由事务所质控部门主导的自查整改工作，要求辖区证券资格总、分所对去年以来检查发现的问题认真开展自查，从质控层面深入剖析问题产生的原因，从体制机制上进行深度整改。根据各所报送的自查整改报告，该项工作取得良好效果，但仍存在重视程度不足、问题分析不到位、整改措施针对性不强等问题，尤其是部分事务所对检查信息掌握不全，暴露出内部管理存在缺陷。会上总结通报了自查整改中好的经验做法，并邀请两家整</w:t>
      </w:r>
      <w:r>
        <w:rPr>
          <w:rFonts w:ascii="宋体" w:hAnsi="宋体" w:cs="宋体" w:hint="eastAsia"/>
          <w:sz w:val="24"/>
        </w:rPr>
        <w:lastRenderedPageBreak/>
        <w:t>改成效较好的事务所进行质控经验分享（具体内容见本通讯“经验交流”），充分发挥先进典型的示范引领作用，促进行业间经验交流，不断完善质控体系建设。随后，相关监管人员对我局近期开展的审计报告审阅、商誉减值专题检查、内控审计专题检查中发现的执业问题进行了通报，要求各事务所对照自身情况检查，对存在的问题从质控层面深入整改，不断提高审计执业质量。</w:t>
      </w:r>
    </w:p>
    <w:p w14:paraId="3F8D89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徐彬副局长为本次会议作总结发言。他指出，会计师事务所审计是资本市场保护投资者权益的基础性制度安排。但是今年以来，资本市场出现了多起性质恶劣的财务造假违法案件，会计师事务所未能发挥应有作用。这既有经济下行压力加大、审计外部环境严峻的原因，也有事务所内部治理薄弱、质量控制弱化、部分从业人员丧失诚信底线的原因。他强调，要解决行业的难题，归根结底还是要从行业自身出发，不断强化质量控制建设，形成以质量为导向的从业理念。执业人员要爱惜自己的羽毛，会计师事务所要维护自身的品牌，行业要珍惜来之不易的信任。就此，他对辖区会计师事务所质控工作提出了新的要求：一是做好内部监控检查工作，加强自律管理，树立自我诚信意识，强化质控自查自纠能力；二是强化内部管理，落实一体化要求，坚决杜绝“挂靠”“出借牌照”等行为；三是进一步加强质量控制工作，认真落实北京局关于强化质控工作的相关要求。</w:t>
      </w:r>
    </w:p>
    <w:p w14:paraId="33EB59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将2019年定为辖区事务所的“质控强化年”，以质控为抓手，陆续开展了一系列工作，包括：建立质控负责人工作机制，将责任落实到人，形成有力抓手；部署质控自查工作，要求事务所自查自纠，全面查摆质控问题；召开质控工作大会，明确质控工作要求，通报监管工作情况；组织质控座谈会，了解质控工作的难点和问题，促进行业间沟通交流。多措并举，取得良好监管成效。下一步，我局将继续聚焦辖区事务所质量控制建设，督促其树立自律诚信意识，切实发挥内部监督作用，不断提高审计行业公信力；同时继续加强依法从严监管，切实增强监管震慑，促进形成“让好人有动力，坏人难生存”的执业环境，不断提高审计执业质量，进而提升上市公司信息披露质量，努力建设规范、透明、开放、有活力、有韧性的资本市场。</w:t>
      </w:r>
    </w:p>
    <w:p w14:paraId="66DF1F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质量控制自查整改工作情况通报</w:t>
      </w:r>
    </w:p>
    <w:p w14:paraId="18C36C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针对事务所整改不到位、相同问题在不同项目里反复出现的情况，我局前期部署了由事务所质控部门主导的自查整改工作，要求辖区证券资格总、分所对去年以</w:t>
      </w:r>
      <w:r>
        <w:rPr>
          <w:rFonts w:ascii="宋体" w:hAnsi="宋体" w:cs="宋体" w:hint="eastAsia"/>
          <w:sz w:val="24"/>
        </w:rPr>
        <w:lastRenderedPageBreak/>
        <w:t>来检查发现的问题认真开展自查，从质控层面深入剖析问题产生的原因，从体制机制上进行深度整改。本次自查工作共收到36份自查整改报告，合计共对4份行政处罚决定书、85份行政监管措施、133份检查结果告知书所提及的问题进行了自查，梳理了系统性问题30个、个案问题244个，对相关责任人员184人次进行追责，合计罚款金额为751.38万元，修订或新增相关制度或技术标准文件120项，并完善或建立了相关审计工作机制。</w:t>
      </w:r>
    </w:p>
    <w:p w14:paraId="1C2D42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（一）较好的整改措施</w:t>
      </w:r>
    </w:p>
    <w:p w14:paraId="0F49DE5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1.完善相关工作机制，预防和防范同类问题重复发生</w:t>
      </w:r>
    </w:p>
    <w:p w14:paraId="1FE31EA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函证方面。成立包括报告中心、函证中心、数据中心在内的集团共享中心，并针对函证问题、存货监盘问题等制定专门检查程序，在内部检查中增加相关问题的专项检查；针对函证回函原件丢失的问题，设置电子保管箱等。二是业务承接方面。对于重大审计项目中的特殊项目（如上市公司被特别处理，接下家，IPO或公众公司存在业绩承诺、近三年被采取监管措施的），必须经过首席合伙人核准后才可承接；在预审工作接近尾声时，要求所有项目组根据预审情况排查高风险项目及项目的高风险点，再次综合评估项目风险，决定是否承接。三是人员委派与管理方面。建立分支机构和执业人员授权管理机制，限制不具备专业胜任能力的业务部门和执业人员从事高风险业务；对A类项目指定质控经理，全流程协助复核并提供技术支持；对合伙人每年承做项目数量进行限制和监控，避免其因工作量过多无法实质性参与审计。</w:t>
      </w:r>
    </w:p>
    <w:p w14:paraId="671C846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2.多举措、全方位追责相关责任人员</w:t>
      </w:r>
    </w:p>
    <w:p w14:paraId="4C0F33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全链条追责。对一个项目不同环节出现的每个问题分别进行责任认定，对所涉及的执行人员、项目经理、签字合伙人、复核人员、分管负责人全链条追责。二是制定相关责任追究制度，明确追责机制，如：两年发生两次以上质量问题的，给予降职、退伙或辞退；相关项目两年内不能由原来的合伙人、签字会计师及所在审计部门承办；对于执业问题扣减相关合伙人收益分配进行详细规定，包括项目管理合伙人、复核合伙人、分管质量合伙人、参与决策合伙人、执行事务合伙人等。三是对相关责任人员的追责方式除通报批评、罚款外，还采取了岗位调整、降职、劝退、暂停从事证券期货业务等手段。</w:t>
      </w:r>
    </w:p>
    <w:p w14:paraId="7E2B89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3.有针对性地补充、完善或修订相关制度及技术标准文件</w:t>
      </w:r>
    </w:p>
    <w:p w14:paraId="67558D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修订或新增相关制度或技术标准文件120项。如：总结2018年度函证专项检查的全部案例，制定《函证管理规程》；对于底稿层面的问题，全面修订《审计工作底稿编制指南》，明确具体规范和要求；增加详尽的审计程序指引，修订、补充营业收入、函证审计程序底稿模板；针对信息报备工作要求，制定《证监会业务信息报备管理办法》等。</w:t>
      </w:r>
    </w:p>
    <w:p w14:paraId="58337E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（二）自查整改工作存在的问题</w:t>
      </w:r>
    </w:p>
    <w:p w14:paraId="4A7638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1.对自查整改工作重视不足</w:t>
      </w:r>
    </w:p>
    <w:p w14:paraId="344FE6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些事务所没有对自查整改予以足够重视，仅从形式上完成任务。某所2017年被我局全面检查，并收到3个警示函，但仅梳理了2个问题，整改措施仅是加强培训和学习、强化复核等；某所自查整改范围有4份警示函、4份检查结果告知书，但仅梳理了3个问题，整改措施均为人员的通报批评和罚款；某分所在未跟监管员沟通的情况下，认为没有相关自查整改内容不需要报送报告，逾期未报送自查整改报告。另外，一些事务所报送的整改报告未按要求附相关整改资料，如制度修订情况、人员追责材料、培训资料等，报送不完整。</w:t>
      </w:r>
    </w:p>
    <w:p w14:paraId="783BDF9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2.事务所内部管理存在缺陷，检查信息掌握不全</w:t>
      </w:r>
    </w:p>
    <w:p w14:paraId="2BFE9E9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此次自查整改工作要求各所统计2018年以来收到的证监会系统对事务所下发的各类检查结果情况，以此作为自查整改的范围。但部分事务所质控部门对全所被检查情况掌握不全，特别是对人不对所的监管措施，个别事务所均未纳入整改范围。</w:t>
      </w:r>
    </w:p>
    <w:p w14:paraId="6217F4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3.问题分析不到位</w:t>
      </w:r>
    </w:p>
    <w:p w14:paraId="4C1481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部分事务所未能有效地归纳和总结问题，仅把检查结果文书中提到的问题一一列示。问题分析浮于表面，避重就轻，未深入分析问题产生根源，没有对问题产生的原因进行认真剖析。如：不少事务所把问题都归因于执行层面，相关人员胜任能力不够、对业务活动流程和要求不熟悉、责任心不强、粗心大意等，未从事务所层面、质控层面、工作机制和流程层面进行深层次的分析；某所被采取行政监管措施的项目多是分所承做的，但未见自查分所的执业质量、总所对分所项目的把控是否到位，未分析相关质控未发挥应有作用的原因；某所大部分行政监管措施涉及新三板公司审计项目，但未自查新三板公司审计问题高发的原因，未考虑是否对新三板审计业务不够重视、审计资源配置存在问题；某所被查项目均涉及函证问题，相关问题均归结为个案执行问题，未从事务所层面对函证问题进行总结和整改。</w:t>
      </w:r>
    </w:p>
    <w:p w14:paraId="49C837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4.整改措施针对性不强</w:t>
      </w:r>
    </w:p>
    <w:p w14:paraId="2112DA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整体上来看，事务所的整改措施以事后追责为主，效果有限，未能从工作机制、流程上想办法、下功夫，整改措施不具有前瞻性、预防性，不能有效防范同样问题重复出现。某分所在半年时间内连续收到三份警示函，均为某个团队的执业项目，执业质量存在严重问题，但仅对相应的合伙人进行罚款，开除一名签字会计师。</w:t>
      </w:r>
    </w:p>
    <w:p w14:paraId="6B44A9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商誉减值专题检查工作情况</w:t>
      </w:r>
    </w:p>
    <w:p w14:paraId="442385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近期，我局对5个上市公司商誉事项涉及的审计和评估项目开展专题检查，共涉及5个审计项目和7个评估项目。根据初步检查结果，会计师事务所主要执业问题如下：</w:t>
      </w:r>
    </w:p>
    <w:p w14:paraId="21B6D2C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1.对商誉减值迹象的复核不到位</w:t>
      </w:r>
    </w:p>
    <w:p w14:paraId="7DC1C2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一是个别项目存在当年收购并确认商誉，当年便全额计提减值准备的情况，审计师未对商誉减值迹象的判断进行充分复核和记录。二是管理层判断部分商誉未发生减值，审计师未在底稿中记录分析复核过程。</w:t>
      </w:r>
    </w:p>
    <w:p w14:paraId="0D4E07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2.对资产组划分的复核不到位</w:t>
      </w:r>
    </w:p>
    <w:p w14:paraId="057CE3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个别项目将若干报告分部包含在子公司中作为一个资产组进行减值测试，导致资产组大于报告分部，违反会计准则要求。二是部分项目的资产组中包含了与商誉无关的资产。三是部分项目中审计机构与评估机构认定的资产组不一致，审计报告披露的资产组与审计底稿的不一致。</w:t>
      </w:r>
    </w:p>
    <w:p w14:paraId="232FD31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3.对减值测试方法与模型的复核不到位</w:t>
      </w:r>
    </w:p>
    <w:p w14:paraId="7CC187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对评估方法的适用性进行充分关注。个别项目对轻资产公司仅使用成本法进行商誉减值测试，审计师未对此进行充分分析。二是未发现现金流和折现率模型使用方面存在的问题。个别项目使用的现金流模型计算公式存在错误，未考虑财务费用的加回；折现率选用权益资本成本，与企业自由现金流不匹配。</w:t>
      </w:r>
    </w:p>
    <w:p w14:paraId="277BD0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4.对基础数据和关键参数的复核不到位</w:t>
      </w:r>
    </w:p>
    <w:p w14:paraId="53FC6E4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折现率相关取值复核不到位。部分项目特定风险调整系数取值为零，未见充分分析；个别项目近四年商誉减值测试中使用的折现率均相同，未根据市场情况调整，审计师未就其合理性进行分析。二是对营运资金计算复核不到位。个别项目周转次数计算有误或取值不合理，营运资金计算与资产组范围不一致，审计师未发现相关计算错误，也未对相关取值的合理性进行充分分析。三是对盈利预测复核</w:t>
      </w:r>
      <w:r>
        <w:rPr>
          <w:rFonts w:ascii="宋体" w:hAnsi="宋体" w:cs="宋体" w:hint="eastAsia"/>
          <w:sz w:val="24"/>
        </w:rPr>
        <w:lastRenderedPageBreak/>
        <w:t>不到位。部分项目预测数据和历史数据差异较大，甚至只有预测数据，没有历史数据，未见审计师对其合理性进行充分分析。四是未执行敏感性分析程序。个别项目中，审计师认为商誉存在特别风险，但未采用敏感性分析等方法评价管理层所作判断的合理性。</w:t>
      </w:r>
    </w:p>
    <w:p w14:paraId="161FE8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5.对减值分摊与会计处理的复核不到位</w:t>
      </w:r>
    </w:p>
    <w:p w14:paraId="6119B6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减值分摊复核不到位。个别项目在全额计提商誉减值损失后，剩余损失未按比例抵减资产组中除商誉之外的其他各项资产的账面价值。二是商誉减值计提依据不充分。个别项目测算的减值金额小于商誉账面价值，但仍全额计提商誉减值，减值计提依据不充分。三是对减值金额测算复核不到位。个别项目按照权益法持续计算的长期股权投资测算商誉减值金额，不符合准则规定。</w:t>
      </w:r>
    </w:p>
    <w:p w14:paraId="3278250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此外，在年报信息披露和底稿记录方面也存在一些问题，如商誉资产组的账面价值披露有误、商誉减值相关披露缺乏实质性内容、关键审计事项中披露的部分审计程序未见相关底稿等。</w:t>
      </w:r>
    </w:p>
    <w:p w14:paraId="4632391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内控审计专题检查工作情况</w:t>
      </w:r>
    </w:p>
    <w:p w14:paraId="0FC416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近期，我局对3个内控审计项目进行专题检查。根据初步检查结果，会计师事务所主要执业问题如下：</w:t>
      </w:r>
    </w:p>
    <w:p w14:paraId="70A961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1.识别重要账户、列报及其相关认定和控制方面</w:t>
      </w:r>
    </w:p>
    <w:p w14:paraId="2D0E23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一是个别项目在审计计划记录应收账款的完整性存在重大错报风险，但又将其识别为不相关认定，未进行控制测试。</w:t>
      </w:r>
    </w:p>
    <w:p w14:paraId="126B07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二是在识别相关控制时，部分项目未记录相关控制执行的具体情况，未对具体业务流程中的部分控制点是否识别为关键控制点进行记录和评价。</w:t>
      </w:r>
    </w:p>
    <w:p w14:paraId="2EFD04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2.控制测试方面</w:t>
      </w:r>
    </w:p>
    <w:p w14:paraId="3BB3020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样本选择不恰当。如未明确记录控制发生频率及控制运行总次数，未说明筛选样本数量的依据；样本量少于最低要求；未根据与控制相关的风险合理确定样本规模；未根据预期偏差率扩大样本规模。个别项目样本集中在上半年，且未进一步获取补充审计证据。本次检查的2个项目均在样本选择方面存在突出问题。</w:t>
      </w:r>
    </w:p>
    <w:p w14:paraId="5D6222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未对部分重要内部控制实施测试。个别项目在筹资与投资循环控制测试中，将投资的完整性、存在、权力与义务、计价和分摊、列报确认为相关认定，但未对上述全部认定执行控制测试。个别项目将应收账款、存货列为重大账户，但未对应</w:t>
      </w:r>
      <w:r>
        <w:rPr>
          <w:rFonts w:ascii="宋体" w:hAnsi="宋体" w:cs="宋体" w:hint="eastAsia"/>
          <w:sz w:val="24"/>
        </w:rPr>
        <w:lastRenderedPageBreak/>
        <w:t>收账款及存货减值相关的会计估计执行控制测试。</w:t>
      </w:r>
    </w:p>
    <w:p w14:paraId="18DF20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未发现与公司年报信息披露相关的内部控制执行存在问题。个别项目年报信息披露存在错误，如合同负债重分类金额错误、其他应收款前五大信息披露不准确，反映出公司相关内部控制执行存在问题，但在内部控制有效性测试中未能发现。</w:t>
      </w:r>
    </w:p>
    <w:p w14:paraId="42DFF7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3.评价控制缺陷及完成审计工作方面</w:t>
      </w:r>
    </w:p>
    <w:p w14:paraId="25255E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一是部分项目对识别出的内部控制缺陷，未综合考虑相关风险因素，未充分评价控制缺陷的严重程度，并考虑其对内部控制审计及财务报表审计的影响。本次检查中，2个项目涉及此类问题。</w:t>
      </w:r>
    </w:p>
    <w:p w14:paraId="25A85A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二是个别项目审计师未汇总所有与内控相关的重大缺陷、重要缺陷与管理层或治理层进行书面沟通。</w:t>
      </w:r>
    </w:p>
    <w:p w14:paraId="46966B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深入研究收入准则，提高信息披露质量，组织召开新收入准则案例研讨会</w:t>
      </w:r>
    </w:p>
    <w:p w14:paraId="13B41EB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增进会计师事务所对准则的理解与把握，推动辖区整体会计信息披露质量的提高，我局于2019年9月12日组织召开新收入准则案例研讨会。会议邀请会计部夏文贤处长等证监会专家出席，辖区22家在京总所及2家分所的近30名审计专家共同参加了本次会议。</w:t>
      </w:r>
    </w:p>
    <w:p w14:paraId="000B96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    新收入准则将在2020年全面实施，此次收入准则的确认模型和判断标准等发生重大变化，不仅对企业的财务信息，同时还对企业管理和经营决策产生深远和广泛的影响，引发了资本市场各方主体高度关注和热议。北京辖区共有319家上市公司，分布于不同上市板块，既有大型国企，也有中小型民营企业，业务类型涉及50多个细分行业，经济活动复杂、业务模式多样，使得辖区监管对象在执行新收入准则过程中将面临更大挑战。如何加强上市公司和会计师事务所对新收入准则的理解、推动准则有效执行、保证会计信息质量，是今年我局会计监管的重点工作之一。</w:t>
      </w:r>
    </w:p>
    <w:p w14:paraId="579C20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前期，我局向部分辖区会计师事务所了解已执行新收入准则的上市公司在具体操作过程中的重点和难点问题，征集新收入准则应用案例，通过多轮研究分析，最终筛选出33个典型案例。本次会议重点讨论了6类典型问题，主要涉及影视、系统集成、教育平台等行业的收入确认难点问题。参会代表充分交流，深入探讨，结合实务情况对准则相关规定进行了深刻解读，最终对部分问题达成共识，初步形成倾向性意见，取得良好效果。</w:t>
      </w:r>
    </w:p>
    <w:p w14:paraId="1B876C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此次会议是我局组织的第一期案例研讨会，通过聚焦典型行业新收入准则应用</w:t>
      </w:r>
      <w:r>
        <w:rPr>
          <w:rFonts w:ascii="宋体" w:hAnsi="宋体" w:cs="宋体" w:hint="eastAsia"/>
          <w:sz w:val="24"/>
        </w:rPr>
        <w:lastRenderedPageBreak/>
        <w:t>过程中的突出问题，有助于消除理解分歧和统一实务操作，进一步提升辖区会计师事务所整体专业水平和执业能力的提高，同时，也进一步增强了我局监管干部的专业素养。下一步，我局将持续关注新收入准则及其他准则执行中存在的突出问题，并将研讨成果与上市公司和会计师事务所及时分享，在北京辖区开展上市公司新收入准则培训会，进一步提高辖区资本市场会计信息披露质量。</w:t>
      </w:r>
    </w:p>
    <w:p w14:paraId="354F765D" w14:textId="77777777" w:rsidR="00A320E6" w:rsidRDefault="00000000" w:rsidP="00F67407">
      <w:pPr>
        <w:spacing w:beforeLines="50" w:before="156" w:afterLines="20" w:after="62" w:line="360" w:lineRule="auto"/>
        <w:jc w:val="center"/>
        <w:outlineLvl w:val="2"/>
        <w:rPr>
          <w:rFonts w:ascii="宋体" w:hAnsi="宋体" w:cs="宋体"/>
          <w:b/>
          <w:bCs/>
          <w:sz w:val="24"/>
        </w:rPr>
      </w:pPr>
      <w:bookmarkStart w:id="78" w:name="_Toc112227386"/>
      <w:r>
        <w:rPr>
          <w:rFonts w:ascii="宋体" w:hAnsi="宋体" w:cs="宋体" w:hint="eastAsia"/>
          <w:b/>
          <w:bCs/>
          <w:sz w:val="24"/>
        </w:rPr>
        <w:t>会计及评估监管工作通讯二〇二〇年第一期（总第33期）</w:t>
      </w:r>
      <w:bookmarkEnd w:id="78"/>
    </w:p>
    <w:p w14:paraId="447C955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                         二〇二〇年一月</w:t>
      </w:r>
    </w:p>
    <w:p w14:paraId="7A7A165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本期主要内容如下：</w:t>
      </w:r>
    </w:p>
    <w:p w14:paraId="38B85C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【警钟长鸣】四季度辖区证券资格审计与评估机构处理处罚情况</w:t>
      </w:r>
    </w:p>
    <w:p w14:paraId="13B510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【风险提示】新增处理处罚中审计与评估机构存在的突出问题</w:t>
      </w:r>
    </w:p>
    <w:p w14:paraId="244022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【案例分析】转让电视剧作品播映权的收入确认问题</w:t>
      </w:r>
    </w:p>
    <w:p w14:paraId="4B6B48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【监管动态】北京证监局四季度重点监管工作</w:t>
      </w:r>
    </w:p>
    <w:p w14:paraId="6DD691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【法规动态】四季度监管机构发布的主要监管法规和要求</w:t>
      </w:r>
    </w:p>
    <w:p w14:paraId="5B9453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【警钟长鸣】</w:t>
      </w:r>
    </w:p>
    <w:p w14:paraId="645A6C5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经统计，2019年第四季度，证监会及各地证监局对北京辖区具有证券期货资格的会计师事务所下发的行政处罚、行政监管措施和检查结果告知书，共涉及17家事务所的50个项目；对具有证券资格的资产评估机构下发的行政处罚、行政监管措施和检查结果告知书，共涉及13家评估机构的26个项目。具体如下：</w:t>
      </w:r>
    </w:p>
    <w:p w14:paraId="7BFBE9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会计师事务所下发行政处罚3次，涉及审计机构3家次、注册会计师4人次；下发行政监管措施20份，涉及审计机构17家次、注册会计师34人次；下发检查结果告知书28份，涉及审计机构28家次。对资产评估机构下发行政监管措施10份，涉及评估机构10家次、评估师16人次；下发检查结果告知书10份，涉及资产评估机构10家次。</w:t>
      </w:r>
    </w:p>
    <w:tbl>
      <w:tblPr>
        <w:tblW w:w="0" w:type="auto"/>
        <w:jc w:val="center"/>
        <w:tblLayout w:type="fixed"/>
        <w:tblLook w:val="04A0" w:firstRow="1" w:lastRow="0" w:firstColumn="1" w:lastColumn="0" w:noHBand="0" w:noVBand="1"/>
      </w:tblPr>
      <w:tblGrid>
        <w:gridCol w:w="1921"/>
        <w:gridCol w:w="1185"/>
        <w:gridCol w:w="1530"/>
        <w:gridCol w:w="1170"/>
        <w:gridCol w:w="1530"/>
        <w:gridCol w:w="1186"/>
      </w:tblGrid>
      <w:tr w:rsidR="00A320E6" w14:paraId="16869252" w14:textId="77777777">
        <w:trPr>
          <w:jc w:val="center"/>
        </w:trPr>
        <w:tc>
          <w:tcPr>
            <w:tcW w:w="3106" w:type="dxa"/>
            <w:gridSpan w:val="2"/>
            <w:vMerge w:val="restart"/>
            <w:tcBorders>
              <w:top w:val="single" w:sz="4" w:space="0" w:color="auto"/>
              <w:left w:val="single" w:sz="4" w:space="0" w:color="auto"/>
              <w:bottom w:val="single" w:sz="4" w:space="0" w:color="auto"/>
              <w:right w:val="single" w:sz="4" w:space="0" w:color="auto"/>
            </w:tcBorders>
            <w:vAlign w:val="center"/>
          </w:tcPr>
          <w:p w14:paraId="0A462CC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项目</w:t>
            </w:r>
          </w:p>
        </w:tc>
        <w:tc>
          <w:tcPr>
            <w:tcW w:w="2700" w:type="dxa"/>
            <w:gridSpan w:val="2"/>
            <w:tcBorders>
              <w:top w:val="single" w:sz="4" w:space="0" w:color="auto"/>
              <w:left w:val="nil"/>
              <w:bottom w:val="single" w:sz="4" w:space="0" w:color="auto"/>
              <w:right w:val="single" w:sz="4" w:space="0" w:color="auto"/>
            </w:tcBorders>
          </w:tcPr>
          <w:p w14:paraId="4130A22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会计师事务所</w:t>
            </w:r>
          </w:p>
        </w:tc>
        <w:tc>
          <w:tcPr>
            <w:tcW w:w="2716" w:type="dxa"/>
            <w:gridSpan w:val="2"/>
            <w:tcBorders>
              <w:top w:val="single" w:sz="4" w:space="0" w:color="auto"/>
              <w:left w:val="nil"/>
              <w:bottom w:val="single" w:sz="4" w:space="0" w:color="auto"/>
              <w:right w:val="single" w:sz="4" w:space="0" w:color="auto"/>
            </w:tcBorders>
          </w:tcPr>
          <w:p w14:paraId="01C8FC6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资产评估机构</w:t>
            </w:r>
          </w:p>
        </w:tc>
      </w:tr>
      <w:tr w:rsidR="00A320E6" w14:paraId="632DA843" w14:textId="77777777">
        <w:trPr>
          <w:jc w:val="center"/>
        </w:trPr>
        <w:tc>
          <w:tcPr>
            <w:tcW w:w="3106" w:type="dxa"/>
            <w:gridSpan w:val="2"/>
            <w:vMerge/>
            <w:tcBorders>
              <w:top w:val="single" w:sz="4" w:space="0" w:color="auto"/>
              <w:left w:val="single" w:sz="4" w:space="0" w:color="auto"/>
              <w:bottom w:val="single" w:sz="4" w:space="0" w:color="auto"/>
              <w:right w:val="single" w:sz="4" w:space="0" w:color="auto"/>
            </w:tcBorders>
          </w:tcPr>
          <w:p w14:paraId="43A8040C" w14:textId="77777777" w:rsidR="00A320E6" w:rsidRDefault="00A320E6" w:rsidP="00AE0286">
            <w:pPr>
              <w:pStyle w:val="a3"/>
              <w:ind w:firstLineChars="0" w:firstLine="0"/>
              <w:rPr>
                <w:rFonts w:ascii="宋体" w:hAnsi="宋体" w:cs="宋体"/>
                <w:szCs w:val="21"/>
              </w:rPr>
            </w:pPr>
          </w:p>
        </w:tc>
        <w:tc>
          <w:tcPr>
            <w:tcW w:w="1530" w:type="dxa"/>
            <w:tcBorders>
              <w:top w:val="single" w:sz="4" w:space="0" w:color="auto"/>
              <w:left w:val="nil"/>
              <w:bottom w:val="single" w:sz="4" w:space="0" w:color="auto"/>
              <w:right w:val="single" w:sz="4" w:space="0" w:color="auto"/>
            </w:tcBorders>
          </w:tcPr>
          <w:p w14:paraId="1FB009F1"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2019年四季度新增</w:t>
            </w:r>
          </w:p>
        </w:tc>
        <w:tc>
          <w:tcPr>
            <w:tcW w:w="1170" w:type="dxa"/>
            <w:tcBorders>
              <w:top w:val="single" w:sz="4" w:space="0" w:color="auto"/>
              <w:left w:val="nil"/>
              <w:bottom w:val="single" w:sz="4" w:space="0" w:color="auto"/>
              <w:right w:val="single" w:sz="4" w:space="0" w:color="auto"/>
            </w:tcBorders>
          </w:tcPr>
          <w:p w14:paraId="3F7A2443"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2019年累计</w:t>
            </w:r>
          </w:p>
        </w:tc>
        <w:tc>
          <w:tcPr>
            <w:tcW w:w="1530" w:type="dxa"/>
            <w:tcBorders>
              <w:top w:val="single" w:sz="4" w:space="0" w:color="auto"/>
              <w:left w:val="nil"/>
              <w:bottom w:val="single" w:sz="4" w:space="0" w:color="auto"/>
              <w:right w:val="single" w:sz="4" w:space="0" w:color="auto"/>
            </w:tcBorders>
          </w:tcPr>
          <w:p w14:paraId="4BCE03A4"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2019年四季度新增</w:t>
            </w:r>
          </w:p>
        </w:tc>
        <w:tc>
          <w:tcPr>
            <w:tcW w:w="1186" w:type="dxa"/>
            <w:tcBorders>
              <w:top w:val="single" w:sz="4" w:space="0" w:color="auto"/>
              <w:left w:val="nil"/>
              <w:bottom w:val="single" w:sz="4" w:space="0" w:color="auto"/>
              <w:right w:val="single" w:sz="4" w:space="0" w:color="auto"/>
            </w:tcBorders>
          </w:tcPr>
          <w:p w14:paraId="396E9A9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2019年累计</w:t>
            </w:r>
          </w:p>
        </w:tc>
      </w:tr>
      <w:tr w:rsidR="00A320E6" w14:paraId="526FDBCE"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699CF38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行政处罚</w:t>
            </w:r>
          </w:p>
        </w:tc>
        <w:tc>
          <w:tcPr>
            <w:tcW w:w="1185" w:type="dxa"/>
            <w:tcBorders>
              <w:top w:val="single" w:sz="4" w:space="0" w:color="auto"/>
              <w:left w:val="nil"/>
              <w:bottom w:val="single" w:sz="4" w:space="0" w:color="auto"/>
              <w:right w:val="single" w:sz="4" w:space="0" w:color="auto"/>
            </w:tcBorders>
          </w:tcPr>
          <w:p w14:paraId="453725B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6FAE7C4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w:t>
            </w:r>
          </w:p>
        </w:tc>
        <w:tc>
          <w:tcPr>
            <w:tcW w:w="1170" w:type="dxa"/>
            <w:tcBorders>
              <w:top w:val="single" w:sz="4" w:space="0" w:color="auto"/>
              <w:left w:val="nil"/>
              <w:bottom w:val="single" w:sz="4" w:space="0" w:color="auto"/>
              <w:right w:val="single" w:sz="4" w:space="0" w:color="auto"/>
            </w:tcBorders>
          </w:tcPr>
          <w:p w14:paraId="13E27C5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4</w:t>
            </w:r>
          </w:p>
        </w:tc>
        <w:tc>
          <w:tcPr>
            <w:tcW w:w="1530" w:type="dxa"/>
            <w:tcBorders>
              <w:top w:val="single" w:sz="4" w:space="0" w:color="auto"/>
              <w:left w:val="nil"/>
              <w:bottom w:val="single" w:sz="4" w:space="0" w:color="auto"/>
              <w:right w:val="single" w:sz="4" w:space="0" w:color="auto"/>
            </w:tcBorders>
          </w:tcPr>
          <w:p w14:paraId="72CA149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4D83C02A"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56B8ECFE"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285051CB"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市场禁入</w:t>
            </w:r>
          </w:p>
        </w:tc>
        <w:tc>
          <w:tcPr>
            <w:tcW w:w="1185" w:type="dxa"/>
            <w:tcBorders>
              <w:top w:val="single" w:sz="4" w:space="0" w:color="auto"/>
              <w:left w:val="nil"/>
              <w:bottom w:val="single" w:sz="4" w:space="0" w:color="auto"/>
              <w:right w:val="single" w:sz="4" w:space="0" w:color="auto"/>
            </w:tcBorders>
          </w:tcPr>
          <w:p w14:paraId="2C5E9810"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43FC63F2"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70" w:type="dxa"/>
            <w:tcBorders>
              <w:top w:val="single" w:sz="4" w:space="0" w:color="auto"/>
              <w:left w:val="nil"/>
              <w:bottom w:val="single" w:sz="4" w:space="0" w:color="auto"/>
              <w:right w:val="single" w:sz="4" w:space="0" w:color="auto"/>
            </w:tcBorders>
          </w:tcPr>
          <w:p w14:paraId="4493155A"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530" w:type="dxa"/>
            <w:tcBorders>
              <w:top w:val="single" w:sz="4" w:space="0" w:color="auto"/>
              <w:left w:val="nil"/>
              <w:bottom w:val="single" w:sz="4" w:space="0" w:color="auto"/>
              <w:right w:val="single" w:sz="4" w:space="0" w:color="auto"/>
            </w:tcBorders>
          </w:tcPr>
          <w:p w14:paraId="59A700C0"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6D4A488"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r>
      <w:tr w:rsidR="00A320E6" w14:paraId="1CDFA8EC" w14:textId="77777777">
        <w:trPr>
          <w:jc w:val="center"/>
        </w:trPr>
        <w:tc>
          <w:tcPr>
            <w:tcW w:w="1921" w:type="dxa"/>
            <w:vMerge w:val="restart"/>
            <w:tcBorders>
              <w:top w:val="nil"/>
              <w:left w:val="single" w:sz="4" w:space="0" w:color="auto"/>
              <w:bottom w:val="single" w:sz="4" w:space="0" w:color="auto"/>
              <w:right w:val="single" w:sz="4" w:space="0" w:color="auto"/>
            </w:tcBorders>
            <w:vAlign w:val="center"/>
          </w:tcPr>
          <w:p w14:paraId="0F68A238"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行政监管措施</w:t>
            </w:r>
          </w:p>
        </w:tc>
        <w:tc>
          <w:tcPr>
            <w:tcW w:w="1185" w:type="dxa"/>
            <w:tcBorders>
              <w:top w:val="single" w:sz="4" w:space="0" w:color="auto"/>
              <w:left w:val="nil"/>
              <w:bottom w:val="single" w:sz="4" w:space="0" w:color="auto"/>
              <w:right w:val="single" w:sz="4" w:space="0" w:color="auto"/>
            </w:tcBorders>
          </w:tcPr>
          <w:p w14:paraId="3C23FEEF"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警示函</w:t>
            </w:r>
          </w:p>
        </w:tc>
        <w:tc>
          <w:tcPr>
            <w:tcW w:w="1530" w:type="dxa"/>
            <w:tcBorders>
              <w:top w:val="single" w:sz="4" w:space="0" w:color="auto"/>
              <w:left w:val="nil"/>
              <w:bottom w:val="single" w:sz="4" w:space="0" w:color="auto"/>
              <w:right w:val="single" w:sz="4" w:space="0" w:color="auto"/>
            </w:tcBorders>
          </w:tcPr>
          <w:p w14:paraId="4BF7E054"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17</w:t>
            </w:r>
          </w:p>
        </w:tc>
        <w:tc>
          <w:tcPr>
            <w:tcW w:w="1170" w:type="dxa"/>
            <w:tcBorders>
              <w:top w:val="single" w:sz="4" w:space="0" w:color="auto"/>
              <w:left w:val="nil"/>
              <w:bottom w:val="single" w:sz="4" w:space="0" w:color="auto"/>
              <w:right w:val="single" w:sz="4" w:space="0" w:color="auto"/>
            </w:tcBorders>
          </w:tcPr>
          <w:p w14:paraId="7F65D79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32</w:t>
            </w:r>
          </w:p>
        </w:tc>
        <w:tc>
          <w:tcPr>
            <w:tcW w:w="1530" w:type="dxa"/>
            <w:tcBorders>
              <w:top w:val="single" w:sz="4" w:space="0" w:color="auto"/>
              <w:left w:val="nil"/>
              <w:bottom w:val="single" w:sz="4" w:space="0" w:color="auto"/>
              <w:right w:val="single" w:sz="4" w:space="0" w:color="auto"/>
            </w:tcBorders>
          </w:tcPr>
          <w:p w14:paraId="010DD83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9</w:t>
            </w:r>
          </w:p>
        </w:tc>
        <w:tc>
          <w:tcPr>
            <w:tcW w:w="1186" w:type="dxa"/>
            <w:tcBorders>
              <w:top w:val="single" w:sz="4" w:space="0" w:color="auto"/>
              <w:left w:val="nil"/>
              <w:bottom w:val="single" w:sz="4" w:space="0" w:color="auto"/>
              <w:right w:val="single" w:sz="4" w:space="0" w:color="auto"/>
            </w:tcBorders>
          </w:tcPr>
          <w:p w14:paraId="0B2B72CC"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20</w:t>
            </w:r>
          </w:p>
        </w:tc>
      </w:tr>
      <w:tr w:rsidR="00A320E6" w14:paraId="41AC4C52" w14:textId="77777777">
        <w:trPr>
          <w:jc w:val="center"/>
        </w:trPr>
        <w:tc>
          <w:tcPr>
            <w:tcW w:w="1921" w:type="dxa"/>
            <w:vMerge/>
            <w:tcBorders>
              <w:top w:val="nil"/>
              <w:left w:val="single" w:sz="4" w:space="0" w:color="auto"/>
              <w:bottom w:val="single" w:sz="4" w:space="0" w:color="auto"/>
              <w:right w:val="single" w:sz="4" w:space="0" w:color="auto"/>
            </w:tcBorders>
          </w:tcPr>
          <w:p w14:paraId="4B60162D"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403F938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责令改正</w:t>
            </w:r>
          </w:p>
        </w:tc>
        <w:tc>
          <w:tcPr>
            <w:tcW w:w="1530" w:type="dxa"/>
            <w:tcBorders>
              <w:top w:val="single" w:sz="4" w:space="0" w:color="auto"/>
              <w:left w:val="nil"/>
              <w:bottom w:val="single" w:sz="4" w:space="0" w:color="auto"/>
              <w:right w:val="single" w:sz="4" w:space="0" w:color="auto"/>
            </w:tcBorders>
          </w:tcPr>
          <w:p w14:paraId="620B75A9"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70" w:type="dxa"/>
            <w:tcBorders>
              <w:top w:val="single" w:sz="4" w:space="0" w:color="auto"/>
              <w:left w:val="nil"/>
              <w:bottom w:val="single" w:sz="4" w:space="0" w:color="auto"/>
              <w:right w:val="single" w:sz="4" w:space="0" w:color="auto"/>
            </w:tcBorders>
          </w:tcPr>
          <w:p w14:paraId="6CADC98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530" w:type="dxa"/>
            <w:tcBorders>
              <w:top w:val="single" w:sz="4" w:space="0" w:color="auto"/>
              <w:left w:val="nil"/>
              <w:bottom w:val="single" w:sz="4" w:space="0" w:color="auto"/>
              <w:right w:val="single" w:sz="4" w:space="0" w:color="auto"/>
            </w:tcBorders>
          </w:tcPr>
          <w:p w14:paraId="62185664"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c>
          <w:tcPr>
            <w:tcW w:w="1186" w:type="dxa"/>
            <w:tcBorders>
              <w:top w:val="single" w:sz="4" w:space="0" w:color="auto"/>
              <w:left w:val="nil"/>
              <w:bottom w:val="single" w:sz="4" w:space="0" w:color="auto"/>
              <w:right w:val="single" w:sz="4" w:space="0" w:color="auto"/>
            </w:tcBorders>
          </w:tcPr>
          <w:p w14:paraId="5AB73655"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119F0F48" w14:textId="77777777">
        <w:trPr>
          <w:jc w:val="center"/>
        </w:trPr>
        <w:tc>
          <w:tcPr>
            <w:tcW w:w="1921" w:type="dxa"/>
            <w:vMerge/>
            <w:tcBorders>
              <w:top w:val="nil"/>
              <w:left w:val="single" w:sz="4" w:space="0" w:color="auto"/>
              <w:bottom w:val="single" w:sz="4" w:space="0" w:color="auto"/>
              <w:right w:val="single" w:sz="4" w:space="0" w:color="auto"/>
            </w:tcBorders>
          </w:tcPr>
          <w:p w14:paraId="09F8BFC8" w14:textId="77777777" w:rsidR="00A320E6" w:rsidRDefault="00A320E6" w:rsidP="00AE0286">
            <w:pPr>
              <w:pStyle w:val="a3"/>
              <w:ind w:firstLineChars="0" w:firstLine="0"/>
              <w:rPr>
                <w:rFonts w:ascii="宋体" w:hAnsi="宋体" w:cs="宋体"/>
                <w:szCs w:val="21"/>
              </w:rPr>
            </w:pPr>
          </w:p>
        </w:tc>
        <w:tc>
          <w:tcPr>
            <w:tcW w:w="1185" w:type="dxa"/>
            <w:tcBorders>
              <w:top w:val="single" w:sz="4" w:space="0" w:color="auto"/>
              <w:left w:val="nil"/>
              <w:bottom w:val="single" w:sz="4" w:space="0" w:color="auto"/>
              <w:right w:val="single" w:sz="4" w:space="0" w:color="auto"/>
            </w:tcBorders>
          </w:tcPr>
          <w:p w14:paraId="26E214E7"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监管谈话</w:t>
            </w:r>
          </w:p>
        </w:tc>
        <w:tc>
          <w:tcPr>
            <w:tcW w:w="1530" w:type="dxa"/>
            <w:tcBorders>
              <w:top w:val="single" w:sz="4" w:space="0" w:color="auto"/>
              <w:left w:val="nil"/>
              <w:bottom w:val="single" w:sz="4" w:space="0" w:color="auto"/>
              <w:right w:val="single" w:sz="4" w:space="0" w:color="auto"/>
            </w:tcBorders>
          </w:tcPr>
          <w:p w14:paraId="4A48B31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w:t>
            </w:r>
          </w:p>
        </w:tc>
        <w:tc>
          <w:tcPr>
            <w:tcW w:w="1170" w:type="dxa"/>
            <w:tcBorders>
              <w:top w:val="single" w:sz="4" w:space="0" w:color="auto"/>
              <w:left w:val="nil"/>
              <w:bottom w:val="single" w:sz="4" w:space="0" w:color="auto"/>
              <w:right w:val="single" w:sz="4" w:space="0" w:color="auto"/>
            </w:tcBorders>
          </w:tcPr>
          <w:p w14:paraId="620A622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w:t>
            </w:r>
          </w:p>
        </w:tc>
        <w:tc>
          <w:tcPr>
            <w:tcW w:w="1530" w:type="dxa"/>
            <w:tcBorders>
              <w:top w:val="single" w:sz="4" w:space="0" w:color="auto"/>
              <w:left w:val="nil"/>
              <w:bottom w:val="single" w:sz="4" w:space="0" w:color="auto"/>
              <w:right w:val="single" w:sz="4" w:space="0" w:color="auto"/>
            </w:tcBorders>
          </w:tcPr>
          <w:p w14:paraId="436436E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0</w:t>
            </w:r>
          </w:p>
        </w:tc>
        <w:tc>
          <w:tcPr>
            <w:tcW w:w="1186" w:type="dxa"/>
            <w:tcBorders>
              <w:top w:val="single" w:sz="4" w:space="0" w:color="auto"/>
              <w:left w:val="nil"/>
              <w:bottom w:val="single" w:sz="4" w:space="0" w:color="auto"/>
              <w:right w:val="single" w:sz="4" w:space="0" w:color="auto"/>
            </w:tcBorders>
          </w:tcPr>
          <w:p w14:paraId="769A1EDE"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w:t>
            </w:r>
          </w:p>
        </w:tc>
      </w:tr>
      <w:tr w:rsidR="00A320E6" w14:paraId="55C423E4" w14:textId="77777777">
        <w:trPr>
          <w:jc w:val="center"/>
        </w:trPr>
        <w:tc>
          <w:tcPr>
            <w:tcW w:w="1921" w:type="dxa"/>
            <w:tcBorders>
              <w:top w:val="single" w:sz="4" w:space="0" w:color="auto"/>
              <w:left w:val="single" w:sz="4" w:space="0" w:color="auto"/>
              <w:bottom w:val="single" w:sz="4" w:space="0" w:color="auto"/>
              <w:right w:val="single" w:sz="4" w:space="0" w:color="auto"/>
            </w:tcBorders>
          </w:tcPr>
          <w:p w14:paraId="1E19EE89"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检查结果告知书</w:t>
            </w:r>
          </w:p>
        </w:tc>
        <w:tc>
          <w:tcPr>
            <w:tcW w:w="1185" w:type="dxa"/>
            <w:tcBorders>
              <w:top w:val="single" w:sz="4" w:space="0" w:color="auto"/>
              <w:left w:val="nil"/>
              <w:bottom w:val="single" w:sz="4" w:space="0" w:color="auto"/>
              <w:right w:val="single" w:sz="4" w:space="0" w:color="auto"/>
            </w:tcBorders>
          </w:tcPr>
          <w:p w14:paraId="63E0CC25" w14:textId="77777777" w:rsidR="00A320E6" w:rsidRDefault="00000000" w:rsidP="00AE0286">
            <w:pPr>
              <w:pStyle w:val="a3"/>
              <w:ind w:firstLineChars="0" w:firstLine="0"/>
              <w:rPr>
                <w:rFonts w:ascii="宋体" w:hAnsi="宋体" w:cs="宋体"/>
                <w:szCs w:val="21"/>
              </w:rPr>
            </w:pPr>
            <w:r>
              <w:rPr>
                <w:rFonts w:ascii="宋体" w:hAnsi="宋体" w:cs="宋体" w:hint="eastAsia"/>
                <w:szCs w:val="21"/>
              </w:rPr>
              <w:t>-</w:t>
            </w:r>
          </w:p>
        </w:tc>
        <w:tc>
          <w:tcPr>
            <w:tcW w:w="1530" w:type="dxa"/>
            <w:tcBorders>
              <w:top w:val="single" w:sz="4" w:space="0" w:color="auto"/>
              <w:left w:val="nil"/>
              <w:bottom w:val="single" w:sz="4" w:space="0" w:color="auto"/>
              <w:right w:val="single" w:sz="4" w:space="0" w:color="auto"/>
            </w:tcBorders>
          </w:tcPr>
          <w:p w14:paraId="42048121"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28</w:t>
            </w:r>
          </w:p>
        </w:tc>
        <w:tc>
          <w:tcPr>
            <w:tcW w:w="1170" w:type="dxa"/>
            <w:tcBorders>
              <w:top w:val="single" w:sz="4" w:space="0" w:color="auto"/>
              <w:left w:val="nil"/>
              <w:bottom w:val="single" w:sz="4" w:space="0" w:color="auto"/>
              <w:right w:val="single" w:sz="4" w:space="0" w:color="auto"/>
            </w:tcBorders>
          </w:tcPr>
          <w:p w14:paraId="41DAB916"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36</w:t>
            </w:r>
          </w:p>
        </w:tc>
        <w:tc>
          <w:tcPr>
            <w:tcW w:w="1530" w:type="dxa"/>
            <w:tcBorders>
              <w:top w:val="single" w:sz="4" w:space="0" w:color="auto"/>
              <w:left w:val="nil"/>
              <w:bottom w:val="single" w:sz="4" w:space="0" w:color="auto"/>
              <w:right w:val="single" w:sz="4" w:space="0" w:color="auto"/>
            </w:tcBorders>
          </w:tcPr>
          <w:p w14:paraId="7EFB629F"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10</w:t>
            </w:r>
          </w:p>
        </w:tc>
        <w:tc>
          <w:tcPr>
            <w:tcW w:w="1186" w:type="dxa"/>
            <w:tcBorders>
              <w:top w:val="single" w:sz="4" w:space="0" w:color="auto"/>
              <w:left w:val="nil"/>
              <w:bottom w:val="single" w:sz="4" w:space="0" w:color="auto"/>
              <w:right w:val="single" w:sz="4" w:space="0" w:color="auto"/>
            </w:tcBorders>
          </w:tcPr>
          <w:p w14:paraId="0D03619B" w14:textId="77777777" w:rsidR="00A320E6" w:rsidRDefault="00000000" w:rsidP="00AE0286">
            <w:pPr>
              <w:pStyle w:val="a3"/>
              <w:ind w:firstLineChars="0" w:firstLine="0"/>
              <w:jc w:val="center"/>
              <w:rPr>
                <w:rFonts w:ascii="宋体" w:hAnsi="宋体" w:cs="宋体"/>
                <w:szCs w:val="21"/>
              </w:rPr>
            </w:pPr>
            <w:r>
              <w:rPr>
                <w:rFonts w:ascii="宋体" w:hAnsi="宋体" w:cs="宋体" w:hint="eastAsia"/>
                <w:szCs w:val="21"/>
              </w:rPr>
              <w:t>14</w:t>
            </w:r>
          </w:p>
        </w:tc>
      </w:tr>
    </w:tbl>
    <w:p w14:paraId="38197B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【风险提示】</w:t>
      </w:r>
    </w:p>
    <w:p w14:paraId="44AD46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我局对证监会及各地证监局对辖区证券资格会计师事务所与资产评估机构下发的行政处罚、行政监管措施、检查结果告知书等指出的突出问题进行了汇总，现予以发布，提示各会计师事务所与资产评估机构重点关注。</w:t>
      </w:r>
    </w:p>
    <w:p w14:paraId="4684B5D9" w14:textId="77777777" w:rsidR="00A320E6" w:rsidRDefault="00000000" w:rsidP="006E4111">
      <w:pPr>
        <w:pStyle w:val="1a"/>
      </w:pPr>
      <w:r>
        <w:rPr>
          <w:rFonts w:hint="eastAsia"/>
        </w:rPr>
        <w:t>会计师事务所的突出问题</w:t>
      </w:r>
    </w:p>
    <w:p w14:paraId="6C4121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一、审计计划和准备阶段</w:t>
      </w:r>
    </w:p>
    <w:p w14:paraId="19B677A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未与前任注册会计师进行沟通。二是独立性声明书和保密协议书签署不完整，未见除项目负责人以外其他审计小组成员签字信息。三是业务约定书签订时间晚于业务实际开始时间，且业务约定书未装订在底稿中。四是总体审计策略及具体审计计划不完整，未见初次承接审计业务相关审计计划。五是风险评估程序执行不完整或流于形式，导致重点审计领域确定不恰当，在后续审计过程中未能获得充分、适当的审计证据。尤其是在公司连续被行政机关、自律组织认定存在信息披露违法违规行为，管理层、治理层频繁变动等情形时，风险评估结论仍为不存在舞弊风险、涉及的法律和监管风险较低，与实际情况严重不符，进而导致对客观存在的舞弊风险因素采取的应对措施不足。六是重要性水平选取不恰当，按收入总额确定财务报表整体重要性水平时，未考虑内部交易影响，且后续审计过程也未予以修改。</w:t>
      </w:r>
    </w:p>
    <w:p w14:paraId="081992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二、审计程序实施阶段</w:t>
      </w:r>
    </w:p>
    <w:p w14:paraId="58048F4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（一）财务报表审计</w:t>
      </w:r>
    </w:p>
    <w:p w14:paraId="41FA7EF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1.货币资金、往来款项和对外担保</w:t>
      </w:r>
    </w:p>
    <w:p w14:paraId="41E5F5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函证程序执行不到位。一是未对函证过程保持必要的控制，部分地址信息填的是被审计单位，未对被询证者姓名及收发函地址等重要信息进行必要核实，未对跟函地址保持必要怀疑。二是对于未回函的情况，未实施替代审计程序或替代测试不充分，未结合项目合同进度及期后回款情况验证期末余额，未合理关注个别款项支付内容与会计处理的一致性，未见对合同、发票、验收单、出库单、银行回执等资料的核查记录。三是未对相关公司回函异常信息执行进一步审计程序，如回函存在差异、回函存在修改痕迹、公章和签名不一致、回函为复印件等，未能发现样本异常，未见对异常样本中相关款项的存在性及相关收入是否跨期执行进一步审计程序的记录。</w:t>
      </w:r>
    </w:p>
    <w:p w14:paraId="2E17FB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（2）坏账计提审计程序执行不到位。一是对账龄较长的款项，未对其长期挂账</w:t>
      </w:r>
      <w:r>
        <w:rPr>
          <w:rFonts w:ascii="宋体" w:hAnsi="宋体" w:cs="宋体" w:hint="eastAsia"/>
          <w:sz w:val="24"/>
        </w:rPr>
        <w:lastRenderedPageBreak/>
        <w:t>原因、预期可收回性及合同继续履约情况进行充分分析，实施进一步审计程序。二是对部分同时挂账的预付账款与应付账款未执行审计调整。三是未关注部分款项未按照公司会计政策计提坏账准备的情况。</w:t>
      </w:r>
    </w:p>
    <w:p w14:paraId="691B5A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（3）库存现金监盘表中未见检查日期及监盘人员的签字。</w:t>
      </w:r>
    </w:p>
    <w:p w14:paraId="5965CC4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（4）对于对外担保事项，未对公司企业信用报告中对外担保信息执行充分审计程序，未关注子公司委托理财情况并执行进一步审计程序。</w:t>
      </w:r>
    </w:p>
    <w:p w14:paraId="315B29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未对异常情形保持应有的职业怀疑。一是未关注银行对账单的异常情况，如银行对账单无银行印章、同一家银行账户的对账单格式在不同月份多次变化等，未对上述银行对账单真实性存疑的异常情况保持应有的职业谨慎，也未执行进一步审计程序。二是未对银行账户大额资金进出的异常情况执行进一步审计程序。三是未对预付账款、其他应收款中存在的异常情形，如相关合同逾期未执行、第三方代付代收并进行大额核销、合同异常终止等执行进一步审计程序，未对相关款项的可收回性实施审计程序。四是未对账外银行账户执行进一步审计程序。</w:t>
      </w:r>
    </w:p>
    <w:p w14:paraId="1150D55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存货。一是在存货监盘中，未见公司盘点计划和项目组监盘计划，未见存货监盘方法及监盘过程记录，未关注存货盘点日期早于产品生产日期的异常现象，未将存货盘点日存货数量倒轧至资产负债表日并与账面数进行核对等，对需要进行大量估算的特殊类型存货（如重质碱、石油焦等）的盘点，未在审计底稿中说明其估算依据，估算方法的合理性，也未采取进一步的审计程序以获取有关估算数据准确性的审计证据，而是直接认可了公司盘点结果，导致得出错误的审计结论。二是存货出入库截止测试执行不到位，未见对生产入库单、出库单等资料的核查记录。三是在执行与存货相关的实质性分析程序中，只收集了相关数据，但未对数据进行比对分析，也未对分析结果进行评价判断，实质性分析程序流于形式。</w:t>
      </w:r>
    </w:p>
    <w:p w14:paraId="65158B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固定资产。一是折旧测试表中净残值率与公司审计报告披露的各类固定资产残值率不一致。二是未见固定资产盘点计划、固定资产监盘报告和监盘过程原始资料的相关记录。</w:t>
      </w:r>
    </w:p>
    <w:p w14:paraId="068C00E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商誉。一是对管理层及其聘请的专家的工作复核不到位，未对减值测试模型、相关参数的恰当性，预测数据和历史数据的差异，以及计算过程的准确性保持职业谨慎态度,导致未能发现相关错误。在《会计监管风险提示第8号——商誉减值》发布之后，部分项目仍以全部股东权益价值作为商誉所在资产组，且部分项目未关注</w:t>
      </w:r>
      <w:r>
        <w:rPr>
          <w:rFonts w:ascii="宋体" w:hAnsi="宋体" w:cs="宋体" w:hint="eastAsia"/>
          <w:sz w:val="24"/>
        </w:rPr>
        <w:lastRenderedPageBreak/>
        <w:t>公司使用收购时出具的评估报告数据进行商誉减值测试的情况。二是对同一资产组前后两次评估所使用的重要参数贝塔值不一致，未获取充分证据并说明理由。三是未关注公司是否在年报中对商誉及商誉减值相关信息进行充分披露。</w:t>
      </w:r>
    </w:p>
    <w:p w14:paraId="440A57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收入。一是完工百分比审计程序不到位，未关注完工百分比实际测算方法与年报披露存在不一致，未见相关测算分析过程，部分预算成本资料金额与《工程进度单测算表》金额存在的不一致，未见分析复核过程。二是未对收入实施截止性测试，未对销售合同或销售订单进行细节测试。三是部分销售客户访谈记录等底稿无单位及相关人员签章，未能获取充分适当的审计证据。四是未对异常情况保持应有的职业怀疑并执行进一步审计程序，如营业收入等指标异常变化、重要新增客户和异常客户、合同签订日期晚于发票日期等。</w:t>
      </w:r>
    </w:p>
    <w:p w14:paraId="5BBAB1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成本费用。一是销售费用审计中，未对运费与收入不匹配的情况执行进一步审计程序；二是在生产成本审计中，未对2017年第四季度收入、成本、投产量占比与饲料成本匹配情况执行进一步审计程序，凭证检查表中部分项目未见暂估成本、工程进度结算单等资料；三是利息费用审计中，未关注公司是否从资本化利息中扣除尚未使用借款产生的利息收入，对公司从关联方、外部单位等非金融机构取得借款和收取的关联方利息收入是否应征增值税等事项，未执行进一步审计程序。四是未对应付职工薪酬及销售费用中工资及奖金异常波动情况予以关注并执行进一步审计程序。</w:t>
      </w:r>
    </w:p>
    <w:p w14:paraId="243611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合并报表。一是未关注合并范围是否齐全，个别子公司或实际控制的结构化主体未纳入合并范围。二是对公司存在的内部往来货币资金未予合并抵销。三是对非同一控制下企业合并，在编制合并报表时，未以各项可辨认净资产的公允价值为基础确认商誉，导致商誉等多个报表科目存在错报。</w:t>
      </w:r>
    </w:p>
    <w:p w14:paraId="494905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关联方。一是控股股东及其他关联方资金占用审核报告所附的汇总表、关联方和关联方交易声明书、期后事项声明书等底稿缺少公司盖章或相关人员签字。二是控股股东及其他关联方资金占用情况的专项说明中未如实反映资金占用事项。三是未对股东变更保持充分关注，未执行审计程序以识别其与公司的关联方关系。四是未关注公司相关信息披露是否准确。</w:t>
      </w:r>
    </w:p>
    <w:p w14:paraId="1156A9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或有事项。在公司已披露存在多笔违规对外担保的情况下，未充分关注裁判文书网上与公司对外担保相关的诉讼判决情况。</w:t>
      </w:r>
    </w:p>
    <w:p w14:paraId="44AB4D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关键审计事项的实际执行情况与披露不一致。对审计报告关键审计事项段中披露的部分审计应对措施，底稿无相关记录，未充分执行相关审计程序。</w:t>
      </w:r>
    </w:p>
    <w:p w14:paraId="7AB9471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（二）内控审计</w:t>
      </w:r>
    </w:p>
    <w:p w14:paraId="30E83D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1.对内部控制进行符合性测试时存在的问题</w:t>
      </w:r>
    </w:p>
    <w:p w14:paraId="589022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（1）在了解和评价企业整体层面内部控制时未获取相关证据资料。</w:t>
      </w:r>
    </w:p>
    <w:p w14:paraId="2C875A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样本选取不合理。一是样本选取存在不符合最低数量要求的情况。二是部分业务流程中对控制发生频率的判断不准确，未估算总体数量转换成对应的频率并选择合适的样本量。三是在了解和识别各业务流程时，部分可能出错项与对应的控制、控制与测试的样本之间无内在逻辑对应关系，未根据与控制相关的风险和预期偏差率调整抽样数量。四是部分控制频率与样本量矛盾。五是样本选取期间集中。</w:t>
      </w:r>
    </w:p>
    <w:p w14:paraId="5FA85CA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恰当识别控制缺陷并执行充分程序。一是公司关于内部控制有关事项的说明显示，报告期内发现部分公司财务报告及非财务报告内部控制均存在一般缺陷，审计师对此未进行充分关注。二是未对职责分离予以关注，未将记账凭证的出纳、过账、审核均为同一人，存货发出过程中发货人和复核人为同一人等情况识别为控制缺陷。三是在公司销售合同控制中，未见对重大销售业务的签订和谈判进行说明，审计师未将此识别为控制缺陷。四是公司重大股权收购和重大工程立项未履行董事会、股东大会审批程序，子公司与其少数股东之间的大额资金往来未履行董事会审批程序，且金额超过重大缺陷定量标准，审计师未将上述事项识别为内控重大缺陷。</w:t>
      </w:r>
    </w:p>
    <w:p w14:paraId="58F695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穿行测试程序执行不到位。一是对部分控制直接得出肯定结论，底稿未见穿行测试等相关资料。二是部分穿行测试资料不齐全，如销售与收款流程中合同洽谈与签订未见合同会审表、固定资产采购流程中未见固定资产购买合同及合同会审表、货币资金管理流程中未见网银管理的内控测试资料。三是部分穿行测试资料不匹配。如销售与收款流程中，合同签订的验证文件销售订单和销售合同不匹配（即非同一笔交易）。四是在采购与付款、销售与收款循环中未选取同一笔交易进行穿行测试。上述问题导致获取的审计证据无法保证内部控制在报告期内是一贯有效运行的。</w:t>
      </w:r>
    </w:p>
    <w:p w14:paraId="06C505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（5）在执行部分内部控制测试时，仅实施了询问程序，未实施观察、检查和重新执行等程序。询问程序本身并不足以评价控制的设计和执行，应当与其他程序相结合。</w:t>
      </w:r>
    </w:p>
    <w:p w14:paraId="4F6B6E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2.对内部控制缺陷进行评价时存在的问题。一是个别项目未编制内部控制缺陷评价汇总表。二是子公司大额工程预付款审批程序不符合公司财务审批规定，且涉及金额超过重大缺陷定量标准，会计师将其认定为一般缺陷，判定的依据不充分，内控评价不合理。</w:t>
      </w:r>
    </w:p>
    <w:p w14:paraId="677AA9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3.与企业沟通控制缺陷时存在的问题。部分项目未与董事会和经理层书面沟通识别出的重大缺陷和重要缺陷，未将书面沟通情况记录在审计底稿中。</w:t>
      </w:r>
    </w:p>
    <w:p w14:paraId="67D772E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 三、审计报告完成阶段</w:t>
      </w:r>
    </w:p>
    <w:p w14:paraId="4F5FB9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审计报告意见类型不恰当。一是在内控审计过程中未能识别和认定公司在股权收购、大额资金往来、工程项目立项、预付款等审批程序存在的重大缺陷，出具了无保留意见的内部控制审计报告，内控审计报告意见类型不恰当。二是在财报审计期间公司已暴露相关舞弊事实和舞弊迹象的情况下，会计师未充分、适当执行风险评估程序，未全面评估舞弊导致的财务报表层次重大错报风险，导致其对客观存在的舞弊风险因素采取的应对措施不足，未获取充分、适当的审计证据，导致出具的审计意见与实际情况严重不符。</w:t>
      </w:r>
    </w:p>
    <w:p w14:paraId="265466F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四、审计工作底稿</w:t>
      </w:r>
    </w:p>
    <w:p w14:paraId="0EFFAB3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存在报告日后补充底稿的情况。二是部分底稿前后记录矛盾、底稿记录与审计结论和公司披露不一致。三是审计底稿所附材料与审计结论无对应关系。四是审计底稿记录不完整，部分底稿缺失，执行的相关审计程序未在底稿中进行记录。五是审计底稿中存在错误和遗漏，如日期签署错误或未签署日期、部分工作底稿无相关人员签字、部分细节记录错误等。</w:t>
      </w:r>
    </w:p>
    <w:p w14:paraId="015906E6" w14:textId="77777777" w:rsidR="00A320E6" w:rsidRDefault="00000000" w:rsidP="006E4111">
      <w:pPr>
        <w:pStyle w:val="1a"/>
      </w:pPr>
      <w:r>
        <w:rPr>
          <w:rFonts w:hint="eastAsia"/>
        </w:rPr>
        <w:t>资产评估机构的突出问题</w:t>
      </w:r>
    </w:p>
    <w:p w14:paraId="4F6A60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一、评估方法适用方面</w:t>
      </w:r>
    </w:p>
    <w:p w14:paraId="3F114C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1.使用资产基础法评估时未获取企业关于评估结论成立前提的承诺并在评估报告中披露。</w:t>
      </w:r>
    </w:p>
    <w:p w14:paraId="15A26C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2.仅对评估采用预计未来现金流量现值法的依据和适用性进行了分析，未对市场法和成本法的适用性进行分析。</w:t>
      </w:r>
    </w:p>
    <w:p w14:paraId="131F9A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估师将成本法评估结果作为相关资产组的公允价值，但报告中相关表述、评估假设等与只能采用成本法进行评估存在矛盾，未采用收益法和市场法进行评估的理由不充分。且未说明未来现金流量现值是否一定低于资产的公允价值减去处置</w:t>
      </w:r>
      <w:r>
        <w:rPr>
          <w:rFonts w:ascii="宋体" w:hAnsi="宋体" w:cs="宋体" w:hint="eastAsia"/>
          <w:sz w:val="24"/>
        </w:rPr>
        <w:lastRenderedPageBreak/>
        <w:t>费用。</w:t>
      </w:r>
    </w:p>
    <w:p w14:paraId="3E65FDE0" w14:textId="56EE140F"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4.未获取企业相关承诺。《以财务报告为目的的评估指南》</w:t>
      </w:r>
      <w:r w:rsidR="00EC0B72" w:rsidRPr="00F53C81">
        <w:rPr>
          <w:rFonts w:ascii="宋体" w:hAnsi="宋体" w:cs="宋体" w:hint="eastAsia"/>
          <w:bCs/>
          <w:sz w:val="24"/>
        </w:rPr>
        <w:t>第三十一条</w:t>
      </w:r>
      <w:r>
        <w:rPr>
          <w:rFonts w:ascii="宋体" w:hAnsi="宋体" w:cs="宋体" w:hint="eastAsia"/>
          <w:sz w:val="24"/>
        </w:rPr>
        <w:t>规定“对于不存在相同或者相似资产活跃市场的，或者不能可靠地以收益法进行评估的资产，可以采用成本法进行评估。但资产评估专业人员应当获取企业的承诺，并在资产评估报告中披露，其评估结论仅在相关资产的价值可以通过资产未来运营得以全额回收的前提下成立”，但评估师并未获取相关承诺。</w:t>
      </w:r>
    </w:p>
    <w:p w14:paraId="69C95E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二、商誉相关资产组的认定核查方面</w:t>
      </w:r>
    </w:p>
    <w:p w14:paraId="6D4301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1.公司未将并购标的的参股公司纳入商誉相关资产组的范围，评估师未充分关注相关资产、负债在运营中的作用。</w:t>
      </w:r>
    </w:p>
    <w:p w14:paraId="3E9F2FC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2.资产组包含与商誉无关的资产。评估范围为公司的全部资产和负债，包括与商誉无关的资产与负债。</w:t>
      </w:r>
    </w:p>
    <w:p w14:paraId="7BF7B5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3.未发现资产组划分存在错误。评估师对公司提供的评估范围涉及的资产组情况未进行充分核验，未发现相关资产组在货币资金、应收账款、固定资产划分上存在明显错误，导致相关资产组估值低估。</w:t>
      </w:r>
    </w:p>
    <w:p w14:paraId="68ECD8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4.评估报告及评估说明中均未披露评估范围、资产组的具体构成及其账面价值情况。</w:t>
      </w:r>
    </w:p>
    <w:p w14:paraId="612C50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资产组可收回金额与账面价值的确定基础不一致。资产组范围未包含受限资金，但在营运资金计算过程中考虑了受限资金的影响。资产组范围包括长期股权投资，但在收益法评估过程中未考虑长期股权投资的影响。</w:t>
      </w:r>
    </w:p>
    <w:p w14:paraId="7C21577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三、评估模型、参数使用及计算方面</w:t>
      </w:r>
    </w:p>
    <w:p w14:paraId="2624778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参数选择前后不一致，未说明原因。一是选取折现率计算模型时，2016年形成商誉及2017年减值测试均选用加权平均资本成本（WACC）模型，2018年选取权益资本成本（CAPM）模型。二是选取企业特定风险系数时，2016年采用2%，2017年和2018年减值测试均采用1%。三是企业风险系数β，2016-2018年选取的可比公司不一致。</w:t>
      </w:r>
    </w:p>
    <w:p w14:paraId="600A11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2.底稿中缺少对所使用税率合理性的说明。在收益法评估计算税前折现率时，选取的企业所得税率为15%。资产组现金流预测中涉及的两家公司的企业所得税税率分别为15%和25%。底稿中缺少税率合理性的说明。</w:t>
      </w:r>
    </w:p>
    <w:p w14:paraId="7D558E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3.在预测营业成本和营运资金时，存货的取值口径不一致，未在评估报告中说</w:t>
      </w:r>
      <w:r>
        <w:rPr>
          <w:rFonts w:ascii="宋体" w:hAnsi="宋体" w:cs="宋体" w:hint="eastAsia"/>
          <w:sz w:val="24"/>
        </w:rPr>
        <w:lastRenderedPageBreak/>
        <w:t>明原因，也未分析论证对估值的影响。在收益法和资产基础法中，对预付款、其他应收款的取值口径不一致，且未合理说明原因。税金及附加预测未考虑追加资本性支出对应增值税的影响，营运资金预测未考虑追加资本性支出对应折旧金额的影响。</w:t>
      </w:r>
    </w:p>
    <w:p w14:paraId="5639CE1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4.在测算原材料单价时，未合理考虑原矿加工成精矿的折合系数，导致加工费测算与实际情况不一致，测算逻辑不严谨。</w:t>
      </w:r>
    </w:p>
    <w:p w14:paraId="02A352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5.在预测最低现金保有量时，按2个月的付现成本计算，减值评估报告按1个月的付现成本计算，两者口径不一致，未在评估报告中说明原因。</w:t>
      </w:r>
    </w:p>
    <w:p w14:paraId="4EAC0F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6.贝塔值计算不准确。评估师错误计算可比公司历史贝塔值，导致低估折现率，高估资产组组合预计未来现金流量现值。</w:t>
      </w:r>
    </w:p>
    <w:p w14:paraId="39E75EC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7.预测折现率时存在计算瑕疵，测算税后债务成本时，重复计算所得税率，导致估值高估。</w:t>
      </w:r>
    </w:p>
    <w:p w14:paraId="7C2BDC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8.部分可比公司选取不合理。在确定公司无财务杠杆的贝塔值时，评估师选取了20家可比公司，但选取的部分公司缺乏可比性。评估师未在评估工作底稿中说明可比公司选取标准，也未见相关分析程序。</w:t>
      </w:r>
    </w:p>
    <w:p w14:paraId="39B022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9.未采用合并口径的相关数据。公司的全部资产和负债以其单体报表数据为基础进行评估，评估师未考虑自购买日按公允价值持续计算的相关资产账面价值。</w:t>
      </w:r>
    </w:p>
    <w:p w14:paraId="3525E4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10.现金流模型计算公式有误。评估师采用的现金流模型计算公式有误，未考虑财务费用加回。</w:t>
      </w:r>
    </w:p>
    <w:p w14:paraId="09C941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11.折现率与现金流口径不匹配。评估师采用的折现率模型为权益资本成本（CAPM），与自由现金流口径不匹配。</w:t>
      </w:r>
    </w:p>
    <w:p w14:paraId="08E5C86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12.折现率确定时未考虑资产组个别风险的影响。评估报告披露“结合企业经营面临的风险因素分析及企业竞争优劣势分析，本次评估企业特定风险系数不选取”，但相关资产组历史年度收益和预测收益存在波动，特定风险调整系数取值为零的依据不充分。</w:t>
      </w:r>
    </w:p>
    <w:p w14:paraId="7246A2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13.营运资金计算存在错误。评估师未在营运资金计算表中录入2015年应收账款、预付账款、存货、应付账款的期初数，导致相关周转次数计算有误。在计算2018年营运资金时公式链接错误，导致预收账款被重复计算。</w:t>
      </w:r>
    </w:p>
    <w:p w14:paraId="1AC7F15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14.资本性支出预测与企业预算存在不一致。评估师在资本性支出测算中使用的2019年新增固定资产数据与评估底稿里由企业加盖公章的《2019年固定资产变动明</w:t>
      </w:r>
      <w:r>
        <w:rPr>
          <w:rFonts w:ascii="宋体" w:hAnsi="宋体" w:cs="宋体" w:hint="eastAsia"/>
          <w:sz w:val="24"/>
        </w:rPr>
        <w:lastRenderedPageBreak/>
        <w:t>细预算》不一致，且未在底稿中说明原因。</w:t>
      </w:r>
    </w:p>
    <w:p w14:paraId="03814B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15.营业收入和成本预测支撑材料不充分。底稿中未充分收集个别剧集单集价格预测的依据，未对收入确认方式是否符合会计准则及行业惯例等进行充分分析。2021年及以后剧集的营业成本占营业收入的比例按之前年度的较低比例进行预测，但底稿中未收集充分的依据。</w:t>
      </w:r>
    </w:p>
    <w:p w14:paraId="123F10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四、现场调查与资料核验方面</w:t>
      </w:r>
    </w:p>
    <w:p w14:paraId="186883A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1.现场调查及核查验证程序执行不到位，底稿记录不充分。底稿中归集了合同协议、资产法律权属证明文件，未见评估师对收集的资料核查验证、分析整理的工作记录。</w:t>
      </w:r>
    </w:p>
    <w:p w14:paraId="7C9025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2.评估师对公司申报的2019年至永续期的收入、成本预测进行了调整，底稿中仅对盈利数据的调整进行了简单的趋势分析，未见具体调整记录，也未获取公司管理层的确认记录。</w:t>
      </w:r>
    </w:p>
    <w:p w14:paraId="40F83BB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3.管理层提供的营业税金测算表存在计算错误，评估师未充分关注并复核管理层营业税金预测计算过程。</w:t>
      </w:r>
    </w:p>
    <w:p w14:paraId="0E1868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评估师在主营业务成本、营业费用、管理费用等数据预测过程中，实际使用的增长率数值，多数为对“历史平均增长率”数值的取整，个别与“历史平均增长率”数值相差较大。底稿中缺少对增长率数据确定依据的说明。</w:t>
      </w:r>
    </w:p>
    <w:p w14:paraId="596427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5.未对函证差异进充分关注。未对银行账户函证余额与账面余额不符的情况进行核查；未对应收账款回函差异进行核查验证，直接确认风险损失；应收款项询证函回函金额不符，未进一步核实回函不符的原因。</w:t>
      </w:r>
    </w:p>
    <w:p w14:paraId="7251372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6.针对异常情况未进行进一步核查验证。管理层预测2019年主营业务毛利率为29.83%，评估过程所获取的2019年1季度实际毛利率为13%，预测数与实际数存在重大差异，评估师未对此异常情况实施进一步核查验证。</w:t>
      </w:r>
    </w:p>
    <w:p w14:paraId="30BDFA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针对部分参数预测趋势与评估报告日可获取的实际经营数据存在重大偏差的情形，未根据业务具体情况执行充分的核查验证，收集资产评估业务需要的材料，并在资产评估报告中披露产生差异的原因及其合理性。</w:t>
      </w:r>
    </w:p>
    <w:p w14:paraId="033C51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公司2018年经营情况不佳，预计未来通过增加代销业务、加快推出新产品等方式提高业绩。评估师对新增业务情况的预测，主要依赖管理层提供的预测数据，底稿仅收集了少量框架合同，对新增业务的销售量、价格、毛利率的选取依据未进</w:t>
      </w:r>
      <w:r>
        <w:rPr>
          <w:rFonts w:ascii="宋体" w:hAnsi="宋体" w:cs="宋体" w:hint="eastAsia"/>
          <w:sz w:val="24"/>
        </w:rPr>
        <w:lastRenderedPageBreak/>
        <w:t>行必要的核查。</w:t>
      </w:r>
    </w:p>
    <w:p w14:paraId="3C1B268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9.未对收入预测依据的充分性和合理性进行适当的核查验证。公司主营游戏类型一直为页游游戏，历史期虽开发过手游游戏，但并无成功产品。公司以内部研发及运营计划作为收入预测依据，评估师未对预测数据进行必要的核查，未关注游戏版号许可事项进展情况，未评价游戏版号无法及时取得对收入预测数据的影响，评估师未收集充分的收入预测依据，评估程序存在缺陷。</w:t>
      </w:r>
    </w:p>
    <w:p w14:paraId="78A0CE1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10.未对收入预测方法的合理性进行适当的核查验证。公司主营页游游戏有自营、联营两种运营模式，前者100%确认为营业收入，后者按净额确认收入。公司预测游戏收入时，既未考虑不同运营模式流水结构变化对收入的影响，也未考虑联营模式下因月流水金额不同导致分成比例不同的影响，而是以每款游戏预测流水乘以固定比例计算收入金额。评估师未对收集的资料进行有效分析，未充分关注并评价前述预测方法不合理对收入预测数据的影响。</w:t>
      </w:r>
    </w:p>
    <w:p w14:paraId="4C0F7E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11.未对营运资金预测数据合理性进行适当的核查验证。公司页游游戏运营方式分为自营和联营两种模式，不同模式下现金流入时间存在差异。预测期，公司联营模式营业收入占总收入比例大幅上升，但以历史年度营运资金占收入比重的平均值为依据计算预测期营运资金，未考虑不同经营模式收入占比变化对营运资金需求的影响。评估师未对收集的评估资料进行充分分析，未对预测数据进行必要的核查验证。</w:t>
      </w:r>
    </w:p>
    <w:p w14:paraId="09750A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五、评估报告及说明方面</w:t>
      </w:r>
    </w:p>
    <w:p w14:paraId="6A23C9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评估报告特别事项说明披露“评估报告使用者亦已经知悉本次资产组认定的范围和初始计量时可能并不完全一致”，与底稿“划分的资产组未随意变更，与商誉初始确认时保持一致、与前期商誉减值测试保持一致、在各个会计期间保持一致”的记录不一致。</w:t>
      </w:r>
    </w:p>
    <w:p w14:paraId="79EE5A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2.评估报告未充分披露收益法主要评估参数的测算、逻辑推理、形成过程和相关评估数据的获取来源，部分参数与历史期存在较大变动，也未对其合理性进行充分分析。</w:t>
      </w:r>
    </w:p>
    <w:p w14:paraId="480A1E5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3.评估范围包括合并日识别出的表外无形资产，包括注册商标、软件著作权、美术作品、域名等，评估师以三种评估方法均不适用为由未进行评估，仅在评估表内列示，且未充分披露对评估结论的影响。</w:t>
      </w:r>
    </w:p>
    <w:p w14:paraId="473A29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4.评估基准日至报告日期间，公司主要产品的市场销售价格出现下滑，未在评估报告中进行披露，也未分析论证对评估结果的影响。</w:t>
      </w:r>
    </w:p>
    <w:p w14:paraId="1D5300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六、底稿记录方面</w:t>
      </w:r>
    </w:p>
    <w:p w14:paraId="14405A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管理类工作底稿目录列示的《专家讨论会记录（备案审核意见及回复）》，对应的工作底稿实际为评估师对会计师事务所提出问题的回复，该底稿无签字和盖章，且未见其他评估底稿记录与执行审计业务的注册会计师进行沟通的情况。</w:t>
      </w:r>
    </w:p>
    <w:p w14:paraId="03ED09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2.评估师对4名技术和管理人员进行访谈，底稿由公司加盖公章，未经被访谈人签字确认，且有3人的访谈记录未填写访谈日期。</w:t>
      </w:r>
    </w:p>
    <w:p w14:paraId="379AA6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3.底稿中未收集商誉初始形成确认资料，未对并购时未来收益预测及其实现情况进行分析。</w:t>
      </w:r>
    </w:p>
    <w:p w14:paraId="42F5EB6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4.评估业务基本事项调查表和风险评价表日期，晚于报告出具日，评估程序执行倒置。</w:t>
      </w:r>
    </w:p>
    <w:p w14:paraId="6F540A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5.资产评估委托合同无委托方法定代表人签字、签约地点及签约时间，无评估公司签约时间，委托方意见反馈表无委托方签字或盖章。</w:t>
      </w:r>
    </w:p>
    <w:p w14:paraId="06220E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6.公司章程未见签字盖章，公司增资协议中的注册资本与未签字盖章的公司章程和营业执照不一致，与资产负债表中实收资本也不一致。</w:t>
      </w:r>
    </w:p>
    <w:p w14:paraId="638044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7.评估工作底稿中部分证据获取时间晚于评估报告出具日。</w:t>
      </w:r>
    </w:p>
    <w:p w14:paraId="4AE249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8.评估计划对公司2018年度前两大客户进行访谈，但工作底稿显示访谈上述客户受限，评估师在未对其他客户进行访谈的情形下，直接对资产组收入采用替代程序进行核查，未将受限情况在评估报告中进行说明。</w:t>
      </w:r>
    </w:p>
    <w:p w14:paraId="66387B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七、其他</w:t>
      </w:r>
    </w:p>
    <w:p w14:paraId="1FE5C9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1.在商誉减值测试程序中，评估师出具了咨询报告，代替以财务报告为目的的评估报告。</w:t>
      </w:r>
    </w:p>
    <w:p w14:paraId="4D6251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2.资产评估委托合同签订不规范。评估机构与客户签订了资产评估委托合同，但合同的受托方及加盖的受托方公章均为评估机构的分公司。</w:t>
      </w:r>
    </w:p>
    <w:p w14:paraId="4FD9C8C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3.评估机构独立性声明和评估人员独立性声明签署日期均为评估报告日，部分人员未签署独立性声明。</w:t>
      </w:r>
    </w:p>
    <w:p w14:paraId="70F7D3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4.评估计划未见编制人、审批人签字。</w:t>
      </w:r>
    </w:p>
    <w:p w14:paraId="6E818B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5.质量控制复核程序履行不到位。评估报告审核意见书报告审核人签字（三审）</w:t>
      </w:r>
      <w:r>
        <w:rPr>
          <w:rFonts w:ascii="宋体" w:hAnsi="宋体" w:cs="宋体" w:hint="eastAsia"/>
          <w:sz w:val="24"/>
        </w:rPr>
        <w:lastRenderedPageBreak/>
        <w:t>为代签，报告签发人（法定代表人）未签字。</w:t>
      </w:r>
    </w:p>
    <w:p w14:paraId="7AD8BCF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【案例分析】</w:t>
      </w:r>
    </w:p>
    <w:p w14:paraId="67D674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转让电视剧作品播映权的收入确认问题</w:t>
      </w:r>
    </w:p>
    <w:p w14:paraId="294B95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1.案例背景</w:t>
      </w:r>
    </w:p>
    <w:p w14:paraId="53C424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电视剧是一种不同于有形实物的特殊商品，投资制作机构制作完成电视剧后，拥有该电视剧的版权，完整的版权包括署名权、修改权等人身权以及播映权、信息网络传播权、音像版权等财产权。电视剧制作方在取得发行许可证后，即可正式对外销售。销售内容主要是对播映权、信息网络传播权以及音像版权等财产权的对外转让；销售对象主要包括电视台、视频网站、音像出版企业及其他影视中介机构等。</w:t>
      </w:r>
    </w:p>
    <w:p w14:paraId="26BD10E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甲电视台与乙影视公司签订的电视剧播映权独家转让合同。授权范围：乙方授予甲方某45集电视连续剧在某电视频道播映权（不含如网络信息传播权、数字电视播出权、该区域范围内电视台官方网络渠道播放权等其他任何未明确权利）。该版权为该地区独家电视播出权。授权期限：自节目播出起一年内不限播映次数。付款方式：3000元/集×45集=135,000元；合同生效10日内，乙方将全套播出带、发行许可证、版权证明、授权书等交于甲方，甲方在10日内审核通过后支付50%的价款；节目在甲方电视频道完全播出10日内，甲方支付剩余50%价款。上述费用已包括乙方应支付给相关著作权人、肖像权人、表演者、配音者等相关人士的报酬。甲方在播放该节目时无需再向任何人支付任何费用。甲方权利义务：在本合同约定的内容、期限和区域内自主播放，除非乙方同意，不得以任何方式将节目全部或部分提供给授权区域以外的任何个人或单位做任何用途。甲方不得无故单方面终止合同，不得无故拖延支付款项。乙方权利义务：保证拥有该节目的合法发行权，并对由此可能给甲方造成的损失承担赔偿责任。不得无故终止合同或解除合同。乙方保证播出带的质量，如播出带出现质量问题，7日内无条件调换并承担一切费用；如调换后仍不能满足甲方的技检要求，甲方有权终止合同，并要求乙方全额返还节目款并赔偿合同金额30%的违约金。</w:t>
      </w:r>
    </w:p>
    <w:p w14:paraId="3E3EF39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2.准则规定</w:t>
      </w:r>
    </w:p>
    <w:p w14:paraId="1012E69C" w14:textId="105D2DAA"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《企业会计准则第14号——收入（2017年修订）》</w:t>
      </w:r>
      <w:r w:rsidR="00977BD5" w:rsidRPr="006E4111">
        <w:rPr>
          <w:rFonts w:ascii="宋体" w:hAnsi="宋体" w:cs="宋体" w:hint="eastAsia"/>
          <w:bCs/>
          <w:sz w:val="24"/>
        </w:rPr>
        <w:t>第九条</w:t>
      </w:r>
      <w:r>
        <w:rPr>
          <w:rFonts w:ascii="宋体" w:hAnsi="宋体" w:cs="宋体" w:hint="eastAsia"/>
          <w:sz w:val="24"/>
        </w:rPr>
        <w:t>：合同开始日，企业应当对合同进行评估，识别该合同所包含的各单项履约义务，并确定各单项履约义务是在某一时段内履行，还是在某一时点履行，然后，在履行了各单项履约义务时</w:t>
      </w:r>
      <w:r>
        <w:rPr>
          <w:rFonts w:ascii="宋体" w:hAnsi="宋体" w:cs="宋体" w:hint="eastAsia"/>
          <w:sz w:val="24"/>
        </w:rPr>
        <w:lastRenderedPageBreak/>
        <w:t>分别确认收入。履约义务，是指合同中企业向客户转让可明确区分商品的承诺。履约义务既包括合同中明确的承诺，也包括由于企业已公开宣布的政策、特定声明或以往的习惯做法等导致合同订立时客户合理预期企业将履行的承诺。企业为履行合同而应开展的初始活动，通常不构成履约义务，除非该活动向客户转让了承诺的商品。企业向客户转让一系列实质相同且转让模式相同的、可明确区分商品的承诺，也应当作为单项履约义务。转让模式相同，是指每一项可明确区分商品均满足本准则</w:t>
      </w:r>
      <w:r w:rsidR="00977BD5" w:rsidRPr="006E4111">
        <w:rPr>
          <w:rFonts w:ascii="宋体" w:hAnsi="宋体" w:cs="宋体" w:hint="eastAsia"/>
          <w:bCs/>
          <w:sz w:val="24"/>
        </w:rPr>
        <w:t>第十一条</w:t>
      </w:r>
      <w:r>
        <w:rPr>
          <w:rFonts w:ascii="宋体" w:hAnsi="宋体" w:cs="宋体" w:hint="eastAsia"/>
          <w:sz w:val="24"/>
        </w:rPr>
        <w:t>规定的、在某一时段内履行履约义务的条件，且采用相同方法确定其履约进度。</w:t>
      </w:r>
    </w:p>
    <w:p w14:paraId="4025957C" w14:textId="0128AC0D"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《企业会计准则第14号——收入（2017年修订）》</w:t>
      </w:r>
      <w:r w:rsidR="00977BD5" w:rsidRPr="006E4111">
        <w:rPr>
          <w:rFonts w:ascii="宋体" w:hAnsi="宋体" w:cs="宋体" w:hint="eastAsia"/>
          <w:bCs/>
          <w:sz w:val="24"/>
        </w:rPr>
        <w:t>第十条</w:t>
      </w:r>
      <w:r>
        <w:rPr>
          <w:rFonts w:ascii="宋体" w:hAnsi="宋体" w:cs="宋体" w:hint="eastAsia"/>
          <w:sz w:val="24"/>
        </w:rPr>
        <w:t>：企业向客户承诺的商品同时满足下列条件的，应当作为可明确区分商品：（一）客户能够从该商品本身或从该商品与其他易于获得资源一起使用中受益；（二）企业向客户转让该商品的承诺与合同中其他承诺可单独区分。下列情形通常表明企业向客户转让该商品的承诺与合同中其他承诺不可单独区分：1.企业需提供重大的服务以将该商品与合同中承诺的其他商品整合成合同约定的组合产出转让给客户。2.该商品将对合同中承诺的其他商品予以重大修改或定制。3.该商品与合同中承诺的其他商品具有高度关联性。</w:t>
      </w:r>
    </w:p>
    <w:p w14:paraId="7CE49354" w14:textId="61AD9C69"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《企业会计准则第14号——收入（2017年修订）》</w:t>
      </w:r>
      <w:r w:rsidR="00EC0B72" w:rsidRPr="006E4111">
        <w:rPr>
          <w:rFonts w:ascii="宋体" w:hAnsi="宋体" w:cs="宋体" w:hint="eastAsia"/>
          <w:bCs/>
          <w:sz w:val="24"/>
        </w:rPr>
        <w:t>第三十六条</w:t>
      </w:r>
      <w:r>
        <w:rPr>
          <w:rFonts w:ascii="宋体" w:hAnsi="宋体" w:cs="宋体" w:hint="eastAsia"/>
          <w:sz w:val="24"/>
        </w:rPr>
        <w:t>：企业向客户授予知识产权许可，同时满足下列条件时，应当作为在某一时段内履行的履约义务确认相关收入；否则，应当作为在某一时点履行的履约义务确认相关收入：（一）合同要求或客户能够合理预期企业将从事对该项知识产权有重大影响的活动；（二）该活动对客户将产生有利或不利影响；（三）该活动不会导致向客户转让某项商品”。</w:t>
      </w:r>
    </w:p>
    <w:p w14:paraId="67F5033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3.案例解析</w:t>
      </w:r>
    </w:p>
    <w:p w14:paraId="3D8824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在新收入准则下，电视剧播映权属于知识产权许可，并且不与其他有形商品或服务捆绑在一起，其自身构成一个单项履约义务。通常情况下电视剧已经拍摄完毕，影视公司在将电视剧播映权转让后就不会（也很难）再从事对播映权有重大影响的活动。因此，就新收入准则来说在将电视剧母带交付后可以一次性确认收入。除非存在极特殊情况，在电视剧母带交付后，仍预期会从事对播映权有重大影响的活动，且该活动对客户的收益产生有利或不利影响，影视公司才有可能将该收入在一段时间内确认。</w:t>
      </w:r>
    </w:p>
    <w:p w14:paraId="2ADCCC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本案例中，乙方在将播出带交付甲方后，不再从事对该电视剧有重大影响的后续活动，该播映权本身也具有重大的独立功能，可直接用于播放，且电视台主要通过播放该电视剧获益，而非影视公司的后续活动。因此，乙方授予甲方电视剧的播映权属于在某一时点履行的履约义务，应在乙方将电视剧播出带交付甲方后一次性确认播映权的销售收入。在旧收入准则下，乙方通常在满足如下条件时确认收入实现：完成摄制并经行政主管部门审查通过取得发行许可证；公司将满足合同约定标准的影视剧载体送达客户单位；影视剧作品收入金额已确定，相关的经济利益很可能流入，相关的成本能够可靠地计量。可见，对于电视剧作品播映权转让的收入确认和会计处理新旧准则并无实质上的差异。</w:t>
      </w:r>
    </w:p>
    <w:p w14:paraId="7398CE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审计过程中，注册会计师应重点关注合同的签订、确定合同对价是否包含可变对价、获取电视剧母带交付的证据、合同是否约定后续重大履约义务等，进而判断收入确认的时间和金额是否恰当。在审计报告的关键事项段，应说明获取的证据以及分析判断过程。</w:t>
      </w:r>
    </w:p>
    <w:p w14:paraId="4849E3D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【监管动态】</w:t>
      </w:r>
    </w:p>
    <w:p w14:paraId="55B70C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北京证监局通报辖区会计师事务所层面的问题和监管要求</w:t>
      </w:r>
    </w:p>
    <w:p w14:paraId="6A681A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    2019年12月20日，北京局召开了辖区证券资格会计师事务所第三次质量控制工作会，会上通报了事务所内部管理和质量控制方面的突出问题，具体如下：一是内部治理薄弱，管理不到位。分所存在外部团队“挂靠”出报告，合伙人一人签署几十份证券业务审计报告。二是质控职责落实不到位，监管沟通不足。未及时应对和报告媒体质疑事项，未及时报告事务所团队和人员、分所设置变动情况，发生重大诉讼、立案调查、监控报告等重大事项。三是质量控制弱化，内部监督作用未能发挥。项目质量控制流于形式，质控复核未发挥应有的把关作用；独立性管理不到位，未对注册会计师定期轮换进行有效监控和管理，发生注册会计师连续签字超过5年、审计人员及亲属违反证券法和职业道德买卖股票的情况。四是专业技术水平不足，执业能力有待提高。发行人的会计处理不恰当，而审计机构未发现；对商誉减值事项没有充分的认识，执业中出现不少专业上的瑕疵和问题；审计意见类型不当，以保留意见代替无法表示意见，关键审计事项有较高同质性，未结合公司特点选取恰当的关键审计事项；审计计划和审计总结流于形式，内容不全面、重点不突出、分析缺乏针对性。五是信息报备问题突出，系统使用不足。会计监管系统</w:t>
      </w:r>
      <w:r>
        <w:rPr>
          <w:rFonts w:ascii="宋体" w:hAnsi="宋体" w:cs="宋体" w:hint="eastAsia"/>
          <w:sz w:val="24"/>
        </w:rPr>
        <w:lastRenderedPageBreak/>
        <w:t>信息报备不及时、不准确的情况时有发生，部分事务所未及时查看和处理系统通知及待办事项，导致部分工作未及时开展。</w:t>
      </w:r>
    </w:p>
    <w:p w14:paraId="36CD14E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对于行业发展面临的新挑战，结合上述突出问题和近期监管动态，北京局提出以下监管要求：</w:t>
      </w:r>
    </w:p>
    <w:p w14:paraId="74A71C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1.树立品牌意识，强化内部管理</w:t>
      </w:r>
    </w:p>
    <w:p w14:paraId="49F8C6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新《证券法》关于会计师事务所从事证券服务业务实行备案制后，将对资本市场审计行业带来巨大冲击，行业格局将发生深刻变化。作为现有的证券资格所，要努力维护和提升已有的品牌，做好内部管理，确保提供高质量的审计服务。一是正确评估和认识自身的承载能力，审慎合并和吸纳相关团队，认真评估项目风险，谨慎承接外部团队带来的业务；二是认真推进有效整合，加强对新吸纳团队的管理，统一执业理念以及业务、质量控制等管理体系，消除执业差异；三是加大对分所执业质量的监督和管控力度，努力做到全所一盘棋、真正实现一体化；四是对于人员变动较大的事务所，要关注业务的稳定性，不能因此降低执业质量。</w:t>
      </w:r>
    </w:p>
    <w:p w14:paraId="67D964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2.树立质控意识，重视质量管理</w:t>
      </w:r>
    </w:p>
    <w:p w14:paraId="19FDF6F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近期，会计部研究起草了《会计师事务所从事证券服务业务质量管理规定》，并向行业征求意见。该规定最大的特点是明确了事务所的质量管理相关责任人，把质控主管合伙人和审计业务主管合伙人包含在内，并明确了相应职责。各所应认真学习，提前准备，发挥好“关键少数”对质量管理的关键作用，树立以质量为核心、以风险为导向的文化理念，持之以恒地贯彻落实到内部管理和执业活动中，从全所层面把好质量和风险关。</w:t>
      </w:r>
    </w:p>
    <w:p w14:paraId="3EF8A61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3.树立诚信意识，加强自查自纠</w:t>
      </w:r>
    </w:p>
    <w:p w14:paraId="6409A9C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各事务所要树立诚信意识，在自查工作中实事求是，如实反映和整改问题。对于自查发现的问题，不落实或不认真落实自查的，未如实反映情况、刻意隐瞒问题的事务所，一旦在后续检查中发现，将从严从重处理。</w:t>
      </w:r>
    </w:p>
    <w:p w14:paraId="61C44D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4.树立专业意识，提高执业能力</w:t>
      </w:r>
    </w:p>
    <w:p w14:paraId="42CBF5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会计师事务所要树立专业意识，时刻保持“本领恐慌”，不断加强学习，持续提升专业胜任能力。一是加大技术支持投入，加强准则研究与学习，加大培训力度。二是重视审计基础工作，重视风险评估、监盘、函证、分析性程序等关键审计程序，认真制作审计计划、审计总结，正确出具审计意见。三是加强IT审计，更好的应对</w:t>
      </w:r>
      <w:r>
        <w:rPr>
          <w:rFonts w:ascii="宋体" w:hAnsi="宋体" w:cs="宋体" w:hint="eastAsia"/>
          <w:sz w:val="24"/>
        </w:rPr>
        <w:lastRenderedPageBreak/>
        <w:t>好新经济、新业态给审计带来的挑战。</w:t>
      </w:r>
    </w:p>
    <w:p w14:paraId="25A0FD9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5.树立信披意识，适应监管转变</w:t>
      </w:r>
    </w:p>
    <w:p w14:paraId="2C2DF8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正在积极探索建立证券资格会计师事务所信息披露制度，进一步增强会计师事务所透明度。同时，随着备案制的到来，事务所的信息披露也将作为备案制下的重要抓手。事务所应及时适应新转变，树立正确的信息披露意识，积极配合，做好相关信息披露和备案工作，确保相关信息真实、准确、完整、及时。</w:t>
      </w:r>
    </w:p>
    <w:p w14:paraId="7A94D5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北京证监局通报辖区会计师事务所质控自查整改工作情况</w:t>
      </w:r>
    </w:p>
    <w:p w14:paraId="3AC1A7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北京证监局率先转变会计监管思路，以质量控制作为监管着力点，以机构监管带动业务监管，将2019年定为辖区事务所的“质控强化年”。其中最重要的抓手就是督促事务所开展各类自查整改，切实发挥质控的内部监督作用。全年共开展了三类自查整改工作：事务所层面的质控自查整改，针对项目检查的整改，以及针对指定线索的自查。现就相关工作情况进行通报。</w:t>
      </w:r>
    </w:p>
    <w:p w14:paraId="3231DFE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1.事务所层面的质控自查整改工作情况</w:t>
      </w:r>
    </w:p>
    <w:p w14:paraId="3E67A6B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针对事务所整改不到位、相同问题在不同项目里反复出现的情况，北京辖区证券资格会计师事务所开展了由质控部门主导的自查整改工作，对2018年以来监管部门反馈的检查问题认真开展自查，从质控层面深入剖析问题产生的原因，从体制机制上进行深度整改，强化质控自查自纠，带动全所执业质量的提升。</w:t>
      </w:r>
    </w:p>
    <w:p w14:paraId="29748A3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辖区证券资格会计师事务所在6月30日前完成了第一次质控自查整改工作。共收到辖区事务所自查整改报告36份，合计对4份行政处罚决定书、85份行政监管措施、133份检查结果告知书所提及的问题进行了自查，梳理了系统性问题30个、个案问题244个，对相关责任人员184人次进行追责，合计罚款金额751.38万元，修订或新增相关制度或技术标准文件120项，并完善或建立了相关审计工作机制。但同时部分事务所也存在对自查整改工作重视不足、整改范围不完整、问题分析不到位、整改措施缺乏针对性等问题。针对前述问题，北京局要求20家事务所进行二次自查整改。从反馈情况看，大部分事务所态度认真，对存在的问题采取了更有针对性的整改措施，同时也对第一次整改工作问题进行改正和回应，达到了整改的效果。但个别所仍存在问题，自查整改工作质量较差。</w:t>
      </w:r>
    </w:p>
    <w:p w14:paraId="76E7F7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2.针对各项监管检查的整改工作情况</w:t>
      </w:r>
    </w:p>
    <w:p w14:paraId="3BFC18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质控自查整改要持续落实到日常工作中，对每次外部检查的结果和发现的问题，</w:t>
      </w:r>
      <w:r>
        <w:rPr>
          <w:rFonts w:ascii="宋体" w:hAnsi="宋体" w:cs="宋体" w:hint="eastAsia"/>
          <w:sz w:val="24"/>
        </w:rPr>
        <w:lastRenderedPageBreak/>
        <w:t>均应按照质控自查整改工作要求认真落实整改要求。因此，除了已在质控自查整改工作中进行了整改的检查问题外，对于事务所每次收到的外部检查结果，均应报送整改报告。截至2019年11月底，已经要求15家事务所报送该类整改报告24份，其中17份针对行政监管措施，7份针对检查结果告知书。从整体的整改情况来看，部分事务所对于监管检查问题的整改工作认识仍不到位，未能按照质控自查整改工作要求认真落实整改。多数项目问题整改都是停留在项目层面，未能从项目的问题出发，深入分析事务所制度、质控层面存在的缺陷并加以整改；相应整改措施也千篇一律，多是加强学习、培训或通报批评。对于敷衍了事的事务所均责令其重新整改，直到切实采取了有效措施、达到整改目的为止，由此引导事务所正视和重视检查后的整改工作。</w:t>
      </w:r>
    </w:p>
    <w:p w14:paraId="51416A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3.指定线索的自查工作情况</w:t>
      </w:r>
    </w:p>
    <w:p w14:paraId="55A95C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会计师事务所应树立诚信自律意识，通过自查自纠，及时及早发现并整改问题。对于自查效果较好，且问题性质较轻并得到较好整改的，不再做出行政处理。2019年，北京局向9家事务所移交了14项线索，要求事务所先行自查。部分事务所未能正确认识自查工作，马虎应对，把自查变成自辩，未能真正地查摆存在的问题，或者避重就轻地列示一些无关紧要的问题，甚至在自查报告中弄虚作假，试图隐瞒问题，蒙混过关。如对于一人签署多份报告的情况，个别事务所自查后反馈当事合伙人均实质性参与了44个新三板公司的年报审计项目。该名合伙人仅该44个项目就合计投入了1237个工时，且报告全部在4月底前出具。实际上，该合伙人还签署了一些债券发行的审计报告及其他非证券业务报告。事务所的自查明显不合理。</w:t>
      </w:r>
    </w:p>
    <w:p w14:paraId="5D50A9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4.总体评价</w:t>
      </w:r>
    </w:p>
    <w:p w14:paraId="7A8CEF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局综合各事务所在上述三类自查整改工作中的表现，对每家事务所的质控情况进行画像，并对各所的质控自查整改工作进行综合评价和分类，作为其他监管工作的重要参考。其中6家所表现较好，3家所表现较差。后续北京局将根据各所不同情况，采取进一步监管措施，如走访、约谈质控负责人、抽查整改落实情况等，并在2020年的监管工作中重点关注表现较差的事务所。对于质控工作持续表现较差的事务所，将责令事务所更换质控负责人。</w:t>
      </w:r>
    </w:p>
    <w:p w14:paraId="0BC86B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北京证监局部署上市公司2019年度财务报表审计工作</w:t>
      </w:r>
    </w:p>
    <w:p w14:paraId="22C293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2019年12月20日，北京证监局组织召开了辖区证券资格会计师事务所年报审</w:t>
      </w:r>
      <w:r>
        <w:rPr>
          <w:rFonts w:ascii="宋体" w:hAnsi="宋体" w:cs="宋体" w:hint="eastAsia"/>
          <w:sz w:val="24"/>
        </w:rPr>
        <w:lastRenderedPageBreak/>
        <w:t>计监管工作会。会议提出，事务所要强化责任担当，牢记维护广大投资者利益的初心使命，不断完善诚信文化、提高风险意识、强化专业能力。强化被动监管为主动自律，更多地发挥自身主观能动性，完善年审工作机制，结合对客户的多年审计经验和了解，梳理公司的风险点，做好风险分类和应对，同时强化质量管理，切实发挥内部监督作用。具体要求如下：</w:t>
      </w:r>
    </w:p>
    <w:p w14:paraId="1D9F81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1.周密部署，做好年报审计的组织领导工作</w:t>
      </w:r>
    </w:p>
    <w:p w14:paraId="0B2623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会计师事务所应切实加强年报审计的组织管理，将年报审计的相关工作作为一项重点工作来抓，加强组织领导，防范执业风险、提高执业质量。明确年报审计执业项目质量责任人，完善质控部门相关工作机制。</w:t>
      </w:r>
    </w:p>
    <w:p w14:paraId="512A72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2.切实采取有效措施，确保审计独立性</w:t>
      </w:r>
    </w:p>
    <w:p w14:paraId="647696A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事务所和审计人员必须高度重视，切实采取有效措施，从形式上、实质上充分保证审计独立性。一是应梳理并完善本所相关制度。建立个人投资申报制度、注册会计师定期轮换制度、内幕知情人登记制度、违反独立性政策的惩戒制度等。二是采取切实有效的措施，督促相关制度有效执行。</w:t>
      </w:r>
    </w:p>
    <w:p w14:paraId="347E40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3.提高风险意识，做好换所项目及人员的管控 </w:t>
      </w:r>
    </w:p>
    <w:p w14:paraId="6A7BC6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完善有关业务首次承接方面的核准程序，做好风险评价等相关工作，把好业务入口关。特别需要关注换所项目。一是对于换所项目，要关注公司换所的真正原因及动机。二是提高警惕，认真开展尽职调查工作，全面了解项目的风险情况，做好前后任审计师的沟通工作，前任会计师应做好配合工作，如实、全面答复后任注册会计师。三是对于新加入团队带来的项目，要审慎评估风险和承接业务。换出项目较多的事务所，更要重视存续项目的管理，保证审计执业质量，最大程度降低业务流失带来的影响。</w:t>
      </w:r>
    </w:p>
    <w:p w14:paraId="2984DC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4.严格执行审计准则，做好审计计划</w:t>
      </w:r>
    </w:p>
    <w:p w14:paraId="691702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制定审计计划时，应对公司的业务活动结果进行初步评估，结合审计对象特有的风险点，全面分析影响审计业务的重要因素，确定审计工作方向，在此基础上制定有针对性的审计计划。针对高风险的项目，质控部门应进行复核和把关，重点关注是否对评估的重大错报风险，设计了恰当的应对措施及进一步审计程序，是否包括了对舞弊风险的评估及应对等。另外在审计过程中，应督促及监控审计计划的执行情况。</w:t>
      </w:r>
    </w:p>
    <w:p w14:paraId="32D469D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5.贯彻风险导向理念，对审计项目实施分类管理</w:t>
      </w:r>
    </w:p>
    <w:p w14:paraId="19EE1DE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建立项目风险分类机制。明确风险分类标准，制定不同维度的风险指标，并制定相应的应对措施。二是对项目进行有效分类。重点关注项目受宏观环境及行业性风险的影响程度、是否有业绩对赌、保壳摘帽等较强动机、是否存在债券违约、股权质押等风险、之前是否受过处罚或被采取监管措施、承做人员是否有不良执业记录等。三是强化重点审计领域执业质量。关注重大交易真实性、资金占用、对外担保、重大资产减值、保壳动机、公司治理、“三高”并购和新会计准则实施等对公司的影响等。四是做好风险应对。对于不同风险分类的项目应采取差异化的应对措施，重点要强化对高风险审计项目的业务管控，质控应提前介入，全程跟进，加强技术支持。</w:t>
      </w:r>
    </w:p>
    <w:p w14:paraId="5EFCE50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6.合理分配审计资源，做好人员委派工作</w:t>
      </w:r>
    </w:p>
    <w:p w14:paraId="26EA2DE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一是对于项目合伙人，要采取措施确保其实质性参与审计工作，投入足够时间和精力。二是对于合伙人以下的人员，要委派具有胜任能力的审计人员参与重要项目审计，确保重要项目审计团队配备到位。</w:t>
      </w:r>
    </w:p>
    <w:p w14:paraId="00EFEF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7.提高规范意识，注重审计工作底稿质量</w:t>
      </w:r>
    </w:p>
    <w:p w14:paraId="0FBA5F8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进一步修订完善工作底稿。根据新会计准则、审计准则及监管要求的变化，组织力量对工作底稿进行修订，并强化对防舞弊审计程序的设计。二是在审计底稿中要记录好执行的程序及收集的证据，以利于区别会计责任和审计责任。</w:t>
      </w:r>
    </w:p>
    <w:p w14:paraId="7BEF08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8.加强复核，做好业务质量监督与控制</w:t>
      </w:r>
    </w:p>
    <w:p w14:paraId="1C2D6D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要加强质控制度建设。在制度设计、工作流程、考核评价等内部机制上充分保障质控人员独立履行复核工作，严守执业标准，避免不当干扰；尽量避免项目合伙人与独立复核合伙人之间的项目存在交叉复核的情形，保持复核的独立性。二是加强证券项目质量控制复核。要配备足够的质控人员，充分履行复核程序、保证复核效果；根据事务所的质控规定和流程，对不同分类的项目切实履行相应的质控程序。三是重点关注新承接的、近两年加入或存在不良诚信记录的注册会计师负责的、或近两年监控或外部检查发现执业质量存在重大缺陷的执业项目,充分识别、评估与应对前述项目的重大错报风险，强化质量控制工作。</w:t>
      </w:r>
    </w:p>
    <w:p w14:paraId="15CB6E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9.提高针对性，强化科创板上市公司年报审计监管</w:t>
      </w:r>
    </w:p>
    <w:p w14:paraId="385BDD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事务所应结合科创板公司特点执行更具针对性的审计程序。根据风险评估情况，</w:t>
      </w:r>
      <w:r>
        <w:rPr>
          <w:rFonts w:ascii="宋体" w:hAnsi="宋体" w:cs="宋体" w:hint="eastAsia"/>
          <w:sz w:val="24"/>
        </w:rPr>
        <w:lastRenderedPageBreak/>
        <w:t>强化内部控制测试，重点关注不同业务模式下收入确认、与研发费用相关的内部控制设计的合理性和执行的有效性；对业务的真实性和商业实质采取更加有效的审计程序，作出恰当判断；结合外部经济环境和内部经营情况，充分关注资产减值等重大会计估计和股份支付、金融工具等复杂会计核算的审计；对尚未盈利或最近一期存在累计未弥补亏损的公司运用持续经营假设的适当性获取充分适当的审计证据；针对企业所在行业及采用技术的特点，强化IT审计。</w:t>
      </w:r>
    </w:p>
    <w:p w14:paraId="374F40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10.加强协调沟通，积极应对媒体质疑和举报投诉 </w:t>
      </w:r>
    </w:p>
    <w:p w14:paraId="7657B27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事务所应及时监控年报审计中与事务所相关的媒体质疑和举报投诉事项，并组织人员对相关事项认真核查、妥善处理。二是若发现公司存在违法违规线索或行为、审计工作受到不合理限制或存在重大专业疑难问题时，应及时报告。三是若公司出现债务违约等对资本市场造成重大影响的情形，应及时就相关事项及其对审计的影响与北京证监局进行沟通。</w:t>
      </w:r>
    </w:p>
    <w:p w14:paraId="1D66775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【法规动态】</w:t>
      </w:r>
    </w:p>
    <w:p w14:paraId="7EFD250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中国证监会发布《会计监管风险提示第9号——上市公司控股股东资金占用及其审计》</w:t>
      </w:r>
    </w:p>
    <w:p w14:paraId="5082C1B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强化对上市公司控股股东及其关联方资金占用和违规担保问题的会计监管，规范上市公司相关内部控制，督促会计师事务所勤勉尽责执业，防范化解金融风险，提升资本市场会计信息披露质量，保护投资者合法权益，证监会发布了《会计监管风险提示第9号——上市公司控股股东资金占用及其审计》，就上市公司控股股东资金占用及其审计业务的会计监管风险进行提示。</w:t>
      </w:r>
    </w:p>
    <w:p w14:paraId="434E04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财政部印发《企业会计准则解释第13号》</w:t>
      </w:r>
    </w:p>
    <w:p w14:paraId="231F35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12月16日，财政部发布《关于印发&lt;企业会计准则解释第13号&gt;的通知》(财会〔2019〕21号)。该解释包括关于企业与其所属企业集团其他成员企业等相关的关联方判断、关于企业合并中取得的经营活动或资产的组合是否构成业务的判断等问题，自2020年1月1日起施行。</w:t>
      </w:r>
    </w:p>
    <w:p w14:paraId="7F50E40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财政部、证监会发布相关调研报告、情况通报</w:t>
      </w:r>
    </w:p>
    <w:p w14:paraId="5D487CB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12月27日，财政部发布了财政部、证监会联合山东财经大学完成的《我国上市公司2018年执行企业内部控制规范体系情况分析报告》，对我国上市公司执行企业内部控制规范体系情况进行了分析研究。同日，证监会发布了《2019年度内</w:t>
      </w:r>
      <w:r>
        <w:rPr>
          <w:rFonts w:ascii="宋体" w:hAnsi="宋体" w:cs="宋体" w:hint="eastAsia"/>
          <w:sz w:val="24"/>
        </w:rPr>
        <w:lastRenderedPageBreak/>
        <w:t>部控制审计、商誉减值审计与评估专题检查情况的通报》，对2019年度证监会会计部组织系统各派出机构、沪深交易所开展的内部控制审计专题检查、商誉减值审计与评估专题检查中发现的审计、评估机构主要执业问题予以通报。</w:t>
      </w:r>
    </w:p>
    <w:p w14:paraId="40E55DB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中评协印发《资产评估执业准则——资产评估方法》</w:t>
      </w:r>
    </w:p>
    <w:p w14:paraId="3A48D1C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为贯彻落实《资产评估法》，规范资产评估机构及其资产评估专业人员在执行资产评估业务时使用资产评估方法的行为，中国资产评估协会制定了《资产评估执业准则——资产评估方法》，自2020年3月1日起施行。</w:t>
      </w:r>
    </w:p>
    <w:p w14:paraId="16A598A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中注协就“职业怀疑”等五项审计准则问题解答修订文本公开征求意见</w:t>
      </w:r>
    </w:p>
    <w:p w14:paraId="69DD86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2019年10月18日，中国注册会计师协会发布《中国注册会计师审计准则问题解答第1号——职业怀疑》《中国注册会计师审计准则问题解答第2号——函证》《中国注册会计师审计准则问题解答第4号——收入确认》《中国注册会计师审计准则问题解答第6号——关联方》《中国注册会计师审计准则问题解答第12号——货币资金审计》五项审计准则问题解答修订文本的征求意见稿，公开征求意见。</w:t>
      </w:r>
    </w:p>
    <w:p w14:paraId="726B61BA" w14:textId="70314BC2" w:rsidR="00A320E6" w:rsidRDefault="00000000" w:rsidP="00F67407">
      <w:pPr>
        <w:spacing w:beforeLines="50" w:before="156" w:afterLines="20" w:after="62" w:line="360" w:lineRule="auto"/>
        <w:jc w:val="center"/>
        <w:outlineLvl w:val="2"/>
        <w:rPr>
          <w:rFonts w:ascii="宋体" w:hAnsi="宋体" w:cs="宋体"/>
          <w:b/>
          <w:bCs/>
          <w:sz w:val="24"/>
        </w:rPr>
      </w:pPr>
      <w:bookmarkStart w:id="79" w:name="_Toc112227387"/>
      <w:r>
        <w:rPr>
          <w:rFonts w:ascii="宋体" w:hAnsi="宋体" w:cs="宋体" w:hint="eastAsia"/>
          <w:b/>
          <w:bCs/>
          <w:sz w:val="24"/>
        </w:rPr>
        <w:t>会计及评估监管工作通讯</w:t>
      </w:r>
      <w:r w:rsidRPr="00F67407">
        <w:rPr>
          <w:rFonts w:ascii="宋体" w:hAnsi="宋体" w:cs="宋体" w:hint="eastAsia"/>
          <w:b/>
          <w:bCs/>
          <w:sz w:val="24"/>
          <w:szCs w:val="24"/>
        </w:rPr>
        <w:t>二〇二〇年</w:t>
      </w:r>
      <w:r>
        <w:rPr>
          <w:rFonts w:ascii="宋体" w:hAnsi="宋体" w:cs="宋体" w:hint="eastAsia"/>
          <w:b/>
          <w:bCs/>
          <w:sz w:val="24"/>
        </w:rPr>
        <w:t>第二期（总第 34 期）</w:t>
      </w:r>
      <w:bookmarkEnd w:id="79"/>
    </w:p>
    <w:p w14:paraId="1C911CB3" w14:textId="77777777" w:rsidR="00A320E6" w:rsidRDefault="00000000" w:rsidP="00AE0286">
      <w:pPr>
        <w:pStyle w:val="a3"/>
        <w:spacing w:line="360" w:lineRule="auto"/>
        <w:ind w:firstLine="480"/>
        <w:jc w:val="center"/>
        <w:rPr>
          <w:rFonts w:ascii="宋体" w:hAnsi="宋体" w:cs="宋体"/>
          <w:sz w:val="24"/>
        </w:rPr>
      </w:pPr>
      <w:r>
        <w:rPr>
          <w:rFonts w:ascii="宋体" w:hAnsi="宋体" w:cs="宋体" w:hint="eastAsia"/>
          <w:sz w:val="24"/>
        </w:rPr>
        <w:t>北京证监局 二〇二〇年四月</w:t>
      </w:r>
    </w:p>
    <w:p w14:paraId="0606C9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【法规动态】 </w:t>
      </w:r>
    </w:p>
    <w:p w14:paraId="4D7BA8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一季度发布的主要监管法规和要求 </w:t>
      </w:r>
    </w:p>
    <w:p w14:paraId="1BEFFF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【监管动态】 </w:t>
      </w:r>
    </w:p>
    <w:p w14:paraId="61183F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新修订《证券法》变化及监管新要求首次从事证券服务业务会计师事务所的监管提示 </w:t>
      </w:r>
    </w:p>
    <w:p w14:paraId="7A446C2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关于近期年报审计监管工作相关情况的通报 </w:t>
      </w:r>
    </w:p>
    <w:p w14:paraId="2DF57D3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 </w:t>
      </w:r>
    </w:p>
    <w:p w14:paraId="3DD2772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一季度辖区证券资格审计与评估机构处罚情况 </w:t>
      </w:r>
    </w:p>
    <w:p w14:paraId="4E3320B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【风险提示】 </w:t>
      </w:r>
    </w:p>
    <w:p w14:paraId="1A7BC4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新增处罚中审计与评估机构存在的突出问题 </w:t>
      </w:r>
    </w:p>
    <w:p w14:paraId="1924EA6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【行业交流】 </w:t>
      </w:r>
    </w:p>
    <w:p w14:paraId="3511C3CC" w14:textId="6298F128" w:rsidR="00A320E6" w:rsidRDefault="00000000" w:rsidP="006E4111">
      <w:pPr>
        <w:pStyle w:val="a3"/>
        <w:spacing w:line="360" w:lineRule="auto"/>
        <w:ind w:firstLine="480"/>
        <w:rPr>
          <w:rFonts w:ascii="宋体" w:hAnsi="宋体" w:cs="宋体"/>
          <w:sz w:val="24"/>
        </w:rPr>
      </w:pPr>
      <w:r>
        <w:rPr>
          <w:rFonts w:ascii="宋体" w:hAnsi="宋体" w:cs="宋体" w:hint="eastAsia"/>
          <w:sz w:val="24"/>
        </w:rPr>
        <w:t xml:space="preserve">疫情应对及新证券法的行业影响探讨【法规动态】一季度发布的主要监管法规和要求证监会关于贯彻落实新修订《证券法》有关工作为贯彻落实修订后的《证券法》，进一步推动法治政府建设，构建更加科学的证券期货法规体系，证监会于 2020 </w:t>
      </w:r>
      <w:r>
        <w:rPr>
          <w:rFonts w:ascii="宋体" w:hAnsi="宋体" w:cs="宋体" w:hint="eastAsia"/>
          <w:sz w:val="24"/>
        </w:rPr>
        <w:lastRenderedPageBreak/>
        <w:t xml:space="preserve">年 2 月 21 日发布《关于废止部分证券期货规范性文件的决定》，决定废止18 部证券期货规范性文件；于 2020 年 3 月 20 日发布《关于修改部分证券期货规章的决定》《关于修改部分证券期货规范性文件的决定》，决定对 13 部规章、29 部规范性文件的部分条款予以修改。同时，为落实修订后的《证券法》关于证券服务机构从事证券服务业务备案的新要求，证监会研究起草了《证券服务机构从事证券服务业务备案管理规定（征求意见稿）》，于 2020 年 2 月 29 日向社会公开征求意见。 </w:t>
      </w:r>
    </w:p>
    <w:p w14:paraId="0591389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监会发布《关于做好当前上市公司等年度报告审计与披露工作有关事项的公告》为统筹做好疫情防控和上市公司等年度报告审计与披露工作，妥善解决有关公司和会计师事务所面临的困难、问题，维护资本市场秩序，保护投资者合法权益，2020 年 4 月 7 日，证监会发布《关于做好当前上市公司等年度报告审计与披露工作有关事项的公告》。4 月 8 日至 9 日，上海证券交易所、深圳证券交易所及全国中小企业股份转让系统陆续发布相关通知，对上市公司、挂牌公司、债券及资产支持证券等 2019 年年度报告披露工作作出安排。</w:t>
      </w:r>
    </w:p>
    <w:p w14:paraId="2F3587C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国人民银行等五部委联合发布《关于进一步强化金融支持防控新型冠状病毒感染肺炎疫情的通知》为切实贯彻落实中共中央《关于加强党的领导、为打赢疫情防控阻击战提供坚强政治保证的通知》精神和中央应对新型冠状病毒感染肺炎疫情工作领导小组工作部署，进一步强化金融对疫情防控工作的支持，2020 年 1 月 31 日，人民银行、财政部、银保监会、证监会、外汇局联合发布《关于进一步强化金融支持防控新型冠状病毒感染肺炎疫情的通知》。 </w:t>
      </w:r>
    </w:p>
    <w:p w14:paraId="33A76FC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中评协发布《资产评估专家指引第 10 号——在新冠肺炎疫情期间合理履行资产评估程序》 </w:t>
      </w:r>
    </w:p>
    <w:p w14:paraId="3977265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为指导资产评估机构及其资产评估专业人员在新冠肺炎疫情期间合理履行资产评估程序，中国资产评估协会于 2020 年 3月 11 日发布了《资产评估专家指引第 10 号——在新冠肺炎疫情期间合理履行资产评估程序》。 </w:t>
      </w:r>
    </w:p>
    <w:p w14:paraId="2B07A3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中注协印发《中国注册会计师协会关于在新冠肺炎疫情下执行审计工作的指导意见》 </w:t>
      </w:r>
    </w:p>
    <w:p w14:paraId="50776CA9" w14:textId="7914E9BA" w:rsidR="00A320E6" w:rsidRDefault="00000000" w:rsidP="006E4111">
      <w:pPr>
        <w:pStyle w:val="a3"/>
        <w:spacing w:line="360" w:lineRule="auto"/>
        <w:ind w:firstLine="480"/>
        <w:rPr>
          <w:rFonts w:ascii="宋体" w:hAnsi="宋体" w:cs="宋体"/>
          <w:sz w:val="24"/>
        </w:rPr>
      </w:pPr>
      <w:r>
        <w:rPr>
          <w:rFonts w:ascii="宋体" w:hAnsi="宋体" w:cs="宋体" w:hint="eastAsia"/>
          <w:sz w:val="24"/>
        </w:rPr>
        <w:t>为贯彻落实习近平总书记在统筹推进新冠肺炎疫情防控和经济社会发展工作部署会议上的重要讲话精神，指导会计师事务所在新冠肺炎疫情下做好 2019 年度财</w:t>
      </w:r>
      <w:r>
        <w:rPr>
          <w:rFonts w:ascii="宋体" w:hAnsi="宋体" w:cs="宋体" w:hint="eastAsia"/>
          <w:sz w:val="24"/>
        </w:rPr>
        <w:lastRenderedPageBreak/>
        <w:t xml:space="preserve">务报表审计工作，确保审计质量，中国注册会计师协会于 2020 年 3 月 20 日发布《中国注册会计师协会关于在新冠肺炎疫情下执行审计工作的指导意见》。 </w:t>
      </w:r>
    </w:p>
    <w:p w14:paraId="109070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【监管动态】 </w:t>
      </w:r>
    </w:p>
    <w:p w14:paraId="104A07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新修订《证券法》变化及监管新要求 </w:t>
      </w:r>
    </w:p>
    <w:p w14:paraId="030113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新修订《证券法》于 2020 年 3 月 1 日起施行，标志着中国 资本市场发展进入新阶段，在深入分析证券市场运行规律和发展 阶段特点的基础上，落实“放管服”要求，进一步压实中介机构 的市场“看门人”责任，对审计评估行业的发展影响深远。 </w:t>
      </w:r>
    </w:p>
    <w:p w14:paraId="5B5E6EA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一、新修订《证券法》关于审计评估机构的修订要点 </w:t>
      </w:r>
    </w:p>
    <w:p w14:paraId="50C803B1" w14:textId="30CE611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一是调整证券服务机构监管模式。新修订《证券法》取消会 计师事务所、资产评估机构从事证券服务业务的行政许可，改为 备案管理。新修订《证券法》第一百六</w:t>
      </w:r>
      <w:r w:rsidR="00A45A13">
        <w:rPr>
          <w:rFonts w:ascii="宋体" w:hAnsi="宋体" w:cs="宋体" w:hint="eastAsia"/>
          <w:sz w:val="24"/>
        </w:rPr>
        <w:t xml:space="preserve">十条 </w:t>
      </w:r>
      <w:r>
        <w:rPr>
          <w:rFonts w:ascii="宋体" w:hAnsi="宋体" w:cs="宋体" w:hint="eastAsia"/>
          <w:sz w:val="24"/>
        </w:rPr>
        <w:t>规定，从事其他证券 服务业务，应当报国务院证券监督管理机构和国务院有关主管部 门备案。第二百一十</w:t>
      </w:r>
      <w:r w:rsidR="00C36EF7">
        <w:rPr>
          <w:rFonts w:ascii="宋体" w:hAnsi="宋体" w:cs="宋体" w:hint="eastAsia"/>
          <w:sz w:val="24"/>
        </w:rPr>
        <w:t xml:space="preserve">三条 </w:t>
      </w:r>
      <w:r>
        <w:rPr>
          <w:rFonts w:ascii="宋体" w:hAnsi="宋体" w:cs="宋体" w:hint="eastAsia"/>
          <w:sz w:val="24"/>
        </w:rPr>
        <w:t xml:space="preserve">新增未报备案的行政处罚。 </w:t>
      </w:r>
    </w:p>
    <w:p w14:paraId="244273EB" w14:textId="362167BB"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二是大幅提高资本市场主体违法违规成本。证券服务机构未 勤勉尽责的，根据新修订《证券法》第二百一十</w:t>
      </w:r>
      <w:r w:rsidR="00C36EF7">
        <w:rPr>
          <w:rFonts w:ascii="宋体" w:hAnsi="宋体" w:cs="宋体" w:hint="eastAsia"/>
          <w:sz w:val="24"/>
        </w:rPr>
        <w:t xml:space="preserve">三条 </w:t>
      </w:r>
      <w:r>
        <w:rPr>
          <w:rFonts w:ascii="宋体" w:hAnsi="宋体" w:cs="宋体" w:hint="eastAsia"/>
          <w:sz w:val="24"/>
        </w:rPr>
        <w:t xml:space="preserve">相关规定， 除最高可处以业务收入十倍（或五百万元）罚款外，情节严重的， 并处暂停或者禁止从事证券服务业务。 </w:t>
      </w:r>
    </w:p>
    <w:p w14:paraId="2465D750" w14:textId="1FC8F8DE"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三是增加证券服务机构保存工作底稿的有关规定。新修订 《证券法》第一百六十</w:t>
      </w:r>
      <w:r w:rsidR="00C36EF7">
        <w:rPr>
          <w:rFonts w:ascii="宋体" w:hAnsi="宋体" w:cs="宋体" w:hint="eastAsia"/>
          <w:sz w:val="24"/>
        </w:rPr>
        <w:t xml:space="preserve">二条 </w:t>
      </w:r>
      <w:r>
        <w:rPr>
          <w:rFonts w:ascii="宋体" w:hAnsi="宋体" w:cs="宋体" w:hint="eastAsia"/>
          <w:sz w:val="24"/>
        </w:rPr>
        <w:t>明确有关信息和资料的保存期限不得 少于十年。未按照规定保存有关文件和资料的，第二百一十</w:t>
      </w:r>
      <w:r w:rsidR="00A45A13">
        <w:rPr>
          <w:rFonts w:ascii="宋体" w:hAnsi="宋体" w:cs="宋体" w:hint="eastAsia"/>
          <w:sz w:val="24"/>
        </w:rPr>
        <w:t xml:space="preserve">四条 </w:t>
      </w:r>
      <w:r>
        <w:rPr>
          <w:rFonts w:ascii="宋体" w:hAnsi="宋体" w:cs="宋体" w:hint="eastAsia"/>
          <w:sz w:val="24"/>
        </w:rPr>
        <w:t xml:space="preserve">调整了相关罚则，提高罚款金额，增加暂停、撤销相关业务许可 或者禁止从事相关业务的行政处罚。 </w:t>
      </w:r>
    </w:p>
    <w:p w14:paraId="7201E2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四是完善投资者保护制度。新修订《证券法》专设第六章投 资者保护章节，探索建立适应我国国情的证券民事诉讼制度，规 定投资者保护机构可以作为诉讼代表人，按照“明示退出”“默示加入”的原则，依法为受害投资者提起民事损害赔偿诉讼。 </w:t>
      </w:r>
    </w:p>
    <w:p w14:paraId="4D68369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二、辖区审计评估机构应做好应对工作 </w:t>
      </w:r>
    </w:p>
    <w:p w14:paraId="3202E24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一是认真学习。加强全体执业人员教育培训，深刻领会本次 证券法修订实施的重大意义、修订的主要内容，以及对行业和机 构自身的影响。准确把握和落实法条的具体要求，积极快速建立 应对措施体系。 </w:t>
      </w:r>
    </w:p>
    <w:p w14:paraId="33B054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二是坚守诚信。建立并维护诚实守信的行业文化，提高职业 使命感及自豪感，</w:t>
      </w:r>
      <w:r>
        <w:rPr>
          <w:rFonts w:ascii="宋体" w:hAnsi="宋体" w:cs="宋体" w:hint="eastAsia"/>
          <w:sz w:val="24"/>
        </w:rPr>
        <w:lastRenderedPageBreak/>
        <w:t xml:space="preserve">实现高质量和可持续发展。加强从业人员职业 道德规范，坚定执业自信，防范道德风险、法律风险、声誉风险 和市场风险，秉持职业怀疑态度，不参与财务造假。 </w:t>
      </w:r>
    </w:p>
    <w:p w14:paraId="0E9C0E0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三是主动自律。原证券资格事务所应充分发挥行业龙头作 用，牢牢守住质量生命线，不断健全内部治理和质量管理体系， 明确主要负责人对质量控制的领导责任，秉持质量至上的职业理 念，强化质量管理，为提升服务资本市场专业能力提供坚实保障。 </w:t>
      </w:r>
    </w:p>
    <w:p w14:paraId="13D253D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四是强化专业。进一步加强执业人员专业能力建设，建立科 学合理的激励约束机制，确保执业人员的专业性和稳定性，努力 提升服务资本市场能力与水平，做好资本市场财务信息质量的 “看门人”。 </w:t>
      </w:r>
    </w:p>
    <w:p w14:paraId="06E850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三、北京证监局贯彻落实新修订《证券法》的相关工作 </w:t>
      </w:r>
    </w:p>
    <w:p w14:paraId="1956CB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一是构建良性执业生态。按照证监会统一部署，不断优化监 管生态、协作生态、文化生态、公众监督生态及发展生态，净化 执业环境，优化综合监管体系，引导审计机构形成健康成熟的行 业文化，发挥舆论监督作用，引导各方支持配合审计工作，为审 计机构创造良好的发展环境。 </w:t>
      </w:r>
    </w:p>
    <w:p w14:paraId="31D2217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二是加强首次从业所监管。及时摸清注册在辖区以及在辖区 执业的首次从事证券服务业务会计师事务所情况；讲好证券市场 第一课，做好首次加入机构和人员“岗前”培训教育工作，做好 执业风险提示工作，督促其建立规范执业意识；加大监督检查力 度，依法严肃处理违法违规行为，建立奖优罚劣的监管生态。 </w:t>
      </w:r>
    </w:p>
    <w:p w14:paraId="655BBB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三是强化“换所”监管力度。全面梳理辖区上市公司 2019 年年审“换所”情况，关注异常变更项目；复核“换所”信息报 备，摸清“换所”真实原因；持续跟进重点监管项目，督导审计 机构规范执业，引导审计机构树立谨慎承接业务的理念。 </w:t>
      </w:r>
    </w:p>
    <w:p w14:paraId="0B41CB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四是不断提高监管效能。以总分所一体化管理为抓手，以风 险和问题为导向，探索分类监管，强化重点领域监管力度，督促 解决执业突出问题；强化质控负责人工作机制,以质量控制为核 心，进一步压实机构负责人和质量控制负责人领导责任，促进辖 区机构执业质量的提高。 </w:t>
      </w:r>
    </w:p>
    <w:p w14:paraId="761B327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五是主动公开监管措施。为提高监管透明度，强化监管措施 效力，我局决定自 2020 年 3 月 1 日起于北京证监局官网公开我 局对审计与评估机构下发的监管措施，对监管措施文书的公开遵 循不溯及既往原则。 </w:t>
      </w:r>
    </w:p>
    <w:p w14:paraId="0C6AF76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首次从事证券服务业务会计师事务所的监管提示 为有效应对监管环境变化，做</w:t>
      </w:r>
      <w:r>
        <w:rPr>
          <w:rFonts w:ascii="宋体" w:hAnsi="宋体" w:cs="宋体" w:hint="eastAsia"/>
          <w:sz w:val="24"/>
        </w:rPr>
        <w:lastRenderedPageBreak/>
        <w:t xml:space="preserve">好“备案制”下审计机构监管， 督促辖区首次从事证券服务业务会计师事务所不断强化执业质 量，特作出如下提示： </w:t>
      </w:r>
    </w:p>
    <w:p w14:paraId="7EA15E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一是加强相关法律法规学习，知悉中介机构执业责任。了解证券市场执业风险、监管要求和法律责任，认真学习证券市场法律法规，树立风险合规意识，加强对证券服务业务的质量管理。 </w:t>
      </w:r>
    </w:p>
    <w:p w14:paraId="0FBF473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二是严格规范执业行为，审慎开展证券服务业务。综合考虑 执业能力、诚信记录与独立性委派项目合伙人，做好前后任沟通 工作，对拟承接客户的诚信水平和项目执业风险进行评价，并形 成详细记录。保持应有职业谨慎，严格按照审计准则和执业规范 要求设计并执行审计程序，强化审计质量控制，依据充分、适当 的审计证据，审慎发表审计意见。 </w:t>
      </w:r>
    </w:p>
    <w:p w14:paraId="381B50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三是落实信息披露有关要求。按照证监会、行业主管部门、 证券交易所等的要求，充分披露会计师事务所有关信息。对于首 次承接项目，结合自身胜任能力充分评估可能存在的审计风险， 不断提升审计质量，共同推动资本市场相关主体财务信息披露质 量的提高。 </w:t>
      </w:r>
    </w:p>
    <w:p w14:paraId="0AE2E0E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关于近期年报审计监管工作相关情况的通报 新型冠状病毒疫情防控期间，北京证监局创新监管方式，强 化非现场监管，多措并举有力推进抗疫期间年报审计监管工作。 </w:t>
      </w:r>
    </w:p>
    <w:p w14:paraId="3CDB9B9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一、扎实开展上市公司“换所”监管 北京辖区 347 家上市公司中，有 71 家公司涉及变更审计机 构。北京证监局通过监管系统下发通知，明确换所审计工作要求； 全面摸排“换所”情况，及时审核“换所”原因；跟进重点项目 情况，督导审计机构规范执业。 </w:t>
      </w:r>
    </w:p>
    <w:p w14:paraId="4FEDED1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涉及“换所”的审计机构，应做好以下工作：一是后任审计 机构应当做好与前任审计机构的沟通，重点关注上市公司是否与 前任审计机构在重大事项与交易的会计处理、审计意见等方面存 在分歧，前任审计机构放弃审计客户的考虑，是否发现上市公司存在重大违法行为或疑似违法行为线索等。二是后任审计机构应 对拟承接客户的诚信水平和项目执业进行风险评价，并形成详细 记录；应当加强业务质量管理，综合考虑职业能力、诚信记录与 独立性委派项目合伙人，强化质量复核，恰当发表审计意见。三 是前任审计机构应当如实、全面答复后任审计机构，如上市公司 不同意前任审计机构答复后任审计机构的，应当及时向监管机构 反映。四是前后任</w:t>
      </w:r>
      <w:r>
        <w:rPr>
          <w:rFonts w:ascii="宋体" w:hAnsi="宋体" w:cs="宋体" w:hint="eastAsia"/>
          <w:sz w:val="24"/>
        </w:rPr>
        <w:lastRenderedPageBreak/>
        <w:t xml:space="preserve">审计机构应当及时并如实完成换所信息报备。 </w:t>
      </w:r>
    </w:p>
    <w:p w14:paraId="75AD6C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二、统筹做好疫情防控和年报延期披露工作 </w:t>
      </w:r>
    </w:p>
    <w:p w14:paraId="1923F4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根据证监会关于年报延期披露相关通知要求，北京证监局持 续跟踪辖区年报审计项目工作进度，及时掌握拟进行延期披露的 项目情况，督促会计师事务所实事求是并提出以下要求：一是合 理评价年报审计和信息披露受疫情影响的程度，审慎判断是否确 需延期披露；二是配合上市公司做好相关申请和披露工作，如实 出具关于延期的专项书面说明；三是及时向监管机构汇报相关情 况，持续沟通保证信息披露工作顺利进行。 </w:t>
      </w:r>
    </w:p>
    <w:p w14:paraId="1364A0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年审工作已接近尾声，希望辖区会计师事务所能始终保持专 业精神和职业怀疑，将审计质量作为行为准则，努力克服疫情不 利影响，切实做好年报审计工作，为辖区资本市场信息披露质量保驾护航。 </w:t>
      </w:r>
    </w:p>
    <w:p w14:paraId="167918C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【警钟长鸣】一季度辖区证券资格审计与评估机构处罚情况 经统计，2020 年第一季度，证监会及各地证监局对北京辖 区具有证券期货资格的会计师事务所下发的行政处罚和监管措 施共涉及 8 家事务所的 25 个项目；对北京辖区具有证券期货资 格的资产评估机构下发的行政处罚、监管措施共涉及 9 家资产评估机构的 13 个项目。具体如下： </w:t>
      </w:r>
    </w:p>
    <w:p w14:paraId="3EB8A1B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对会计师事务所采取行政处罚 1 次，涉及审计机构 1 家次、 </w:t>
      </w:r>
    </w:p>
    <w:p w14:paraId="4C2113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注册会计师 2 人次；下发监管措施 25 份，涉及审计机构 8 家次、 </w:t>
      </w:r>
    </w:p>
    <w:p w14:paraId="2BFE47B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注册会计师 47 人次。对资产评估机构下发监管措施 13 份，涉及 </w:t>
      </w:r>
    </w:p>
    <w:p w14:paraId="551146F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评估机构 9 家次、评估师 21 人次。 </w:t>
      </w:r>
    </w:p>
    <w:p w14:paraId="12DB45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【风险提示】新增处罚中审计与评估机构存在的突出问题 我局对证监会及各地证监局对辖区证券资格审计与评估机 构下发的行政处罚和监管措施中审计与评估机构存在的突出问 题进行了汇总，现予以发布，提示各审计与评估机构重点关注。 </w:t>
      </w:r>
    </w:p>
    <w:p w14:paraId="0110759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资产评估机构的突出问题 </w:t>
      </w:r>
    </w:p>
    <w:p w14:paraId="6F7B6E8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一、对证券业务认识不足 </w:t>
      </w:r>
    </w:p>
    <w:p w14:paraId="6D4C20F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评估机构在承接项目前未充分了解被估值单位的股东构成， 未对是否与上市公司相关进行充分了解，导致未按照证券业务要 求执行评估程序、出具报告或不具备证券资格承接业务（新修订 《证券法》实施前）。上市公司公告该估值报告后，评估机构配 合上市公司对交易所问询函进行回复，仍未采取必要补救措施。 </w:t>
      </w:r>
    </w:p>
    <w:p w14:paraId="1C9A57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 xml:space="preserve">二、内部治理不完善 </w:t>
      </w:r>
    </w:p>
    <w:p w14:paraId="680EA43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一是公司章程未明确约定股东加入、退出的情形和程序；二 是未设立监事会，现有监事成员资格不符合相关规定；三是专家 人员管理制度缺失，对专家人员管理存在疏漏；四是未对资产评 估师进行分类管理，考核结果未体现差异性；五是分公司部分项 目负责人无资产评估师资质；六是公司职业道德守则制度落实不 到位，独立性评估程序不到位；七是存在从业人员违反《证券法》 在评估项目期间买卖客户股票。 </w:t>
      </w:r>
    </w:p>
    <w:p w14:paraId="14BF00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三、基础资料核查不到位 </w:t>
      </w:r>
    </w:p>
    <w:p w14:paraId="7E90F62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一是对于被评估单位的注册用户数，评估人员直接采用了财 务人员提供的表格数据，未考虑重复计算等影响因素，未通过第 三方机构等方式进行验证。二是未审慎核查债权真实性。评估人 员未注意到公司收到款项当天即转回的情况，底稿中未见借款合 同等资料。 </w:t>
      </w:r>
    </w:p>
    <w:p w14:paraId="1A40F8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四、预测依据不足 </w:t>
      </w:r>
    </w:p>
    <w:p w14:paraId="49903CD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一是直接认可管理层预测金额，未获取充分的预测依据；二 是预测所依据的历史数据存在期限选择不一致的情况；三是实际 使用的预测增长率前后不一致；四是预测时使用的历史数据与底 稿所附原始数据存在差异，未见分析说明。 </w:t>
      </w:r>
    </w:p>
    <w:p w14:paraId="3D7AEEF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五、可比公司选择及参数调整不到位 </w:t>
      </w:r>
    </w:p>
    <w:p w14:paraId="302DE13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一是可比公司筛选过程与估值报告描述不一致；二是未考虑 估值标的公司与可比公司之间的差异并进行修正；三是利用专家 工作不到位，未对专家的胜任能力、独立性进行充分核查，未对 专家工作结果的合理性进行充分关注。 </w:t>
      </w:r>
    </w:p>
    <w:p w14:paraId="6B265F0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六、评估假设依据不充分 </w:t>
      </w:r>
    </w:p>
    <w:p w14:paraId="3A19BF5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一是未考虑停产停业整顿对公司正常经营的影响，持续经营 依据不充分；二是资本结构预测依据不充分，项目组假设预测期 内企业不对外融资，完全依赖自身经营产生的现金流维持经营， 该假设与实际不符，资本结构预测依据不充分。 </w:t>
      </w:r>
    </w:p>
    <w:p w14:paraId="08CED8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七、评估报告及说明 </w:t>
      </w:r>
    </w:p>
    <w:p w14:paraId="024559A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一是资产评估报告陈述的内容与实际情况不符。评估师在执 行评估工作时以收购子公司形成商誉相关的资产组作为评估对 象，但评估报告中将公司主营业务资产形成的资产组作为评估对 象。二是资产评估报告未包含必要信息。未披露在收益法中使用 特定风险收益率的测算、逻辑推理、形成过程和相关评估数据的 获取来源。</w:t>
      </w:r>
      <w:r>
        <w:rPr>
          <w:rFonts w:ascii="宋体" w:hAnsi="宋体" w:cs="宋体" w:hint="eastAsia"/>
          <w:sz w:val="24"/>
        </w:rPr>
        <w:lastRenderedPageBreak/>
        <w:t xml:space="preserve">三是未实际执行评估报告披露的评估方法选择思路。 四是评估说明中对银行存款实施的评估程序与实际不符。五是评 估报告、评估说明未明确具体采用的评估方法，未分析市场法、 收益法和成本法的适用性。 </w:t>
      </w:r>
    </w:p>
    <w:p w14:paraId="398E21D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八、其他 </w:t>
      </w:r>
    </w:p>
    <w:p w14:paraId="1CB4B602" w14:textId="439EADB0"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一是签字评估师、项目负责人和复核人未实际参与评估工 作；二是未对部分资产评估专业人员进行独立性调查，部分资产 评估专业人员未在《独立性声明》上签字；三是底稿中评估报告 签字盖章缺失，归档不规范。</w:t>
      </w:r>
    </w:p>
    <w:p w14:paraId="5BB73C19" w14:textId="2E3440E5" w:rsidR="00A320E6" w:rsidRDefault="00000000" w:rsidP="00F67407">
      <w:pPr>
        <w:spacing w:beforeLines="50" w:before="156" w:afterLines="20" w:after="62" w:line="360" w:lineRule="auto"/>
        <w:jc w:val="center"/>
        <w:outlineLvl w:val="2"/>
        <w:rPr>
          <w:rFonts w:ascii="宋体" w:hAnsi="宋体" w:cs="宋体"/>
          <w:b/>
          <w:bCs/>
          <w:sz w:val="24"/>
        </w:rPr>
      </w:pPr>
      <w:bookmarkStart w:id="80" w:name="_Toc112227388"/>
      <w:r>
        <w:rPr>
          <w:rFonts w:ascii="宋体" w:hAnsi="宋体" w:cs="宋体" w:hint="eastAsia"/>
          <w:b/>
          <w:bCs/>
          <w:sz w:val="24"/>
        </w:rPr>
        <w:t>会计及评估监管工作通讯</w:t>
      </w:r>
      <w:r w:rsidRPr="00F67407">
        <w:rPr>
          <w:rFonts w:ascii="宋体" w:hAnsi="宋体" w:cs="宋体" w:hint="eastAsia"/>
          <w:b/>
          <w:bCs/>
          <w:sz w:val="24"/>
          <w:szCs w:val="24"/>
        </w:rPr>
        <w:t>二〇二〇年</w:t>
      </w:r>
      <w:r>
        <w:rPr>
          <w:rFonts w:ascii="宋体" w:hAnsi="宋体" w:cs="宋体" w:hint="eastAsia"/>
          <w:b/>
          <w:bCs/>
          <w:sz w:val="24"/>
        </w:rPr>
        <w:t>第三期（总第 35 期）</w:t>
      </w:r>
      <w:bookmarkEnd w:id="80"/>
    </w:p>
    <w:p w14:paraId="1F896EF7" w14:textId="77777777" w:rsidR="00A320E6" w:rsidRDefault="00000000" w:rsidP="00F53C81">
      <w:pPr>
        <w:pStyle w:val="1c"/>
      </w:pPr>
      <w:r>
        <w:rPr>
          <w:rFonts w:hint="eastAsia"/>
        </w:rPr>
        <w:t>北京证监局 二〇二〇年八月</w:t>
      </w:r>
    </w:p>
    <w:p w14:paraId="7672B21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【法规动态】 </w:t>
      </w:r>
    </w:p>
    <w:p w14:paraId="2926738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二季度发布的主要监管法规和要求 </w:t>
      </w:r>
    </w:p>
    <w:p w14:paraId="432A8F7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【新《证券法》及配套规则系列专题】 </w:t>
      </w:r>
    </w:p>
    <w:p w14:paraId="52CE42A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系列专题之一:勤勉尽责义务、信息披露义务 </w:t>
      </w:r>
    </w:p>
    <w:p w14:paraId="4DE122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【监管动态】 </w:t>
      </w:r>
    </w:p>
    <w:p w14:paraId="5102883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 2019 年度监控报告审阅情况的通报 </w:t>
      </w:r>
    </w:p>
    <w:p w14:paraId="692FA3D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关于近期年报审计监管工作相关情况的通报 </w:t>
      </w:r>
    </w:p>
    <w:p w14:paraId="63ACE8A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 </w:t>
      </w:r>
    </w:p>
    <w:p w14:paraId="7B6683C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二季度辖区从事证券期货业务审计与评估机构处罚情况 </w:t>
      </w:r>
    </w:p>
    <w:p w14:paraId="26D9F7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【风险提示】 </w:t>
      </w:r>
    </w:p>
    <w:p w14:paraId="12F423C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新增处理处罚中审计与评估机构存在的突出问题 </w:t>
      </w:r>
    </w:p>
    <w:p w14:paraId="3B0D2D1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【法规动态】二季度发布的主要监管法规和要求 </w:t>
      </w:r>
    </w:p>
    <w:p w14:paraId="03885E4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证监会发布创业板改革并试点注册制相关制度规则 </w:t>
      </w:r>
    </w:p>
    <w:p w14:paraId="219541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2020 年 6 月 12 日，证监会发布了《创业板首次公开发行股票注册 管理办法（试行）》《创业板上市公司证券发行注册管理办法（试行）》 《创业板上市公司持续监管办法（试行）》和《证券发行上市保荐业务 管理办法》，配套制定、修订了《创业板首次公开发行证券发行与承销 特别规定》《公开发行证券的公司信息披露内容与格式准则第 28 号— —创业板公司招股说明书》等六部规范性文件。深交所发布 8 项主要 业务规则及 18 项配套细则、指引和通知，涉及首发审核类、再融资和 并购重组审核类、持续监管类、发行承销类、交易类等五个方面；证 券业</w:t>
      </w:r>
      <w:r>
        <w:rPr>
          <w:rFonts w:ascii="宋体" w:hAnsi="宋体" w:cs="宋体" w:hint="eastAsia"/>
          <w:sz w:val="24"/>
        </w:rPr>
        <w:lastRenderedPageBreak/>
        <w:t xml:space="preserve">协会制定了有关创业板发行承销的自律规则；中国结算制定、修 订了登记结算、转融通等方面的业务规则。 </w:t>
      </w:r>
    </w:p>
    <w:p w14:paraId="75FAD91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财政部印发通知加强注册会计师行业联合监管 为贯彻落实习近平总书记关于完善党和国家监督体系的重要指示 精神，加强财会监督工作，使注册会计师行业行政监管和行业自律有 机融合、协同推进，把注册会计师行业监管制度优势更好转化为治理 效能，促进注册会计师行业持续健康发展，财政部于 2020 年 4 月 22 日发布《关于印发&lt;加强注册会计师行业联合监管若干措施〉的通知》。 </w:t>
      </w:r>
    </w:p>
    <w:p w14:paraId="33665A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财政部发布新冠肺炎疫情相关租金减让会计处理规定 为配合国务院及相关部门关于推动服务业小微企业和个体工商户 等租金减免政策的落实，简化新冠肺炎疫情相关租金减让的会计处理， 减轻企业负担，财政部于 2020 年 6 月 19 日发布《关于印发&lt;新冠肺炎 疫情相关租金减让会计处理规定&gt;的通知》。 </w:t>
      </w:r>
    </w:p>
    <w:p w14:paraId="78A744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国资委印发中央企业控股上市公司实施股权激励工作指引 为深入贯彻落实党中央、国务院关于深化国有企业改革、强化正 向激励的决策部署，指导中央企业控股上市公司规范实施股权激励， 国资委于 2020 年 4 月 23 日发布《关于印发&lt;中央企业控股上市公司实 施股权激励工作指引&gt;的通知》。 </w:t>
      </w:r>
    </w:p>
    <w:p w14:paraId="43EBE6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证监会制定红筹企业财务报告信息规定，中注协修订红筹企业财务 报告差异调节信息和补充财务信息审计指引 为规范适用注册制公开发行证券并上市的创新试点红筹企业财务 信息披露行为，2020 年 4 月 28 日，证监会发布《公开发行证券的公司 信息披露编报规则第24号——注册制下创新试点红筹企业财务报告信 息特别规定》。2020 年 6 月 17 日，中注协印发《注册制下创新试点红 筹企业财务报告差异调节信息和补充财务信息审计指引》，配合全面推 行注册制，将审计指引的适用范围由科创板创新试点红筹企业扩大到 所有注册制下的创新试点红筹企业。 </w:t>
      </w:r>
    </w:p>
    <w:p w14:paraId="4C079B9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IESBA 发布关于在新冠肺炎疫情下强化对职业道德和独立性考虑的 问题解答 为应对在新冠肺炎疫情下国际会计师职业道德守则（包括国际独 立性标准）中职业道德和独立性所面临的挑战和风险，国际会计师职 业道德准则理事会（IESBA）于 2020 年 5 月 8 日发布《在新冠肺炎疫 情下对职业道德和独立性考虑的问题解答》。 </w:t>
      </w:r>
    </w:p>
    <w:p w14:paraId="5AE7F8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【新《证券法》及配套规则系列专题之一：勤勉尽责、信息披露义务】 为提高审计评估中介机构对新《证券法》的了解掌握，培养法律 意识和法治观念，本年度</w:t>
      </w:r>
      <w:r>
        <w:rPr>
          <w:rFonts w:ascii="宋体" w:hAnsi="宋体" w:cs="宋体" w:hint="eastAsia"/>
          <w:sz w:val="24"/>
        </w:rPr>
        <w:lastRenderedPageBreak/>
        <w:t xml:space="preserve">我局在开展新《证券法》系列宣传学习专题。 上一期，我局传达新《证券法》变化及监管新要求、对首次从业所进 行监管提示。自本期开始，分为 3 个专题，梳理新《证券法》等证券 期货法规以及交易所规则，归纳审计评估机构从事证券服务业务的具 体要求。 </w:t>
      </w:r>
    </w:p>
    <w:p w14:paraId="103D8C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勤勉尽责义务 </w:t>
      </w:r>
    </w:p>
    <w:p w14:paraId="2431B2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证券服务机构应当勤勉尽责、恪尽职守，按照相关业务规则提供 服务，保证所出具的文件真实性、准确性和完整性。 </w:t>
      </w:r>
    </w:p>
    <w:p w14:paraId="219C7690" w14:textId="5FCFCB7E"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《证券法》</w:t>
      </w:r>
      <w:r w:rsidR="00EC0B72" w:rsidRPr="00C91D92">
        <w:rPr>
          <w:rFonts w:ascii="宋体" w:hAnsi="宋体" w:cs="宋体" w:hint="eastAsia"/>
          <w:sz w:val="24"/>
        </w:rPr>
        <w:t>第十九条</w:t>
      </w:r>
      <w:r w:rsidRPr="00C91D92">
        <w:rPr>
          <w:rFonts w:ascii="宋体" w:hAnsi="宋体" w:cs="宋体" w:hint="eastAsia"/>
          <w:sz w:val="24"/>
        </w:rPr>
        <w:t>、第一百六</w:t>
      </w:r>
      <w:r w:rsidR="00A45A13" w:rsidRPr="00C91D92">
        <w:rPr>
          <w:rFonts w:ascii="宋体" w:hAnsi="宋体" w:cs="宋体" w:hint="eastAsia"/>
          <w:sz w:val="24"/>
        </w:rPr>
        <w:t>十条</w:t>
      </w:r>
      <w:r w:rsidRPr="00C91D92">
        <w:rPr>
          <w:rFonts w:ascii="宋体" w:hAnsi="宋体" w:cs="宋体" w:hint="eastAsia"/>
          <w:sz w:val="24"/>
        </w:rPr>
        <w:t>、第一百六十</w:t>
      </w:r>
      <w:r w:rsidR="00C36EF7" w:rsidRPr="00C91D92">
        <w:rPr>
          <w:rFonts w:ascii="宋体" w:hAnsi="宋体" w:cs="宋体" w:hint="eastAsia"/>
          <w:sz w:val="24"/>
        </w:rPr>
        <w:t>三条</w:t>
      </w:r>
    </w:p>
    <w:p w14:paraId="0A7D3EE5" w14:textId="7D83D2E9"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《证券投资基金法》第一百零</w:t>
      </w:r>
      <w:r w:rsidR="00A45A13" w:rsidRPr="00C91D92">
        <w:rPr>
          <w:rFonts w:ascii="宋体" w:hAnsi="宋体" w:cs="宋体" w:hint="eastAsia"/>
          <w:sz w:val="24"/>
        </w:rPr>
        <w:t xml:space="preserve">六条 </w:t>
      </w:r>
    </w:p>
    <w:p w14:paraId="01E27CBC" w14:textId="4843D33A"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《首次公开发行股票并上市管理办法》</w:t>
      </w:r>
      <w:r w:rsidR="00977BD5" w:rsidRPr="00C91D92">
        <w:rPr>
          <w:rFonts w:ascii="宋体" w:hAnsi="宋体" w:cs="宋体" w:hint="eastAsia"/>
          <w:sz w:val="24"/>
        </w:rPr>
        <w:t>第六条</w:t>
      </w:r>
    </w:p>
    <w:p w14:paraId="68D7EBD8" w14:textId="6D0B2E3C"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《上市公司证券发行管理办法》</w:t>
      </w:r>
      <w:r w:rsidR="00B74663" w:rsidRPr="00C91D92">
        <w:rPr>
          <w:rFonts w:ascii="宋体" w:hAnsi="宋体" w:cs="宋体" w:hint="eastAsia"/>
          <w:sz w:val="24"/>
        </w:rPr>
        <w:t>第五十八条</w:t>
      </w:r>
    </w:p>
    <w:p w14:paraId="3E7FBC7A" w14:textId="41BE9AC2"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《上市公司重大资产重组管理办法》</w:t>
      </w:r>
      <w:r w:rsidR="00977BD5" w:rsidRPr="00C91D92">
        <w:rPr>
          <w:rFonts w:ascii="宋体" w:hAnsi="宋体" w:cs="宋体" w:hint="eastAsia"/>
          <w:sz w:val="24"/>
        </w:rPr>
        <w:t>第六条</w:t>
      </w:r>
      <w:r w:rsidRPr="00C91D92">
        <w:rPr>
          <w:rFonts w:ascii="宋体" w:hAnsi="宋体" w:cs="宋体" w:hint="eastAsia"/>
          <w:sz w:val="24"/>
        </w:rPr>
        <w:t>、</w:t>
      </w:r>
      <w:r w:rsidR="00EC0B72" w:rsidRPr="00C91D92">
        <w:rPr>
          <w:rFonts w:ascii="宋体" w:hAnsi="宋体" w:cs="宋体" w:hint="eastAsia"/>
          <w:sz w:val="24"/>
        </w:rPr>
        <w:t>第十七条</w:t>
      </w:r>
      <w:r w:rsidR="00A45A13" w:rsidRPr="00C91D92">
        <w:rPr>
          <w:rFonts w:ascii="宋体" w:hAnsi="宋体" w:cs="宋体" w:hint="eastAsia"/>
          <w:sz w:val="24"/>
        </w:rPr>
        <w:t xml:space="preserve"> </w:t>
      </w:r>
    </w:p>
    <w:p w14:paraId="456E5A3A" w14:textId="44DE3F1A"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《上市公司收购管理办法》</w:t>
      </w:r>
      <w:r w:rsidR="00977BD5" w:rsidRPr="00C91D92">
        <w:rPr>
          <w:rFonts w:ascii="宋体" w:hAnsi="宋体" w:cs="宋体" w:hint="eastAsia"/>
          <w:sz w:val="24"/>
        </w:rPr>
        <w:t>第九条</w:t>
      </w:r>
      <w:r w:rsidR="00A45A13" w:rsidRPr="00C91D92">
        <w:rPr>
          <w:rFonts w:ascii="宋体" w:hAnsi="宋体" w:cs="宋体" w:hint="eastAsia"/>
          <w:sz w:val="24"/>
        </w:rPr>
        <w:t xml:space="preserve"> </w:t>
      </w:r>
    </w:p>
    <w:p w14:paraId="35884EF8" w14:textId="4E978CFE"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《上市公司信息披露管理办法》</w:t>
      </w:r>
      <w:r w:rsidR="00B74663" w:rsidRPr="00C91D92">
        <w:rPr>
          <w:rFonts w:ascii="宋体" w:hAnsi="宋体" w:cs="宋体" w:hint="eastAsia"/>
          <w:sz w:val="24"/>
        </w:rPr>
        <w:t>第五十二条</w:t>
      </w:r>
      <w:r w:rsidR="00C36EF7" w:rsidRPr="00C91D92">
        <w:rPr>
          <w:rFonts w:ascii="宋体" w:hAnsi="宋体" w:cs="宋体" w:hint="eastAsia"/>
          <w:sz w:val="24"/>
        </w:rPr>
        <w:t xml:space="preserve"> </w:t>
      </w:r>
    </w:p>
    <w:p w14:paraId="494A4926" w14:textId="01E78EEB"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《关于在上海证券交易所设立科创板并试点注册制的实施意见》</w:t>
      </w:r>
      <w:r w:rsidR="00977BD5" w:rsidRPr="00C91D92">
        <w:rPr>
          <w:rFonts w:ascii="宋体" w:hAnsi="宋体" w:cs="宋体" w:hint="eastAsia"/>
          <w:sz w:val="24"/>
        </w:rPr>
        <w:t>第五条</w:t>
      </w:r>
      <w:r w:rsidR="00A45A13" w:rsidRPr="00C91D92">
        <w:rPr>
          <w:rFonts w:ascii="宋体" w:hAnsi="宋体" w:cs="宋体" w:hint="eastAsia"/>
          <w:sz w:val="24"/>
        </w:rPr>
        <w:t xml:space="preserve"> </w:t>
      </w:r>
    </w:p>
    <w:p w14:paraId="41E51477" w14:textId="36B893D2"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《科创板首次公开发行股票注册管理办法（试行）》</w:t>
      </w:r>
      <w:r w:rsidR="00977BD5" w:rsidRPr="00C91D92">
        <w:rPr>
          <w:rFonts w:ascii="宋体" w:hAnsi="宋体" w:cs="宋体" w:hint="eastAsia"/>
          <w:sz w:val="24"/>
        </w:rPr>
        <w:t>第七条</w:t>
      </w:r>
      <w:r w:rsidR="00A45A13" w:rsidRPr="00C91D92">
        <w:rPr>
          <w:rFonts w:ascii="宋体" w:hAnsi="宋体" w:cs="宋体" w:hint="eastAsia"/>
          <w:sz w:val="24"/>
        </w:rPr>
        <w:t xml:space="preserve"> </w:t>
      </w:r>
    </w:p>
    <w:p w14:paraId="0C4EF505" w14:textId="759386A0"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《创业板首次公开发行股票注册管理办法（试行）》</w:t>
      </w:r>
      <w:r w:rsidR="00977BD5" w:rsidRPr="00C91D92">
        <w:rPr>
          <w:rFonts w:ascii="宋体" w:hAnsi="宋体" w:cs="宋体" w:hint="eastAsia"/>
          <w:sz w:val="24"/>
        </w:rPr>
        <w:t>第七条</w:t>
      </w:r>
      <w:r w:rsidR="00A45A13" w:rsidRPr="00C91D92">
        <w:rPr>
          <w:rFonts w:ascii="宋体" w:hAnsi="宋体" w:cs="宋体" w:hint="eastAsia"/>
          <w:sz w:val="24"/>
        </w:rPr>
        <w:t xml:space="preserve"> </w:t>
      </w:r>
    </w:p>
    <w:p w14:paraId="4C1A87D9" w14:textId="60F9AFA7"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《创业板上市公司证券发行注册管理办法（试行）》</w:t>
      </w:r>
      <w:r w:rsidR="00977BD5" w:rsidRPr="00C91D92">
        <w:rPr>
          <w:rFonts w:ascii="宋体" w:hAnsi="宋体" w:cs="宋体" w:hint="eastAsia"/>
          <w:sz w:val="24"/>
        </w:rPr>
        <w:t>第七条</w:t>
      </w:r>
      <w:r w:rsidRPr="00C91D92">
        <w:rPr>
          <w:rFonts w:ascii="宋体" w:hAnsi="宋体" w:cs="宋体" w:hint="eastAsia"/>
          <w:sz w:val="24"/>
        </w:rPr>
        <w:t>、</w:t>
      </w:r>
      <w:r w:rsidR="00EC0B72" w:rsidRPr="00C91D92">
        <w:rPr>
          <w:rFonts w:ascii="宋体" w:hAnsi="宋体" w:cs="宋体" w:hint="eastAsia"/>
          <w:sz w:val="24"/>
        </w:rPr>
        <w:t>第四十六条</w:t>
      </w:r>
      <w:r w:rsidR="00A45A13" w:rsidRPr="00C91D92">
        <w:rPr>
          <w:rFonts w:ascii="宋体" w:hAnsi="宋体" w:cs="宋体" w:hint="eastAsia"/>
          <w:sz w:val="24"/>
        </w:rPr>
        <w:t xml:space="preserve"> </w:t>
      </w:r>
    </w:p>
    <w:p w14:paraId="30DA712A" w14:textId="65D47D3F"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《非上市公众公司监督管理办法》</w:t>
      </w:r>
      <w:r w:rsidR="00977BD5" w:rsidRPr="00C91D92">
        <w:rPr>
          <w:rFonts w:ascii="宋体" w:hAnsi="宋体" w:cs="宋体" w:hint="eastAsia"/>
          <w:sz w:val="24"/>
        </w:rPr>
        <w:t>第六条</w:t>
      </w:r>
      <w:r w:rsidRPr="00C91D92">
        <w:rPr>
          <w:rFonts w:ascii="宋体" w:hAnsi="宋体" w:cs="宋体" w:hint="eastAsia"/>
          <w:sz w:val="24"/>
        </w:rPr>
        <w:t>、第七十</w:t>
      </w:r>
      <w:r w:rsidR="00A45A13" w:rsidRPr="00C91D92">
        <w:rPr>
          <w:rFonts w:ascii="宋体" w:hAnsi="宋体" w:cs="宋体" w:hint="eastAsia"/>
          <w:sz w:val="24"/>
        </w:rPr>
        <w:t xml:space="preserve">六条 </w:t>
      </w:r>
    </w:p>
    <w:p w14:paraId="47343039" w14:textId="7E3747CF"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《非上市公众公司重大资产重组管理办法》</w:t>
      </w:r>
      <w:r w:rsidR="00977BD5" w:rsidRPr="00C91D92">
        <w:rPr>
          <w:rFonts w:ascii="宋体" w:hAnsi="宋体" w:cs="宋体" w:hint="eastAsia"/>
          <w:sz w:val="24"/>
        </w:rPr>
        <w:t>第六条</w:t>
      </w:r>
      <w:r w:rsidR="00A45A13" w:rsidRPr="00C91D92">
        <w:rPr>
          <w:rFonts w:ascii="宋体" w:hAnsi="宋体" w:cs="宋体" w:hint="eastAsia"/>
          <w:sz w:val="24"/>
        </w:rPr>
        <w:t xml:space="preserve"> </w:t>
      </w:r>
    </w:p>
    <w:p w14:paraId="382ADDFD" w14:textId="13280C1A"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《非上市公众公司收购管理办法》</w:t>
      </w:r>
      <w:r w:rsidR="00977BD5" w:rsidRPr="00C91D92">
        <w:rPr>
          <w:rFonts w:ascii="宋体" w:hAnsi="宋体" w:cs="宋体" w:hint="eastAsia"/>
          <w:sz w:val="24"/>
        </w:rPr>
        <w:t>第九条</w:t>
      </w:r>
      <w:r w:rsidR="00A45A13" w:rsidRPr="00C91D92">
        <w:rPr>
          <w:rFonts w:ascii="宋体" w:hAnsi="宋体" w:cs="宋体" w:hint="eastAsia"/>
          <w:sz w:val="24"/>
        </w:rPr>
        <w:t xml:space="preserve"> </w:t>
      </w:r>
    </w:p>
    <w:p w14:paraId="5F93003C" w14:textId="29643B21"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《非上市公众公司信息披露管理办法》</w:t>
      </w:r>
      <w:r w:rsidR="00EC0B72" w:rsidRPr="00C91D92">
        <w:rPr>
          <w:rFonts w:ascii="宋体" w:hAnsi="宋体" w:cs="宋体" w:hint="eastAsia"/>
          <w:sz w:val="24"/>
        </w:rPr>
        <w:t>第四十四条</w:t>
      </w:r>
      <w:r w:rsidR="00A45A13" w:rsidRPr="00C91D92">
        <w:rPr>
          <w:rFonts w:ascii="宋体" w:hAnsi="宋体" w:cs="宋体" w:hint="eastAsia"/>
          <w:sz w:val="24"/>
        </w:rPr>
        <w:t xml:space="preserve"> </w:t>
      </w:r>
    </w:p>
    <w:p w14:paraId="257CE9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《非上市公众公司监管指引第 5 号——精选层挂牌公司持续监管指引（试行）》六（四） </w:t>
      </w:r>
    </w:p>
    <w:p w14:paraId="44043BE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证券服务机构未勤勉尽责，致使发行人信息披露资料中与其职责 有关的内容及其所出具的文件存在虚假记载、误导性陈述或者重大遗 漏的，中国证监会视情节轻重，对相关单位及其责任人员采取不接受 证券发行/并购重组专项文件、责令改正、监管谈话、出具警示函、责 令公开说明、责令定期报告、记入诚信档案等监管措施；或者采取市 场禁入措施。 </w:t>
      </w:r>
    </w:p>
    <w:p w14:paraId="717A297C" w14:textId="7C6488C0"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lastRenderedPageBreak/>
        <w:t>《首次公开发行股票并上市管理办法》</w:t>
      </w:r>
      <w:r w:rsidR="00B74663" w:rsidRPr="00C91D92">
        <w:rPr>
          <w:rFonts w:ascii="宋体" w:hAnsi="宋体" w:cs="宋体" w:hint="eastAsia"/>
          <w:sz w:val="24"/>
        </w:rPr>
        <w:t>第五十四条</w:t>
      </w:r>
      <w:r w:rsidR="00A45A13" w:rsidRPr="00C91D92">
        <w:rPr>
          <w:rFonts w:ascii="宋体" w:hAnsi="宋体" w:cs="宋体" w:hint="eastAsia"/>
          <w:sz w:val="24"/>
        </w:rPr>
        <w:t xml:space="preserve"> </w:t>
      </w:r>
    </w:p>
    <w:p w14:paraId="769678D3" w14:textId="0B8B6DED"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《上市公司证券发行管理办法》</w:t>
      </w:r>
      <w:r w:rsidR="00B74663" w:rsidRPr="00C91D92">
        <w:rPr>
          <w:rFonts w:ascii="宋体" w:hAnsi="宋体" w:cs="宋体" w:hint="eastAsia"/>
          <w:sz w:val="24"/>
        </w:rPr>
        <w:t>第六十九条</w:t>
      </w:r>
      <w:r w:rsidR="00A45A13" w:rsidRPr="00C91D92">
        <w:rPr>
          <w:rFonts w:ascii="宋体" w:hAnsi="宋体" w:cs="宋体" w:hint="eastAsia"/>
          <w:sz w:val="24"/>
        </w:rPr>
        <w:t xml:space="preserve"> </w:t>
      </w:r>
    </w:p>
    <w:p w14:paraId="05A61D62" w14:textId="07D2852C"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《上市公司重大资产重组管理办法》</w:t>
      </w:r>
      <w:r w:rsidR="00B74663" w:rsidRPr="00C91D92">
        <w:rPr>
          <w:rFonts w:ascii="宋体" w:hAnsi="宋体" w:cs="宋体" w:hint="eastAsia"/>
          <w:sz w:val="24"/>
        </w:rPr>
        <w:t>第五十八条</w:t>
      </w:r>
      <w:r w:rsidR="00A45A13" w:rsidRPr="00C91D92">
        <w:rPr>
          <w:rFonts w:ascii="宋体" w:hAnsi="宋体" w:cs="宋体" w:hint="eastAsia"/>
          <w:sz w:val="24"/>
        </w:rPr>
        <w:t xml:space="preserve"> </w:t>
      </w:r>
    </w:p>
    <w:p w14:paraId="50C1ED47" w14:textId="2C3DDD05"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《上市公司收购管理办法》第八十</w:t>
      </w:r>
      <w:r w:rsidR="00C36EF7" w:rsidRPr="00C91D92">
        <w:rPr>
          <w:rFonts w:ascii="宋体" w:hAnsi="宋体" w:cs="宋体" w:hint="eastAsia"/>
          <w:sz w:val="24"/>
        </w:rPr>
        <w:t xml:space="preserve">一条 </w:t>
      </w:r>
    </w:p>
    <w:p w14:paraId="3AB88ADE" w14:textId="28620017"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《上市公司信息披露管理办法》</w:t>
      </w:r>
      <w:r w:rsidR="00B74663" w:rsidRPr="00C91D92">
        <w:rPr>
          <w:rFonts w:ascii="宋体" w:hAnsi="宋体" w:cs="宋体" w:hint="eastAsia"/>
          <w:sz w:val="24"/>
        </w:rPr>
        <w:t>第六十五条</w:t>
      </w:r>
      <w:r w:rsidR="00A45A13" w:rsidRPr="00C91D92">
        <w:rPr>
          <w:rFonts w:ascii="宋体" w:hAnsi="宋体" w:cs="宋体" w:hint="eastAsia"/>
          <w:sz w:val="24"/>
        </w:rPr>
        <w:t xml:space="preserve"> </w:t>
      </w:r>
    </w:p>
    <w:p w14:paraId="54B44AD4" w14:textId="23D5C317"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《科创板首次公开发行股票注册管理办法（试行）》第七十</w:t>
      </w:r>
      <w:r w:rsidR="00C36EF7" w:rsidRPr="00C91D92">
        <w:rPr>
          <w:rFonts w:ascii="宋体" w:hAnsi="宋体" w:cs="宋体" w:hint="eastAsia"/>
          <w:sz w:val="24"/>
        </w:rPr>
        <w:t>一条</w:t>
      </w:r>
      <w:r w:rsidRPr="00C91D92">
        <w:rPr>
          <w:rFonts w:ascii="宋体" w:hAnsi="宋体" w:cs="宋体" w:hint="eastAsia"/>
          <w:sz w:val="24"/>
        </w:rPr>
        <w:t>、第七十</w:t>
      </w:r>
      <w:r w:rsidR="00A45A13" w:rsidRPr="00C91D92">
        <w:rPr>
          <w:rFonts w:ascii="宋体" w:hAnsi="宋体" w:cs="宋体" w:hint="eastAsia"/>
          <w:sz w:val="24"/>
        </w:rPr>
        <w:t xml:space="preserve">五条 </w:t>
      </w:r>
    </w:p>
    <w:p w14:paraId="23A77B3D" w14:textId="5AA9FDBB"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《创业板首次公开发行股票注册管理办法（试行）》</w:t>
      </w:r>
      <w:r w:rsidR="00B74663" w:rsidRPr="00C91D92">
        <w:rPr>
          <w:rFonts w:ascii="宋体" w:hAnsi="宋体" w:cs="宋体" w:hint="eastAsia"/>
          <w:sz w:val="24"/>
        </w:rPr>
        <w:t>第六十六条</w:t>
      </w:r>
      <w:r w:rsidRPr="00C91D92">
        <w:rPr>
          <w:rFonts w:ascii="宋体" w:hAnsi="宋体" w:cs="宋体" w:hint="eastAsia"/>
          <w:sz w:val="24"/>
        </w:rPr>
        <w:t>、</w:t>
      </w:r>
      <w:r w:rsidR="00B74663" w:rsidRPr="00C91D92">
        <w:rPr>
          <w:rFonts w:ascii="宋体" w:hAnsi="宋体" w:cs="宋体" w:hint="eastAsia"/>
          <w:sz w:val="24"/>
        </w:rPr>
        <w:t>第六十八条</w:t>
      </w:r>
      <w:r w:rsidR="00A45A13" w:rsidRPr="00C91D92">
        <w:rPr>
          <w:rFonts w:ascii="宋体" w:hAnsi="宋体" w:cs="宋体" w:hint="eastAsia"/>
          <w:sz w:val="24"/>
        </w:rPr>
        <w:t xml:space="preserve"> </w:t>
      </w:r>
    </w:p>
    <w:p w14:paraId="6B2F8CED" w14:textId="2DBB4745"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《创业板上市公司证券发行注册管理办法（试行）》第七十</w:t>
      </w:r>
      <w:r w:rsidR="00A45A13" w:rsidRPr="00C91D92">
        <w:rPr>
          <w:rFonts w:ascii="宋体" w:hAnsi="宋体" w:cs="宋体" w:hint="eastAsia"/>
          <w:sz w:val="24"/>
        </w:rPr>
        <w:t xml:space="preserve">九条 </w:t>
      </w:r>
    </w:p>
    <w:p w14:paraId="1A3E6207" w14:textId="266CA194"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《非上市公众公司监督管理办法》第八十</w:t>
      </w:r>
      <w:r w:rsidR="00A45A13" w:rsidRPr="00C91D92">
        <w:rPr>
          <w:rFonts w:ascii="宋体" w:hAnsi="宋体" w:cs="宋体" w:hint="eastAsia"/>
          <w:sz w:val="24"/>
        </w:rPr>
        <w:t xml:space="preserve">七条 </w:t>
      </w:r>
    </w:p>
    <w:p w14:paraId="664358D1" w14:textId="59EE86C9"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《非上市公众公司重大资产重组管理办法》</w:t>
      </w:r>
      <w:r w:rsidR="00EC0B72" w:rsidRPr="00C91D92">
        <w:rPr>
          <w:rFonts w:ascii="宋体" w:hAnsi="宋体" w:cs="宋体" w:hint="eastAsia"/>
          <w:sz w:val="24"/>
        </w:rPr>
        <w:t>第三十二条</w:t>
      </w:r>
      <w:r w:rsidR="00C36EF7" w:rsidRPr="00C91D92">
        <w:rPr>
          <w:rFonts w:ascii="宋体" w:hAnsi="宋体" w:cs="宋体" w:hint="eastAsia"/>
          <w:sz w:val="24"/>
        </w:rPr>
        <w:t xml:space="preserve"> </w:t>
      </w:r>
    </w:p>
    <w:p w14:paraId="40B3458F" w14:textId="73956DC5"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《非上市公众公司收购管理办法》</w:t>
      </w:r>
      <w:r w:rsidR="00EC0B72" w:rsidRPr="00C91D92">
        <w:rPr>
          <w:rFonts w:ascii="宋体" w:hAnsi="宋体" w:cs="宋体" w:hint="eastAsia"/>
          <w:sz w:val="24"/>
        </w:rPr>
        <w:t>第三十五条</w:t>
      </w:r>
      <w:r w:rsidR="00A45A13" w:rsidRPr="00C91D92">
        <w:rPr>
          <w:rFonts w:ascii="宋体" w:hAnsi="宋体" w:cs="宋体" w:hint="eastAsia"/>
          <w:sz w:val="24"/>
        </w:rPr>
        <w:t xml:space="preserve"> </w:t>
      </w:r>
    </w:p>
    <w:p w14:paraId="38804D8D" w14:textId="57CBE212"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《非上市公众公司信息披露管理办法》</w:t>
      </w:r>
      <w:r w:rsidR="00B74663" w:rsidRPr="00C91D92">
        <w:rPr>
          <w:rFonts w:ascii="宋体" w:hAnsi="宋体" w:cs="宋体" w:hint="eastAsia"/>
          <w:sz w:val="24"/>
        </w:rPr>
        <w:t>第五十一条</w:t>
      </w:r>
      <w:r w:rsidR="00C36EF7" w:rsidRPr="00C91D92">
        <w:rPr>
          <w:rFonts w:ascii="宋体" w:hAnsi="宋体" w:cs="宋体" w:hint="eastAsia"/>
          <w:sz w:val="24"/>
        </w:rPr>
        <w:t xml:space="preserve"> </w:t>
      </w:r>
    </w:p>
    <w:p w14:paraId="2D2BE274" w14:textId="52BACECB"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《证券法》第二百一十</w:t>
      </w:r>
      <w:r w:rsidR="00C36EF7">
        <w:rPr>
          <w:rFonts w:ascii="宋体" w:hAnsi="宋体" w:cs="宋体" w:hint="eastAsia"/>
          <w:sz w:val="24"/>
        </w:rPr>
        <w:t xml:space="preserve">三条 </w:t>
      </w:r>
      <w:r>
        <w:rPr>
          <w:rFonts w:ascii="宋体" w:hAnsi="宋体" w:cs="宋体" w:hint="eastAsia"/>
          <w:sz w:val="24"/>
        </w:rPr>
        <w:t xml:space="preserve">第三款 证券服务机构未勤勉尽责， 所制作、出具的文件有虚假记载、误导性陈述或者重大遗漏的，责令 改正，没收业务收入，并处以业务收入一倍以上十倍以下的罚款，没 有业务收入或者业务收入不足五十万元的，处以五十万元以上五百万 元以下的罚款；情节严重的，并处暂停或者禁止从事证券服务业务。 对直接负责的主管人员和其他直接责任人员给予警告，并处以二十万 元以上二百万元以下的罚款。 </w:t>
      </w:r>
    </w:p>
    <w:p w14:paraId="079B59E1" w14:textId="3D29BC5F"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《证券投资基金法》第一百四十</w:t>
      </w:r>
      <w:r w:rsidR="00C36EF7">
        <w:rPr>
          <w:rFonts w:ascii="宋体" w:hAnsi="宋体" w:cs="宋体" w:hint="eastAsia"/>
          <w:sz w:val="24"/>
        </w:rPr>
        <w:t xml:space="preserve">三条 </w:t>
      </w:r>
      <w:r>
        <w:rPr>
          <w:rFonts w:ascii="宋体" w:hAnsi="宋体" w:cs="宋体" w:hint="eastAsia"/>
          <w:sz w:val="24"/>
        </w:rPr>
        <w:t xml:space="preserve">会计师事务所、律师事务 所未勤勉尽责，所出具的文件有虚假记载、误导性陈述或者重大遗漏 的，责令改正，没收业务收入，暂停或者撤销相关业务许可，并处业 务收入一倍以上五倍以下罚款。对直接负责的主管人员和其他直接责 任人员给予警告，并处三万元以上十万元以下罚款。 </w:t>
      </w:r>
    </w:p>
    <w:p w14:paraId="6DD3C921" w14:textId="0440D25A" w:rsidR="00A320E6" w:rsidRDefault="00000000" w:rsidP="00AE0286">
      <w:pPr>
        <w:pStyle w:val="a3"/>
        <w:spacing w:line="360" w:lineRule="auto"/>
        <w:ind w:firstLine="480"/>
        <w:rPr>
          <w:rFonts w:ascii="宋体" w:hAnsi="宋体" w:cs="宋体"/>
          <w:sz w:val="24"/>
        </w:rPr>
      </w:pPr>
      <w:r>
        <w:rPr>
          <w:rFonts w:ascii="宋体" w:hAnsi="宋体" w:cs="宋体" w:hint="eastAsia"/>
          <w:sz w:val="24"/>
        </w:rPr>
        <w:t>《刑法》第二百二十</w:t>
      </w:r>
      <w:r w:rsidR="00A45A13">
        <w:rPr>
          <w:rFonts w:ascii="宋体" w:hAnsi="宋体" w:cs="宋体" w:hint="eastAsia"/>
          <w:sz w:val="24"/>
        </w:rPr>
        <w:t xml:space="preserve">九条 </w:t>
      </w:r>
      <w:r>
        <w:rPr>
          <w:rFonts w:ascii="宋体" w:hAnsi="宋体" w:cs="宋体" w:hint="eastAsia"/>
          <w:sz w:val="24"/>
        </w:rPr>
        <w:t xml:space="preserve">承担资产评估、验资、验证、会计、 审计、法律服务等职责的中介组织的人员故意提供虚假证明文件，情 节严重的，处五年以下有期徒刑或者拘役，并处罚金。 </w:t>
      </w:r>
    </w:p>
    <w:p w14:paraId="70D7E0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前款规定的人员，索取他人财物或者非法收受他人财物，犯前款罪的，处五年以上十年以下有期徒刑，并处罚金。 </w:t>
      </w:r>
    </w:p>
    <w:p w14:paraId="24C34C2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第一款规定的人员，严重不负责任，出具的证明文件有重大失实，造成严重后果的，处三年以下有期徒刑或者拘役，并处或者单处罚金。 </w:t>
      </w:r>
    </w:p>
    <w:p w14:paraId="734C1CB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 xml:space="preserve">信息披露义务 </w:t>
      </w:r>
    </w:p>
    <w:p w14:paraId="49F7C346" w14:textId="396A2AFF"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证券服务机构出具的有关文件应当作为招股说明书的备查文件/附件，在中国在证监会（指定的）网站上披露，以备公众查阅。</w:t>
      </w:r>
    </w:p>
    <w:p w14:paraId="410B1FE2" w14:textId="4B978DAE"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《首次公开发行股票并上市管理办法》</w:t>
      </w:r>
      <w:r w:rsidR="00B74663" w:rsidRPr="00C91D92">
        <w:rPr>
          <w:rFonts w:ascii="宋体" w:hAnsi="宋体" w:cs="宋体" w:hint="eastAsia"/>
          <w:sz w:val="24"/>
        </w:rPr>
        <w:t>第五十条</w:t>
      </w:r>
      <w:r w:rsidRPr="00C91D92">
        <w:rPr>
          <w:rFonts w:ascii="宋体" w:hAnsi="宋体" w:cs="宋体" w:hint="eastAsia"/>
          <w:sz w:val="24"/>
        </w:rPr>
        <w:t>《科创板首次公开发行股票注册管理办法（试行）》</w:t>
      </w:r>
      <w:r w:rsidR="00EC0B72" w:rsidRPr="00C91D92">
        <w:rPr>
          <w:rFonts w:ascii="宋体" w:hAnsi="宋体" w:cs="宋体" w:hint="eastAsia"/>
          <w:sz w:val="24"/>
        </w:rPr>
        <w:t>第四十八条</w:t>
      </w:r>
      <w:r w:rsidR="00A45A13" w:rsidRPr="00C91D92">
        <w:rPr>
          <w:rFonts w:ascii="宋体" w:hAnsi="宋体" w:cs="宋体" w:hint="eastAsia"/>
          <w:sz w:val="24"/>
        </w:rPr>
        <w:t xml:space="preserve"> </w:t>
      </w:r>
    </w:p>
    <w:p w14:paraId="62D2F791" w14:textId="10232215"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《创业板首次公开发行股票注册管理办法（试行）》</w:t>
      </w:r>
      <w:r w:rsidR="00EC0B72" w:rsidRPr="00C91D92">
        <w:rPr>
          <w:rFonts w:ascii="宋体" w:hAnsi="宋体" w:cs="宋体" w:hint="eastAsia"/>
          <w:sz w:val="24"/>
        </w:rPr>
        <w:t>第四十七条</w:t>
      </w:r>
      <w:r w:rsidRPr="00C91D92">
        <w:rPr>
          <w:rFonts w:ascii="宋体" w:hAnsi="宋体" w:cs="宋体" w:hint="eastAsia"/>
          <w:sz w:val="24"/>
        </w:rPr>
        <w:t>、</w:t>
      </w:r>
      <w:r w:rsidR="00EC0B72" w:rsidRPr="00C91D92">
        <w:rPr>
          <w:rFonts w:ascii="宋体" w:hAnsi="宋体" w:cs="宋体" w:hint="eastAsia"/>
          <w:sz w:val="24"/>
        </w:rPr>
        <w:t>第四十八条</w:t>
      </w:r>
      <w:r w:rsidRPr="00C91D92">
        <w:rPr>
          <w:rFonts w:ascii="宋体" w:hAnsi="宋体" w:cs="宋体" w:hint="eastAsia"/>
          <w:sz w:val="24"/>
        </w:rPr>
        <w:t xml:space="preserve">发行人或上市公司披露盈利预测的，利润实现数如未达到盈利预测的80％，除因不可抗力外，承担相应责任的会计师事务所、资产评估机构及其从业人员应当在股东大会及中国证监会指定报刊上公开作出解释并道歉。 </w:t>
      </w:r>
    </w:p>
    <w:p w14:paraId="5270670B" w14:textId="7C2D47CC"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《首次公开发行股票并上市管理办法》</w:t>
      </w:r>
      <w:r w:rsidR="00B74663" w:rsidRPr="00C91D92">
        <w:rPr>
          <w:rFonts w:ascii="宋体" w:hAnsi="宋体" w:cs="宋体" w:hint="eastAsia"/>
          <w:sz w:val="24"/>
        </w:rPr>
        <w:t>第五十七条</w:t>
      </w:r>
      <w:r w:rsidRPr="00C91D92">
        <w:rPr>
          <w:rFonts w:ascii="宋体" w:hAnsi="宋体" w:cs="宋体" w:hint="eastAsia"/>
          <w:sz w:val="24"/>
        </w:rPr>
        <w:t>《上市公司重大资产重组管理办法》</w:t>
      </w:r>
      <w:r w:rsidR="00B74663" w:rsidRPr="00C91D92">
        <w:rPr>
          <w:rFonts w:ascii="宋体" w:hAnsi="宋体" w:cs="宋体" w:hint="eastAsia"/>
          <w:sz w:val="24"/>
        </w:rPr>
        <w:t>第五十九条</w:t>
      </w:r>
      <w:r w:rsidR="00A45A13" w:rsidRPr="00C91D92">
        <w:rPr>
          <w:rFonts w:ascii="宋体" w:hAnsi="宋体" w:cs="宋体" w:hint="eastAsia"/>
          <w:sz w:val="24"/>
        </w:rPr>
        <w:t xml:space="preserve"> </w:t>
      </w:r>
      <w:r w:rsidRPr="00C91D92">
        <w:rPr>
          <w:rFonts w:ascii="宋体" w:hAnsi="宋体" w:cs="宋体" w:hint="eastAsia"/>
          <w:sz w:val="24"/>
        </w:rPr>
        <w:t>；《上市公司证券发行管理办法》</w:t>
      </w:r>
      <w:r w:rsidR="00B74663" w:rsidRPr="00C91D92">
        <w:rPr>
          <w:rFonts w:ascii="宋体" w:hAnsi="宋体" w:cs="宋体" w:hint="eastAsia"/>
          <w:sz w:val="24"/>
        </w:rPr>
        <w:t>第六十七条</w:t>
      </w:r>
      <w:r w:rsidRPr="00C91D92">
        <w:rPr>
          <w:rFonts w:ascii="宋体" w:hAnsi="宋体" w:cs="宋体" w:hint="eastAsia"/>
          <w:sz w:val="24"/>
        </w:rPr>
        <w:t xml:space="preserve">证券服务机构及其相关人员存在未按规定披露等情形，中国证监会视情节轻重，采取责令改正、监管谈话、出具警示函、责令公开说明、责令定期报告、认定为不适当人选、暂不受理与行政许可有关的文件等监管措施，或者采取证券市场禁入的措施。 </w:t>
      </w:r>
    </w:p>
    <w:p w14:paraId="3D2DE404" w14:textId="567F8405"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《创业板首次公开发行股票注册管理办法（试行）》</w:t>
      </w:r>
      <w:r w:rsidR="00B74663" w:rsidRPr="00C91D92">
        <w:rPr>
          <w:rFonts w:ascii="宋体" w:hAnsi="宋体" w:cs="宋体" w:hint="eastAsia"/>
          <w:sz w:val="24"/>
        </w:rPr>
        <w:t>第六十七条</w:t>
      </w:r>
      <w:r w:rsidRPr="00C91D92">
        <w:rPr>
          <w:rFonts w:ascii="宋体" w:hAnsi="宋体" w:cs="宋体" w:hint="eastAsia"/>
          <w:sz w:val="24"/>
        </w:rPr>
        <w:t>、</w:t>
      </w:r>
      <w:r w:rsidR="00B74663" w:rsidRPr="00C91D92">
        <w:rPr>
          <w:rFonts w:ascii="宋体" w:hAnsi="宋体" w:cs="宋体" w:hint="eastAsia"/>
          <w:sz w:val="24"/>
        </w:rPr>
        <w:t>第七十条</w:t>
      </w:r>
      <w:r w:rsidRPr="00C91D92">
        <w:rPr>
          <w:rFonts w:ascii="宋体" w:hAnsi="宋体" w:cs="宋体" w:hint="eastAsia"/>
          <w:sz w:val="24"/>
        </w:rPr>
        <w:t xml:space="preserve">上市公司拟聘任会计师事务所的相关信息披露要求。 </w:t>
      </w:r>
    </w:p>
    <w:p w14:paraId="2491512F" w14:textId="77777777"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 xml:space="preserve">上交所《关于发布上市公司续聘/变更会计师事务所临时公告格式指引的通知》 </w:t>
      </w:r>
    </w:p>
    <w:p w14:paraId="75E448D8" w14:textId="77777777" w:rsidR="00A320E6" w:rsidRPr="00C91D92" w:rsidRDefault="00000000" w:rsidP="00AE0286">
      <w:pPr>
        <w:pStyle w:val="a3"/>
        <w:spacing w:line="360" w:lineRule="auto"/>
        <w:ind w:firstLine="480"/>
        <w:rPr>
          <w:rFonts w:ascii="宋体" w:hAnsi="宋体" w:cs="宋体"/>
          <w:sz w:val="24"/>
        </w:rPr>
      </w:pPr>
      <w:r w:rsidRPr="00C91D92">
        <w:rPr>
          <w:rFonts w:ascii="宋体" w:hAnsi="宋体" w:cs="宋体" w:hint="eastAsia"/>
          <w:sz w:val="24"/>
        </w:rPr>
        <w:t xml:space="preserve">深交所《关于发布&lt;上市公司拟聘任会计师事务所公告格式&gt;的通知》 </w:t>
      </w:r>
    </w:p>
    <w:p w14:paraId="51CB7F5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 </w:t>
      </w:r>
    </w:p>
    <w:p w14:paraId="06E092E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二季度辖区从事证券期货业务审计与评估机构处罚情况 </w:t>
      </w:r>
    </w:p>
    <w:p w14:paraId="26360CB4" w14:textId="7E8A1763" w:rsidR="00A320E6" w:rsidRDefault="00000000" w:rsidP="00C91D92">
      <w:pPr>
        <w:pStyle w:val="a3"/>
        <w:spacing w:line="360" w:lineRule="auto"/>
        <w:ind w:firstLine="480"/>
        <w:rPr>
          <w:rFonts w:ascii="宋体" w:hAnsi="宋体" w:cs="宋体"/>
          <w:sz w:val="24"/>
        </w:rPr>
      </w:pPr>
      <w:r>
        <w:rPr>
          <w:rFonts w:ascii="宋体" w:hAnsi="宋体" w:cs="宋体" w:hint="eastAsia"/>
          <w:sz w:val="24"/>
        </w:rPr>
        <w:t xml:space="preserve">经统计，2020 年第二季度，证监会及各地证监局对北京辖区会计 师事务所下发行政处罚1次，涉及中兴财光华及其注册会计师孙国伟、许洪磊；下发行政监管措施 3 份，涉及审计机构 3 家次、注册会计师 8 人次。对资产评估机构下发行政监管措施 1 份，涉及评估机构 1 家次、评估师 2 人次。 </w:t>
      </w:r>
    </w:p>
    <w:p w14:paraId="6C77C09E" w14:textId="12B02BB3"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【风险提示】 </w:t>
      </w:r>
    </w:p>
    <w:p w14:paraId="49255B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经梳理二季度行政处罚和行政监管措施，总结会计师事务所和资产评估机构在执业过程中存在的突出典型问题，提示如下。 </w:t>
      </w:r>
    </w:p>
    <w:p w14:paraId="39413D6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资产评估机构的突出问题 </w:t>
      </w:r>
    </w:p>
    <w:p w14:paraId="16DE047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一、评估假设不合理 </w:t>
      </w:r>
    </w:p>
    <w:p w14:paraId="5E5D435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 xml:space="preserve">截至 2018 年末，公司累计应收财政补助 14.14 亿元，2019 年预计可收回 6 亿元，尚有大额补助不能及时收回。评估假设“财政补贴款能够及时发放，企业营运资金周转情况得到有效改善”不合理。 </w:t>
      </w:r>
    </w:p>
    <w:p w14:paraId="3AECFD6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二、评估依据不充分 </w:t>
      </w:r>
    </w:p>
    <w:p w14:paraId="30C1427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1.营运资金占比预测依据不充分。公司预测期 2019 至 2020 年营运资金占比采用的比率为 2%。而 2014 至 2018 年实际营运资金占收入比例分别为 5%、1%、1%、49%、8%；该比例不断上升系 2017 至 2018年财政补助延迟发放所致。截至 2018 年末，公司有大额补助不能及时收回。预测期营运资金占比与实际趋势差异大，评估底稿未说明差异原因。 </w:t>
      </w:r>
    </w:p>
    <w:p w14:paraId="01207D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2.产品毛利率预测依据不充分。预测期其他类产品的毛利率与2018 年度实际毛利率差异较大，评估底稿未说明差异原因。 </w:t>
      </w:r>
    </w:p>
    <w:p w14:paraId="567B1A9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3.预测销售数量依据不充分。部分车型的预测期 2019 至 2023 年销量较 2016 至 2018 年同类车型的实际销量增长幅度较大，评估底稿未说明差异原因。 </w:t>
      </w:r>
    </w:p>
    <w:p w14:paraId="4BB73E0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三、评估计算错误 </w:t>
      </w:r>
    </w:p>
    <w:p w14:paraId="4FD3D34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1.β取值时，重复计算了可比公司。 </w:t>
      </w:r>
    </w:p>
    <w:p w14:paraId="0C5C6BB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2.收益法预测期固定资产折旧测算中，未考虑新厂房转固及处置旧厂房所导致的固定资产原值变动的影响。 </w:t>
      </w:r>
    </w:p>
    <w:p w14:paraId="509CEBB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3.收益法测算表中无形资产、长期待摊费用的原始入账价值、账面价值引用错误。 </w:t>
      </w:r>
    </w:p>
    <w:p w14:paraId="2F0B0FE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【行业交流】 </w:t>
      </w:r>
    </w:p>
    <w:p w14:paraId="566E4E5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中国资产评估与国际（欧美）评估业务差异简述 </w:t>
      </w:r>
    </w:p>
    <w:p w14:paraId="60C01A4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总体而言，中国和欧美评估行业在社会认知和政府定位方面存在较大差异。中国资产评估用于国有企业或政府等用途时，通常被当作鉴证类行业管理；而在欧美（或国际上大多数国家或地区，包括中国香港），鉴于评估的“估计价值”实质，资产评估被广泛认知为参考咨询用途。二者在行政许可制度、行业协会、机构设置、评估标准、报告签发、业务实践等方面表现出诸多差异。 </w:t>
      </w:r>
    </w:p>
    <w:p w14:paraId="44BCD1E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是行政许可制度的差别。中国资产评估行业是属于行政许可范畴，评估机构须得到政府（财政部）的行政许可（发牌照），评估机构须有一定数量的注册评估师（个人行政许可）。美国评估机构是一种咨询类机构，无需政府许可，不同的个</w:t>
      </w:r>
      <w:r>
        <w:rPr>
          <w:rFonts w:ascii="宋体" w:hAnsi="宋体" w:cs="宋体" w:hint="eastAsia"/>
          <w:sz w:val="24"/>
        </w:rPr>
        <w:lastRenderedPageBreak/>
        <w:t xml:space="preserve">人专业资格皆可从事评估业务，但均非行政许可性质, 机构根据市场需求自行配备人员，客户自主选择评估机构。此外，中国评估行业根据不同资产类别，派生出不同的行政主管部门。 </w:t>
      </w:r>
    </w:p>
    <w:p w14:paraId="1ACCBE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是行业协会的差别。中国资产评估协会在政府（行业主管部门）的授权下管理行业，除行业标准起草拟定，还行使部分政府职能。美国资产评估协会众多，皆为行业自律组织，为会员提供相关的服务。其中，美国评估基金会制定的评估行业标准得到较为广泛遵从。 </w:t>
      </w:r>
    </w:p>
    <w:p w14:paraId="3BC3167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是评估机构设置的差别。中国资产评估机构取得相关政府管理部门许可后，根据行业监管部门和协会的要求，在专业设置、评估工作程序、评估业务流程、评估机构内部治理等方面，建立可供其核查的制度以及工作档案。欧美评估机构都是根据自身的情况来管理和运行，政府和行业协会对评估机构内部管理和运作不具有行政管理权力，机构以独立性、专业性服务于委托人，通过专业服务赢得生存和发展及创立良好的市场信誉。 </w:t>
      </w:r>
    </w:p>
    <w:p w14:paraId="4642194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是评估标准的差别。中国资产评估标准根据其层次的不同，分别由行业行政主管部门（财政部）和行业协会制定和发布，具有行政色彩及唯一性，对全体会员有强制力。美国评估行业没有完全统一的评估准则，会员根据提供的具体服务自律使用。此外，中国资产评估标准（特别是比较低层级的评估标准）相关规定全面而细致，包括对评估报告的名称、内容和格式，工作底稿、工作程序、档案管理，甚至评估约定书等都有非常详细的具体规定。美国的评估准则或指南以市场需求为导向，主要是强调评估行业的特点，注重实操性、职业道德、统一相关用语的含义以及胜任能力和报告披露的原则性规定。 </w:t>
      </w:r>
    </w:p>
    <w:p w14:paraId="70D0227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是资产评估报告签发的差别。中国评估机构出具的资产评估报告（必须是书面文件）须由两名以上注册评估师签字并加盖公司公章。美国对评估报告的形式（纸质还是电子类）没有统一规定，对报告签发也没有统一要求；客户更注重签发机构的市场公信力。 </w:t>
      </w:r>
    </w:p>
    <w:p w14:paraId="7BC7041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六是资产评估实践的差别。中国法定的资产评估业务（主要是需要报有关行政机关审核、备案）都必须由取得相应资产评估资格的评估机构和评估师来完成，不涉及资产评估法定业务的，也可由投资银行、咨询机构、会计师事务所甚至个人执行，但这些通常不统计在资产评估行业内（政府和社会也未将这些看成是资产评估）。</w:t>
      </w:r>
      <w:r>
        <w:rPr>
          <w:rFonts w:ascii="宋体" w:hAnsi="宋体" w:cs="宋体" w:hint="eastAsia"/>
          <w:sz w:val="24"/>
        </w:rPr>
        <w:lastRenderedPageBreak/>
        <w:t xml:space="preserve">美国资产评估行业是一种咨询行业，除经营价值评估的专业评估公司外，投资银行、会计师事务所、其他咨询类机构也设有从事某一类资产或企业价值评估的部门。在美国，公司（包括上市公司）并购的价值评估也可以由投资银行及其他顾问公司实施，但这些机构给出的价值定义可能并不清晰。通常需要以公允价值为计量来对企业价值进行资产价值分配（比如房屋、土地、设备、无形资产、金融工具）的评估服务，多由具有综合评估胜任能力的专业机构完成。随着公允价值在财务会计报告中的应用，会计师事务所在对企业财务报告发表审计意见时，会寻求独立的专业评估机构的意见。为此，财务用途的评估在美国及执行国际会计准则的国家地区得到大力发展。 </w:t>
      </w:r>
    </w:p>
    <w:p w14:paraId="1CF611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【深圳道衡美评国际资产评估有限公司北京分公司供稿】 </w:t>
      </w:r>
    </w:p>
    <w:p w14:paraId="2716892C" w14:textId="25AA6EEE" w:rsidR="00A320E6" w:rsidRDefault="00000000" w:rsidP="00F67407">
      <w:pPr>
        <w:spacing w:beforeLines="50" w:before="156" w:afterLines="20" w:after="62" w:line="360" w:lineRule="auto"/>
        <w:jc w:val="center"/>
        <w:outlineLvl w:val="2"/>
        <w:rPr>
          <w:rFonts w:ascii="宋体" w:hAnsi="宋体" w:cs="宋体"/>
          <w:b/>
          <w:bCs/>
          <w:sz w:val="24"/>
        </w:rPr>
      </w:pPr>
      <w:bookmarkStart w:id="81" w:name="_Toc112227389"/>
      <w:r>
        <w:rPr>
          <w:rFonts w:ascii="宋体" w:hAnsi="宋体" w:cs="宋体" w:hint="eastAsia"/>
          <w:b/>
          <w:bCs/>
          <w:sz w:val="24"/>
        </w:rPr>
        <w:t>会计及评估监管工作通讯</w:t>
      </w:r>
      <w:r w:rsidRPr="00F67407">
        <w:rPr>
          <w:rFonts w:ascii="宋体" w:hAnsi="宋体" w:cs="宋体" w:hint="eastAsia"/>
          <w:b/>
          <w:bCs/>
          <w:sz w:val="24"/>
          <w:szCs w:val="24"/>
        </w:rPr>
        <w:t>二〇二一年</w:t>
      </w:r>
      <w:r>
        <w:rPr>
          <w:rFonts w:ascii="宋体" w:hAnsi="宋体" w:cs="宋体" w:hint="eastAsia"/>
          <w:b/>
          <w:bCs/>
          <w:sz w:val="24"/>
        </w:rPr>
        <w:t>第一期（总第 39 期）</w:t>
      </w:r>
      <w:bookmarkEnd w:id="81"/>
    </w:p>
    <w:p w14:paraId="26991555" w14:textId="77777777" w:rsidR="00A320E6" w:rsidRDefault="00000000" w:rsidP="00F53C81">
      <w:pPr>
        <w:pStyle w:val="1c"/>
      </w:pPr>
      <w:r>
        <w:rPr>
          <w:rFonts w:hint="eastAsia"/>
        </w:rPr>
        <w:t>北京证监局 二〇二一年一月</w:t>
      </w:r>
    </w:p>
    <w:p w14:paraId="59D4282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【法规动态】 </w:t>
      </w:r>
    </w:p>
    <w:p w14:paraId="3B147A6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四季度以来发布的主要监管法规和要求 </w:t>
      </w:r>
    </w:p>
    <w:p w14:paraId="1BA91B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【新《证券法》及配套规则系列专题】 </w:t>
      </w:r>
    </w:p>
    <w:p w14:paraId="4180E8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系列专题之三: 配合监管（报告）、保密、保存档案义务 </w:t>
      </w:r>
    </w:p>
    <w:p w14:paraId="0951D72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【监管动态】 </w:t>
      </w:r>
    </w:p>
    <w:p w14:paraId="23B84DD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《关于做好北京辖区资本市场 2020 年年报审计工作的通知》 </w:t>
      </w:r>
    </w:p>
    <w:p w14:paraId="708DD91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现场检查情况通报 </w:t>
      </w:r>
    </w:p>
    <w:p w14:paraId="0CCE077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证券服务业务备案情况通报 </w:t>
      </w:r>
    </w:p>
    <w:p w14:paraId="5702593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 </w:t>
      </w:r>
    </w:p>
    <w:p w14:paraId="1024A6A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四季度辖区从事证券服务业务审计与评估机构处理处罚情况 </w:t>
      </w:r>
    </w:p>
    <w:p w14:paraId="69197C0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【风险提示】 </w:t>
      </w:r>
    </w:p>
    <w:p w14:paraId="11B7F6F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新增处理处罚中审计与评估机构存在的突出问题 </w:t>
      </w:r>
    </w:p>
    <w:p w14:paraId="5989C36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【行业交流】 </w:t>
      </w:r>
    </w:p>
    <w:p w14:paraId="151971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信息化和数字化助力注册会计师审计质量的有效提升（致同首席合 </w:t>
      </w:r>
    </w:p>
    <w:p w14:paraId="0C16A3E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伙人李惠琦供稿） </w:t>
      </w:r>
    </w:p>
    <w:p w14:paraId="5B99F03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优化执业环境 推动行业健康发展（大华首席合伙人梁春供稿）【法规动态】四季度以来发布的主要监管法规和要求 </w:t>
      </w:r>
    </w:p>
    <w:p w14:paraId="3BA143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 xml:space="preserve">全国人大常委会审议通过刑法修正案（十一） </w:t>
      </w:r>
    </w:p>
    <w:p w14:paraId="34951D3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2020 年 12 月，第十三届全国人大常委会第二十四次会议审议通过了刑法修正案（十一），并将于 2021 年 3 月 1 日起正式施行。此次刑法修改，是继证券法修改完成后涉及资本市场的又一项重大立法活动，是贯彻落实习近平法治思想、建设有中国特色社会主义法治体系的重要举措。本次刑法修改与证券法修改相衔接，大幅提高了欺诈发行、信息披露造假、中介机构提供虚假证明文件和操纵市场等四类证券期货犯罪的刑事惩戒力度。同时，对于律师、会计师等中介机构人员在证券发行、重大资产交易活动中出具虚假证明文件、情节特别严重的情形，明确适用更高一档的刑期，最高可判处 10 年有期徒刑。 </w:t>
      </w:r>
    </w:p>
    <w:p w14:paraId="578F81C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证监会发布《监管规则适用指引——会计类第 1 号》《监管规则适用指引——评估类第 1 号》 </w:t>
      </w:r>
    </w:p>
    <w:p w14:paraId="3771A5B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2020 年 11 月，证监会发布《监管规则适用指引——会计类第 1号》，明确相关事项的监管意见和口径，推进会计准则在资本市场执行的一致性。2021 年 1 月，证监会发布《监管规则适用指引——评估类第 1 号》，结合证券评估业务特点及执业要求，就折现率测算涉及的关键参数进行规范。 </w:t>
      </w:r>
    </w:p>
    <w:p w14:paraId="1DEF978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财政部、证监会联合印发《资产评估机构从事证券服务业务备案办法》的通知 </w:t>
      </w:r>
    </w:p>
    <w:p w14:paraId="0B94F06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证券法》将资产评估机构等证券服务机构从事证券业务由行政审批改为备案管理。为加强对资产评估机构从事证券服务业务的监督管理，规范资产评估机构从事证券服务业务备案行为，根据《证券法》《资产评估法》等规定，财政部证监会联合印发《资产评估机构从2事证券服务业务备案办法》，自 2020 年 11 月 9 日起施行。 </w:t>
      </w:r>
    </w:p>
    <w:p w14:paraId="6BD7A1D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财政部修订印发《企业会计准则第 25 号——保险合同》 </w:t>
      </w:r>
    </w:p>
    <w:p w14:paraId="4A69A4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为了适应社会主义市场经济发展需要，规范保险合同的会计处理，提高会计信息质量，2020 年 12 月，财政部对《企业会计准则第 25 号——原保险合同》进行了修订，新准则于 2020 年 12 月印发。在境内外同时上市的企业以及在境外上市并采用国际财务报告准则或企业会计准则编制财务报表的企业，自 2023 年 1 月 1 日起执行；其他执行企业会计准则的企业自 2026 年 1 月 1 日起执行；允许企业提前执行。财政部印发《会计师事务所质量管理准则第 5101 号——业务质量管理》等三项准则 </w:t>
      </w:r>
    </w:p>
    <w:p w14:paraId="51DAAC6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 xml:space="preserve">2020 年 12 月，财政部发布《会计师事务所质量管理准则第 5101号——业务质量管理》《会计师事务所质量管理准则第 5102 号——项目质量复核》及《中国注册会计师审计准则第 1121 号——对财务报表审计实施的质量管理》三项会计师事务所质量管理相关准则。从事证券服务业务的会计师事务所，应当自 2023 年 1 月 1 日起建立完成适合本事务所的质量管理体系并开始运行，自运行一年之内开始对该体系运行情况进行评价。允许和鼓励提前执行本批准则。 </w:t>
      </w:r>
    </w:p>
    <w:p w14:paraId="4D15F7C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财政部、国务院国资委、银保监会联合发布《关于加强会计师事务所执业管理 切实提高审计质量的实施意见》为加强会计师事务所执业管理,切实促进提高会计师事务所审计质量，2020 年 10 月，财政部、国务院国资委、银保监会联合发布《关于加强会计师事务所执业管理 切实提高审计质量的实施意见》，推出了 10 项政策措施，强化市场约束，增强企业责任，加大监管力度，促进注册会计师行业在公平竞争中、在严格监管中实现高质量发展。 </w:t>
      </w:r>
    </w:p>
    <w:p w14:paraId="5ECFD59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中国注册会计师协会印发《中国注册会计师职业道德守则（2020）》和《中国注册会计师协会非执业会员职业道德守则（2020）》 </w:t>
      </w:r>
    </w:p>
    <w:p w14:paraId="6641566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2020 年 12 月，中国注册会计师协会印发《中国注册会计师职业道德守则（2020）》和《中国注册会计师协会非执业会员职业道德守则（2020）》（以下统称守则）。守则自 2021 年 7 月 1 日起施行。为确保守则的平稳顺利实施，对于守则中与公众利益实体审计业务关键审计合伙人冷却期相关的规定采取过渡期安排，即公众利益实体审计业务关键审计合伙人在 2021 年 7 月 1 日前已进入冷却期且尚未结束的，可以继续执行 2 年冷却期的规定，该冷却期结束后，应当按照守则的规定执行并重新计算任职期和冷却期。允许和鼓励提前执行守则。中评协印发《资产评估准则术语 2020》及《企业并购投资价值评估指导意见》 </w:t>
      </w:r>
    </w:p>
    <w:p w14:paraId="739C536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2020 年 12 月，为规范资产评估准则术语使用，促进资产评估准则的理解和执行，中评协发布《资产评估准则术语 2020》。同时，为规范和指导资产评估机构及其专业人员执行企业并购投资价值评估业务行为，中评协发布《企业并购投资价值评估指导意见》，自 2021 年 3 月 1日起施行。 </w:t>
      </w:r>
    </w:p>
    <w:p w14:paraId="4F389A2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中评协印发 2 项资产评估专家指引 </w:t>
      </w:r>
    </w:p>
    <w:p w14:paraId="497E3D8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2021 年 1 月，为指导评估机构及其专业人员执行企业商誉减值测试评估业务，中国资产评估协会印发《资产评估专家指引第 11 号——商誉减值测试评估》；为</w:t>
      </w:r>
      <w:r>
        <w:rPr>
          <w:rFonts w:ascii="宋体" w:hAnsi="宋体" w:cs="宋体" w:hint="eastAsia"/>
          <w:sz w:val="24"/>
        </w:rPr>
        <w:lastRenderedPageBreak/>
        <w:t xml:space="preserve">指导评估机构及其专业人员在使用收益法评估企业价值时合理测算预期收益的折现率，中国资产评估协会印发《资产评估专家指引第 12 号——收益法评估企业价值中折现率的测算》，供评估机构及其专业人员执行资产评估业务时参考。 </w:t>
      </w:r>
    </w:p>
    <w:p w14:paraId="0B0A635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【新《证券法》及配套规则系列专题之三：配合监管（报告）、保密、保存档案义务】 </w:t>
      </w:r>
    </w:p>
    <w:p w14:paraId="2890F20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为提高审计评估机构对新《证券法》的了解掌握，培养法律意识和法治观念，我局自 2020 年开展新《证券法》系列宣传学习专题：传达新《证券法》变化及监管新要求、对首次从业所进行监管提示；梳理新《证券法》等证券期货法规以及交易所规则，归纳审计评估机构从事证券服务业务的具体要求。 </w:t>
      </w:r>
    </w:p>
    <w:p w14:paraId="5BA16A4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配合监管（报告）义务 </w:t>
      </w:r>
    </w:p>
    <w:p w14:paraId="5A7621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中国证监会依法履行职责，被检查、调查的单位和个人应当配合，如实提供有关文件和资料，不得拒绝、阻碍和隐瞒。未经国务院证券监督管理机构和国务院有关主管部门同意，任何单位和个人不得擅自向境外提供与证券业务活动有关的文件和资料。 </w:t>
      </w:r>
    </w:p>
    <w:p w14:paraId="00F1BAD9" w14:textId="377A4F0D"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《证券法》第一百七十</w:t>
      </w:r>
      <w:r w:rsidR="00C36EF7">
        <w:rPr>
          <w:rFonts w:ascii="宋体" w:hAnsi="宋体" w:cs="宋体" w:hint="eastAsia"/>
          <w:sz w:val="24"/>
        </w:rPr>
        <w:t xml:space="preserve">三条 </w:t>
      </w:r>
      <w:r>
        <w:rPr>
          <w:rFonts w:ascii="宋体" w:hAnsi="宋体" w:cs="宋体" w:hint="eastAsia"/>
          <w:sz w:val="24"/>
        </w:rPr>
        <w:t>、第一百七十</w:t>
      </w:r>
      <w:r w:rsidR="00A45A13">
        <w:rPr>
          <w:rFonts w:ascii="宋体" w:hAnsi="宋体" w:cs="宋体" w:hint="eastAsia"/>
          <w:sz w:val="24"/>
        </w:rPr>
        <w:t xml:space="preserve">七条 </w:t>
      </w:r>
    </w:p>
    <w:p w14:paraId="5499D925" w14:textId="0D534752" w:rsidR="00A320E6" w:rsidRPr="00F53C81" w:rsidRDefault="00000000" w:rsidP="00AE0286">
      <w:pPr>
        <w:pStyle w:val="a3"/>
        <w:spacing w:line="360" w:lineRule="auto"/>
        <w:ind w:firstLine="480"/>
        <w:rPr>
          <w:rFonts w:ascii="宋体" w:hAnsi="宋体" w:cs="宋体"/>
          <w:sz w:val="24"/>
        </w:rPr>
      </w:pPr>
      <w:r>
        <w:rPr>
          <w:rFonts w:ascii="宋体" w:hAnsi="宋体" w:cs="宋体" w:hint="eastAsia"/>
          <w:sz w:val="24"/>
        </w:rPr>
        <w:t>《</w:t>
      </w:r>
      <w:r w:rsidRPr="00F53C81">
        <w:rPr>
          <w:rFonts w:ascii="宋体" w:hAnsi="宋体" w:cs="宋体" w:hint="eastAsia"/>
          <w:sz w:val="24"/>
        </w:rPr>
        <w:t>证券发行上市保荐业务管理办法（2020 年修订）》</w:t>
      </w:r>
      <w:r w:rsidR="00B74663" w:rsidRPr="00F53C81">
        <w:rPr>
          <w:rFonts w:ascii="宋体" w:hAnsi="宋体" w:cs="宋体" w:hint="eastAsia"/>
          <w:sz w:val="24"/>
        </w:rPr>
        <w:t>第六十二条</w:t>
      </w:r>
      <w:r w:rsidR="00C36EF7" w:rsidRPr="00F53C81">
        <w:rPr>
          <w:rFonts w:ascii="宋体" w:hAnsi="宋体" w:cs="宋体" w:hint="eastAsia"/>
          <w:sz w:val="24"/>
        </w:rPr>
        <w:t xml:space="preserve"> </w:t>
      </w:r>
    </w:p>
    <w:p w14:paraId="2D2C30C4" w14:textId="4B88FED7"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《上市公司信息披露管理办法》</w:t>
      </w:r>
      <w:r w:rsidR="00B74663" w:rsidRPr="00F53C81">
        <w:rPr>
          <w:rFonts w:ascii="宋体" w:hAnsi="宋体" w:cs="宋体" w:hint="eastAsia"/>
          <w:sz w:val="24"/>
        </w:rPr>
        <w:t>第五十七条</w:t>
      </w:r>
      <w:r w:rsidR="00A45A13" w:rsidRPr="00F53C81">
        <w:rPr>
          <w:rFonts w:ascii="宋体" w:hAnsi="宋体" w:cs="宋体" w:hint="eastAsia"/>
          <w:sz w:val="24"/>
        </w:rPr>
        <w:t xml:space="preserve"> </w:t>
      </w:r>
    </w:p>
    <w:p w14:paraId="1357A9B8" w14:textId="22ED0079"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《非上市公众公司监督管理办法（2019 年修订）》第七十</w:t>
      </w:r>
      <w:r w:rsidR="00A45A13" w:rsidRPr="00F53C81">
        <w:rPr>
          <w:rFonts w:ascii="宋体" w:hAnsi="宋体" w:cs="宋体" w:hint="eastAsia"/>
          <w:sz w:val="24"/>
        </w:rPr>
        <w:t>四条</w:t>
      </w:r>
      <w:r w:rsidRPr="00F53C81">
        <w:rPr>
          <w:rFonts w:ascii="宋体" w:hAnsi="宋体" w:cs="宋体" w:hint="eastAsia"/>
          <w:sz w:val="24"/>
        </w:rPr>
        <w:t>、第七十</w:t>
      </w:r>
      <w:r w:rsidR="00A45A13" w:rsidRPr="00F53C81">
        <w:rPr>
          <w:rFonts w:ascii="宋体" w:hAnsi="宋体" w:cs="宋体" w:hint="eastAsia"/>
          <w:sz w:val="24"/>
        </w:rPr>
        <w:t xml:space="preserve">七条 </w:t>
      </w:r>
    </w:p>
    <w:p w14:paraId="2516BB82" w14:textId="7DE2ED72"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《非上市公众公司信息披露管理办法》</w:t>
      </w:r>
      <w:r w:rsidR="00EC0B72" w:rsidRPr="00F53C81">
        <w:rPr>
          <w:rFonts w:ascii="宋体" w:hAnsi="宋体" w:cs="宋体" w:hint="eastAsia"/>
          <w:sz w:val="24"/>
        </w:rPr>
        <w:t>第四十八条</w:t>
      </w:r>
      <w:r w:rsidR="00A45A13" w:rsidRPr="00F53C81">
        <w:rPr>
          <w:rFonts w:ascii="宋体" w:hAnsi="宋体" w:cs="宋体" w:hint="eastAsia"/>
          <w:sz w:val="24"/>
        </w:rPr>
        <w:t xml:space="preserve"> </w:t>
      </w:r>
    </w:p>
    <w:p w14:paraId="74241E86" w14:textId="77777777"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 xml:space="preserve">证券服务机构及其从业人员，对证券交易中发现的禁止的交易行为，以及发现信息披露义务人提供的材料有虚假记载、误导性陈述、重大遗漏或者其他重大违法行为，信息披露义务人不予补充、纠正的，应当及时向公司注册地证监局和证券交易场所报告。 </w:t>
      </w:r>
    </w:p>
    <w:p w14:paraId="28B3F2A4" w14:textId="555BCBA7"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《证券法》</w:t>
      </w:r>
      <w:r w:rsidR="00B74663" w:rsidRPr="00F53C81">
        <w:rPr>
          <w:rFonts w:ascii="宋体" w:hAnsi="宋体" w:cs="宋体" w:hint="eastAsia"/>
          <w:sz w:val="24"/>
        </w:rPr>
        <w:t>第六十一条</w:t>
      </w:r>
      <w:r w:rsidR="00C36EF7" w:rsidRPr="00F53C81">
        <w:rPr>
          <w:rFonts w:ascii="宋体" w:hAnsi="宋体" w:cs="宋体" w:hint="eastAsia"/>
          <w:sz w:val="24"/>
        </w:rPr>
        <w:t xml:space="preserve"> </w:t>
      </w:r>
    </w:p>
    <w:p w14:paraId="1A705014" w14:textId="7024D4D3"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《上市公司信息披露管理办法》</w:t>
      </w:r>
      <w:r w:rsidR="00B74663" w:rsidRPr="00F53C81">
        <w:rPr>
          <w:rFonts w:ascii="宋体" w:hAnsi="宋体" w:cs="宋体" w:hint="eastAsia"/>
          <w:sz w:val="24"/>
        </w:rPr>
        <w:t>第五十条</w:t>
      </w:r>
      <w:r w:rsidR="00A45A13" w:rsidRPr="00F53C81">
        <w:rPr>
          <w:rFonts w:ascii="宋体" w:hAnsi="宋体" w:cs="宋体" w:hint="eastAsia"/>
          <w:sz w:val="24"/>
        </w:rPr>
        <w:t xml:space="preserve"> </w:t>
      </w:r>
    </w:p>
    <w:p w14:paraId="61BCC237" w14:textId="181DDEAB"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《非上市公众公司信息披露管理办法》</w:t>
      </w:r>
      <w:r w:rsidR="00EC0B72" w:rsidRPr="00F53C81">
        <w:rPr>
          <w:rFonts w:ascii="宋体" w:hAnsi="宋体" w:cs="宋体" w:hint="eastAsia"/>
          <w:sz w:val="24"/>
        </w:rPr>
        <w:t>第四十四条</w:t>
      </w:r>
      <w:r w:rsidR="00A45A13" w:rsidRPr="00F53C81">
        <w:rPr>
          <w:rFonts w:ascii="宋体" w:hAnsi="宋体" w:cs="宋体" w:hint="eastAsia"/>
          <w:sz w:val="24"/>
        </w:rPr>
        <w:t xml:space="preserve"> </w:t>
      </w:r>
    </w:p>
    <w:p w14:paraId="2173A59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为防范证券市场风险，维护市场秩序，国务院证券监督管理机构可以采取责令改正、监管谈话、出具警示函等措施。违反法律、行政法规或者国务院证券监督管理机构的有关规定，情节严重的，国务院证券监督管理机构可以对有关责任人员采</w:t>
      </w:r>
      <w:r>
        <w:rPr>
          <w:rFonts w:ascii="宋体" w:hAnsi="宋体" w:cs="宋体" w:hint="eastAsia"/>
          <w:sz w:val="24"/>
        </w:rPr>
        <w:lastRenderedPageBreak/>
        <w:t xml:space="preserve">取证券市场禁入的措施。 </w:t>
      </w:r>
    </w:p>
    <w:p w14:paraId="6CA4D4D1" w14:textId="519B957C"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《证券法》第一百七</w:t>
      </w:r>
      <w:r w:rsidR="00A45A13">
        <w:rPr>
          <w:rFonts w:ascii="宋体" w:hAnsi="宋体" w:cs="宋体" w:hint="eastAsia"/>
          <w:sz w:val="24"/>
        </w:rPr>
        <w:t xml:space="preserve">十条 </w:t>
      </w:r>
      <w:r>
        <w:rPr>
          <w:rFonts w:ascii="宋体" w:hAnsi="宋体" w:cs="宋体" w:hint="eastAsia"/>
          <w:sz w:val="24"/>
        </w:rPr>
        <w:t>、第二百二十</w:t>
      </w:r>
      <w:r w:rsidR="00C36EF7">
        <w:rPr>
          <w:rFonts w:ascii="宋体" w:hAnsi="宋体" w:cs="宋体" w:hint="eastAsia"/>
          <w:sz w:val="24"/>
        </w:rPr>
        <w:t xml:space="preserve">一条 </w:t>
      </w:r>
    </w:p>
    <w:p w14:paraId="0A8547E5" w14:textId="7937DD4C"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《证券市场禁入规定》</w:t>
      </w:r>
      <w:r w:rsidR="00A45A13" w:rsidRPr="00F53C81">
        <w:rPr>
          <w:rFonts w:ascii="宋体" w:hAnsi="宋体" w:cs="宋体" w:hint="eastAsia"/>
          <w:sz w:val="24"/>
        </w:rPr>
        <w:t>第三条</w:t>
      </w:r>
      <w:r w:rsidRPr="00F53C81">
        <w:rPr>
          <w:rFonts w:ascii="宋体" w:hAnsi="宋体" w:cs="宋体" w:hint="eastAsia"/>
          <w:sz w:val="24"/>
        </w:rPr>
        <w:t>、</w:t>
      </w:r>
      <w:r w:rsidR="00977BD5" w:rsidRPr="00F53C81">
        <w:rPr>
          <w:rFonts w:ascii="宋体" w:hAnsi="宋体" w:cs="宋体" w:hint="eastAsia"/>
          <w:sz w:val="24"/>
        </w:rPr>
        <w:t>第五条</w:t>
      </w:r>
      <w:r w:rsidR="00A45A13" w:rsidRPr="00F53C81">
        <w:rPr>
          <w:rFonts w:ascii="宋体" w:hAnsi="宋体" w:cs="宋体" w:hint="eastAsia"/>
          <w:sz w:val="24"/>
        </w:rPr>
        <w:t xml:space="preserve"> </w:t>
      </w:r>
    </w:p>
    <w:p w14:paraId="3623DA4F" w14:textId="095A1D2D"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《证券发行上市保荐业务管理办法（2020 年修订）》第七十</w:t>
      </w:r>
      <w:r w:rsidR="00A45A13" w:rsidRPr="00F53C81">
        <w:rPr>
          <w:rFonts w:ascii="宋体" w:hAnsi="宋体" w:cs="宋体" w:hint="eastAsia"/>
          <w:sz w:val="24"/>
        </w:rPr>
        <w:t xml:space="preserve">八条 </w:t>
      </w:r>
    </w:p>
    <w:p w14:paraId="187AD26E" w14:textId="65B0A015"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《上市公司信息披露管理办法》</w:t>
      </w:r>
      <w:r w:rsidR="00B74663" w:rsidRPr="00F53C81">
        <w:rPr>
          <w:rFonts w:ascii="宋体" w:hAnsi="宋体" w:cs="宋体" w:hint="eastAsia"/>
          <w:sz w:val="24"/>
        </w:rPr>
        <w:t>第六十五条</w:t>
      </w:r>
      <w:r w:rsidR="00A45A13" w:rsidRPr="00F53C81">
        <w:rPr>
          <w:rFonts w:ascii="宋体" w:hAnsi="宋体" w:cs="宋体" w:hint="eastAsia"/>
          <w:sz w:val="24"/>
        </w:rPr>
        <w:t xml:space="preserve"> </w:t>
      </w:r>
    </w:p>
    <w:p w14:paraId="3AE7959C" w14:textId="1ABB2129"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《上市公司重大资产重组管理办法（2020 年修订）》</w:t>
      </w:r>
      <w:r w:rsidR="00B74663" w:rsidRPr="00F53C81">
        <w:rPr>
          <w:rFonts w:ascii="宋体" w:hAnsi="宋体" w:cs="宋体" w:hint="eastAsia"/>
          <w:sz w:val="24"/>
        </w:rPr>
        <w:t>第五十八条</w:t>
      </w:r>
      <w:r w:rsidR="00A45A13" w:rsidRPr="00F53C81">
        <w:rPr>
          <w:rFonts w:ascii="宋体" w:hAnsi="宋体" w:cs="宋体" w:hint="eastAsia"/>
          <w:sz w:val="24"/>
        </w:rPr>
        <w:t xml:space="preserve"> </w:t>
      </w:r>
    </w:p>
    <w:p w14:paraId="61635EBB" w14:textId="4D32C1DE" w:rsidR="00A320E6" w:rsidRDefault="00000000" w:rsidP="00AE0286">
      <w:pPr>
        <w:pStyle w:val="a3"/>
        <w:spacing w:line="360" w:lineRule="auto"/>
        <w:ind w:firstLine="480"/>
        <w:rPr>
          <w:rFonts w:ascii="宋体" w:hAnsi="宋体" w:cs="宋体"/>
          <w:sz w:val="24"/>
        </w:rPr>
      </w:pPr>
      <w:r>
        <w:rPr>
          <w:rFonts w:ascii="宋体" w:hAnsi="宋体" w:cs="宋体" w:hint="eastAsia"/>
          <w:sz w:val="24"/>
        </w:rPr>
        <w:t>《非上市公众公司监督管理办法（2019 年修订）》第七十</w:t>
      </w:r>
      <w:r w:rsidR="00A45A13">
        <w:rPr>
          <w:rFonts w:ascii="宋体" w:hAnsi="宋体" w:cs="宋体" w:hint="eastAsia"/>
          <w:sz w:val="24"/>
        </w:rPr>
        <w:t xml:space="preserve">七条 </w:t>
      </w:r>
      <w:r>
        <w:rPr>
          <w:rFonts w:ascii="宋体" w:hAnsi="宋体" w:cs="宋体" w:hint="eastAsia"/>
          <w:sz w:val="24"/>
        </w:rPr>
        <w:t xml:space="preserve">拒绝、阻碍证券监督管理机构及其工作人员依法行使监督检查、调查职权，由证券监督管理机构责令改正，处以十万元以上一百万元以下的罚款，并由公安机关依法给予治安管理处罚。 </w:t>
      </w:r>
    </w:p>
    <w:p w14:paraId="3C361CB4" w14:textId="219C5320"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《证券法》第二百一十</w:t>
      </w:r>
      <w:r w:rsidR="00A45A13">
        <w:rPr>
          <w:rFonts w:ascii="宋体" w:hAnsi="宋体" w:cs="宋体" w:hint="eastAsia"/>
          <w:sz w:val="24"/>
        </w:rPr>
        <w:t xml:space="preserve">八条 </w:t>
      </w:r>
    </w:p>
    <w:p w14:paraId="02F7E70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保密义务 </w:t>
      </w:r>
    </w:p>
    <w:p w14:paraId="7B66D5E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证券服务机构及其工作人员应当依法为投资者的信息保密，不得非法买卖、提供或者公开投资者的信息，不得泄露所知悉的商业秘密。任何单位和个人对所知悉的重大资产重组信息在依法披露前负有保密义务。</w:t>
      </w:r>
    </w:p>
    <w:p w14:paraId="3327E684" w14:textId="39997239"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《证券法》</w:t>
      </w:r>
      <w:r w:rsidR="00EC0B72" w:rsidRPr="00F53C81">
        <w:rPr>
          <w:rFonts w:ascii="宋体" w:hAnsi="宋体" w:cs="宋体" w:hint="eastAsia"/>
          <w:sz w:val="24"/>
        </w:rPr>
        <w:t>第四十一条</w:t>
      </w:r>
      <w:r w:rsidR="00C36EF7" w:rsidRPr="00F53C81">
        <w:rPr>
          <w:rFonts w:ascii="宋体" w:hAnsi="宋体" w:cs="宋体" w:hint="eastAsia"/>
          <w:sz w:val="24"/>
        </w:rPr>
        <w:t xml:space="preserve"> </w:t>
      </w:r>
    </w:p>
    <w:p w14:paraId="1CC33557" w14:textId="4BCFE401"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《上市公司重大资产重组管理办法（2020 年修订）》</w:t>
      </w:r>
      <w:r w:rsidR="00977BD5" w:rsidRPr="00F53C81">
        <w:rPr>
          <w:rFonts w:ascii="宋体" w:hAnsi="宋体" w:cs="宋体" w:hint="eastAsia"/>
          <w:sz w:val="24"/>
        </w:rPr>
        <w:t>第七条</w:t>
      </w:r>
      <w:r w:rsidRPr="00F53C81">
        <w:rPr>
          <w:rFonts w:ascii="宋体" w:hAnsi="宋体" w:cs="宋体" w:hint="eastAsia"/>
          <w:sz w:val="24"/>
        </w:rPr>
        <w:t>、</w:t>
      </w:r>
      <w:r w:rsidR="00EC0B72" w:rsidRPr="00F53C81">
        <w:rPr>
          <w:rFonts w:ascii="宋体" w:hAnsi="宋体" w:cs="宋体" w:hint="eastAsia"/>
          <w:sz w:val="24"/>
        </w:rPr>
        <w:t>第十六条</w:t>
      </w:r>
      <w:r w:rsidRPr="00F53C81">
        <w:rPr>
          <w:rFonts w:ascii="宋体" w:hAnsi="宋体" w:cs="宋体" w:hint="eastAsia"/>
          <w:sz w:val="24"/>
        </w:rPr>
        <w:t>、</w:t>
      </w:r>
      <w:r w:rsidR="00EC0B72" w:rsidRPr="00F53C81">
        <w:rPr>
          <w:rFonts w:ascii="宋体" w:hAnsi="宋体" w:cs="宋体" w:hint="eastAsia"/>
          <w:sz w:val="24"/>
        </w:rPr>
        <w:t>第四十一条</w:t>
      </w:r>
      <w:r w:rsidR="00C36EF7" w:rsidRPr="00F53C81">
        <w:rPr>
          <w:rFonts w:ascii="宋体" w:hAnsi="宋体" w:cs="宋体" w:hint="eastAsia"/>
          <w:sz w:val="24"/>
        </w:rPr>
        <w:t xml:space="preserve"> </w:t>
      </w:r>
    </w:p>
    <w:p w14:paraId="07E206DA" w14:textId="388B6FCA"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《非上市公众公司重大资产重组管理办法（2020 年修订）》</w:t>
      </w:r>
      <w:r w:rsidR="00977BD5" w:rsidRPr="00F53C81">
        <w:rPr>
          <w:rFonts w:ascii="宋体" w:hAnsi="宋体" w:cs="宋体" w:hint="eastAsia"/>
          <w:sz w:val="24"/>
        </w:rPr>
        <w:t>第七条</w:t>
      </w:r>
      <w:r w:rsidR="00A45A13" w:rsidRPr="00F53C81">
        <w:rPr>
          <w:rFonts w:ascii="宋体" w:hAnsi="宋体" w:cs="宋体" w:hint="eastAsia"/>
          <w:sz w:val="24"/>
        </w:rPr>
        <w:t xml:space="preserve"> </w:t>
      </w:r>
    </w:p>
    <w:p w14:paraId="052D8E2C" w14:textId="77777777"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 xml:space="preserve">为防范证券市场风险，维护市场秩序，国务院证券监督管理机构可以采取责令改正、监管谈话、出具警示函等措施。违反法律、行政法规或者国务院证券监督管理机构的有关规定，情节严重的，国务院证券监督管理机构可以对有关责任人员采取证券市场禁入的措施。 </w:t>
      </w:r>
    </w:p>
    <w:p w14:paraId="3FB3F192" w14:textId="6F31A76A"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《证券法》第一百七</w:t>
      </w:r>
      <w:r w:rsidR="00A45A13" w:rsidRPr="00F53C81">
        <w:rPr>
          <w:rFonts w:ascii="宋体" w:hAnsi="宋体" w:cs="宋体" w:hint="eastAsia"/>
          <w:sz w:val="24"/>
        </w:rPr>
        <w:t>十条</w:t>
      </w:r>
      <w:r w:rsidRPr="00F53C81">
        <w:rPr>
          <w:rFonts w:ascii="宋体" w:hAnsi="宋体" w:cs="宋体" w:hint="eastAsia"/>
          <w:sz w:val="24"/>
        </w:rPr>
        <w:t>、第二百二十</w:t>
      </w:r>
      <w:r w:rsidR="00C36EF7" w:rsidRPr="00F53C81">
        <w:rPr>
          <w:rFonts w:ascii="宋体" w:hAnsi="宋体" w:cs="宋体" w:hint="eastAsia"/>
          <w:sz w:val="24"/>
        </w:rPr>
        <w:t xml:space="preserve">一条 </w:t>
      </w:r>
    </w:p>
    <w:p w14:paraId="754741BB" w14:textId="6BAE3E83"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《证券市场禁入规定》</w:t>
      </w:r>
      <w:r w:rsidR="00A45A13" w:rsidRPr="00F53C81">
        <w:rPr>
          <w:rFonts w:ascii="宋体" w:hAnsi="宋体" w:cs="宋体" w:hint="eastAsia"/>
          <w:sz w:val="24"/>
        </w:rPr>
        <w:t>第三条</w:t>
      </w:r>
      <w:r w:rsidR="00C36EF7" w:rsidRPr="00F53C81">
        <w:rPr>
          <w:rFonts w:ascii="宋体" w:hAnsi="宋体" w:cs="宋体" w:hint="eastAsia"/>
          <w:sz w:val="24"/>
        </w:rPr>
        <w:t xml:space="preserve"> </w:t>
      </w:r>
      <w:r w:rsidRPr="00F53C81">
        <w:rPr>
          <w:rFonts w:ascii="宋体" w:hAnsi="宋体" w:cs="宋体" w:hint="eastAsia"/>
          <w:sz w:val="24"/>
        </w:rPr>
        <w:t>、</w:t>
      </w:r>
      <w:r w:rsidR="00977BD5" w:rsidRPr="00F53C81">
        <w:rPr>
          <w:rFonts w:ascii="宋体" w:hAnsi="宋体" w:cs="宋体" w:hint="eastAsia"/>
          <w:sz w:val="24"/>
        </w:rPr>
        <w:t>第五条</w:t>
      </w:r>
      <w:r w:rsidR="00A45A13" w:rsidRPr="00F53C81">
        <w:rPr>
          <w:rFonts w:ascii="宋体" w:hAnsi="宋体" w:cs="宋体" w:hint="eastAsia"/>
          <w:sz w:val="24"/>
        </w:rPr>
        <w:t xml:space="preserve"> </w:t>
      </w:r>
    </w:p>
    <w:p w14:paraId="49B19F04" w14:textId="03610BC1"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《上市公司重大资产重组管理办法（2020 年修订）》</w:t>
      </w:r>
      <w:r w:rsidR="00B74663" w:rsidRPr="00F53C81">
        <w:rPr>
          <w:rFonts w:ascii="宋体" w:hAnsi="宋体" w:cs="宋体" w:hint="eastAsia"/>
          <w:sz w:val="24"/>
        </w:rPr>
        <w:t>第五十八条</w:t>
      </w:r>
      <w:r w:rsidR="00A45A13" w:rsidRPr="00F53C81">
        <w:rPr>
          <w:rFonts w:ascii="宋体" w:hAnsi="宋体" w:cs="宋体" w:hint="eastAsia"/>
          <w:sz w:val="24"/>
        </w:rPr>
        <w:t xml:space="preserve"> </w:t>
      </w:r>
    </w:p>
    <w:p w14:paraId="3E2E2E80" w14:textId="0AC92C59"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《非上市公众公司重大资产重组管理办法（2020 年修订）》</w:t>
      </w:r>
      <w:r w:rsidR="00EC0B72" w:rsidRPr="00F53C81">
        <w:rPr>
          <w:rFonts w:ascii="宋体" w:hAnsi="宋体" w:cs="宋体" w:hint="eastAsia"/>
          <w:sz w:val="24"/>
        </w:rPr>
        <w:t>第三十二条</w:t>
      </w:r>
      <w:r w:rsidR="00C36EF7" w:rsidRPr="00F53C81">
        <w:rPr>
          <w:rFonts w:ascii="宋体" w:hAnsi="宋体" w:cs="宋体" w:hint="eastAsia"/>
          <w:sz w:val="24"/>
        </w:rPr>
        <w:t xml:space="preserve"> </w:t>
      </w:r>
    </w:p>
    <w:p w14:paraId="0CBABA5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证券服务机构泄露、隐匿、伪造、篡改或者毁损有关文件和资料的，给予警告，并处以二十万元以上二百万元以下的罚款；情节严重的，处以五十万元以上五百万</w:t>
      </w:r>
      <w:r>
        <w:rPr>
          <w:rFonts w:ascii="宋体" w:hAnsi="宋体" w:cs="宋体" w:hint="eastAsia"/>
          <w:sz w:val="24"/>
        </w:rPr>
        <w:lastRenderedPageBreak/>
        <w:t xml:space="preserve">元以下的罚款，并处暂停、撤销相关业务许可或者禁止从事相关业务。对直接负责的主管人员和其他直接责任人员给予警告，并处以十万元以上一百万元以下的罚款。 </w:t>
      </w:r>
    </w:p>
    <w:p w14:paraId="728C8821" w14:textId="676264E3"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《证券法》第二百一十</w:t>
      </w:r>
      <w:r w:rsidR="00A45A13">
        <w:rPr>
          <w:rFonts w:ascii="宋体" w:hAnsi="宋体" w:cs="宋体" w:hint="eastAsia"/>
          <w:sz w:val="24"/>
        </w:rPr>
        <w:t xml:space="preserve">四条 </w:t>
      </w:r>
    </w:p>
    <w:p w14:paraId="144F4DF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期货交易内幕信息的知情人员或者非法获取证券、期货交易内幕信息的人员，在涉及证券的发行，证券、期货交易或者其他对证券、期货交易价格有重大影响的信息尚未公开前，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 </w:t>
      </w:r>
    </w:p>
    <w:p w14:paraId="416F50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单位犯前款罪的，对单位判处罚金，并对其直接负责的主管人员和其他直接责任人员，处五年以下有期徒刑或者拘役。 </w:t>
      </w:r>
    </w:p>
    <w:p w14:paraId="66721E2B" w14:textId="6A2251A0" w:rsidR="00A320E6" w:rsidRDefault="00000000" w:rsidP="00AE0286">
      <w:pPr>
        <w:pStyle w:val="a3"/>
        <w:spacing w:line="360" w:lineRule="auto"/>
        <w:ind w:firstLine="480"/>
        <w:rPr>
          <w:rFonts w:ascii="宋体" w:hAnsi="宋体" w:cs="宋体"/>
          <w:sz w:val="24"/>
        </w:rPr>
      </w:pPr>
      <w:r>
        <w:rPr>
          <w:rFonts w:ascii="宋体" w:hAnsi="宋体" w:cs="宋体" w:hint="eastAsia"/>
          <w:sz w:val="24"/>
        </w:rPr>
        <w:t>《刑法》第一百八</w:t>
      </w:r>
      <w:r w:rsidR="00A45A13">
        <w:rPr>
          <w:rFonts w:ascii="宋体" w:hAnsi="宋体" w:cs="宋体" w:hint="eastAsia"/>
          <w:sz w:val="24"/>
        </w:rPr>
        <w:t xml:space="preserve">十条 </w:t>
      </w:r>
    </w:p>
    <w:p w14:paraId="42FC358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保存档案义务 </w:t>
      </w:r>
    </w:p>
    <w:p w14:paraId="609D868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服务机构应当妥善保存客户委托文件、核查和验证资料、工作底稿以及与质量控制、内部管理、业务经营有关的信息和资料，任何人不得泄露、隐匿、伪造、篡改或者毁损，保存期限不得少于十年（自业务委托结束之日起算）。 </w:t>
      </w:r>
    </w:p>
    <w:p w14:paraId="163FD69F" w14:textId="64DB93BE"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《证券法》第一百六十</w:t>
      </w:r>
      <w:r w:rsidR="00C36EF7">
        <w:rPr>
          <w:rFonts w:ascii="宋体" w:hAnsi="宋体" w:cs="宋体" w:hint="eastAsia"/>
          <w:sz w:val="24"/>
        </w:rPr>
        <w:t xml:space="preserve">二条 </w:t>
      </w:r>
    </w:p>
    <w:p w14:paraId="2A194DDB" w14:textId="016AD6D4"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《证券发行上市保荐业务管理办法（2020 年修订）》</w:t>
      </w:r>
      <w:r w:rsidR="00B74663" w:rsidRPr="00F53C81">
        <w:rPr>
          <w:rFonts w:ascii="宋体" w:hAnsi="宋体" w:cs="宋体" w:hint="eastAsia"/>
          <w:sz w:val="24"/>
        </w:rPr>
        <w:t>第六十一条</w:t>
      </w:r>
      <w:r w:rsidRPr="00F53C81">
        <w:rPr>
          <w:rFonts w:ascii="宋体" w:hAnsi="宋体" w:cs="宋体" w:hint="eastAsia"/>
          <w:sz w:val="24"/>
        </w:rPr>
        <w:t xml:space="preserve">为防范证券市场风险，维护市场秩序，国务院证券监督管理机构可以采取责令改正、监管谈话、出具警示函等措施。违反法律、行政法规或者国务院证券监督管理机构的有关规定，情节严重的，国务院证券监督管理机构可以对有关责任人员采取证券市场禁入的措施。 </w:t>
      </w:r>
    </w:p>
    <w:p w14:paraId="27CC97F6" w14:textId="7AC03C08"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《证券法》第一百七</w:t>
      </w:r>
      <w:r w:rsidR="00A45A13" w:rsidRPr="00F53C81">
        <w:rPr>
          <w:rFonts w:ascii="宋体" w:hAnsi="宋体" w:cs="宋体" w:hint="eastAsia"/>
          <w:sz w:val="24"/>
        </w:rPr>
        <w:t>十条</w:t>
      </w:r>
      <w:r w:rsidRPr="00F53C81">
        <w:rPr>
          <w:rFonts w:ascii="宋体" w:hAnsi="宋体" w:cs="宋体" w:hint="eastAsia"/>
          <w:sz w:val="24"/>
        </w:rPr>
        <w:t>、第二百二十</w:t>
      </w:r>
      <w:r w:rsidR="00C36EF7" w:rsidRPr="00F53C81">
        <w:rPr>
          <w:rFonts w:ascii="宋体" w:hAnsi="宋体" w:cs="宋体" w:hint="eastAsia"/>
          <w:sz w:val="24"/>
        </w:rPr>
        <w:t xml:space="preserve">一条 </w:t>
      </w:r>
    </w:p>
    <w:p w14:paraId="6EEE8431" w14:textId="1D570341" w:rsidR="00A320E6" w:rsidRP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《证券市场禁入规定》</w:t>
      </w:r>
      <w:r w:rsidR="00A45A13" w:rsidRPr="00F53C81">
        <w:rPr>
          <w:rFonts w:ascii="宋体" w:hAnsi="宋体" w:cs="宋体" w:hint="eastAsia"/>
          <w:sz w:val="24"/>
        </w:rPr>
        <w:t>第三条</w:t>
      </w:r>
      <w:r w:rsidRPr="00F53C81">
        <w:rPr>
          <w:rFonts w:ascii="宋体" w:hAnsi="宋体" w:cs="宋体" w:hint="eastAsia"/>
          <w:sz w:val="24"/>
        </w:rPr>
        <w:t>、</w:t>
      </w:r>
      <w:r w:rsidR="00977BD5" w:rsidRPr="00F53C81">
        <w:rPr>
          <w:rFonts w:ascii="宋体" w:hAnsi="宋体" w:cs="宋体" w:hint="eastAsia"/>
          <w:sz w:val="24"/>
        </w:rPr>
        <w:t>第五条</w:t>
      </w:r>
    </w:p>
    <w:p w14:paraId="4F52451C" w14:textId="30BBD7CC"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《证券发行上市保荐业务管理办法（2020 年修订）》第七十</w:t>
      </w:r>
      <w:r w:rsidR="00A45A13">
        <w:rPr>
          <w:rFonts w:ascii="宋体" w:hAnsi="宋体" w:cs="宋体" w:hint="eastAsia"/>
          <w:sz w:val="24"/>
        </w:rPr>
        <w:t xml:space="preserve">八条 </w:t>
      </w:r>
      <w:r>
        <w:rPr>
          <w:rFonts w:ascii="宋体" w:hAnsi="宋体" w:cs="宋体" w:hint="eastAsia"/>
          <w:sz w:val="24"/>
        </w:rPr>
        <w:t>证券服务机构未按照规定保存有关文件和资料的，责令改正，给予警告，并处以十万元以上一百万元以下的罚款；泄露、隐匿、伪造、篡改或者毁损有关文件和资料的，给予警告，并处以二十万元以上二百万元以下的罚款；情节严重的，处以五十万元以上五百万元以下的罚款，并处暂停、撤销相关业务许可或者禁止从事相关业务。对直接</w:t>
      </w:r>
      <w:r>
        <w:rPr>
          <w:rFonts w:ascii="宋体" w:hAnsi="宋体" w:cs="宋体" w:hint="eastAsia"/>
          <w:sz w:val="24"/>
        </w:rPr>
        <w:lastRenderedPageBreak/>
        <w:t xml:space="preserve">负责的主管人员和其他直接责任人员给予警告，并处以十万元以上一百万元以下的罚款。 </w:t>
      </w:r>
    </w:p>
    <w:p w14:paraId="22322003" w14:textId="2E249727" w:rsidR="00A320E6" w:rsidRDefault="00000000" w:rsidP="00AE0286">
      <w:pPr>
        <w:pStyle w:val="a3"/>
        <w:spacing w:line="360" w:lineRule="auto"/>
        <w:ind w:firstLine="480"/>
        <w:rPr>
          <w:rFonts w:ascii="宋体" w:hAnsi="宋体" w:cs="宋体"/>
          <w:sz w:val="24"/>
        </w:rPr>
      </w:pPr>
      <w:r>
        <w:rPr>
          <w:rFonts w:ascii="宋体" w:hAnsi="宋体" w:cs="宋体" w:hint="eastAsia"/>
          <w:sz w:val="24"/>
        </w:rPr>
        <w:t>《证券法》第二百一十</w:t>
      </w:r>
      <w:r w:rsidR="00A45A13">
        <w:rPr>
          <w:rFonts w:ascii="宋体" w:hAnsi="宋体" w:cs="宋体" w:hint="eastAsia"/>
          <w:sz w:val="24"/>
        </w:rPr>
        <w:t xml:space="preserve">四条 </w:t>
      </w:r>
      <w:r>
        <w:rPr>
          <w:rFonts w:ascii="宋体" w:hAnsi="宋体" w:cs="宋体" w:hint="eastAsia"/>
          <w:sz w:val="24"/>
        </w:rPr>
        <w:t xml:space="preserve">【监管动态】 </w:t>
      </w:r>
    </w:p>
    <w:p w14:paraId="7802C89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《关于做好北京辖区资本市场 2020 年年报审计工作的通知》 </w:t>
      </w:r>
    </w:p>
    <w:p w14:paraId="1DD616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各相关会计师事务所： </w:t>
      </w:r>
    </w:p>
    <w:p w14:paraId="3937ACD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根据《关于做好上市公司 2020 年年报监管工作的通知》（证监办发〔2020〕76 号），为确保北京辖区资本市场主体信息披露质量，强化会计师事务所年报审计尽责履职意识，提高 2020 年年报审计水平，现就北京辖区上市公司、股转公司及交易所债券发行人的 2020 年年报审计工作要求如下。 </w:t>
      </w:r>
    </w:p>
    <w:p w14:paraId="27EEB9C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一、高度重视年报审计工作 </w:t>
      </w:r>
    </w:p>
    <w:p w14:paraId="0C59E2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当前全球疫情形势依然严峻复杂，给国际产业链、供应链带来重大冲击，也给我国经济带来前所未有的风险挑战，一些公司经营不确定性增加，部分企业经营困难较多，长期积累的风险隐患可能加速暴露，并呈现出新特征和新情况。各会计师事务所要从思想上高度重视，完善年审工作机制，加强年报审计的组织管理，积极建立应对措施体系，聚焦重点风险领域，有效防范执业风险，促进提升审计执业质量。各会计师事务所首席合伙人、质量管理合伙人、审计主管合伙人等关键管理人员要切实履行职责，采取有效措施建立健全质量管理体系，审慎承接高风险审计客户，加强对高风险审计项目和高风险人员执行项目的全流程质量管控，切实发挥内部监督作用。 </w:t>
      </w:r>
    </w:p>
    <w:p w14:paraId="6F63A3E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二、持续强化质量管理 </w:t>
      </w:r>
    </w:p>
    <w:p w14:paraId="5C9457F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要秉持质量至上的执业理念，健全质量管理体系，提升质量管理水平各会计师事务所要梳理业务承接、人员委派、质量控制复核、分歧解决等流程的薄弱环节，尤其是执行上市公司审计业务时，应重点关注以下四个方面：一是业务承接方面，恰当评价拟承接的上市公司审计客户风险情况，结合自身专业胜任能力审慎做出承接决策。二是人员委派方面，统一委派满足独立性要求、具备专业胜任能力的执业人员担任上市公司审计业务项目合伙人，统一委派具有相应经验、能力、权限的人员担任项目质量控制复核人，判断上述人员预计投入时间是否充分。充分评价携带客户加入本所人员继续执行相关业务产生的独立性风险，并采取有效措施确保执业质量。三是质量控制复核方面，质量控制复人应全程参与高风险类项目的重</w:t>
      </w:r>
      <w:r>
        <w:rPr>
          <w:rFonts w:ascii="宋体" w:hAnsi="宋体" w:cs="宋体" w:hint="eastAsia"/>
          <w:sz w:val="24"/>
        </w:rPr>
        <w:lastRenderedPageBreak/>
        <w:t xml:space="preserve">大错报风险、关键审计事项、非标意见事项、审计意见类型等重大事项的讨论，并充分复核有关工作底稿，恰当出具复核意见。对高风险项目及高风险人员执行项目，采取针对性质控措施防范质量风险。四是分歧解决方面，建立项目组内部、项目组与项目质量控制复核人间的分歧解决机制并有效实施，相关专业技术人员应严格按照准则要求审慎判断分歧事项性质及影响，恰当发表专业意见。 </w:t>
      </w:r>
    </w:p>
    <w:p w14:paraId="41FEB63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（二）要树立合规及风险意识，切实提高专业胜任能力，走稳进入资本市场的第一步 </w:t>
      </w:r>
    </w:p>
    <w:p w14:paraId="63A0DA2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首次从事证券服务业务的各会计师事务所，要做好以下工作：一是认真学习证券市场法律法规，提高风险意识，加强自身能力建设，坚守诚信独立客观公正底线。二是建立有别于一般业务的证券服务业务质量管理体系，明确具体流程和标准。三是恰当评价拟承接证券业务相关风险，并在正确评估自身专业胜任能力后审慎作出承接决策。四是对已承接的存在较高风险的证券业务，选派有证券服务业务经验的人员作为签字注册会计师、项目合伙人和项目质量控制复核人。五是对证券服务业务项目特别是高风险执业项目实施全过程的质量管10理，恰当发表审计意见。六是建立健全投资者保护机制，严格按法律法规要求提取职业风险基金或购买执业保险。 </w:t>
      </w:r>
    </w:p>
    <w:p w14:paraId="2CDF092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三、加强重点风险领域审计 </w:t>
      </w:r>
    </w:p>
    <w:p w14:paraId="036DF8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各会计师事务所应以问题为导向，加强风险评估、会计估计、信息系统、重大非常规交易、资金占用和违规担保等重点风险领域的审计，恰当发表审计意见并充分披露审计事项。 </w:t>
      </w:r>
    </w:p>
    <w:p w14:paraId="2CE230B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（一）风险评估 </w:t>
      </w:r>
    </w:p>
    <w:p w14:paraId="7C73D8D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充分关注上市公司的业务性质、所属行业及所在地区，恰当评估疫情相关重大错报风险。更新对被审计单位及其环境的了解，充分考虑疫情对销售、采购、成本结转、资金管理、固定资产管理等重要流程的影响，恰当评价相关内部控制的设计并确定其是否得到执行。在执行拟实施的审计程序后，结合新取得的审计证据或信息复核风险评估初步结果的恰当性，修正识别的风险并实施进一步审计程序。 </w:t>
      </w:r>
    </w:p>
    <w:p w14:paraId="03535DD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（二）会计估计审计 </w:t>
      </w:r>
    </w:p>
    <w:p w14:paraId="3043ECE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一方面复核并评价管理层作出会计估计的过程及其依据的合理性，保持职业怀疑，充分识别管理层利用会计估计变更操纵利润的迹象，并作出恰当的审计应对。另一方面对于大额资产减值，检查减值所依据的信息是否存在夸大疫情影响的情形；</w:t>
      </w:r>
      <w:r>
        <w:rPr>
          <w:rFonts w:ascii="宋体" w:hAnsi="宋体" w:cs="宋体" w:hint="eastAsia"/>
          <w:sz w:val="24"/>
        </w:rPr>
        <w:lastRenderedPageBreak/>
        <w:t xml:space="preserve">对于或有事项及预计负债，检查管理层是否根据未决诉讼目前状况审慎判断上市公司可能承担的支付义务；对于会计估计变更，检查管理层是否刻意混淆会计估计变更和会计差错更正，并将检查范围扩大到受变化影响的其他会计估计以获取充分适当的审计证据。 </w:t>
      </w:r>
    </w:p>
    <w:p w14:paraId="38E5288D"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（三）信息系统审计 </w:t>
      </w:r>
    </w:p>
    <w:p w14:paraId="4A517BA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正确评估自身专业胜任能力，审慎承接金融、互联网、电商等高度依赖信息系统的上市公司审计业务。在执行信息系统审计时，应加强对被审计单位数据库及业务信息的检查，充分识别被审计单位利用篡改数据、刷单等手段进行舞弊的情形，恰当评价业务数据的可靠性、信息系统的可信赖程度及对财务报表的影响，采取有效措施应对信息系统相关舞弊风险。 </w:t>
      </w:r>
    </w:p>
    <w:p w14:paraId="33013B4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（四）重大非常规交易审计 </w:t>
      </w:r>
    </w:p>
    <w:p w14:paraId="514C514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加强对重大非常规交易的审计，保持合理职业怀疑，准确判断交易实质，充分评价交易的商业合理性，复核重大交易涉及的会计估计是否存在偏向，执行会计分录测试，确保相关交易按照其交易实质反映在财务报表中。 </w:t>
      </w:r>
    </w:p>
    <w:p w14:paraId="77D646D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（五）恰当发表审计意见并充分披露审计事项 </w:t>
      </w:r>
    </w:p>
    <w:p w14:paraId="7268753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核实上市公司非标事项最新进展，恰当判断非标事项对 2020 年财务报表是否具有重大、广泛影响。在审计报告中充分披露非标事项及其影响，以及审计机构作出重大性、广泛性判断的依据。严格按照信息披露要求出具非标意见专项说明，并形成相应底稿备查。 </w:t>
      </w:r>
    </w:p>
    <w:p w14:paraId="2C662B1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（六）资金占用和违规担保领域审计 </w:t>
      </w:r>
    </w:p>
    <w:p w14:paraId="668F859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严格按照执业准则和《会计监管风险提示第 9 号——上市公司控股股东资金占用及其审计》等文件勤勉尽责执业，注意结合上市公司及其环境、内部控制情况恰当识别和评估资金占用方面的重大错报风险和舞弊风险等，设计和执行恰当的应对措施，发表恰当的审计意见以及相关结论，按要求出具专项审核意见。 </w:t>
      </w:r>
    </w:p>
    <w:p w14:paraId="2B04DE3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特此通知。 </w:t>
      </w:r>
    </w:p>
    <w:p w14:paraId="74CD3D64" w14:textId="77777777" w:rsidR="00A320E6" w:rsidRDefault="00000000" w:rsidP="00F53C81">
      <w:pPr>
        <w:pStyle w:val="a3"/>
        <w:spacing w:line="360" w:lineRule="auto"/>
        <w:ind w:firstLine="480"/>
        <w:jc w:val="right"/>
        <w:rPr>
          <w:rFonts w:ascii="宋体" w:hAnsi="宋体" w:cs="宋体"/>
          <w:sz w:val="24"/>
        </w:rPr>
      </w:pPr>
      <w:r>
        <w:rPr>
          <w:rFonts w:ascii="宋体" w:hAnsi="宋体" w:cs="宋体" w:hint="eastAsia"/>
          <w:sz w:val="24"/>
        </w:rPr>
        <w:t xml:space="preserve">中国证监会北京监管局 </w:t>
      </w:r>
    </w:p>
    <w:p w14:paraId="00B910A1" w14:textId="77777777" w:rsidR="00A320E6" w:rsidRDefault="00000000" w:rsidP="00F53C81">
      <w:pPr>
        <w:pStyle w:val="a3"/>
        <w:spacing w:line="360" w:lineRule="auto"/>
        <w:ind w:firstLine="480"/>
        <w:jc w:val="right"/>
        <w:rPr>
          <w:rFonts w:ascii="宋体" w:hAnsi="宋体" w:cs="宋体"/>
          <w:sz w:val="24"/>
        </w:rPr>
      </w:pPr>
      <w:r>
        <w:rPr>
          <w:rFonts w:ascii="宋体" w:hAnsi="宋体" w:cs="宋体" w:hint="eastAsia"/>
          <w:sz w:val="24"/>
        </w:rPr>
        <w:t xml:space="preserve">2021 年 1 月 19 日 </w:t>
      </w:r>
    </w:p>
    <w:p w14:paraId="56BFA82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现场检查情况通报 </w:t>
      </w:r>
    </w:p>
    <w:p w14:paraId="11A3052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北京证监局已基本完成 2020 年度审计评估机构现场检查工作，对检查发现的</w:t>
      </w:r>
      <w:r>
        <w:rPr>
          <w:rFonts w:ascii="宋体" w:hAnsi="宋体" w:cs="宋体" w:hint="eastAsia"/>
          <w:sz w:val="24"/>
        </w:rPr>
        <w:lastRenderedPageBreak/>
        <w:t xml:space="preserve">问题已及时下发行政监管措施并在我局官网公示。前期已陆续发布相关现场检查突出问题和案例，本期将评估项目检查中发现的共性问题通报如下： </w:t>
      </w:r>
    </w:p>
    <w:p w14:paraId="3609DA2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一、评估方法运用方面 </w:t>
      </w:r>
    </w:p>
    <w:p w14:paraId="3302BEF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评估师对预计未来现金流量现值和公允价值减去处置费用的净额均采取收益法进行评估，但是使用的评估假设前提和对收入、成本、费用等方面的预测基本一致。评估过程中，公允价值评估使用税后现金流与税后折现率，预计未来现金流现值使用税前现金流与税前折现率。评估结果显示公允价值减去处置费用的净额高于预计未来现金流量现值。评估师未对公允价值减去处置费用的净额高于预计未来现金流量现值进行充分说明。 </w:t>
      </w:r>
    </w:p>
    <w:p w14:paraId="0B65F24A"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二、现金流预测方面 </w:t>
      </w:r>
    </w:p>
    <w:p w14:paraId="610CB67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1.研发费用加计扣除方面。《关于完善研究开发费用税前加计扣除政策的通知》（财税〔2015〕119 号）规定研发费用按实际发生额的 50%在税前加计扣除，检查中发现，部分项目在预测现金流量时，未考虑研发费用加计扣除。《关于提高研究开发费用税前加计扣除比例的通知》（财税〔2018〕99 号）规定研发费用按实际发生额的 75%在税前加计扣除，执行期间为 2018 年 1 月 1 日至 2020 年 12 月 31 日，检查中发现，部分项目在该规定执行期间，仍采用 50%加计扣除，导致评估值低估。</w:t>
      </w:r>
    </w:p>
    <w:p w14:paraId="3FC07B79"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收入成本预测方面。一是营业收入及成本的预测数据趋势与历史业绩存在较大差异或趋势相反，未分析差异原因。二是未来收入预测多依赖于管理层提供的盈利预测表、销售计划、框架协议、历史销售记录等，未见在手订单等说服力较强的证据，也未对管理层提供的数据和资料进行核查验证。三是评估师在企业提供的收入预测基础上进行较大调整形成评估中使用的收入预测，但未说明调整原因及依据。 </w:t>
      </w:r>
    </w:p>
    <w:p w14:paraId="564DAA0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应收票据贴息的处理方面。收益法现金流预测中将应收票据作为有息债务，将应收票据贴息作为利息支出予以加回；而在预测营运资金时，应收款项周转率计算中未扣减贴现的应收票据金额；在确定企业加权资金成本时，未考虑应收票据融资情况。应收票据是否认定为有息债务，处理口径不一致。 </w:t>
      </w:r>
    </w:p>
    <w:p w14:paraId="7C816712"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三、资产组方面 </w:t>
      </w:r>
    </w:p>
    <w:p w14:paraId="0B5C2025"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1.全投资口径商誉还原不到位。评估对象主营业务经营性资产所形成的资产组为其四级子公司经营性资产形成的资产组，评估师未将商誉还原到底层资产层面，</w:t>
      </w:r>
      <w:r>
        <w:rPr>
          <w:rFonts w:ascii="宋体" w:hAnsi="宋体" w:cs="宋体" w:hint="eastAsia"/>
          <w:sz w:val="24"/>
        </w:rPr>
        <w:lastRenderedPageBreak/>
        <w:t xml:space="preserve">而是通过将现金流量现值扣除三级子公司层面少数股东权益的方法弥补商誉还原不到位的问题。 </w:t>
      </w:r>
    </w:p>
    <w:p w14:paraId="6849CFA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资产组范围与并购时存在差异。并购时评估报告披露被收购公司在评估基准日后、评估报告出具前成立了新的子公司，未来收益预测有考虑该子公司收入。但商誉减值测试中，资产组中并未包含新成立子公司，也未对资产组范围进行调整的相关说明。 </w:t>
      </w:r>
    </w:p>
    <w:p w14:paraId="72AF496C"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3.资产组披露不当。评估报告披露资产组中固定资产、长期待摊费用为被投资单位单体报表口径的账面价值，商誉为委托方合并层面划分到资产组的账面价值，未按照合并财务报表口披露相关数据。 </w:t>
      </w:r>
    </w:p>
    <w:p w14:paraId="49A0B0B1"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证券服务业务备案情况通报 </w:t>
      </w:r>
    </w:p>
    <w:p w14:paraId="34A744E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截至 2020 年 12 月 31 日，证监会公布完成首次从事证券服务业务备案审计机构 54 家、评估机构 102 家。其中北京辖区审计机构 25 家、评估机构 43 家，占全国的比例分别为 46%、42%。北京辖区完成备案的机构中，非原证券资格审计与评估机构分别为 3 家、8 家。 </w:t>
      </w:r>
    </w:p>
    <w:p w14:paraId="100B1A27"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我局对首次从事证券服务业务的审计评估机构，已全部完成监管约谈，签署《北京证监局关于会计师事务所首次从事证券服务业务相关事项的告知书》，讲明我局监管工作职责、会计监管要求，提示执业风险，摸清机构风险底数，听取需求和意见，寓服务于监管，引导其走稳进入资本市场的第一步。 </w:t>
      </w:r>
    </w:p>
    <w:p w14:paraId="14F7018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【警钟长鸣】 </w:t>
      </w:r>
    </w:p>
    <w:p w14:paraId="6302EDE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经统计，2020 年全年，证监会及各地证监局对北京辖区会计师事务所累计下发行政监管措施 58 份，涉及会计师事务所 50 家次、注册会计师 116 人次，累计下发行政处罚决定书 2 份，涉及会计师事务所 2家次、注册会计师 4 人次；对评估机构累计下发行政监管措施 16 份，涉及评估机构 12 家次、资产评估师 28 人次。 </w:t>
      </w:r>
    </w:p>
    <w:p w14:paraId="026D06BE" w14:textId="166E5CDB" w:rsidR="00A320E6" w:rsidRDefault="00000000" w:rsidP="00F67407">
      <w:pPr>
        <w:spacing w:beforeLines="50" w:before="156" w:afterLines="20" w:after="62" w:line="360" w:lineRule="auto"/>
        <w:jc w:val="center"/>
        <w:outlineLvl w:val="2"/>
        <w:rPr>
          <w:rFonts w:ascii="宋体" w:hAnsi="宋体" w:cs="宋体"/>
          <w:b/>
          <w:bCs/>
          <w:sz w:val="24"/>
        </w:rPr>
      </w:pPr>
      <w:bookmarkStart w:id="82" w:name="_Toc112227390"/>
      <w:r>
        <w:rPr>
          <w:rFonts w:ascii="宋体" w:hAnsi="宋体" w:cs="宋体" w:hint="eastAsia"/>
          <w:b/>
          <w:bCs/>
          <w:sz w:val="24"/>
        </w:rPr>
        <w:t>会计及评估监管工作通讯</w:t>
      </w:r>
      <w:r w:rsidRPr="00F67407">
        <w:rPr>
          <w:rFonts w:ascii="宋体" w:hAnsi="宋体" w:cs="宋体" w:hint="eastAsia"/>
          <w:b/>
          <w:bCs/>
          <w:sz w:val="24"/>
          <w:szCs w:val="24"/>
        </w:rPr>
        <w:t>二〇二一年</w:t>
      </w:r>
      <w:r>
        <w:rPr>
          <w:rFonts w:ascii="宋体" w:hAnsi="宋体" w:cs="宋体" w:hint="eastAsia"/>
          <w:b/>
          <w:bCs/>
          <w:sz w:val="24"/>
        </w:rPr>
        <w:t>第二期（总第 40 期）</w:t>
      </w:r>
      <w:bookmarkEnd w:id="82"/>
    </w:p>
    <w:p w14:paraId="2BA8625E"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资产评估机构的突出执业问题——现金流预测工作不到位 </w:t>
      </w:r>
    </w:p>
    <w:p w14:paraId="75D28498"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案例 1：收入预测考虑不充分 </w:t>
      </w:r>
    </w:p>
    <w:p w14:paraId="2835A0E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E 评估机构在 F 项目的收入现金流预测过程中存在如下问题：1.预测期收入增长率较历史期增长率差异较大，底稿中未见对差异的原因进行分析，且未说明采用的收入预测数据与企业预测差异较大的原因。 </w:t>
      </w:r>
    </w:p>
    <w:p w14:paraId="2C6A5DC4"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lastRenderedPageBreak/>
        <w:t>2.预测数据无相关支持材料。底稿中仅有 2020 至 2022 年三年的经营计划及盈利预测，无企业对 2023、2024 年及永续期的盈利预测资料。</w:t>
      </w:r>
    </w:p>
    <w:p w14:paraId="079BE340"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3.企业提供两种情景下的收入预测，评估中采用其一进行调整形成最终预测。底稿中未记录如何考虑新冠疫情对经营的影响，针对疫情企业做出的经营调整或相关措施，评估的假设前提及如何预计，报告中也未见相关披露。 </w:t>
      </w:r>
    </w:p>
    <w:p w14:paraId="0269C6D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4.并购时原始设计团队有 3 年锁定期的要求，底稿中未见对原始团队是否会发生变化及对公司影响进行分析的底稿，报告中亦未见相关披露。</w:t>
      </w:r>
    </w:p>
    <w:p w14:paraId="2EFD4573"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案例 2：费用、支出测算考虑不充分 </w:t>
      </w:r>
    </w:p>
    <w:p w14:paraId="455E1A7B"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E 评估机构在 G 项目的费用、支出现金流预测中存在如下问题：1.研发费用加计扣除错误。预测期研发费用加计扣除按照预测发生额的 75%在税前加计扣除，未考虑该政策执行期间截至 2020 年 12月 31 日。 </w:t>
      </w:r>
    </w:p>
    <w:p w14:paraId="462AB906"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 xml:space="preserve">2.资本性支出相关考虑不充分。在预测期资本性支出的年金化计算过程中，假设基准日长期资产为全新资产，将折旧年限作为更新年限，未结合资产使用情况考虑距下一更新时点的实际间隔年限。 </w:t>
      </w:r>
    </w:p>
    <w:p w14:paraId="7008FAEF" w14:textId="77777777" w:rsidR="00A320E6" w:rsidRDefault="00000000" w:rsidP="00AE0286">
      <w:pPr>
        <w:pStyle w:val="a3"/>
        <w:spacing w:line="360" w:lineRule="auto"/>
        <w:ind w:firstLine="480"/>
        <w:rPr>
          <w:rFonts w:ascii="宋体" w:hAnsi="宋体" w:cs="宋体"/>
          <w:sz w:val="24"/>
        </w:rPr>
      </w:pPr>
      <w:r>
        <w:rPr>
          <w:rFonts w:ascii="宋体" w:hAnsi="宋体" w:cs="宋体" w:hint="eastAsia"/>
          <w:sz w:val="24"/>
        </w:rPr>
        <w:t>3.营运资金测算未考虑相关费用。完全成本测算未考虑所得税费用；历史数据显示存在财务费用，但预测期未考虑财务费用，且未说明原因。</w:t>
      </w:r>
    </w:p>
    <w:p w14:paraId="238FA846" w14:textId="0B8D568F" w:rsidR="00F53C81" w:rsidRDefault="00000000" w:rsidP="00AE0286">
      <w:pPr>
        <w:pStyle w:val="a3"/>
        <w:spacing w:line="360" w:lineRule="auto"/>
        <w:ind w:firstLine="480"/>
        <w:rPr>
          <w:rFonts w:ascii="宋体" w:hAnsi="宋体" w:cs="宋体"/>
          <w:sz w:val="24"/>
        </w:rPr>
      </w:pPr>
      <w:r w:rsidRPr="00F53C81">
        <w:rPr>
          <w:rFonts w:ascii="宋体" w:hAnsi="宋体" w:cs="宋体" w:hint="eastAsia"/>
          <w:sz w:val="24"/>
        </w:rPr>
        <w:t>上述案例涉及的行为不符合《资产评估执业准则——资产评估程序》</w:t>
      </w:r>
      <w:r w:rsidR="00EC0B72" w:rsidRPr="00F53C81">
        <w:rPr>
          <w:rFonts w:ascii="宋体" w:hAnsi="宋体" w:cs="宋体" w:hint="eastAsia"/>
          <w:sz w:val="24"/>
        </w:rPr>
        <w:t>第十三条</w:t>
      </w:r>
      <w:r w:rsidRPr="00F53C81">
        <w:rPr>
          <w:rFonts w:ascii="宋体" w:hAnsi="宋体" w:cs="宋体" w:hint="eastAsia"/>
          <w:sz w:val="24"/>
        </w:rPr>
        <w:t>、</w:t>
      </w:r>
      <w:r w:rsidR="00EC0B72" w:rsidRPr="00F53C81">
        <w:rPr>
          <w:rFonts w:ascii="宋体" w:hAnsi="宋体" w:cs="宋体" w:hint="eastAsia"/>
          <w:sz w:val="24"/>
        </w:rPr>
        <w:t>第十五条</w:t>
      </w:r>
      <w:r w:rsidRPr="00F53C81">
        <w:rPr>
          <w:rFonts w:ascii="宋体" w:hAnsi="宋体" w:cs="宋体" w:hint="eastAsia"/>
          <w:sz w:val="24"/>
        </w:rPr>
        <w:t>、</w:t>
      </w:r>
      <w:r w:rsidR="00EC0B72" w:rsidRPr="00F53C81">
        <w:rPr>
          <w:rFonts w:ascii="宋体" w:hAnsi="宋体" w:cs="宋体" w:hint="eastAsia"/>
          <w:sz w:val="24"/>
        </w:rPr>
        <w:t>第十七条</w:t>
      </w:r>
      <w:r w:rsidRPr="00F53C81">
        <w:rPr>
          <w:rFonts w:ascii="宋体" w:hAnsi="宋体" w:cs="宋体" w:hint="eastAsia"/>
          <w:sz w:val="24"/>
        </w:rPr>
        <w:t>，《资产评估执业准则——资产评估档案》</w:t>
      </w:r>
      <w:r w:rsidR="00977BD5" w:rsidRPr="00F53C81">
        <w:rPr>
          <w:rFonts w:ascii="宋体" w:hAnsi="宋体" w:cs="宋体" w:hint="eastAsia"/>
          <w:sz w:val="24"/>
        </w:rPr>
        <w:t>第十一条</w:t>
      </w:r>
      <w:r w:rsidRPr="00F53C81">
        <w:rPr>
          <w:rFonts w:ascii="宋体" w:hAnsi="宋体" w:cs="宋体" w:hint="eastAsia"/>
          <w:sz w:val="24"/>
        </w:rPr>
        <w:t>，《以财务报告为目的的评估指南》</w:t>
      </w:r>
      <w:r w:rsidR="00977BD5" w:rsidRPr="00F53C81">
        <w:rPr>
          <w:rFonts w:ascii="宋体" w:hAnsi="宋体" w:cs="宋体" w:hint="eastAsia"/>
          <w:sz w:val="24"/>
        </w:rPr>
        <w:t>第五条</w:t>
      </w:r>
      <w:r w:rsidRPr="00F53C81">
        <w:rPr>
          <w:rFonts w:ascii="宋体" w:hAnsi="宋体" w:cs="宋体" w:hint="eastAsia"/>
          <w:sz w:val="24"/>
        </w:rPr>
        <w:t>、</w:t>
      </w:r>
      <w:r w:rsidR="00EC0B72" w:rsidRPr="00F53C81">
        <w:rPr>
          <w:rFonts w:ascii="宋体" w:hAnsi="宋体" w:cs="宋体" w:hint="eastAsia"/>
          <w:sz w:val="24"/>
        </w:rPr>
        <w:t>第二十八条</w:t>
      </w:r>
      <w:r w:rsidRPr="00F53C81">
        <w:rPr>
          <w:rFonts w:ascii="宋体" w:hAnsi="宋体" w:cs="宋体" w:hint="eastAsia"/>
          <w:sz w:val="24"/>
        </w:rPr>
        <w:t>、</w:t>
      </w:r>
      <w:r w:rsidR="00EC0B72" w:rsidRPr="00F53C81">
        <w:rPr>
          <w:rFonts w:ascii="宋体" w:hAnsi="宋体" w:cs="宋体" w:hint="eastAsia"/>
          <w:sz w:val="24"/>
        </w:rPr>
        <w:t>第三十四条</w:t>
      </w:r>
      <w:r w:rsidR="00A45A13" w:rsidRPr="00F53C81">
        <w:rPr>
          <w:rFonts w:ascii="宋体" w:hAnsi="宋体" w:cs="宋体" w:hint="eastAsia"/>
          <w:sz w:val="24"/>
        </w:rPr>
        <w:t xml:space="preserve"> </w:t>
      </w:r>
      <w:r w:rsidRPr="00F53C81">
        <w:rPr>
          <w:rFonts w:ascii="宋体" w:hAnsi="宋体" w:cs="宋体" w:hint="eastAsia"/>
          <w:sz w:val="24"/>
        </w:rPr>
        <w:t>的规定。</w:t>
      </w:r>
    </w:p>
    <w:p w14:paraId="59374C3C" w14:textId="77777777" w:rsidR="00A320E6" w:rsidRDefault="00000000" w:rsidP="00EC761E">
      <w:pPr>
        <w:pStyle w:val="27"/>
        <w:rPr>
          <w:lang w:eastAsia="zh-Hans"/>
        </w:rPr>
      </w:pPr>
      <w:bookmarkStart w:id="83" w:name="_Toc112227391"/>
      <w:r>
        <w:rPr>
          <w:rFonts w:hint="eastAsia"/>
          <w:lang w:eastAsia="zh-Hans"/>
        </w:rPr>
        <w:t>监管机构</w:t>
      </w:r>
      <w:r>
        <w:rPr>
          <w:lang w:eastAsia="zh-Hans"/>
        </w:rPr>
        <w:t>-</w:t>
      </w:r>
      <w:r>
        <w:rPr>
          <w:rFonts w:hint="eastAsia"/>
          <w:lang w:eastAsia="zh-Hans"/>
        </w:rPr>
        <w:t>国资委</w:t>
      </w:r>
      <w:bookmarkEnd w:id="83"/>
    </w:p>
    <w:p w14:paraId="39748C96" w14:textId="77777777" w:rsidR="00A320E6" w:rsidRPr="00F67407" w:rsidRDefault="00000000" w:rsidP="00F67407">
      <w:pPr>
        <w:spacing w:beforeLines="50" w:before="156" w:afterLines="20" w:after="62" w:line="360" w:lineRule="auto"/>
        <w:jc w:val="center"/>
        <w:outlineLvl w:val="2"/>
        <w:rPr>
          <w:rFonts w:ascii="宋体" w:hAnsi="宋体" w:cs="宋体"/>
          <w:b/>
          <w:bCs/>
          <w:sz w:val="24"/>
          <w:szCs w:val="24"/>
        </w:rPr>
      </w:pPr>
      <w:bookmarkStart w:id="84" w:name="_Toc112227392"/>
      <w:r w:rsidRPr="00F67407">
        <w:rPr>
          <w:rFonts w:ascii="宋体" w:hAnsi="宋体" w:cs="宋体" w:hint="eastAsia"/>
          <w:b/>
          <w:bCs/>
          <w:sz w:val="24"/>
          <w:szCs w:val="24"/>
        </w:rPr>
        <w:t>关于加强中央企业商誉管理的通知</w:t>
      </w:r>
      <w:bookmarkEnd w:id="84"/>
    </w:p>
    <w:p w14:paraId="47423AD2" w14:textId="77777777" w:rsidR="00A320E6" w:rsidRDefault="00000000" w:rsidP="00F53C81">
      <w:pPr>
        <w:pStyle w:val="1c"/>
      </w:pPr>
      <w:r>
        <w:rPr>
          <w:rFonts w:hint="eastAsia"/>
        </w:rPr>
        <w:t>国资发财评规〔2022〕41号</w:t>
      </w:r>
    </w:p>
    <w:p w14:paraId="52D76C72" w14:textId="77777777" w:rsidR="00A320E6" w:rsidRDefault="00000000" w:rsidP="00AE0286">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各中央企业：</w:t>
      </w:r>
    </w:p>
    <w:p w14:paraId="2D68294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近年来，随着中央企业投资并购不断增加，形成的商誉规模大幅增长。但在日常工作中我们发现，部分企业存在高溢价、高商誉、高减值的连锁风险,以及商誉初始金额确认不准确、减值测试不规范、信息披露不充分等问题。为加强中央企业商誉管理，夯实财务会计信息质量，有效防范化解风险，推动企业高质量发展，实现国有资产保值增值，现将有关事项通知如下：</w:t>
      </w:r>
    </w:p>
    <w:p w14:paraId="100571A7" w14:textId="77777777" w:rsidR="00A320E6" w:rsidRDefault="00000000" w:rsidP="00F53C81">
      <w:pPr>
        <w:pStyle w:val="1a"/>
        <w:rPr>
          <w:lang w:eastAsia="zh-Hans"/>
        </w:rPr>
      </w:pPr>
      <w:r>
        <w:rPr>
          <w:rFonts w:hint="eastAsia"/>
          <w:lang w:eastAsia="zh-Hans"/>
        </w:rPr>
        <w:lastRenderedPageBreak/>
        <w:t>一、高度重视商誉管理，维护国有资产安全</w:t>
      </w:r>
    </w:p>
    <w:p w14:paraId="3BE5BE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本通知所指商誉，是指企业在对外并购中形成，合并成本超过被并购企业可辨认净资产公允价值份额且单项入账的资产。过高的商誉预示可能存在较大的减值风险，如果管理不当将对企业权益、会计信息质量产生重大影响，还会加剧企业经营业绩的波动，影响企业平稳运行。</w:t>
      </w:r>
    </w:p>
    <w:p w14:paraId="77D3B6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各中央企业要正确认识、高度重视商誉管理的重要性，切实落实主体责任，不断提升全链条、全周期的商誉管理能力，特别要将境外项目以及溢价率（即支付对价/经备案的收购股份对应评估价值-1）高于两年内可比行业或企业平均水平50%以上的项目（以下称高溢价项目）作为管理重点，实施从严管控，及时化解高商誉潜在风险，切实夯实资产质量，维护国有资产安全。</w:t>
      </w:r>
    </w:p>
    <w:p w14:paraId="1010E62C" w14:textId="77777777" w:rsidR="00A320E6" w:rsidRDefault="00000000" w:rsidP="00F53C81">
      <w:pPr>
        <w:pStyle w:val="1a"/>
        <w:rPr>
          <w:lang w:eastAsia="zh-Hans"/>
        </w:rPr>
      </w:pPr>
      <w:r>
        <w:rPr>
          <w:rFonts w:hint="eastAsia"/>
          <w:lang w:eastAsia="zh-Hans"/>
        </w:rPr>
        <w:t>二、切实加强源头管控，防范商誉虚增风险</w:t>
      </w:r>
    </w:p>
    <w:p w14:paraId="735AF0A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（一）进一步规范投前管理，严控定价风险。</w:t>
      </w:r>
    </w:p>
    <w:p w14:paraId="02D06D7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并购投资是商誉的源头。中央企业要按照《中央企业投资监督管理办法》（国资委令第34号）及实施细则有关要求，加强并购投资的源头管理，确保并购项目与发展战略相一致、与年度预算相衔接、与投资能力相匹配。要秉持谨慎性原则扎实开展并购前可研论证和尽职调查，充分获取被并购方的财务和非财务、内部和外部信息，全面了解标的企业的行业背景、财务状况、未来盈利能力、管理团队水平等情况。要规范实施资产评估，严格履行评估工作程序；敦促评估机构结合行业发展趋势审慎开展业绩预测，合理选用评估方法；对不同方法评估值差异较大的项目，要重新论证业绩预测、折现率、可比对象等关键要素的科学合理性。要重点关注评估增值和收购溢价，对其必要性、合理性进行充分论证，对高溢价项目要按照企业现有决策权限至少上提内部一个层级进行决策，实施从严审查，防止溢价过高虚增商誉规模，从源头降低对企业资产结构和财务状况的潜在影响。</w:t>
      </w:r>
    </w:p>
    <w:p w14:paraId="1103A2A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（二）进一步规范运营管理，严控业绩风险。</w:t>
      </w:r>
    </w:p>
    <w:p w14:paraId="5382C9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中央企业要合理规范运用业绩承诺、对价分期递延支付等手段对并购项目建立业绩保险、惩罚和激励机制，保障并购项目长期盈利能力。要加强对并购企业的管理，按照投资预设的发展目标、经营方针和战略规划加强协同整合，强化运行情况的跟踪分析和投后评价，提前预判、及时化解各类经营风险，持续提升其成长性和盈利能力。要充分发挥相关企业核心竞争力的增益效应，把并购商誉转化为企业现</w:t>
      </w:r>
      <w:r>
        <w:rPr>
          <w:rFonts w:ascii="宋体" w:hAnsi="宋体" w:cs="宋体" w:hint="eastAsia"/>
          <w:sz w:val="24"/>
          <w:lang w:eastAsia="zh-Hans"/>
        </w:rPr>
        <w:lastRenderedPageBreak/>
        <w:t>实的发展能力，对未达到投资预期的并购项目要研究制定针对性的改进提升措施或项目退出安排，从根本上防范商誉减值风险。</w:t>
      </w:r>
    </w:p>
    <w:p w14:paraId="5B83356D" w14:textId="77777777" w:rsidR="00A320E6" w:rsidRDefault="00000000" w:rsidP="00F53C81">
      <w:pPr>
        <w:pStyle w:val="1a"/>
        <w:rPr>
          <w:lang w:eastAsia="zh-Hans"/>
        </w:rPr>
      </w:pPr>
      <w:r>
        <w:rPr>
          <w:rFonts w:hint="eastAsia"/>
          <w:lang w:eastAsia="zh-Hans"/>
        </w:rPr>
        <w:t>三、规范商誉计量管理，夯实会计信息质量</w:t>
      </w:r>
    </w:p>
    <w:p w14:paraId="53A56C8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（一）严格商誉初始确认。</w:t>
      </w:r>
    </w:p>
    <w:p w14:paraId="0C41D1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商誉初始确认计量是后续会计处理的基础。中央企业应当严格根据《企业会计准则》将合并成本在并购日资产负债中（有形资产、无形资产、确认负债、或有负债）进行合理分配，确实不可分配的部分才可确认为商誉。应当充分识别被并购企业专利权、非专利技术、特定客户关系、商标权、著作权、土地使用权、特许权等符合可辨认性标准的无形资产，不得将其确认为商誉。商誉应当在购买日分摊至相关资产组，认定资产组要以独立产生现金流入为主要依据，不应包括与商誉无关的资产及负债，后续会计期间应当保持一致、不得随意变更；确因业务重组、整合等原因发生变化，需及时将商誉账面价值重新分摊至受影响的资产组，并提供充分的理由及依据。后续发现商誉初始确认计量、资产组认定或商誉分摊出现差错，应当及时进行账务调整处理。</w:t>
      </w:r>
    </w:p>
    <w:p w14:paraId="53FF02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（二）严格商誉减值测试。</w:t>
      </w:r>
    </w:p>
    <w:p w14:paraId="790FA3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商誉减值测试是商誉管理的重点。中央企业应当梳理、明确商誉减值迹象的具体情形，包括但不限于现金流和效益持续恶化或明显低于预期、主要产品技术升级迭代、行业环境或产业政策发生根本改变、所在国别地区宏观环境风险突出等。要加强对减值迹象的动态跟踪监控，严格按照会计准则要求，在减值迹象出现时及时进行减值测试，每年年度终了应当集中对商誉进行减值测试。要重点关注减值迹象对未来现金净流量、折现率、预测期等关键参数的影响，合理确定可收回金额，必要时可聘请相关专家或独立第三方参与减值测试；对于连续3年出现减值迹象但测试结果未显示发生减值的要重新审视关键参数的合理性。要合理区分并分别处理商誉减值事项和并购重组相关方的业绩补偿事项，不得以存在业绩补偿承诺为由不进行商誉减值测试。</w:t>
      </w:r>
    </w:p>
    <w:p w14:paraId="67F66AF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（三）严格商誉信息披露。</w:t>
      </w:r>
    </w:p>
    <w:p w14:paraId="7371B5A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商誉信息披露是商誉管理的重要内容。中央企业应当按照会计准则要求规范披露所有与商誉减值有关的重要有用信息，不断提高完整性、真实性和可比性，严禁出现虚假、误导性陈述或重大遗漏等情形。要全面反映商誉所在资产组的相关信息，</w:t>
      </w:r>
      <w:r>
        <w:rPr>
          <w:rFonts w:ascii="宋体" w:hAnsi="宋体" w:cs="宋体" w:hint="eastAsia"/>
          <w:sz w:val="24"/>
          <w:lang w:eastAsia="zh-Hans"/>
        </w:rPr>
        <w:lastRenderedPageBreak/>
        <w:t>资产组构成发生变化应当充分披露导致其变化的事实与依据。要全面反映商誉对应资产组并购预期实现情况，以及减值测试的关键参数、过程与方法，与以前年度不一致的应当说明存在的差异及原因。</w:t>
      </w:r>
    </w:p>
    <w:p w14:paraId="6C51DB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（四）严格商誉终止确认。</w:t>
      </w:r>
    </w:p>
    <w:p w14:paraId="1B4C40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商誉终止确认是商誉全生命周期管理的最后环节。根据《企业会计准则》相关规定，对并购子企业或项目整体进行再转让的，应当及时将商誉一同转让；对资产组进行再转让的应当确认转让损益，并终止确认该资产组对应商誉；对并购子企业由于设计寿命到期、政府主管部门不再授权等原因停止生产经营，需要提前判断资产组预期现金流入，及时计提减值损失，到期退出后及时终止确认商誉。</w:t>
      </w:r>
    </w:p>
    <w:p w14:paraId="57585D6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四、持续完善长效机制，落实商誉管理责任</w:t>
      </w:r>
    </w:p>
    <w:p w14:paraId="7403BD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（一）加快制度机制建设。</w:t>
      </w:r>
    </w:p>
    <w:p w14:paraId="4E8FF1A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制度机制是规范商誉管理的保障。中央企业要制定并不断完善商誉管理专门制度，明确商誉管理各环节责任部门，探索建立涵盖规划、投资、运营、财务、审计等部门的商誉协同管理机制，细化操作流程以及关键管控点，形成贯穿于投资前、中、后全过程的具体操作规范指引，特别是要结合自身实际和所在行业特点明确商誉减值迹象和减值测试的触发条件，降低自由裁量空间，避免减值测试流于形式。要加强商誉相关内容培训，切实提高商誉管理的能力和水平。</w:t>
      </w:r>
    </w:p>
    <w:p w14:paraId="03369E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（二）加强中介服务支撑。</w:t>
      </w:r>
    </w:p>
    <w:p w14:paraId="616051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中央企业可以借助中介机构的力量和专业优势，有效识别和管控商誉风险。开展并购交易时应当充分利用独立、客观、公正的第三方评估机构确保交易价格的公允性，合理控制商誉规模。需借助中介机构开展商誉减值测试时，应当聘请有胜任能力的中介机构对商誉实施充分的风险评估、控制测试、实质性测试等程序，审核商誉减值的假设、参数和测试模型的合理性，杜绝滥用会计估计甚至违反会计准则的行为。要明确区分中央企业自身和中介机构在商誉管理方面的责任。要督促中介机构规范执业、勤勉尽责，中央企业如发现中介机构存在违规执业行为，要及时采取法律手段维护合法权益。</w:t>
      </w:r>
    </w:p>
    <w:p w14:paraId="47305EE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（三）加大监督检查力度。</w:t>
      </w:r>
    </w:p>
    <w:p w14:paraId="25B4A9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加强监督检查是防范化解商誉风险的关键。中央企业应对商誉管理涉及投资并购、生产运营、会计核算等全过程开展审计监督，重点关注高溢价和高减值项目，</w:t>
      </w:r>
      <w:r>
        <w:rPr>
          <w:rFonts w:ascii="宋体" w:hAnsi="宋体" w:cs="宋体" w:hint="eastAsia"/>
          <w:sz w:val="24"/>
          <w:lang w:eastAsia="zh-Hans"/>
        </w:rPr>
        <w:lastRenderedPageBreak/>
        <w:t>及时发现管理漏洞和违规问题，重大资产损失及损失风险应按照有关规定及时向国资委报告。要高度重视外部审计监管机构对商誉管理特别是商誉减值及减值风险的审计检查意见，要强化整改落实，不断规范经营管理，夯实资产质量。对违规造成国有资产损失、会计信息失真等严重不良后果的问题，国资委将依据有关规定严肃开展专项调查和责任追究工作，涉嫌违纪违法的，依法依规移送有关部门处理。</w:t>
      </w:r>
    </w:p>
    <w:p w14:paraId="1EE851FA"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国资委 </w:t>
      </w:r>
    </w:p>
    <w:p w14:paraId="519DABFA"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2022年5月24日</w:t>
      </w:r>
    </w:p>
    <w:p w14:paraId="28DB6C97"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85" w:name="_Toc112227393"/>
      <w:r>
        <w:rPr>
          <w:rFonts w:ascii="宋体" w:hAnsi="宋体" w:cs="宋体" w:hint="eastAsia"/>
          <w:b/>
          <w:bCs/>
          <w:sz w:val="24"/>
          <w:lang w:eastAsia="zh-Hans"/>
        </w:rPr>
        <w:t>关于企业国有资产交易流转有关事项的通知</w:t>
      </w:r>
      <w:bookmarkEnd w:id="85"/>
    </w:p>
    <w:p w14:paraId="04E19D5F" w14:textId="77777777" w:rsidR="00A320E6" w:rsidRDefault="00000000" w:rsidP="00AE0286">
      <w:pPr>
        <w:pStyle w:val="a3"/>
        <w:ind w:firstLine="482"/>
        <w:jc w:val="center"/>
        <w:rPr>
          <w:rFonts w:ascii="宋体" w:hAnsi="宋体" w:cs="宋体"/>
          <w:b/>
          <w:bCs/>
          <w:sz w:val="24"/>
          <w:lang w:eastAsia="zh-Hans"/>
        </w:rPr>
      </w:pPr>
      <w:r>
        <w:rPr>
          <w:rFonts w:ascii="宋体" w:hAnsi="宋体" w:cs="宋体" w:hint="eastAsia"/>
          <w:b/>
          <w:bCs/>
          <w:sz w:val="24"/>
          <w:lang w:eastAsia="zh-Hans"/>
        </w:rPr>
        <w:t>国资发产权规〔2022〕39号</w:t>
      </w:r>
    </w:p>
    <w:p w14:paraId="5E5F080C" w14:textId="77777777" w:rsidR="00A320E6" w:rsidRDefault="00000000" w:rsidP="00AE0286">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各中央企业，各省、自治区、直辖市及计划单列市和新疆生产建设兵团国资委：</w:t>
      </w:r>
    </w:p>
    <w:p w14:paraId="7EC4999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企业国有资产交易监督管理办法》(国资委财政部令第32号)等国有资产交易流转制度印发以来，在推动国有资产规范流转、防止国有资产流失方面发挥了重要作用。为推动国有经济布局优化和结构调整，助力企业实现高质量发展，加强国有资产交易流转管理，现将有关事项通知如下：</w:t>
      </w:r>
    </w:p>
    <w:p w14:paraId="5744F88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涉及政府或国有资产监督管理机构主导推动的国有资本布局优化和结构调整，以及专业化重组等重大事项，企业产权在不同的国家出资企业及其控股企业之间转让，且对受让方有特殊要求的，可以采取协议方式进行。</w:t>
      </w:r>
    </w:p>
    <w:p w14:paraId="0BFFB97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主业处于关系国家安全、国民经济命脉的重要行业和关键领域，主要承担重大专项任务的子企业，不得因产权转让、企业增资失去国有资本控股地位。国家出资企业内部重组整合中涉及该类企业时，以下情形可由国家出资企业审核批准：</w:t>
      </w:r>
    </w:p>
    <w:p w14:paraId="6C7A392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（一）企业产权在国家出资企业及其控股子企业之间转让的。</w:t>
      </w:r>
    </w:p>
    <w:p w14:paraId="27EF9F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（二）国家出资企业直接或指定其控股子企业参与增资的。</w:t>
      </w:r>
    </w:p>
    <w:p w14:paraId="2EBB687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（三）企业原股东同比例增资的。</w:t>
      </w:r>
    </w:p>
    <w:p w14:paraId="66A401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其他情形由国家出资企业报同级国有资产监督管理机构批准。</w:t>
      </w:r>
    </w:p>
    <w:p w14:paraId="3CD3309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国家出资企业及其子企业通过发行基础设施REITs盘活存量资产，应当做好可行性分析，合理确定交易价格，对后续运营管理责任和风险防范作出安排，涉及国有产权非公开协议转让按规定报同级国有资产监督管理机构批准。</w:t>
      </w:r>
    </w:p>
    <w:p w14:paraId="0CFC7C4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四、采取非公开协议方式转让企业产权，转让方、受让方均为国有独资或全资企业的，按照《中华人民共和国公司法》、企业章程履行决策程序后，转让价格可</w:t>
      </w:r>
      <w:r>
        <w:rPr>
          <w:rFonts w:ascii="宋体" w:hAnsi="宋体" w:cs="宋体" w:hint="eastAsia"/>
          <w:sz w:val="24"/>
          <w:lang w:eastAsia="zh-Hans"/>
        </w:rPr>
        <w:lastRenderedPageBreak/>
        <w:t>以资产评估报告或最近一期审计报告确认的净资产值为基础确定。</w:t>
      </w:r>
    </w:p>
    <w:p w14:paraId="4D38A50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国有控股、实际控制企业内部实施重组整合，经国家出资企业批准，该国有控股、实际控制企业与其直接、间接全资拥有的子企业之间，或其直接、间接全资拥有的子企业之间，可比照国有产权无偿划转管理相关规定划转所持企业产权。</w:t>
      </w:r>
    </w:p>
    <w:p w14:paraId="1120EE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企业增资可采取信息预披露和正式披露相结合的方式，通过产权交易机构网站分阶段对外披露增资信息，合计披露时间不少于40个工作日，其中正式披露时间不少于20个工作日。信息预披露应当包括但不限于企业基本情况、产权结构、近3年审计报告中的主要财务指标、拟募集资金金额等内容。</w:t>
      </w:r>
    </w:p>
    <w:p w14:paraId="375E9B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七、产权转让可在产权直接持有单位、企业增资可在标的企业履行内部决策程序后进行信息预披露，涉及需要履行最终批准程序的，应当进行相应提示。</w:t>
      </w:r>
    </w:p>
    <w:p w14:paraId="436F25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八、产权转让、资产转让项目信息披露期满未征集到意向受让方，仅调整转让底价后重新披露信息的，产权转让披露时间不少于10个工作日，资产转让披露时间不少于5个工作日。</w:t>
      </w:r>
    </w:p>
    <w:p w14:paraId="1A10C30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九、产权转让、企业增资导致国家出资企业及其子企业失去标的企业实际控制权的，交易完成后标的企业不得继续使用国家出资企业及其子企业的字号、经营资质和特许经营权等无形资产，不得继续以国家出资企业子企业名义开展经营活动。上述要求应当在信息披露中作为交易条件予以明确，并在交易合同中对工商变更、字号变更等安排作出相应约定。</w:t>
      </w:r>
    </w:p>
    <w:p w14:paraId="1015FFBE" w14:textId="77777777" w:rsidR="00A320E6" w:rsidRDefault="00000000" w:rsidP="00F53C81">
      <w:pPr>
        <w:pStyle w:val="a3"/>
        <w:spacing w:line="312" w:lineRule="auto"/>
        <w:ind w:firstLine="480"/>
        <w:jc w:val="right"/>
        <w:rPr>
          <w:rFonts w:ascii="宋体" w:hAnsi="宋体" w:cs="宋体"/>
          <w:sz w:val="24"/>
          <w:lang w:eastAsia="zh-Hans"/>
        </w:rPr>
      </w:pPr>
      <w:r>
        <w:rPr>
          <w:rFonts w:ascii="宋体" w:hAnsi="宋体" w:cs="宋体" w:hint="eastAsia"/>
          <w:sz w:val="24"/>
          <w:lang w:eastAsia="zh-Hans"/>
        </w:rPr>
        <w:t>国资委 </w:t>
      </w:r>
    </w:p>
    <w:p w14:paraId="4AB1C7F0" w14:textId="235D3E7C" w:rsidR="00F53C81" w:rsidRPr="00F53C81" w:rsidRDefault="00000000" w:rsidP="00F53C81">
      <w:pPr>
        <w:pStyle w:val="a3"/>
        <w:spacing w:line="312" w:lineRule="auto"/>
        <w:ind w:firstLine="480"/>
        <w:jc w:val="right"/>
        <w:rPr>
          <w:rFonts w:ascii="宋体" w:hAnsi="宋体" w:cs="宋体"/>
          <w:sz w:val="24"/>
          <w:lang w:eastAsia="zh-Hans"/>
        </w:rPr>
      </w:pPr>
      <w:r>
        <w:rPr>
          <w:rFonts w:ascii="宋体" w:hAnsi="宋体" w:cs="宋体" w:hint="eastAsia"/>
          <w:sz w:val="24"/>
          <w:lang w:eastAsia="zh-Hans"/>
        </w:rPr>
        <w:t>2022年5月16日</w:t>
      </w:r>
    </w:p>
    <w:p w14:paraId="3575AF8D" w14:textId="77777777" w:rsidR="00A320E6" w:rsidRDefault="00000000" w:rsidP="00EC761E">
      <w:pPr>
        <w:pStyle w:val="27"/>
        <w:rPr>
          <w:lang w:eastAsia="zh-Hans"/>
        </w:rPr>
      </w:pPr>
      <w:bookmarkStart w:id="86" w:name="_Toc112227394"/>
      <w:r>
        <w:rPr>
          <w:rFonts w:hint="eastAsia"/>
          <w:lang w:eastAsia="zh-Hans"/>
        </w:rPr>
        <w:t>监管机构-财政部</w:t>
      </w:r>
      <w:bookmarkEnd w:id="86"/>
    </w:p>
    <w:p w14:paraId="7EDC8D4F"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87" w:name="_Toc112227395"/>
      <w:r>
        <w:rPr>
          <w:rFonts w:ascii="宋体" w:hAnsi="宋体" w:cs="宋体" w:hint="eastAsia"/>
          <w:b/>
          <w:bCs/>
          <w:sz w:val="24"/>
          <w:lang w:eastAsia="zh-Hans"/>
        </w:rPr>
        <w:t>关于规范金融企业国有资产评估项目核准备案工作有关事项的通知</w:t>
      </w:r>
      <w:bookmarkEnd w:id="87"/>
    </w:p>
    <w:p w14:paraId="6E260EC6" w14:textId="77777777" w:rsidR="00A320E6" w:rsidRDefault="00000000" w:rsidP="00AE0286">
      <w:pPr>
        <w:pStyle w:val="a3"/>
        <w:spacing w:line="360" w:lineRule="auto"/>
        <w:ind w:firstLine="482"/>
        <w:jc w:val="center"/>
        <w:rPr>
          <w:rFonts w:ascii="宋体" w:hAnsi="宋体" w:cs="宋体"/>
          <w:b/>
          <w:bCs/>
          <w:sz w:val="24"/>
          <w:lang w:eastAsia="zh-Hans"/>
        </w:rPr>
      </w:pPr>
      <w:r>
        <w:rPr>
          <w:rFonts w:ascii="宋体" w:hAnsi="宋体" w:cs="宋体" w:hint="eastAsia"/>
          <w:b/>
          <w:bCs/>
          <w:sz w:val="24"/>
          <w:lang w:eastAsia="zh-Hans"/>
        </w:rPr>
        <w:t>财办金〔2021〕89号</w:t>
      </w:r>
    </w:p>
    <w:p w14:paraId="4511C48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各省、自治区、直辖市、计划单列市财政厅（局），新疆生产建设兵团财政局，国务院有关部委、有关直属机构办公厅，财政部各地监管局，全国社会保障基金理事会，有关国有金融机构： </w:t>
      </w:r>
    </w:p>
    <w:p w14:paraId="55AD5F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为贯彻落实《中共中央 国务院关于完善国有金融资本管理的指导意见》的有关精神和《国有金融资本出资人职责暂行规定》要求，切实做好金融企业国有资产评估监督管理工作，规范核准备案工作程序，根据《金融企业国有资产评估监督管</w:t>
      </w:r>
      <w:r>
        <w:rPr>
          <w:rFonts w:ascii="宋体" w:hAnsi="宋体" w:cs="宋体" w:hint="eastAsia"/>
          <w:sz w:val="24"/>
          <w:lang w:eastAsia="zh-Hans"/>
        </w:rPr>
        <w:lastRenderedPageBreak/>
        <w:t>理暂行办法》（财政部令第47号）等相关规定，现将有关事项通知如下： </w:t>
      </w:r>
    </w:p>
    <w:p w14:paraId="77472FF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对于金融企业报送的需财政部门核准或备案的资产评估项目，财政部门应按规定作出程序性审核，在确认资产评估项目有关资料要件齐全、资产评估评审专家出具“建议予以核准（备案）”的审核意见（如需）后，对资产评估项目予以核准（备案）。对于不予核准（备案）的，应当书面说明理由。 </w:t>
      </w:r>
    </w:p>
    <w:p w14:paraId="010706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二、对于予以核准的资产评估项目，财政部门以《关于金融企业国有资产评估项目核准告知书》（见附件1）的形式，书面通知金融企业。 </w:t>
      </w:r>
    </w:p>
    <w:p w14:paraId="0596B68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三、对于予以备案的资产评估项目，财政部门在金融企业报送的资产评估项目备案表（见附件2）上盖章，备案表应严格按照财政部令第47号规定样式填报，并采用A3纸张双面打印。 </w:t>
      </w:r>
    </w:p>
    <w:p w14:paraId="01E5BA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附件：1.关于金融企业国有资产评估项目核准告知书 </w:t>
      </w:r>
    </w:p>
    <w:p w14:paraId="65395A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　</w:t>
      </w:r>
      <w:r>
        <w:rPr>
          <w:rFonts w:ascii="宋体" w:hAnsi="宋体" w:cs="宋体"/>
          <w:sz w:val="24"/>
          <w:lang w:eastAsia="zh-Hans"/>
        </w:rPr>
        <w:t xml:space="preserve">  </w:t>
      </w:r>
      <w:r>
        <w:rPr>
          <w:rFonts w:ascii="宋体" w:hAnsi="宋体" w:cs="宋体" w:hint="eastAsia"/>
          <w:sz w:val="24"/>
          <w:lang w:eastAsia="zh-Hans"/>
        </w:rPr>
        <w:t xml:space="preserve">　2.金融企业资产评估项目备案表 </w:t>
      </w:r>
    </w:p>
    <w:p w14:paraId="645D5440"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xml:space="preserve">　　　 财政部办公厅 </w:t>
      </w:r>
    </w:p>
    <w:p w14:paraId="6B75F83C"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xml:space="preserve">　　2021年11月16日</w:t>
      </w:r>
    </w:p>
    <w:p w14:paraId="27C0FF99"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88" w:name="_Toc112227396"/>
      <w:r>
        <w:rPr>
          <w:rFonts w:ascii="宋体" w:hAnsi="宋体" w:cs="宋体" w:hint="eastAsia"/>
          <w:b/>
          <w:bCs/>
          <w:sz w:val="24"/>
          <w:lang w:eastAsia="zh-Hans"/>
        </w:rPr>
        <w:t>关于进一步规范银行函证及回函工作的通知</w:t>
      </w:r>
      <w:bookmarkEnd w:id="88"/>
    </w:p>
    <w:p w14:paraId="321A5657" w14:textId="77777777" w:rsidR="00A320E6" w:rsidRDefault="00000000" w:rsidP="00F53C81">
      <w:pPr>
        <w:pStyle w:val="1c"/>
        <w:rPr>
          <w:lang w:eastAsia="zh-Hans"/>
        </w:rPr>
      </w:pPr>
      <w:r>
        <w:rPr>
          <w:rFonts w:hint="eastAsia"/>
          <w:lang w:eastAsia="zh-Hans"/>
        </w:rPr>
        <w:t>财会〔2020〕12号</w:t>
      </w:r>
    </w:p>
    <w:p w14:paraId="376F2591"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各省、自治区、直辖市、计划单列市财政厅（局），各银保监局，中国注册会计师协会，中国银行业协会，各政策性银行、大型银行、股份制银行、外资银行：</w:t>
      </w:r>
    </w:p>
    <w:p w14:paraId="3E00FCF9"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为进一步规范银行函证及回函工作，提升审计工作质量，维护金融市场秩序，推动社会信用体系建设，防范银行业金融机构操作风险和声誉风险，现将有关事项通知如下：</w:t>
      </w:r>
    </w:p>
    <w:p w14:paraId="46F5B95E" w14:textId="77777777" w:rsidR="00A320E6" w:rsidRDefault="00000000" w:rsidP="00F53C81">
      <w:pPr>
        <w:pStyle w:val="1a"/>
        <w:rPr>
          <w:lang w:eastAsia="zh-Hans"/>
        </w:rPr>
      </w:pPr>
      <w:r>
        <w:rPr>
          <w:rFonts w:hint="eastAsia"/>
          <w:lang w:eastAsia="zh-Hans"/>
        </w:rPr>
        <w:t>一、高度重视银行函证及回函工作</w:t>
      </w:r>
    </w:p>
    <w:p w14:paraId="5BD52DFA"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银行函证及回函，是注册会计师在获取被审计单位授权后，直接向银行业金融机构发出询证函，银行业金融机构针对所收到的询证函，查询、核对相关信息并直接提供书面回函的过程。银行函证及回函工作是夯实市场主体会计信息质量、防范金融风险、维护市场秩序的重要途径。银行函证是注册会计师独立审计的核心程序之一，银行函证回函对于注册会计师在审计工作中识别财务报表错误与舞弊行为至关重要。规范银行函证回函工作，有利于银行业金融机构加强内部控制、防范风险。</w:t>
      </w:r>
    </w:p>
    <w:p w14:paraId="1C51C011"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注册会计师和银行业金融机构应当充分认识银行函证及回函工作的重要性。注</w:t>
      </w:r>
      <w:r>
        <w:rPr>
          <w:rFonts w:ascii="宋体" w:hAnsi="宋体" w:cs="宋体" w:hint="eastAsia"/>
          <w:sz w:val="24"/>
          <w:lang w:eastAsia="zh-Hans"/>
        </w:rPr>
        <w:lastRenderedPageBreak/>
        <w:t>册会计师应当充分履行职责，在银行业金融机构回函的基础上，审慎考虑实施函证获取的审计证据是否充分、适当、可靠。银行业金融机构应当加强内部控制，切实防范风险、承担社会责任、提升服务意识，高度重视并做好银行函证的回函工作。</w:t>
      </w:r>
    </w:p>
    <w:p w14:paraId="07420367" w14:textId="77777777" w:rsidR="00A320E6" w:rsidRDefault="00000000" w:rsidP="00F53C81">
      <w:pPr>
        <w:pStyle w:val="1a"/>
        <w:rPr>
          <w:lang w:eastAsia="zh-Hans"/>
        </w:rPr>
      </w:pPr>
      <w:r>
        <w:rPr>
          <w:rFonts w:hint="eastAsia"/>
          <w:lang w:eastAsia="zh-Hans"/>
        </w:rPr>
        <w:t>二、强化银行函证及回函工作管理</w:t>
      </w:r>
    </w:p>
    <w:p w14:paraId="0A8934E1"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注册会计师应当按照中国注册会计师审计准则的要求实施银行函证程序。在实施时，注册会计师应当根据具体业务的需要，从《银行函证及回函工作操作指引》（以下简称操作指引）中选择适当的银行询证函格式，并严格按照操作指引的要求操作、填写。注册会计师应当对银行询证函（包括回函）中所列信息严格保密，仅用于执业目的。</w:t>
      </w:r>
    </w:p>
    <w:p w14:paraId="4CBE4087"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银行业金融机构应当规范银行函证回函工作，严格按照本通知要求及操作指引进行回函。银行业金融机构应当严格按照操作指引要求提供资金池等创新业务相关信息。</w:t>
      </w:r>
    </w:p>
    <w:p w14:paraId="39BE5C00"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银行业金融机构应当明确业务牵头部门和各函证事项的业务主管部门，建立统一牵头、分工负责的内部管理机制和工作流程，完善对函证回函工作的内部控制，对回函信息的真实性、准确性负责；有效实施授权和制衡机制，分离不相容的职责；加强回函用章管理，明确回函用章，鼓励使用有防伪功能的电子印章；按照操作指引要求，认真校验询证函印章；加强回函的复核控制，建立完备的回函操作记录；进一步通过内部审计、内控评价等方式对回函工作进行内部监督和问责。</w:t>
      </w:r>
    </w:p>
    <w:p w14:paraId="56DC477D" w14:textId="77777777" w:rsidR="00A320E6" w:rsidRDefault="00000000" w:rsidP="009D39F6">
      <w:pPr>
        <w:pStyle w:val="1a"/>
        <w:rPr>
          <w:lang w:eastAsia="zh-Hans"/>
        </w:rPr>
      </w:pPr>
      <w:r>
        <w:rPr>
          <w:rFonts w:hint="eastAsia"/>
          <w:lang w:eastAsia="zh-Hans"/>
        </w:rPr>
        <w:t>三、切实提升回函服务质效</w:t>
      </w:r>
    </w:p>
    <w:p w14:paraId="5BAF57EE"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银行业金融机构应当提升服务意识，进一步改进函证回函工作质量和效率。银行业金融机构应当自收到符合规定的询证函之日起10个工作日内，按照要求将回函直接回复会计师事务所或交付跟函注册会计师。在采用纸质方式回函的情况下，银行业金融机构原则上应当在银行询证函原件上确认、填写相关信息并签章。如银行业金融机构因询证函不符合规定拒绝回函，应当在收到询证函3个工作日内通知会计师事务所，以保证回函效率。会计师事务所对回函真实性有疑虑或回函内容不完整、回函不及时的，可向被询证银行业金融机构的上级行或集中处理部门反映，上级行或集中处理部门应及时督促被询证银行业金融机构办理或直接予以办理。银行业金融机构应当在官方网站公布银行函证受理部门、联系方式及地址。</w:t>
      </w:r>
    </w:p>
    <w:p w14:paraId="70CD3746" w14:textId="77777777" w:rsidR="00A320E6" w:rsidRDefault="00000000" w:rsidP="009D39F6">
      <w:pPr>
        <w:pStyle w:val="1a"/>
        <w:rPr>
          <w:lang w:eastAsia="zh-Hans"/>
        </w:rPr>
      </w:pPr>
      <w:r>
        <w:rPr>
          <w:rFonts w:hint="eastAsia"/>
          <w:lang w:eastAsia="zh-Hans"/>
        </w:rPr>
        <w:lastRenderedPageBreak/>
        <w:t>四、推动回函集中处理和数字化</w:t>
      </w:r>
    </w:p>
    <w:p w14:paraId="0BCE7544"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银行业金融机构应当指定专门部门负责函证回函工作，并于2023年1月1日前实现集中处理。银行业金融机构应当逐步完善信息系统建设，争取实现汇总提供企业在本机构的所有相关业务信息。鼓励具备条件的银行业金融机构和第三方平台按照国家有关规定，基于安全、可靠、效率的原则推动函证数字化工作。</w:t>
      </w:r>
    </w:p>
    <w:p w14:paraId="0A75567F" w14:textId="77777777" w:rsidR="00A320E6" w:rsidRDefault="00000000" w:rsidP="009D39F6">
      <w:pPr>
        <w:pStyle w:val="1a"/>
        <w:rPr>
          <w:lang w:eastAsia="zh-Hans"/>
        </w:rPr>
      </w:pPr>
      <w:r>
        <w:rPr>
          <w:rFonts w:hint="eastAsia"/>
          <w:lang w:eastAsia="zh-Hans"/>
        </w:rPr>
        <w:t>五、加强监督管理和行业自律</w:t>
      </w:r>
    </w:p>
    <w:p w14:paraId="528400BB"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财政部门依法对注册会计师的银行函证工作进行指导和监督。银行保险监管部门依法对银行业金融机构回函工作进行监督和检查。银行业金融机构在回函工作中存在违法违规行为的，银行保险监管部门应当依法采取监管措施或实施行政处罚。注册会计师和银行业金融机构在银行函证及回函工作中涉嫌违法犯罪的，应当移交司法机关处理。</w:t>
      </w:r>
    </w:p>
    <w:p w14:paraId="2D1CE16C"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中国注册会计师协会、中国银行业协会应当依法充分履行行业自律职责，定期组织研究、拟订操作指引；引导银行业金融机构与注册会计师之间加强沟通交流，及时回应行业的问题与意见；研究推动函证数字化建设工作。中国注册会计师协会应当公示接受函证回函的会计师事务所地址和联系方式，并代表会计师事务所反映银行函证方面的诉求。中国银行业协会应当公示集中处理函证业务的银行业金融机构名单、具体负责部门和联系方式，加强函证业务的自律管理。</w:t>
      </w:r>
    </w:p>
    <w:p w14:paraId="4800BDC2"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本通知所称银行业金融机构是指在中华人民共和国境内设立的商业银行、农村信用合作社等吸收公众存款的金融机构以及政策性银行。企业集团财务公司参照适用本通知对银行业金融机构的要求。银行业金融机构收到资产评估机构等其他第三方机构依法获取企业授权后发出的银行询证函，可以参照本通知要求办理。</w:t>
      </w:r>
    </w:p>
    <w:p w14:paraId="5F7C86EE"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本通知自2021年1月1日起施行，《财政部银监会关于进一步规范银行函证及回函工作的通知》（财会〔2016〕13号）同时废止。</w:t>
      </w:r>
    </w:p>
    <w:p w14:paraId="47512EEE"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请各银保监局将本通知转发至辖内银保监分局与地方法人银行业金融机构。</w:t>
      </w:r>
    </w:p>
    <w:p w14:paraId="10822B78"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财政部</w:t>
      </w:r>
      <w:r>
        <w:rPr>
          <w:rFonts w:ascii="宋体" w:hAnsi="宋体" w:cs="宋体" w:hint="eastAsia"/>
          <w:sz w:val="24"/>
          <w:lang w:eastAsia="zh-Hans"/>
        </w:rPr>
        <w:br/>
        <w:t>银保监会</w:t>
      </w:r>
      <w:r>
        <w:rPr>
          <w:rFonts w:ascii="宋体" w:hAnsi="宋体" w:cs="宋体" w:hint="eastAsia"/>
          <w:sz w:val="24"/>
          <w:lang w:eastAsia="zh-Hans"/>
        </w:rPr>
        <w:br/>
        <w:t>2020年8月10日</w:t>
      </w:r>
    </w:p>
    <w:p w14:paraId="6CCA4740"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89" w:name="_Toc112227397"/>
      <w:r>
        <w:rPr>
          <w:rFonts w:ascii="宋体" w:hAnsi="宋体" w:cs="宋体" w:hint="eastAsia"/>
          <w:b/>
          <w:bCs/>
          <w:sz w:val="24"/>
          <w:lang w:eastAsia="zh-Hans"/>
        </w:rPr>
        <w:lastRenderedPageBreak/>
        <w:t>关于进一步加强知识产权质押融资工作的通知</w:t>
      </w:r>
      <w:bookmarkEnd w:id="89"/>
    </w:p>
    <w:p w14:paraId="271C45FB" w14:textId="77777777" w:rsidR="00A320E6" w:rsidRDefault="00000000" w:rsidP="0004718E">
      <w:pPr>
        <w:pStyle w:val="1c"/>
        <w:keepNext/>
        <w:rPr>
          <w:lang w:eastAsia="zh-Hans"/>
        </w:rPr>
      </w:pPr>
      <w:r>
        <w:rPr>
          <w:rFonts w:hint="eastAsia"/>
          <w:lang w:eastAsia="zh-Hans"/>
        </w:rPr>
        <w:t>银保监发〔2019〕34号</w:t>
      </w:r>
    </w:p>
    <w:p w14:paraId="02B57F09"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各银保监局，各省、自治区、直辖市、新疆建设兵团、计划单列市知识产权局（知识产权管理部门）、版权局，各政策性银行、大型银行、股份制银行，邮储银行，外资银行，金融资产管理公司，各保险集团（控股）公司、保险公司、保险资产管理公司，其他会管经营类机构:</w:t>
      </w:r>
    </w:p>
    <w:p w14:paraId="07D72F60"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为贯彻落实党中央、国务院关于知识产权工作的一系列重要部署，促进银行保险机构加大对知识产权运用的支持力度，扩大知识产权质押融资，现就有关事项通知如下：</w:t>
      </w:r>
    </w:p>
    <w:p w14:paraId="654124B5" w14:textId="77777777" w:rsidR="00A320E6" w:rsidRDefault="00000000" w:rsidP="009D39F6">
      <w:pPr>
        <w:pStyle w:val="1a"/>
        <w:rPr>
          <w:lang w:eastAsia="zh-Hans"/>
        </w:rPr>
      </w:pPr>
      <w:r>
        <w:rPr>
          <w:rFonts w:hint="eastAsia"/>
          <w:lang w:eastAsia="zh-Hans"/>
        </w:rPr>
        <w:t>一、优化知识产权质押融资服务体系</w:t>
      </w:r>
    </w:p>
    <w:p w14:paraId="0F2A1262"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一）银行保险机构、知识产权质权登记机构应当统一思想认识、保持战略定力，高度重视知识产权质押融资工作的重要性。鼓励银行保险机构积极开展知识产权质押融资业务，支持具有发展潜力的创新型（科技型）企业。</w:t>
      </w:r>
    </w:p>
    <w:p w14:paraId="5C0FED9A"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（二）支持商业银行建立专门的知识产权质押融资管理制度。大型银行、股份制银行应当研究制定知识产权质押融资业务的支持政策，并指定专门部门负责知识产权质押融资工作。</w:t>
      </w:r>
    </w:p>
    <w:p w14:paraId="6A1B0908"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（三）鼓励商业银行在风险可控的前提下，通过单列信贷计划、专项考核激励等方式支持知识产权质押融资业务发展，力争知识产权质押融资年累放贷款户数、年累放贷款金额逐年合理增长。</w:t>
      </w:r>
    </w:p>
    <w:p w14:paraId="2A365AD0"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四）支持商业银行建立适合知识产权质押融资特点的风险评估、授信审查、授信尽职和奖惩制度，创新信贷审批制度和利率定价机制。鼓励商业银行通过科技支行重点营销知识产权质押贷款等金融产品。鼓励商业银行积极探索知识产权金融业务发展模式，根据自身业务特色和经营优势，重点支持知识产权密集的创新型（科技型）企业的知识产权质押融资需求。</w:t>
      </w:r>
    </w:p>
    <w:p w14:paraId="0246AE6A" w14:textId="77777777" w:rsidR="00A320E6" w:rsidRDefault="00000000" w:rsidP="009D39F6">
      <w:pPr>
        <w:pStyle w:val="1a"/>
        <w:rPr>
          <w:lang w:eastAsia="zh-Hans"/>
        </w:rPr>
      </w:pPr>
      <w:r>
        <w:rPr>
          <w:rFonts w:hint="eastAsia"/>
          <w:lang w:eastAsia="zh-Hans"/>
        </w:rPr>
        <w:t>二、加强知识产权质押融资服务创新</w:t>
      </w:r>
    </w:p>
    <w:p w14:paraId="6C9DCB9B"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五）鼓励商业银行对企业的专利权、商标专用权、著作权等相关无形资产进行打包组合融资，提升企业复合型价值，扩大融资额度。研究扩大知识产权质押物范围，积极探索地理标志、集成电路布图设计作为知识产权质押物的可行性，进一步拓宽企业融资渠道。</w:t>
      </w:r>
    </w:p>
    <w:p w14:paraId="7C98F4DD"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lastRenderedPageBreak/>
        <w:t>（六）鼓励商业银行建立对企业科技创新能力的评价体系，通过综合评估企业专利权、商标专用权、著作权等知识产权价值等方式，合理分析企业创新发展能力和品牌价值，通过知识产权质押融资业务把握企业发展方向。商业银行应当积极同相关部门合作，完善对创新型（科技型）企业的认定及评价机制。支持商业银行运用云计算、大数据、移动互联网等新技术研发知识产权质押融资新模式。鼓励商业银行在提供知识产权质押融资服务基础上，为企业提供综合金融服务。</w:t>
      </w:r>
    </w:p>
    <w:p w14:paraId="12F6C749"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七）支持商业银行与知识产权密集型产业园区开展战略性合作，给予园区合理的意向性授信额度。鼓励商业银行加大对产业供应链中的创新型（科技型）小微企业的融资支持力度,促成小微企业知识产权质押“首贷”,进一步探索将小微企业纳入知识产权金融服务体系的有效途径。</w:t>
      </w:r>
    </w:p>
    <w:p w14:paraId="2047FEE2"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八）支持商业银行与投资基金等具备投资能力和条件的机构开展合作，积极支持拥有较高技术水平、良好市场前景的知识产权质押融资借款人。支持保险机构依法合规投资知识产权密集的创新型（科技型）小微企业，有效提升保险机构金融综合服务能力。</w:t>
      </w:r>
    </w:p>
    <w:p w14:paraId="0509E2E5" w14:textId="77777777" w:rsidR="00A320E6" w:rsidRDefault="00000000" w:rsidP="009D39F6">
      <w:pPr>
        <w:pStyle w:val="1a"/>
        <w:rPr>
          <w:lang w:eastAsia="zh-Hans"/>
        </w:rPr>
      </w:pPr>
      <w:r>
        <w:rPr>
          <w:rFonts w:hint="eastAsia"/>
          <w:lang w:eastAsia="zh-Hans"/>
        </w:rPr>
        <w:t>三、健全知识产权质押融资风险管理</w:t>
      </w:r>
    </w:p>
    <w:p w14:paraId="675226E8"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（九）商业银行开展知识产权质押融资业务应当对出质人及质物进行调查，办理质权登记，加强对押品的动态管理，定期分析借款人经营情况，对可能产生风险的不利情形要及时采取措施。</w:t>
      </w:r>
    </w:p>
    <w:p w14:paraId="55AB8991"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鼓励商业银行培养知识产权质押融资专门人才，建立知识产权资产评估机构库，加强对知识产权第三方资产评估机构的合作准入与持续管理。逐步建立和完善知识产权内部评估体系，加强内部风险评估、资产评估能力建设，探索开展内部评估。支持商业银行探索以协商估值、坏账分担为核心的中小微企业知识产权质押融资模式。</w:t>
      </w:r>
    </w:p>
    <w:p w14:paraId="30C9601C"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一）商业银行知识产权质押融资不良率高出自身各项贷款不良率3个百分点（含）以内的，可不作为监管部门监管评级和银行内部考核评价的扣分因素。商业银行应当进一步建立健全符合知识产权质押融资特点的内部尽职免责机制和科学的绩效考核机制。对经办人员在知识产权质押融资业务办理过程中已经尽职履责的，实行免责。</w:t>
      </w:r>
    </w:p>
    <w:p w14:paraId="3878E33F"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（十二）鼓励保险机构在风险可控前提下，开展与知识产权质押融资相关的保</w:t>
      </w:r>
      <w:r>
        <w:rPr>
          <w:rFonts w:ascii="宋体" w:hAnsi="宋体" w:cs="宋体" w:hint="eastAsia"/>
          <w:sz w:val="24"/>
          <w:lang w:eastAsia="zh-Hans"/>
        </w:rPr>
        <w:lastRenderedPageBreak/>
        <w:t>证保险业务。鼓励保险机构开展知识产权被侵权损失保险、侵权责任保险等保险业务，为知识产权驱动创新发展提供保险服务。</w:t>
      </w:r>
    </w:p>
    <w:p w14:paraId="10B2AFE5"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四、完善知识产权质押融资保障工作</w:t>
      </w:r>
    </w:p>
    <w:p w14:paraId="3212AD06"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（十三）银行保险监督管理部门与知识产权管理部门、版权管理部门建立知识产权金融协同工作机制，加强信息数据共享，共同推动知识产权质押融资相关支持政策的制定和实施工作。</w:t>
      </w:r>
    </w:p>
    <w:p w14:paraId="118487F0"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四）各银保监局、地方知识产权管理部门、地方版权管理部门等应当加强对本地区知识产权金融工作的组织领导，制定和完善本地区知识产权金融工作的具体措施。各银保监局、地方知识产权管理部门、地方版权管理部门要与地方政府有关部门加强合作，推动建立和完善知识产权质押融资的风险分担和损失补偿机制，促进知识产权质押融资业务可持续发展。</w:t>
      </w:r>
    </w:p>
    <w:p w14:paraId="245FC3FA"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五）各银保监局、地方知识产权管理部门、地方版权管理部门应当积极为商业银行与创新型（科技型）企业创造对接机会与平台。推动建立知识产权资产评估机构库、专家库和知识产权融资项目数据库，推进知识产权作价评估标准化,为商业银行开展知识产权质押融资创造良好条件。地方知识产权管理部门和地方版权管理部门应当加强对商业银行知识产权押品动态管理的专项服务，联合商业银行探索知识产权质物处置、流转的有效途径，充分发挥国家知识产权运营公共服务平台等各类知识产权交易平台作用，做好质物处置工作。</w:t>
      </w:r>
    </w:p>
    <w:p w14:paraId="08EE13BB"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六）知识产权管理部门、版权管理部门推动建立统一的专利权、商标专用权、著作权质押登记公示信息平台，便于商业银行、社会公众等进行查询。对于商业银行行使质权获得的知识产权等，可按程序减免维持费用。知识产权质权登记机构应当不断优化知识产权质押登记流程，缩短登记时间。</w:t>
      </w:r>
    </w:p>
    <w:p w14:paraId="3077B278"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七）商业银行应当加强知识产权质押融资业务的统计分析，定期向银行保险监督管理部门报送知识产权质押融资统计数据及相关工作情况。各级银行保险监督管理部门、知识产权管理部门、版权管理部门应当积极促进银行保险机构之间、银行保险机构与知识产权运营服务机构之间的交流，适时对辖内银行保险机构、知识产权运营服务机构开展知识产权质押融资业务情况进行评估，对业务开展良好的商业银行可按规定实施监管激励。</w:t>
      </w:r>
    </w:p>
    <w:p w14:paraId="7B066EA5"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（十八）鼓励商业银行以外的银行业金融机构以及经银保监会或银保监局批准</w:t>
      </w:r>
      <w:r>
        <w:rPr>
          <w:rFonts w:ascii="宋体" w:hAnsi="宋体" w:cs="宋体" w:hint="eastAsia"/>
          <w:sz w:val="24"/>
          <w:lang w:eastAsia="zh-Hans"/>
        </w:rPr>
        <w:lastRenderedPageBreak/>
        <w:t>设立的其他金融机构参照本通知的规定，积极开展知识产权质押融资业务，支持具有发展潜力的创新型（科技型）企业。</w:t>
      </w:r>
    </w:p>
    <w:p w14:paraId="40CFB3F7"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（十九）各级银行保险监督管理部门、知识产权管理部门、版权管理部门要及时总结交流知识产权质押融资典型案例和良好经验；对于政策执行过程中出现的问题和困难，要加强研究，及时报告上级主管部门。</w:t>
      </w:r>
    </w:p>
    <w:p w14:paraId="7B37E6AA" w14:textId="010B878B" w:rsidR="009D39F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中国银保监会</w:t>
      </w:r>
      <w:r w:rsidR="009D39F6">
        <w:rPr>
          <w:rFonts w:ascii="宋体" w:hAnsi="宋体" w:cs="宋体"/>
          <w:sz w:val="24"/>
          <w:lang w:eastAsia="zh-Hans"/>
        </w:rPr>
        <w:t xml:space="preserve">   </w:t>
      </w:r>
      <w:r>
        <w:rPr>
          <w:rFonts w:ascii="宋体" w:hAnsi="宋体" w:cs="宋体" w:hint="eastAsia"/>
          <w:sz w:val="24"/>
          <w:lang w:eastAsia="zh-Hans"/>
        </w:rPr>
        <w:t>国家知识产权局</w:t>
      </w:r>
      <w:r w:rsidR="009D39F6">
        <w:rPr>
          <w:rFonts w:ascii="宋体" w:hAnsi="宋体" w:cs="宋体"/>
          <w:sz w:val="24"/>
          <w:lang w:eastAsia="zh-Hans"/>
        </w:rPr>
        <w:t xml:space="preserve">   </w:t>
      </w:r>
      <w:r>
        <w:rPr>
          <w:rFonts w:ascii="宋体" w:hAnsi="宋体" w:cs="宋体" w:hint="eastAsia"/>
          <w:sz w:val="24"/>
          <w:lang w:eastAsia="zh-Hans"/>
        </w:rPr>
        <w:t>国家版权局</w:t>
      </w:r>
      <w:r>
        <w:rPr>
          <w:rFonts w:ascii="宋体" w:hAnsi="宋体" w:cs="宋体" w:hint="eastAsia"/>
          <w:sz w:val="24"/>
          <w:lang w:eastAsia="zh-Hans"/>
        </w:rPr>
        <w:br/>
        <w:t>2019年8月6日</w:t>
      </w:r>
    </w:p>
    <w:p w14:paraId="2A990317" w14:textId="77777777" w:rsidR="00A320E6" w:rsidRDefault="00000000" w:rsidP="00EC761E">
      <w:pPr>
        <w:pStyle w:val="27"/>
        <w:rPr>
          <w:lang w:eastAsia="zh-Hans" w:bidi="ar"/>
        </w:rPr>
      </w:pPr>
      <w:bookmarkStart w:id="90" w:name="_Toc112227398"/>
      <w:r>
        <w:rPr>
          <w:rFonts w:hint="eastAsia"/>
          <w:lang w:eastAsia="zh-Hans" w:bidi="ar"/>
        </w:rPr>
        <w:t>地方协会发布文件</w:t>
      </w:r>
      <w:bookmarkEnd w:id="90"/>
    </w:p>
    <w:p w14:paraId="4B186298" w14:textId="77777777" w:rsidR="00A320E6" w:rsidRDefault="00000000" w:rsidP="00F67407">
      <w:pPr>
        <w:keepNext/>
        <w:spacing w:beforeLines="50" w:before="156" w:afterLines="20" w:after="62" w:line="360" w:lineRule="auto"/>
        <w:jc w:val="center"/>
        <w:outlineLvl w:val="2"/>
        <w:rPr>
          <w:rFonts w:ascii="宋体" w:hAnsi="宋体" w:cs="宋体"/>
          <w:b/>
          <w:bCs/>
          <w:color w:val="000000"/>
          <w:kern w:val="0"/>
          <w:sz w:val="24"/>
          <w:lang w:eastAsia="zh-Hans" w:bidi="ar"/>
        </w:rPr>
      </w:pPr>
      <w:bookmarkStart w:id="91" w:name="_Toc112227399"/>
      <w:r>
        <w:rPr>
          <w:rFonts w:ascii="宋体" w:hAnsi="宋体" w:cs="宋体" w:hint="eastAsia"/>
          <w:b/>
          <w:bCs/>
          <w:color w:val="000000"/>
          <w:kern w:val="0"/>
          <w:sz w:val="24"/>
          <w:lang w:eastAsia="zh-Hans" w:bidi="ar"/>
        </w:rPr>
        <w:t>北京资产评估协会资产评估专业技术委员会执业问题解答（2021年）</w:t>
      </w:r>
      <w:bookmarkEnd w:id="91"/>
    </w:p>
    <w:p w14:paraId="018B47E0" w14:textId="77777777" w:rsidR="00A320E6" w:rsidRDefault="00000000" w:rsidP="009D39F6">
      <w:pPr>
        <w:pStyle w:val="1c"/>
        <w:rPr>
          <w:lang w:eastAsia="zh-Hans" w:bidi="ar"/>
        </w:rPr>
      </w:pPr>
      <w:r>
        <w:rPr>
          <w:rFonts w:hint="eastAsia"/>
          <w:lang w:eastAsia="zh-Hans" w:bidi="ar"/>
        </w:rPr>
        <w:t>特别提示</w:t>
      </w:r>
    </w:p>
    <w:p w14:paraId="57510A0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针对会员在专家信箱中提出的专业问题，北京评协资产评估专业技术委员会组织专家进行研究并提出相关观点，供评估人员参考。</w:t>
      </w:r>
    </w:p>
    <w:p w14:paraId="5AF9B9F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本观点仅根据部分评估实践归纳形成，提出的有关看法仅代表专家个人意见，不是对相关法律法规、资产评估准则等的解读，也不能替代评估专业人员个人的职业判断。在执业中评估人员应结合项目实际情况、自身职业判断审慎参考，不能直接照搬照抄。</w:t>
      </w:r>
    </w:p>
    <w:p w14:paraId="395FB90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问题1.对于被评估单位收到的政府为企业建设基础设施提供的资金补助，如果在评估基准日该项目尚未建设完成，且评估目的为增资的（混改），该递延收益评估时如何考虑？</w:t>
      </w:r>
    </w:p>
    <w:p w14:paraId="284A374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根据《企业会计准则第16号——政府补助》（财会〔2017〕15号），政府补助是指企业从政府无偿取得货币性资产或非货币性资产。政府补助具有无偿性的特点，即企业取得来源于政府的经济资源，不需要向政府交付商品或服务等对价。政府补助分为与资产相关的政府补助和与收益相关的政府补助。与资产相关的政府补助，是指企业取得的、用于购建或以其他方式形成长期资产的政府补助。与收益相关的政府补助，是指除与资产相关的政府补助之外的政府补助，主要用于补偿企业已发生或即将发生的相关成本费用或损失。递延收益核算企业确认的应在以后期间计入当期损益的政府补助。</w:t>
      </w:r>
    </w:p>
    <w:p w14:paraId="4236A02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对递延收益的评估，建议结合会计准则、税法等规定，区分为与资产相关和与收益相关的递延收益，分别进行评估。按照资产评估师资格考试辅导教材《资产评</w:t>
      </w:r>
      <w:r>
        <w:rPr>
          <w:rFonts w:ascii="宋体" w:hAnsi="宋体" w:cs="宋体" w:hint="eastAsia"/>
          <w:color w:val="000000"/>
          <w:kern w:val="0"/>
          <w:sz w:val="24"/>
          <w:lang w:eastAsia="zh-Hans" w:bidi="ar"/>
        </w:rPr>
        <w:lastRenderedPageBreak/>
        <w:t>估实务一》，与资产相关，若该项工程尚未完工，将账面值作为其评估值；若工程已经完工验收，评估值按照资产剩余寿命期所对应的价值进行确认。与收益相关，用于补偿企业已发生的相关费用或损失的，评估值仅保留所得税；用于补偿企业以后期间的相关费用或损失的，评估值按照相关费用期间所对应的价值进行确认。目前，大部分评估实践与辅导教材《资产评估实务一》提出的处理方式一致，但也存在以下情况：</w:t>
      </w:r>
    </w:p>
    <w:p w14:paraId="44AB462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部分委托人为国企、被评估单位为其全资子公司的评估项目，委托人考虑到这种政府资金支持是依赖其或被评估单位的信用、声誉、能力、资源等拿到的项目或者业务，且在基准日没有迹象表明项目不能建设完成或者业务不能持续经营，不管是否发生该增资行为，该笔款项都不需要偿还，故要求不能作为负债按账面值保留，否则不能真实反映国有资产（国有股权）价值。此种情况下，建议评估人员按照资产剩余寿命期所对应的价值和费用或损失剩余补偿期限所对应的价值确认评估值，同时在评估报告中披露该事项以及评估处理，提请交易对手方充分关注，并提请委托人与交易对手方考虑对于该事项在基准日后权利义务的相关合同安排。</w:t>
      </w:r>
    </w:p>
    <w:p w14:paraId="79AEDFF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此外，对递延收益的评估，还需特别注意对所得税费用的评估处理。政府补助如果确认为不征税收入，可以不考虑递延所得税负债，即上述用于补偿企业已发生的相关费用或损失的递延收益的评估值应为零。同时，涉及与该不征税收入对应的应纳所得税额计算时，不应扣除支出费用和支出形成资产的折旧、摊销等。</w:t>
      </w:r>
    </w:p>
    <w:p w14:paraId="44D20CF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收益法评估企业价值中，建议将递延收益评估值作为非经营性资产/负债做加回处理，递延收益评估值应与资产基础法与评估值保持一致。</w:t>
      </w:r>
    </w:p>
    <w:p w14:paraId="4948800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问题2.采用收益法进行企业价值评估，对于基建期间形成的大额未抵扣进项税，评估时如何考虑？</w:t>
      </w:r>
    </w:p>
    <w:p w14:paraId="7D636E2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基建期间形成的大额未抵扣进项税，是评估基准日前企业新建或改扩建投资购进货物或应税劳务缴纳的增值税税额，按现行规定，可在新建或改扩建项目完成并投产后正常生产经营期间计算应缴纳增值税时作为销项税额的抵扣项项目。我们理解，该待抵扣项目，是与投资相关而与未来的正常生产经营的经营性支出无关的非经营性资产。</w:t>
      </w:r>
    </w:p>
    <w:p w14:paraId="6A855BB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增值税是价外税，评估计算涉及的价格体系为不含税价格体系。企业价值收益法评估实践，也是按不含税价格口径对未来收入、成本及费用进行预测的，并没有</w:t>
      </w:r>
      <w:r>
        <w:rPr>
          <w:rFonts w:ascii="宋体" w:hAnsi="宋体" w:cs="宋体" w:hint="eastAsia"/>
          <w:color w:val="000000"/>
          <w:kern w:val="0"/>
          <w:sz w:val="24"/>
          <w:lang w:eastAsia="zh-Hans" w:bidi="ar"/>
        </w:rPr>
        <w:lastRenderedPageBreak/>
        <w:t xml:space="preserve">包含销售商品或提供劳务服务收取的增值税，也没有包含购进商品或接受劳务服务支付的增值税，而在计算被评估企业应缴增值税额时，可作为销项税额的抵扣项目、其基建期间形成的大额未抵扣进项税被（逐年）收回时，形成企业实际的现金流入。因此，我们认为，下述两种处理方式均有一定的合理性：一是，在采用收益法进行企业价值评估时，对于基建期间形成的大额未抵扣进项税，作为非经营性资产加回处理，但这种处理存在一定的时间价值差异（因为抵扣属于未来收益，所以可能多计）；二是，可将其作为与收益相关的资产（权利）在收益预测中加以考虑，较第一种处理，这种处理方式可以避免时间价值差异，但年抵扣额的确定可能会影响评估结果。 </w:t>
      </w:r>
    </w:p>
    <w:p w14:paraId="191CEA2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问题3.企业价值评估中投资性房地产采用市场法评估，是否需要扣除房产处置相关税费？</w:t>
      </w:r>
    </w:p>
    <w:p w14:paraId="054EBBA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针对这个问题，评估实务界一直有可以扣除和不可以扣除两种不同的观点。我们认为，一般来说，评估实务中的操作处理，不存在绝对的正确与否，很多情况需要考虑不同的评估业务类型、经济行为以及评估目的，对企业价值评估业务中投资性房地产的评估是否需要扣除房地产处置税费，建议考虑以下几个方面：</w:t>
      </w:r>
    </w:p>
    <w:p w14:paraId="38808F1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一）综合考虑交易惯例和评估行业惯例。是否需要扣除房地产处置税费，需要结合评估目的、价值类型以及评估方法在模拟价值实现过程中对特定交易下的房地产处置税费的固有处理方式，并充分考虑评估行业对评估对象交易税费的处理惯例，谨慎处理。</w:t>
      </w:r>
    </w:p>
    <w:p w14:paraId="36FF28E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二）考虑可理解和接受度。结合投资性房地产的持有意图和价值实现途径，投资性房地产的可变现净值确定，市场法评估值中扣除房地产出售过程中的相关税费，收益法评估值中扣除房地产租赁过程中产生的相关税费，这样处理得到的评估结论更有利于被理解和接受。</w:t>
      </w:r>
    </w:p>
    <w:p w14:paraId="75D0BF7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三）充分适当的披露。无论是否扣除相关税费，在评估报告中充分披露该事项，提请报告使用者充分关注，并建议委托人与交易对手方在交易定价时充分考虑该事项的影响，对委托人全面理解评估结论、正确使用评估报告，都是很有必要的。</w:t>
      </w:r>
    </w:p>
    <w:p w14:paraId="644E361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附注：为便于理解，我们将评估实务界对两种观点的理由列示如下：</w:t>
      </w:r>
    </w:p>
    <w:p w14:paraId="277EB00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第一种观点认为可以扣除，理由是：</w:t>
      </w:r>
    </w:p>
    <w:p w14:paraId="4232FC6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根据《企业会计准则第3号——投资性房地产》， “投资性房地产，是指为赚</w:t>
      </w:r>
      <w:r>
        <w:rPr>
          <w:rFonts w:ascii="宋体" w:hAnsi="宋体" w:cs="宋体" w:hint="eastAsia"/>
          <w:color w:val="000000"/>
          <w:kern w:val="0"/>
          <w:sz w:val="24"/>
          <w:lang w:eastAsia="zh-Hans" w:bidi="ar"/>
        </w:rPr>
        <w:lastRenderedPageBreak/>
        <w:t>取租金或资本增值，或两者兼有而持有的房地产”。根据《资产评估执业准则——不动产》，在企业价值评估中，应当关注企业经营方式及不动产实际使用方式对不动产价值的影响。在企业价值评估中，一般将投资性房地产归类为溢余或非经营性资产。持该观点的认为，企业价值评估的经营性房地产，为生产商品、提供劳务或经营管理而持有，价值具体表现其生产经营中的贡献，其价值的实现通过企业生产经营收益得到补偿。投资性房地产，根据其持有的意图（目的）不同其价值是通过变现或收取租金获得补偿，为持有增值变现时，采用市场法进行评估，评估价值为评估基准日销售收入减去因销售房产发生的支出的净收益。出租赚取租金时，采用收益法的评估价值为其净现金流量的折现现值。</w:t>
      </w:r>
    </w:p>
    <w:p w14:paraId="390A577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第二种观点认为不可以扣除，理由是：如果接受上面的观点，那就不仅是针对市场法的评估结果，而是针对采用其他适用的方法所确定的评估结果进行扣除。</w:t>
      </w:r>
    </w:p>
    <w:p w14:paraId="5CCAF5E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问题4.注册资本认缴登记制度下，如何确定持股比例和股东权益价值？</w:t>
      </w:r>
    </w:p>
    <w:p w14:paraId="71479DA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专家观点：（1）确定持股比例的考虑</w:t>
      </w:r>
    </w:p>
    <w:p w14:paraId="6378764C" w14:textId="7C2A6241"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2014年2月7日，国务院印发《国务院关于印发注册资本登记制度改革方案的通知》（国发〔2014〕7 号），决定实行注册资本认缴登记制。2018年10月26日第十三届全国人大常委会第六次会议《关于修改〈中华人民共和国公司法〉的决定》第四次修正)修改公司法，确立注册资本认缴登记制度（采取募集方式设立的股份有限公司以及商业银行、金融资产管理公司等27类行业的企业继续实行注册资本实缴登记制）。对注册资本认缴与实缴登记制度的相关规定做如下对比：</w:t>
      </w:r>
    </w:p>
    <w:tbl>
      <w:tblPr>
        <w:tblStyle w:val="ae"/>
        <w:tblW w:w="0" w:type="auto"/>
        <w:tblLook w:val="04A0" w:firstRow="1" w:lastRow="0" w:firstColumn="1" w:lastColumn="0" w:noHBand="0" w:noVBand="1"/>
      </w:tblPr>
      <w:tblGrid>
        <w:gridCol w:w="1951"/>
        <w:gridCol w:w="3402"/>
        <w:gridCol w:w="3593"/>
      </w:tblGrid>
      <w:tr w:rsidR="00A044A3" w:rsidRPr="0004718E" w14:paraId="466D31A5" w14:textId="77777777" w:rsidTr="0004718E">
        <w:trPr>
          <w:tblHeader/>
        </w:trPr>
        <w:tc>
          <w:tcPr>
            <w:tcW w:w="1951" w:type="dxa"/>
            <w:vAlign w:val="center"/>
          </w:tcPr>
          <w:p w14:paraId="4962EAC3" w14:textId="77777777" w:rsidR="00A044A3" w:rsidRPr="0004718E" w:rsidRDefault="00A044A3" w:rsidP="0004718E">
            <w:pPr>
              <w:pStyle w:val="a3"/>
              <w:ind w:firstLineChars="0" w:firstLine="0"/>
              <w:jc w:val="center"/>
              <w:rPr>
                <w:rFonts w:ascii="宋体" w:hAnsi="宋体" w:cs="宋体"/>
                <w:b/>
                <w:bCs/>
                <w:color w:val="000000"/>
                <w:kern w:val="0"/>
                <w:szCs w:val="21"/>
                <w:lang w:eastAsia="zh-Hans" w:bidi="ar"/>
              </w:rPr>
            </w:pPr>
          </w:p>
        </w:tc>
        <w:tc>
          <w:tcPr>
            <w:tcW w:w="3402" w:type="dxa"/>
            <w:vAlign w:val="center"/>
          </w:tcPr>
          <w:p w14:paraId="72D51E44" w14:textId="439F0C6B" w:rsidR="00A044A3" w:rsidRPr="0004718E" w:rsidRDefault="00A044A3" w:rsidP="0004718E">
            <w:pPr>
              <w:pStyle w:val="a3"/>
              <w:ind w:firstLineChars="0" w:firstLine="0"/>
              <w:jc w:val="center"/>
              <w:rPr>
                <w:rFonts w:ascii="宋体" w:hAnsi="宋体" w:cs="宋体"/>
                <w:b/>
                <w:bCs/>
                <w:color w:val="000000"/>
                <w:kern w:val="0"/>
                <w:szCs w:val="21"/>
                <w:lang w:eastAsia="zh-Hans" w:bidi="ar"/>
              </w:rPr>
            </w:pPr>
            <w:r w:rsidRPr="0004718E">
              <w:rPr>
                <w:rFonts w:ascii="宋体" w:hAnsi="宋体" w:cs="宋体" w:hint="eastAsia"/>
                <w:b/>
                <w:bCs/>
                <w:color w:val="000000"/>
                <w:kern w:val="0"/>
                <w:szCs w:val="21"/>
                <w:lang w:eastAsia="zh-Hans" w:bidi="ar"/>
              </w:rPr>
              <w:t>注册资本实缴登记制</w:t>
            </w:r>
          </w:p>
        </w:tc>
        <w:tc>
          <w:tcPr>
            <w:tcW w:w="3593" w:type="dxa"/>
            <w:vAlign w:val="center"/>
          </w:tcPr>
          <w:p w14:paraId="74F71854" w14:textId="4DFE26F4" w:rsidR="00A044A3" w:rsidRPr="0004718E" w:rsidRDefault="00A044A3" w:rsidP="0004718E">
            <w:pPr>
              <w:pStyle w:val="a3"/>
              <w:ind w:firstLineChars="0" w:firstLine="0"/>
              <w:jc w:val="center"/>
              <w:rPr>
                <w:rFonts w:ascii="宋体" w:hAnsi="宋体" w:cs="宋体"/>
                <w:b/>
                <w:bCs/>
                <w:color w:val="000000"/>
                <w:kern w:val="0"/>
                <w:szCs w:val="21"/>
                <w:lang w:eastAsia="zh-Hans" w:bidi="ar"/>
              </w:rPr>
            </w:pPr>
            <w:r w:rsidRPr="0004718E">
              <w:rPr>
                <w:rFonts w:ascii="宋体" w:hAnsi="宋体" w:cs="宋体" w:hint="eastAsia"/>
                <w:b/>
                <w:bCs/>
                <w:color w:val="000000"/>
                <w:kern w:val="0"/>
                <w:szCs w:val="21"/>
                <w:lang w:eastAsia="zh-Hans" w:bidi="ar"/>
              </w:rPr>
              <w:t>注册资本认缴登记制</w:t>
            </w:r>
          </w:p>
        </w:tc>
      </w:tr>
      <w:tr w:rsidR="00A044A3" w:rsidRPr="00A044A3" w14:paraId="04C37FF4" w14:textId="77777777" w:rsidTr="00A044A3">
        <w:tc>
          <w:tcPr>
            <w:tcW w:w="1951" w:type="dxa"/>
            <w:vAlign w:val="center"/>
          </w:tcPr>
          <w:p w14:paraId="66166CC4" w14:textId="3D695ECD"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工商登记额</w:t>
            </w:r>
          </w:p>
        </w:tc>
        <w:tc>
          <w:tcPr>
            <w:tcW w:w="3402" w:type="dxa"/>
            <w:vAlign w:val="center"/>
          </w:tcPr>
          <w:p w14:paraId="055795A4" w14:textId="19E5E649"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股东实缴、经验资的出资总额/发起人认购的、验资的股本总额，登记为注册资本。</w:t>
            </w:r>
          </w:p>
        </w:tc>
        <w:tc>
          <w:tcPr>
            <w:tcW w:w="3593" w:type="dxa"/>
            <w:vAlign w:val="center"/>
          </w:tcPr>
          <w:p w14:paraId="0C14606A" w14:textId="03918C12"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股东认缴的出资总额/或者发起人认购的股本总额，登记为注册资本。</w:t>
            </w:r>
          </w:p>
        </w:tc>
      </w:tr>
      <w:tr w:rsidR="00A044A3" w:rsidRPr="00A044A3" w14:paraId="776FE981" w14:textId="77777777" w:rsidTr="00A044A3">
        <w:tc>
          <w:tcPr>
            <w:tcW w:w="1951" w:type="dxa"/>
            <w:vMerge w:val="restart"/>
            <w:vAlign w:val="center"/>
          </w:tcPr>
          <w:p w14:paraId="5B106504" w14:textId="55A176A3"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注册资本</w:t>
            </w:r>
          </w:p>
        </w:tc>
        <w:tc>
          <w:tcPr>
            <w:tcW w:w="3402" w:type="dxa"/>
            <w:vAlign w:val="center"/>
          </w:tcPr>
          <w:p w14:paraId="1F003F32" w14:textId="2CF0455D"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验资出资总额</w:t>
            </w:r>
          </w:p>
        </w:tc>
        <w:tc>
          <w:tcPr>
            <w:tcW w:w="3593" w:type="dxa"/>
            <w:vAlign w:val="center"/>
          </w:tcPr>
          <w:p w14:paraId="6785147D" w14:textId="5B22DDD6"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认缴出资总额</w:t>
            </w:r>
          </w:p>
        </w:tc>
      </w:tr>
      <w:tr w:rsidR="00A044A3" w:rsidRPr="00A044A3" w14:paraId="77AA64E9" w14:textId="77777777" w:rsidTr="00A044A3">
        <w:tc>
          <w:tcPr>
            <w:tcW w:w="1951" w:type="dxa"/>
            <w:vMerge/>
            <w:vAlign w:val="center"/>
          </w:tcPr>
          <w:p w14:paraId="1B5E01DC" w14:textId="77777777" w:rsidR="00A044A3" w:rsidRPr="00A044A3" w:rsidRDefault="00A044A3" w:rsidP="00A044A3">
            <w:pPr>
              <w:pStyle w:val="a3"/>
              <w:ind w:firstLineChars="0" w:firstLine="0"/>
              <w:rPr>
                <w:rFonts w:ascii="宋体" w:hAnsi="宋体" w:cs="宋体"/>
                <w:color w:val="000000"/>
                <w:kern w:val="0"/>
                <w:szCs w:val="21"/>
                <w:lang w:eastAsia="zh-Hans" w:bidi="ar"/>
              </w:rPr>
            </w:pPr>
          </w:p>
        </w:tc>
        <w:tc>
          <w:tcPr>
            <w:tcW w:w="3402" w:type="dxa"/>
            <w:vAlign w:val="center"/>
          </w:tcPr>
          <w:p w14:paraId="007A227A" w14:textId="3FC4F88B"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公司实收资本为工商登记事项。公司登记时，必须提交验资报告。</w:t>
            </w:r>
          </w:p>
        </w:tc>
        <w:tc>
          <w:tcPr>
            <w:tcW w:w="3593" w:type="dxa"/>
            <w:vAlign w:val="center"/>
          </w:tcPr>
          <w:p w14:paraId="688955B8" w14:textId="41A6BFB7"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公司实收资本不再作为工商登记事项。登记时，无需提交验资报告。</w:t>
            </w:r>
          </w:p>
        </w:tc>
      </w:tr>
      <w:tr w:rsidR="00A044A3" w:rsidRPr="00A044A3" w14:paraId="3AA648DF" w14:textId="77777777" w:rsidTr="00A044A3">
        <w:tc>
          <w:tcPr>
            <w:tcW w:w="1951" w:type="dxa"/>
            <w:vAlign w:val="center"/>
          </w:tcPr>
          <w:p w14:paraId="5EEE279E" w14:textId="6AA2E40A"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标识</w:t>
            </w:r>
          </w:p>
        </w:tc>
        <w:tc>
          <w:tcPr>
            <w:tcW w:w="3402" w:type="dxa"/>
            <w:vAlign w:val="center"/>
          </w:tcPr>
          <w:p w14:paraId="7172C4AB" w14:textId="451038CA"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公司营业执照上的注册资本就是验资账户必须有相应的数额，即出资人或股东实际缴纳的出资</w:t>
            </w:r>
          </w:p>
        </w:tc>
        <w:tc>
          <w:tcPr>
            <w:tcW w:w="3593" w:type="dxa"/>
            <w:vAlign w:val="center"/>
          </w:tcPr>
          <w:p w14:paraId="5AEFC004" w14:textId="6D2D6537"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公司营业执照上载明的注册资本，也是工商部门登记的注册资本总额</w:t>
            </w:r>
          </w:p>
        </w:tc>
      </w:tr>
      <w:tr w:rsidR="00A044A3" w:rsidRPr="00A044A3" w14:paraId="5EB2F942" w14:textId="77777777" w:rsidTr="0051093A">
        <w:tc>
          <w:tcPr>
            <w:tcW w:w="1951" w:type="dxa"/>
            <w:vAlign w:val="center"/>
          </w:tcPr>
          <w:p w14:paraId="0BFC5494" w14:textId="6AB73C6F"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约定方式</w:t>
            </w:r>
          </w:p>
        </w:tc>
        <w:tc>
          <w:tcPr>
            <w:tcW w:w="6995" w:type="dxa"/>
            <w:gridSpan w:val="2"/>
            <w:vAlign w:val="center"/>
          </w:tcPr>
          <w:p w14:paraId="043E2235" w14:textId="19B3130F"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认缴出资额、出资方式、出资期限等自主约定，并记载于公司章程。股东应当按期足额缴纳公司意程中规定的各自所认缴的出资额。股东不按照规定缴纳出资的，除应当向公司足额缴纳外，还应当向己按期足额缴纳出资的股东承担违约责任。</w:t>
            </w:r>
          </w:p>
        </w:tc>
      </w:tr>
      <w:tr w:rsidR="00A044A3" w:rsidRPr="00A044A3" w14:paraId="283F9ECF" w14:textId="77777777" w:rsidTr="00A044A3">
        <w:tc>
          <w:tcPr>
            <w:tcW w:w="1951" w:type="dxa"/>
            <w:vAlign w:val="center"/>
          </w:tcPr>
          <w:p w14:paraId="39BA2C9B" w14:textId="7FAC5E8B"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责任界限</w:t>
            </w:r>
          </w:p>
        </w:tc>
        <w:tc>
          <w:tcPr>
            <w:tcW w:w="3402" w:type="dxa"/>
            <w:vAlign w:val="center"/>
          </w:tcPr>
          <w:p w14:paraId="364E1432" w14:textId="5EFE8CAB"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以实际缴纳的出资额/认购的股份</w:t>
            </w:r>
            <w:r w:rsidRPr="00A044A3">
              <w:rPr>
                <w:rFonts w:ascii="宋体" w:hAnsi="宋体" w:cs="宋体" w:hint="eastAsia"/>
                <w:color w:val="000000"/>
                <w:kern w:val="0"/>
                <w:szCs w:val="21"/>
                <w:lang w:eastAsia="zh-Hans" w:bidi="ar"/>
              </w:rPr>
              <w:lastRenderedPageBreak/>
              <w:t>为限对公司承担责任。</w:t>
            </w:r>
          </w:p>
        </w:tc>
        <w:tc>
          <w:tcPr>
            <w:tcW w:w="3593" w:type="dxa"/>
            <w:vAlign w:val="center"/>
          </w:tcPr>
          <w:p w14:paraId="6C698C7E" w14:textId="20C03F4A"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lastRenderedPageBreak/>
              <w:t>以认缴的出资额/认购的股份为限对</w:t>
            </w:r>
            <w:r w:rsidRPr="00A044A3">
              <w:rPr>
                <w:rFonts w:ascii="宋体" w:hAnsi="宋体" w:cs="宋体" w:hint="eastAsia"/>
                <w:color w:val="000000"/>
                <w:kern w:val="0"/>
                <w:szCs w:val="21"/>
                <w:lang w:eastAsia="zh-Hans" w:bidi="ar"/>
              </w:rPr>
              <w:lastRenderedPageBreak/>
              <w:t>公司承担责任。</w:t>
            </w:r>
          </w:p>
        </w:tc>
      </w:tr>
      <w:tr w:rsidR="00A044A3" w:rsidRPr="00A044A3" w14:paraId="6566EDCE" w14:textId="77777777" w:rsidTr="00194092">
        <w:tc>
          <w:tcPr>
            <w:tcW w:w="1951" w:type="dxa"/>
            <w:vAlign w:val="center"/>
          </w:tcPr>
          <w:p w14:paraId="7AD4417C" w14:textId="439D9983"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lastRenderedPageBreak/>
              <w:t>收益分配</w:t>
            </w:r>
          </w:p>
        </w:tc>
        <w:tc>
          <w:tcPr>
            <w:tcW w:w="6995" w:type="dxa"/>
            <w:gridSpan w:val="2"/>
            <w:vAlign w:val="center"/>
          </w:tcPr>
          <w:p w14:paraId="48D318B0" w14:textId="516E74BD"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按照实缴出资比例分取红利。但是，全体股东约定不按照出资比例分取红利除外。</w:t>
            </w:r>
          </w:p>
        </w:tc>
      </w:tr>
      <w:tr w:rsidR="00A044A3" w:rsidRPr="00A044A3" w14:paraId="77E74E20" w14:textId="77777777" w:rsidTr="008B47F5">
        <w:tc>
          <w:tcPr>
            <w:tcW w:w="1951" w:type="dxa"/>
            <w:vAlign w:val="center"/>
          </w:tcPr>
          <w:p w14:paraId="608525B0" w14:textId="12D92C69"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剩余财产分配</w:t>
            </w:r>
          </w:p>
        </w:tc>
        <w:tc>
          <w:tcPr>
            <w:tcW w:w="6995" w:type="dxa"/>
            <w:gridSpan w:val="2"/>
            <w:vAlign w:val="center"/>
          </w:tcPr>
          <w:p w14:paraId="7DD1E266" w14:textId="488951D7" w:rsidR="00A044A3" w:rsidRPr="00A044A3" w:rsidRDefault="00A044A3" w:rsidP="00A044A3">
            <w:pPr>
              <w:pStyle w:val="a3"/>
              <w:ind w:firstLineChars="0" w:firstLine="0"/>
              <w:rPr>
                <w:rFonts w:ascii="宋体" w:hAnsi="宋体" w:cs="宋体"/>
                <w:color w:val="000000"/>
                <w:kern w:val="0"/>
                <w:szCs w:val="21"/>
                <w:lang w:eastAsia="zh-Hans" w:bidi="ar"/>
              </w:rPr>
            </w:pPr>
            <w:r w:rsidRPr="00A044A3">
              <w:rPr>
                <w:rFonts w:ascii="宋体" w:hAnsi="宋体" w:cs="宋体" w:hint="eastAsia"/>
                <w:color w:val="000000"/>
                <w:kern w:val="0"/>
                <w:szCs w:val="21"/>
                <w:lang w:eastAsia="zh-Hans" w:bidi="ar"/>
              </w:rPr>
              <w:t>公司财产在分别支付清算营用、职工的工资、社会保险营用和法定补偿金，缴纳所欠税款，清偿公司债务后的剩余财产，有限责任公司按照股东的出资比例分配，股份有限公司按照股东持有的股份比例分配。</w:t>
            </w:r>
          </w:p>
        </w:tc>
      </w:tr>
      <w:tr w:rsidR="000E2429" w:rsidRPr="00A044A3" w14:paraId="363F2E5F" w14:textId="77777777" w:rsidTr="005A171A">
        <w:tc>
          <w:tcPr>
            <w:tcW w:w="1951" w:type="dxa"/>
            <w:vAlign w:val="center"/>
          </w:tcPr>
          <w:p w14:paraId="5FE8EC3B" w14:textId="52A38C07" w:rsidR="000E2429" w:rsidRPr="00A044A3" w:rsidRDefault="000E2429" w:rsidP="00A044A3">
            <w:pPr>
              <w:pStyle w:val="a3"/>
              <w:ind w:firstLineChars="0" w:firstLine="0"/>
              <w:rPr>
                <w:rFonts w:ascii="宋体" w:hAnsi="宋体" w:cs="宋体"/>
                <w:color w:val="000000"/>
                <w:kern w:val="0"/>
                <w:szCs w:val="21"/>
                <w:lang w:eastAsia="zh-Hans" w:bidi="ar"/>
              </w:rPr>
            </w:pPr>
            <w:r w:rsidRPr="000E2429">
              <w:rPr>
                <w:rFonts w:ascii="宋体" w:hAnsi="宋体" w:cs="宋体" w:hint="eastAsia"/>
                <w:color w:val="000000"/>
                <w:kern w:val="0"/>
                <w:szCs w:val="21"/>
                <w:lang w:eastAsia="zh-Hans" w:bidi="ar"/>
              </w:rPr>
              <w:t>新增出资</w:t>
            </w:r>
          </w:p>
        </w:tc>
        <w:tc>
          <w:tcPr>
            <w:tcW w:w="6995" w:type="dxa"/>
            <w:gridSpan w:val="2"/>
            <w:vAlign w:val="center"/>
          </w:tcPr>
          <w:p w14:paraId="03A3995D" w14:textId="08AA6AC5" w:rsidR="000E2429" w:rsidRPr="00A044A3" w:rsidRDefault="000E2429" w:rsidP="00A044A3">
            <w:pPr>
              <w:pStyle w:val="a3"/>
              <w:ind w:firstLineChars="0" w:firstLine="0"/>
              <w:rPr>
                <w:rFonts w:ascii="宋体" w:hAnsi="宋体" w:cs="宋体"/>
                <w:color w:val="000000"/>
                <w:kern w:val="0"/>
                <w:szCs w:val="21"/>
                <w:lang w:eastAsia="zh-Hans" w:bidi="ar"/>
              </w:rPr>
            </w:pPr>
            <w:r w:rsidRPr="000E2429">
              <w:rPr>
                <w:rFonts w:ascii="宋体" w:hAnsi="宋体" w:cs="宋体" w:hint="eastAsia"/>
                <w:color w:val="000000"/>
                <w:kern w:val="0"/>
                <w:szCs w:val="21"/>
                <w:lang w:eastAsia="zh-Hans" w:bidi="ar"/>
              </w:rPr>
              <w:t>公司新增资本时，股东有权优先按照实缴的出资比例认缴出资。但是，全体股东约定不按照出资比例优先认缴出资的除外。</w:t>
            </w:r>
          </w:p>
        </w:tc>
      </w:tr>
      <w:tr w:rsidR="000E2429" w:rsidRPr="00A044A3" w14:paraId="4BF99EF2" w14:textId="77777777" w:rsidTr="00045B98">
        <w:tc>
          <w:tcPr>
            <w:tcW w:w="1951" w:type="dxa"/>
            <w:vAlign w:val="center"/>
          </w:tcPr>
          <w:p w14:paraId="0C70A784" w14:textId="516C1E04" w:rsidR="000E2429" w:rsidRPr="00A044A3" w:rsidRDefault="000E2429" w:rsidP="00A044A3">
            <w:pPr>
              <w:pStyle w:val="a3"/>
              <w:ind w:firstLineChars="0" w:firstLine="0"/>
              <w:rPr>
                <w:rFonts w:ascii="宋体" w:hAnsi="宋体" w:cs="宋体"/>
                <w:color w:val="000000"/>
                <w:kern w:val="0"/>
                <w:szCs w:val="21"/>
                <w:lang w:eastAsia="zh-Hans" w:bidi="ar"/>
              </w:rPr>
            </w:pPr>
            <w:r w:rsidRPr="000E2429">
              <w:rPr>
                <w:rFonts w:ascii="宋体" w:hAnsi="宋体" w:cs="宋体" w:hint="eastAsia"/>
                <w:color w:val="000000"/>
                <w:kern w:val="0"/>
                <w:szCs w:val="21"/>
                <w:lang w:eastAsia="zh-Hans" w:bidi="ar"/>
              </w:rPr>
              <w:t>虚假出资的处罚</w:t>
            </w:r>
          </w:p>
        </w:tc>
        <w:tc>
          <w:tcPr>
            <w:tcW w:w="6995" w:type="dxa"/>
            <w:gridSpan w:val="2"/>
            <w:vAlign w:val="center"/>
          </w:tcPr>
          <w:p w14:paraId="512678EB" w14:textId="2FD6C62F" w:rsidR="000E2429" w:rsidRPr="00A044A3" w:rsidRDefault="000E2429" w:rsidP="00A044A3">
            <w:pPr>
              <w:pStyle w:val="a3"/>
              <w:ind w:firstLineChars="0" w:firstLine="0"/>
              <w:rPr>
                <w:rFonts w:ascii="宋体" w:hAnsi="宋体" w:cs="宋体"/>
                <w:color w:val="000000"/>
                <w:kern w:val="0"/>
                <w:szCs w:val="21"/>
                <w:lang w:eastAsia="zh-Hans" w:bidi="ar"/>
              </w:rPr>
            </w:pPr>
            <w:r w:rsidRPr="000E2429">
              <w:rPr>
                <w:rFonts w:ascii="宋体" w:hAnsi="宋体" w:cs="宋体" w:hint="eastAsia"/>
                <w:color w:val="000000"/>
                <w:kern w:val="0"/>
                <w:szCs w:val="21"/>
                <w:lang w:eastAsia="zh-Hans" w:bidi="ar"/>
              </w:rPr>
              <w:t>公司的发起人、股东虚假出资，未交付或者未按期交付作为出资的货币或者非货币财产的，由公司登记机关责令改正，处以虚假出资金额百分之五以上百分之十五以下的罚款。</w:t>
            </w:r>
          </w:p>
        </w:tc>
      </w:tr>
    </w:tbl>
    <w:p w14:paraId="1F36D63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从上表可以看出：①注册资本，是在公司登记机关登记的全体股东认缴的出资额。企业资产负债表科目“实收资本”数额，是出资人或股东实际缴纳的出资款。在股东认缴的出资额未全额缴付前，两者并不一致。②根据公司法，如果全体股东没有约定不按照出资比例分红和增资，一般来说分红、增资是按实缴额为依据计算。公司法未明确所有者权益的分配按实缴比例还是认缴比例计算。③公司解散与清算，涉及出资人或股东剩余财产分配权，依据的是“出资比例”，并未明确是按实缴额还是认缴额计算的“出资比例”。</w:t>
      </w:r>
    </w:p>
    <w:p w14:paraId="15C5DBE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实践中，常常存在虽然某股东的认缴额和实缴金额一致，但由于其他股东实缴额比认缴额少使得其持股比例增加了；有的股东尽管实缴额比认缴额少，但由于其他股东实缴额比认缴额少使得持股比例未变。因此，如何计算股比进而确定股权价值，评估实践中一直存在疑惑。</w:t>
      </w:r>
    </w:p>
    <w:p w14:paraId="6292A69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我们认为，在评估实践中，需要查阅公司章程，按照章程约定或出资协议等其他合法约定为依据，按照约定的持股比例计算股权价值，并披露评估处理过程。</w:t>
      </w:r>
    </w:p>
    <w:p w14:paraId="2F0D5E4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（2）股权价值评估的考虑</w:t>
      </w:r>
    </w:p>
    <w:p w14:paraId="2EE75DF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股权价值，也称为股东权益价值。股东权益又称为所有者权益，是企业资产扣除负债后，由所有者享有的剩余权益，通常由股本、资本公积(含股本溢价或资本溢价、其他资本公积)、其他综合收益、盈余公积和未分配利润等构成。由于所有者权益的构成复杂，《公司法》并未对各构成项目的分配比例予以明确，我们建议评估中应与企业充分沟通反馈处理原则和原因，并在报告中充分披露处理过程与结果。</w:t>
      </w:r>
    </w:p>
    <w:p w14:paraId="7D0D2DE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在最近几年的评估实践中，也有的按照下列公式计算股权价值：股权价值=（评估基准日全部股东权益价值评估值+应缴未缴出资额）×该股东认缴的出资比例-该</w:t>
      </w:r>
      <w:r>
        <w:rPr>
          <w:rFonts w:ascii="宋体" w:hAnsi="宋体" w:cs="宋体" w:hint="eastAsia"/>
          <w:color w:val="000000"/>
          <w:kern w:val="0"/>
          <w:sz w:val="24"/>
          <w:lang w:eastAsia="zh-Hans" w:bidi="ar"/>
        </w:rPr>
        <w:lastRenderedPageBreak/>
        <w:t>股东应缴未缴出资额。按照这个公式计算的股权价值，与按照实缴出资额为基础计算的股比计算的股权评估价值结果存在一定差异。建议评估人员高度关注这一点，做好与企业的充分沟通，并在评估报告中披露该事项。</w:t>
      </w:r>
    </w:p>
    <w:p w14:paraId="7DA6572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（3）实践中未缴出资额的情况</w:t>
      </w:r>
    </w:p>
    <w:p w14:paraId="716A260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实践中也存在，在评估基准日，企业将未缴（或欠缴）出资额列为股东对企业的负债（企业应收股东债权）的情况。这样处理实际造成股东（出资人）既是债务人又是出资人的情形，从而使计算的评估值、股比、股权价值评估值等，与未如此处理时计算的评估值、股比、股权价值评估值存在一定差异。对此，在收益法和资产基础法评估时，应特别关注。</w:t>
      </w:r>
    </w:p>
    <w:p w14:paraId="10425AB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由于将未实缴出资额（部分或全部）列为企业债权，为处理历史遗留问题或者解决公平问题，经产权交易双方商议，在取得企业对出资时间和出资额书面承诺后，以企业在评估基准日已经出资的假设为前提，模拟资产负债表，评估人员以此为依据确定评估值、计算股比，并计算股权价值评估值。如果本着资产评估是为满足交易、依据交易定价方案提供价值估计数额、为交易提供价值参考等的基本原则，我们认为，这种做法能够体现资产评估的基本功能。</w:t>
      </w:r>
    </w:p>
    <w:p w14:paraId="5C9F463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无论采用何种处理方式，与企业沟通，并在评估报告披露股比确定的过程与结果，特别是企业的意见，是非常重要的。</w:t>
      </w:r>
    </w:p>
    <w:p w14:paraId="6556ACF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问题5.对于燃气、自来水行业等包含管道资产的评估项目，部分企业管道建设没有相关的材料发票，也没有相应的结算资料，评估如何考虑？</w:t>
      </w:r>
    </w:p>
    <w:p w14:paraId="49363D8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燃气、自来水行业等包含管道资产的评估项目，当缺少相关工程资料，导致评估中无法确定工程量时，实务操作中尽可能收集到项目设计书、投标报价文件等有关项目建设资料确定工程量，然后根据评估基准日相关材料、人工等价格和费用标准调整项目设计书、投标报价文件相关材料和人工等价格，确定重置成本。</w:t>
      </w:r>
    </w:p>
    <w:p w14:paraId="40E3F81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问题6.营运资金计算中，收到或预付的保证金、押金等，是否作为营运资金考虑？</w:t>
      </w:r>
    </w:p>
    <w:p w14:paraId="04B0F76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1）押金（风险抵押金），作为担保的一种形式，是指当事人双方约定，债务人或第三人向债权人给付一定的金额作为其履行债务的担保，债务履行时，返还押金或予抵扣；债务不履行时，债权人得就该款项优先受偿。在社会生活</w:t>
      </w:r>
      <w:r>
        <w:rPr>
          <w:rFonts w:ascii="宋体" w:hAnsi="宋体" w:cs="宋体" w:hint="eastAsia"/>
          <w:color w:val="000000"/>
          <w:kern w:val="0"/>
          <w:sz w:val="24"/>
          <w:lang w:eastAsia="zh-Hans" w:bidi="ar"/>
        </w:rPr>
        <w:lastRenderedPageBreak/>
        <w:t>中被广泛运用于各种合同中，也出现在企业账务记录中。如租赁合同，承包合同、旅客住店合同、住院医疗合同、劳动合同等。由于押金在双方法律关系不存在且无其他纠纷后，应予以退还，在违约时将会被扣除。所以，评估实践中遇到的情形是，支付给对方的押金计入其他应收款科目，收到对方的押金计入其他应付款科目。</w:t>
      </w:r>
    </w:p>
    <w:p w14:paraId="140FDF9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押金是否作为营运资金考虑，首先要识别押金涉及的业务与收益预测的业务是否相关，如果押金涉及的业务是收益预测业务本身或者与收益预测相关，一般建议作为营运资金考虑。例如，以房地产租赁为主业的企业，收取的租赁押金，一般作为营运资金考虑。企业随同商品销售收取的包装物押金，商品销售构成主业的经营活动的，可作为营运资金考虑。</w:t>
      </w:r>
    </w:p>
    <w:p w14:paraId="400288E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保证金，是交易双方中的一方按照交易市场规定或交易协议中的约定交纳的资金，专门用于订单交易的结算和履约保证等。如结算保证金、投标保证金、履约保证金、质量保证金、租赁保证金等。一般企业，支付保证金时计入其他应收款科目，收到保证金时计入其他应付款科目。</w:t>
      </w:r>
    </w:p>
    <w:p w14:paraId="3C4A5A2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有些保证金呈行业特征，需要重点关注相关管理要求。如建筑行业一般会发生投标保证金、履约保证金、工程质量保证金、工资保证金等，2016年，国务院办公厅印发《国务院办公厅关于清理规范工程建设领域保证金的通知》（国办发〔2016〕49号）规定建筑企业需缴纳的保证金包括依法依规设立的投标保证金、履约保证金、工程质量保证金、农民工工资保证金，并对其强化监督。即除此4项保证金外，其他保证金一律取消。《关于规范融资性担保机构客户担保保证金管理的通知》规定，融资性担保机构收取的客户保证金用途仅限于合同约定的违约代偿，实行专户管理。行业保证金，有些是通过特定的科目核算，如商业银行发生的保证金存款，一般企业在货币资金核算，证券期货行业，保证金包括结算准备金和交易保证金，在存出保证金核算。</w:t>
      </w:r>
    </w:p>
    <w:p w14:paraId="0B71ADB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企业价值收益法评估中，保证金是否作为营运资金考虑，需要把握一个原则，要视是筹资活动发生的，还是经营活动发生的。一般来说，筹资活动发生的，不作为营运资金考虑；经营活动发生的、与经营业务相关一般作为营运资金考虑。例如：建筑行业企业提存或支付的保证金，均与经营业务相关， 一般作为营运资金考虑。而金融行业发生的保证金的收付，一般均与经营业务相关，构成主体业务的经营活动，应作为营运资金考虑。</w:t>
      </w:r>
    </w:p>
    <w:p w14:paraId="2322F32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问题7.收益法中永续期资本性支出如何考虑？</w:t>
      </w:r>
    </w:p>
    <w:p w14:paraId="0ED690D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专家观点：对于收益法中永续期资本性支出，目前评估实践中存在不同做法。一种为资本性支出等于折旧；一种为资本性支出和折旧均采用年金计算；一种为折旧不采用年金计算但资本性支出采用年金计算。</w:t>
      </w:r>
    </w:p>
    <w:p w14:paraId="5880072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在企业价值收益法评估中，永续期的价值是整个收益期不可缺少的重要组成部分。从评估结果看，多数评估项目永续期的价值占经营性资产价值的比例超过50%，部分项目永续期的价值甚至远远大于预测期间的价值。因此，企业价值收益法评估中，永续期价值对收益法评估结果具有重大的影响。而永续期收益预测中资本性支出和折旧摊销测算的合理与否对永续期价值又存在较大影响，故需要对永续期资本性支出和折旧摊销的合理预测进行判断。</w:t>
      </w:r>
    </w:p>
    <w:p w14:paraId="429F956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永续期预测模型可以分为永续年金模型和永续增长模型，目前评估实践中采用永续年金模型的情况相对较多。永续期的收益预测可以理解为对预测期各项因素的“固化”，永续年金模型中已经预置了一个假设，即永续期中“固化”的现金流为永续经营期年现金流之和的年金。永续年金模型中的各项收入、成本、费用等在经营进入稳定期后已经假设不变，在作为永续年金时则不需要再调整；但由于部分资产的经济寿命年限较长，还存在与折旧摊销年限差异较大的情况，特别是存在价值量大、经济使用寿命长的房屋建筑物和土地使用权等资产时，由于资产更新支出时点距离预测期期末或资产启用时点的年限较长，折旧摊销与资本性支出的发生时间差异较大，故永续期的资本性支出和折旧摊销金额需要通过模拟调整才能“固化”。即将预测期最后一年企业实际的资本性支出和折旧摊销金额调整为永续期第一年“固化”的资本性支出和折旧摊销金额，这个固化的模拟调整就是年金化，年金化后使得永续期间资本性支出与折旧摊销相匹配。因此从理论上来说，永续期的资本性支出和折旧摊销均应采用年金计算。在评估实践中常用的处理方式主要有：</w:t>
      </w:r>
    </w:p>
    <w:p w14:paraId="7F342EC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一是永续期资本性支出等于折旧摊销。</w:t>
      </w:r>
    </w:p>
    <w:p w14:paraId="0FF4046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此种处理方式主要适用于部分轻资产型公司，如固定资产主要为经济使用年限较短的办公类设备的公司。随着经营发展和逐渐稳定，至永续期时，这类企业的资本性支出和折旧摊销有可能自然接近“固化”匹配模式，例如企业共有500台电脑，分5年等批量购置，电脑的折旧摊销和更新年限均为5年，如果企业的规模保持稳定，未来每年需要更新100台电脑，而每年折旧摊销金额也正好等同于100台电脑，</w:t>
      </w:r>
      <w:r>
        <w:rPr>
          <w:rFonts w:ascii="宋体" w:hAnsi="宋体" w:cs="宋体" w:hint="eastAsia"/>
          <w:color w:val="000000"/>
          <w:kern w:val="0"/>
          <w:sz w:val="24"/>
          <w:lang w:eastAsia="zh-Hans" w:bidi="ar"/>
        </w:rPr>
        <w:lastRenderedPageBreak/>
        <w:t>两者相当于自然完成了匹配，评估时永续期的资本性支出和折旧摊销金额就不需要进行额外的调整，只要按照企业预测期最后一年的实际资本性支出和折旧摊销金额继续预测即可。此种情况实际上是资本性支出和折旧摊销年金化的一种特殊情况。</w:t>
      </w:r>
    </w:p>
    <w:p w14:paraId="1F5AABF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二是资本性支出和折旧摊销年金化。</w:t>
      </w:r>
    </w:p>
    <w:p w14:paraId="7484829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此种处理方式适用于多数企业价值的评估，特别适用于重资产型公司。即，需要逐年计提折旧摊销的资产占总资产的比重较高且资产的经济寿命年限较长，特别是存在价值量大、经济使用寿命长的房屋建筑物和土地使用权等资产的公司。我们通常假设企业经营在永续期达到稳定状态，仅考虑更新性资本性支出，不考虑增加生产能力的资本性支出。企业通常会有部分资产的经济寿命年限长于折旧摊销年限，如具有代表性的房屋建筑物，这部分资产提足折旧摊销后不会立刻更新，而是会继续使用一定年限后至经济寿命结束时才会进行资产更新投资支出，导致企业的折旧摊销金额在永续期间提足折旧年月后至资产更新时点期间将不再会有折旧摊销。此时若以预测期“最后一年”的折旧摊销金额作为“固化”金额，可能会高估永续期现金流现值和。对于寿命年限或折旧摊销年限较长的资产，如具有代表性的土地使用权。虽然资产的使用寿命年限与折旧摊销期限相同，但通常该年限时间较长，资产于每年进行折旧摊销，但只在资产较长使用寿命年限终止时才会发生资产的更新投资支出。实际虽然在不考虑残值的情况下，资本性支出之和等于折旧摊销之和，但永续期的资本性支出是在每个更新期起点的一次性支出，随后在折旧摊销年限内均匀地进行折旧摊销。而收益法中的重要理论基础之一就是时间价值，如果不考虑时间价值，所有盈利且永续存在的企业价值都将为无穷大。考虑时间价值因素后，永续期资本性支出的现值必将大于对应折旧摊销的现值。因此，对于此类重资产公司采用收益法评估企业价值时，永续期的资本性支出和折旧摊销均应在预测期最后一年资产状况和折旧摊销额的基础上通过年金化方式进行调整预测，以得到与永续期间相互匹配的合理预测结果。</w:t>
      </w:r>
    </w:p>
    <w:p w14:paraId="1A93B75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三是折旧摊销不采用年金计算但资本性支出采用年金化</w:t>
      </w:r>
    </w:p>
    <w:p w14:paraId="2FEDA3F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永续期只对资本性支出采用年金化方式调整，而不对折旧摊销同步年金化，通过前文所述，此种处理方式可能会造成永续期间资本性支出和折旧摊销不匹配。</w:t>
      </w:r>
    </w:p>
    <w:p w14:paraId="4AB8951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问题8.委托人希望“了解”评估对象的价值，委托资产评估机构出具资产评估报告。如何对待这种委托要求？如果接受委托，在防范执业风险方面有什么建议？</w:t>
      </w:r>
    </w:p>
    <w:p w14:paraId="263BB8E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专家观点：本质上，资产评估服务的领域以及所起的作用，并不仅“资产交易”一种，“对应的经济行为”也不一定是单纯“交易行为”一种。多年的评估实践充分表明，资产评估服务于企业财务会计报告的“计量”行为，服务于司法、税务、生态损害补偿等“管理”行为日益增多，也已有不少充当估值顾问服务某一方的交易定价辅助服务实践。对资产评估，单一的、作为“独立第三方”为“交易”提供价值参考依据的单一理解，正在或已经受到丰富评估实践挑战。从国内外评估（估值）实践看，委托人基于各种背景、出于各种考虑，需要了解某一资产价值大概数额，应该是评估专业服务内容之一，也是资产评估实践中广泛存在的业务之一，但也确实需要注意执业风险。基于此，我们对评估实践中常见的“了解价值”评估业务的理解与相关建议是：</w:t>
      </w:r>
    </w:p>
    <w:p w14:paraId="5C31DFF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预估性质的评估业务。在启动资产交易行为、开展正式资产评估工作前，为草拟、设计交易方案，委托评估师对拟交易资产的价值进行“预估”。通常情况下，在取得部分资料，了解部分情况的基础上，得出资产（股权）估计数额，无论是否履行完整资产评估程序，我们都建议资产评估报告明确说明该报告不能用于交易、担保、报税、财务报告等具体行为。</w:t>
      </w:r>
    </w:p>
    <w:p w14:paraId="006AFE3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也建议与委托人进行沟通，使委托人知悉，因掌握的信息、其他专业机构专业工作的衔接、评估程序履行等一系列差异，导致这种了解价值的预估结果与后期正式资产评估结果不能简单比较，也不能直接将了解价值的评估结果，用于之后的经济行为。</w:t>
      </w:r>
    </w:p>
    <w:p w14:paraId="23A6A5B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鉴定性质的评估业务。对已经完成交易所依据的资产评估报告，进行各种司法、行政等调查，进行所谓的“追溯”或“了解价值”。此类评估业务评估目的对应的经济行为，并不完全是案涉评估报告披露的评估目的所对应的经济行为。北京评协资产评估专业委员会执业问题解答（2020年第一期）曾经建议，对委托人为司法机关的评估业务的经济行为和评估目的的描述，在遵守公安机关侦察保密等相关规定的前提下，客观描述评估目的对应的侦察行为而非涉案评估报告中已经发生的经济行为，并据此描述评估目的是为公安机关提供价值参考，可能是比较客观的做法。在此，我们进一步建议，此类“了解价值”客观上成为衡量案涉评估报告评估结果的依据（司法证据），应当谨慎从业。</w:t>
      </w:r>
    </w:p>
    <w:p w14:paraId="4B3070B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（3）证明性质的评估业务。对已经完成资产评估工作并得出的评估结果，进行</w:t>
      </w:r>
      <w:r>
        <w:rPr>
          <w:rFonts w:ascii="宋体" w:hAnsi="宋体" w:cs="宋体" w:hint="eastAsia"/>
          <w:color w:val="000000"/>
          <w:kern w:val="0"/>
          <w:sz w:val="24"/>
          <w:lang w:eastAsia="zh-Hans" w:bidi="ar"/>
        </w:rPr>
        <w:lastRenderedPageBreak/>
        <w:t>重新评估，证明该评估结果的合理性。此类评估业务，评估基本事项完全一致，实际上可以理解为两个资产评估机构执行同一项评估业务。建议关注资产评估程序履行的一致性，特别关注所依据资料的一致性。由于评估实践做法、甚至采用的评估方法和计算模型不同，可能形成不同的评估结果，此时，建议与委托人进行专业角度的沟通，帮助委托人正确理解并合理使用资产评估报告。</w:t>
      </w:r>
    </w:p>
    <w:p w14:paraId="1C60FEE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还有部分国有资产监管机构在部分资产评估项目备案过程中，聘请资产评估机构，对备案中评估项目进行证明性质的评估，以解决备案中的一些争议技术问题。对此，更需要关注资产评估程序履行的一致性、依据资料的一致性，以及采用的评估方法计算模型、评估参数的取值等差异，做好评估报告披露，帮助监管机构和委托人正确理解并合理使用资产评估报告。</w:t>
      </w:r>
    </w:p>
    <w:p w14:paraId="501F9A9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4）引资性质的评估业务。对企业为引资而进行的各种对外宣传，从而委托评估机构对其有关资源、资产等进行评估进行“了解价值”的资产评估业务，特别是对企业拥有的一些无形资产、经营资源的价值了解，应十分谨慎。建议承接该类评估业务，应深入了解企业进行资产评估的真实动机，特别注意识别各种非法集（筹）资行为，做好执业风险的识别与评价。如果承接该类业务并出具资产评估报告，应做好针对性的限制使用披露，防止评估报告被误用。</w:t>
      </w:r>
    </w:p>
    <w:p w14:paraId="677B69CD" w14:textId="77777777" w:rsidR="00A320E6" w:rsidRDefault="00000000" w:rsidP="00F67407">
      <w:pPr>
        <w:keepNext/>
        <w:spacing w:beforeLines="50" w:before="156" w:afterLines="20" w:after="62" w:line="360" w:lineRule="auto"/>
        <w:jc w:val="center"/>
        <w:outlineLvl w:val="2"/>
        <w:rPr>
          <w:rFonts w:ascii="宋体" w:hAnsi="宋体" w:cs="宋体"/>
          <w:b/>
          <w:bCs/>
          <w:color w:val="000000"/>
          <w:kern w:val="0"/>
          <w:sz w:val="24"/>
          <w:lang w:eastAsia="zh-Hans" w:bidi="ar"/>
        </w:rPr>
      </w:pPr>
      <w:bookmarkStart w:id="92" w:name="_Toc112227400"/>
      <w:r>
        <w:rPr>
          <w:rFonts w:ascii="宋体" w:hAnsi="宋体" w:cs="宋体" w:hint="eastAsia"/>
          <w:b/>
          <w:bCs/>
          <w:color w:val="000000"/>
          <w:kern w:val="0"/>
          <w:sz w:val="24"/>
          <w:lang w:eastAsia="zh-Hans" w:bidi="ar"/>
        </w:rPr>
        <w:t>北京资产评估协会资产评估专业技术委员会执业问题解答（2020年第二期）</w:t>
      </w:r>
      <w:bookmarkEnd w:id="92"/>
    </w:p>
    <w:p w14:paraId="0496C57A" w14:textId="77777777" w:rsidR="00A320E6" w:rsidRDefault="00000000" w:rsidP="000E2429">
      <w:pPr>
        <w:pStyle w:val="1c"/>
        <w:rPr>
          <w:lang w:eastAsia="zh-Hans" w:bidi="ar"/>
        </w:rPr>
      </w:pPr>
      <w:r>
        <w:rPr>
          <w:rFonts w:hint="eastAsia"/>
          <w:lang w:eastAsia="zh-Hans" w:bidi="ar"/>
        </w:rPr>
        <w:t>特别提示</w:t>
      </w:r>
    </w:p>
    <w:p w14:paraId="2722914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针对企业价值评估、无形资产评估以及引用专业报告实践操作问题，北京资产评估协会资产评估专业技术委员会组织专家进行了相应解答。</w:t>
      </w:r>
    </w:p>
    <w:p w14:paraId="742CB80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本解答仅代表起草专家个人观点，不是对相关法律法规及资产评估执业准则的解读，也不能替代资产评估专业人员的职业判断。在执业中，资产评估专业人员应结合项目实际情况、自身职业判断，不能直接照搬照抄。</w:t>
      </w:r>
    </w:p>
    <w:p w14:paraId="729C867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1.收益法评估参考合并会计报表数据应注意哪些问题？</w:t>
      </w:r>
    </w:p>
    <w:p w14:paraId="79E027D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企业价值评估实践中，对拥有对外长期股权投资的企业采用收益法评估时，有的是企业本部和各被投资企业均采用收益法评估，然后通过持股关系汇总得到企业股东权益价值评估结果；也有的是参考企业合并会计报表数据，直接合并预测进而得到企业股东权益价值评估结果。对于考虑利用合并会计报表数据方式的，可能需要对以下方面予以关注：</w:t>
      </w:r>
    </w:p>
    <w:p w14:paraId="2764AF5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1）母子公司是否属于同一行业，产品和服务是否受同一市场环境的影响；母子公司经营业务类型是否相同或者属于同一产业链，例如铝土矿、氧化铝、电解铝这样的上中下游企业；母子公司各经营业务类型是否具有相同的风险等，是能否参考合并会计报表数据的前提条件。</w:t>
      </w:r>
    </w:p>
    <w:p w14:paraId="5CA7161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母子公司分别属于不同业务板块、分别位于境内外不同区域，或者各公司业务相互独立等情况时，由于所处的国家制度、经济政策、风险因素均不同，各公司的业务相互独立，需要审慎考虑利用合并会计报表数据进行收益预测和估值。如果各公司虽然处于不用区域但属于同一产业链上下游，并且各母子公司间存在大量的内部转移定价，那么参考合并会计报表数据可能更符合实际情况。例如，零部件企业集团，研发设计公司在新加坡、日本，生产企业在国内或者东南亚，市场销售在欧美，各母子公司间存在大量的内部转移定价。</w:t>
      </w:r>
    </w:p>
    <w:p w14:paraId="11072B6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（3）参考合并会计报表数据进行企业价值收益法评估时，如果合并资产负债表存在少数股东权益，参考包含少数股东权益的合并会计表数据时，需要扣除少数股权评估值，作为企业价值评估值。</w:t>
      </w:r>
    </w:p>
    <w:p w14:paraId="5B18C6F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4）对于存在协议依赖或者资质依赖的企业集团，参考合并会计报表数据进行收益法评估可能并不适用。比如环卫企业集团，各个项目公司依赖特许经营协议经营；又如房地产开发企业，各地产项目依赖于特定的开发经营资质以及土地使用权。</w:t>
      </w:r>
    </w:p>
    <w:p w14:paraId="6096B71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2.参考合并会计报表数据进行收益法评估时，如何考虑企业所得税（率）？</w:t>
      </w:r>
    </w:p>
    <w:p w14:paraId="10F9FB3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答：参考合并会计报表数据进行收益法评估，在确定企业所得税（率）时，需注意以下问题：</w:t>
      </w:r>
    </w:p>
    <w:p w14:paraId="61283AD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合并口径下所得税确定方式，一般是分别单独预测母公司和各个子公司的应纳税所得额和所得税，将分别计算出的各自纳税所得额和所得税再相加确定预测时合并口径应纳税所得额和所得税费用金额，进而确定其各年合并口径下的综合所得税率。</w:t>
      </w:r>
    </w:p>
    <w:p w14:paraId="5F66F2B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当纳入合并范围的母子公司、各子公司之间经营情况变化不大，即预测年度和历史年度相比，合并范围内各母子公司业务收入占比、成本费用占比变化不大；历史年度各期综合所得税率比较稳定，经分析采用历史年度综合所得税水平计算和各母子公司分别预测的所得税结果差异不大；所得税费用变化对评估结论的影响较小时，可以考虑根据历史年度合并口径的所得税占应纳税所得总额的比率来确定合</w:t>
      </w:r>
      <w:r>
        <w:rPr>
          <w:rFonts w:ascii="宋体" w:hAnsi="宋体" w:cs="宋体" w:hint="eastAsia"/>
          <w:color w:val="000000"/>
          <w:kern w:val="0"/>
          <w:sz w:val="24"/>
          <w:lang w:eastAsia="zh-Hans" w:bidi="ar"/>
        </w:rPr>
        <w:lastRenderedPageBreak/>
        <w:t>并口径的综合所得税率进行预测。</w:t>
      </w:r>
    </w:p>
    <w:p w14:paraId="0B7B67A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当企业存在暂时性税收优惠政策，如纳入合并范围的企业预测期间享受所得税三免二减半的税收优惠，可以考虑依据企业享受暂时性税收优惠政策的剩余时间确定预测期，且预测期需覆盖税收优惠期至企业恢复至正常所得税水平的年限。</w:t>
      </w:r>
    </w:p>
    <w:p w14:paraId="1844121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3.尚未应用于规模化生产的专利技术评估，应注意哪些问题？</w:t>
      </w:r>
    </w:p>
    <w:p w14:paraId="0677AEF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答：尚未规模化生产的专利评估，一般需要注意以下几个问题：</w:t>
      </w:r>
    </w:p>
    <w:p w14:paraId="387FF7B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首先，需要了解尚未规模化应用的具体原因。专利尚未规模化应用于生产的原因很复杂，有的可能存在技术缺乏新颖性和实用性，直接影响其价值；有的可能由于专利所有者的资源组织能力、技术应用规划欠缺，这一问题需要在评估的现场调查阶段，查清楚未达规模化应用的具体原因。</w:t>
      </w:r>
    </w:p>
    <w:p w14:paraId="204E49D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其次，需要判断专利技术是否有经济价值。根据统计数据，大约80%的专利是没有经济价值的，大约10%的专利具有经济价值。</w:t>
      </w:r>
    </w:p>
    <w:p w14:paraId="7672D52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第三，需要慎重分析专利的技术效果。当不好判断技术效果时，可以要求委托方提供第三方出具的技术效果检测报告，来降低执业风险。</w:t>
      </w:r>
    </w:p>
    <w:p w14:paraId="2E69220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第四，需注意评估方法的选择。如果选用收益法，要特别关注专利未来收益预测数据的来源。</w:t>
      </w:r>
    </w:p>
    <w:p w14:paraId="124B11A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第五，折现率应该根据风险因素进行确定。当风险因素较多时，考虑选择较高的折现率。</w:t>
      </w:r>
    </w:p>
    <w:p w14:paraId="64F011F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4.对于共有产权专利技术评估的主要关注点？</w:t>
      </w:r>
    </w:p>
    <w:p w14:paraId="68EE580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答：一般来说，共有产权专利技术的评估，难点在于权利和价值的分割。权利和价值的分割，特别需要区分不同评估目的的不同关注点。</w:t>
      </w:r>
    </w:p>
    <w:p w14:paraId="1AB48EF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（1）用于出资目的的评估，对共有产权的专利技术等进行评估时，专利所有者即共有产权人应做出说明，并出具专利权价值的分割协议。</w:t>
      </w:r>
    </w:p>
    <w:p w14:paraId="1BDE567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（2）用于质押融资的共有产权的专利，在进行无形资产评估时，应当获得全体所有权人一致同意借款人用该项专利权办理专利质押融资。</w:t>
      </w:r>
    </w:p>
    <w:p w14:paraId="3BA7721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（3）对于其他的评估目的，需关注权利问题，对于评估值并不产生影响。</w:t>
      </w:r>
    </w:p>
    <w:p w14:paraId="21D1917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5.行政许可资质是否可以进行评估？哪些特许经营权可以单独评估？</w:t>
      </w:r>
    </w:p>
    <w:p w14:paraId="7FC5336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答：政府部门的行政许可以及许可证，是否可以作为一项无形资产进行评估，应严格依照相关法律法规判断。</w:t>
      </w:r>
    </w:p>
    <w:p w14:paraId="4B52D03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1）对于相关法律法规明确规定可以转让或交易的、或者明确为无形资产的行政许可证，实际为企业的法人资产，可以进行评估。例如：《公路收费许可证》《采矿许可证》《矿产资源勘查许可证》、出租车营运许可证等，可以作为一项权利依法进行转让，即可以作为一项无形资产单独进行评估。</w:t>
      </w:r>
    </w:p>
    <w:p w14:paraId="430A8BF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通过行政许可方式颁发的勘查设计和施工资质、排污许可证、林业规划调查设计资质以及金融业务许可证等特殊（特种）准入资质，属于企业资源，尽管能为企业带来收益，但法律规定不得与企业分割单独转移。因此，此类行政许可不能作为一项无形资产单独进行评估。</w:t>
      </w:r>
    </w:p>
    <w:p w14:paraId="06A7A51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以企业品牌经营权许可作为内涵的特许经营权，比如，例如麦当劳、可口可乐等授权经营，可以作为一项无形资产进行评估。对于该类特许经营权的评估，可以依据无形资产评估准则要求，选取恰当的评估方法进行评估。</w:t>
      </w:r>
    </w:p>
    <w:p w14:paraId="68747B6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背景资料：</w:t>
      </w:r>
    </w:p>
    <w:p w14:paraId="57B00745" w14:textId="1203A703"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一、《中华人民共和国行政许可法》</w:t>
      </w:r>
      <w:r w:rsidR="00EC0B72" w:rsidRPr="000E2429">
        <w:rPr>
          <w:rFonts w:ascii="宋体" w:hAnsi="宋体" w:cs="宋体" w:hint="eastAsia"/>
          <w:bCs/>
          <w:color w:val="000000"/>
          <w:kern w:val="0"/>
          <w:sz w:val="24"/>
          <w:lang w:eastAsia="zh-Hans" w:bidi="ar"/>
        </w:rPr>
        <w:t>第三十九条</w:t>
      </w:r>
      <w:r>
        <w:rPr>
          <w:rFonts w:ascii="宋体" w:hAnsi="宋体" w:cs="宋体" w:hint="eastAsia"/>
          <w:color w:val="000000"/>
          <w:kern w:val="0"/>
          <w:sz w:val="24"/>
          <w:lang w:eastAsia="zh-Hans" w:bidi="ar"/>
        </w:rPr>
        <w:t>行政机关作出准予行政许可的决定，需要颁发行政许可证件的，应当向申请人颁发加盖本行政机关印章的下列行政许可证件：</w:t>
      </w:r>
    </w:p>
    <w:p w14:paraId="1713D9E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 xml:space="preserve">（一）许可证、执照或者其他许可证书； </w:t>
      </w:r>
    </w:p>
    <w:p w14:paraId="6F9A513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（二）资格证、资质证或者其他合格证书；</w:t>
      </w:r>
    </w:p>
    <w:p w14:paraId="0E2AD24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（三）行政机关的批准文件或者证明文件；</w:t>
      </w:r>
    </w:p>
    <w:p w14:paraId="1BD2785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（四）法律、法规规定的其他行政许可证件。</w:t>
      </w:r>
    </w:p>
    <w:p w14:paraId="745E729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行政机关实施检验、检测、检疫的，可以在检验、检测、检疫合格的设备、设施、产品、物品上加贴标签或者加盖检验、检测、检疫印章。</w:t>
      </w:r>
    </w:p>
    <w:p w14:paraId="665E3F4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二、《收费公路权益转让办法》（交通运输部、国家发改委、财政部令2008年第11号）</w:t>
      </w:r>
    </w:p>
    <w:p w14:paraId="48AD6FF6" w14:textId="708552FF" w:rsidR="00A320E6" w:rsidRPr="000E2429" w:rsidRDefault="00A45A13" w:rsidP="00AE0286">
      <w:pPr>
        <w:pStyle w:val="a3"/>
        <w:spacing w:line="360" w:lineRule="auto"/>
        <w:ind w:firstLine="480"/>
        <w:rPr>
          <w:rFonts w:ascii="宋体" w:hAnsi="宋体" w:cs="宋体"/>
          <w:bCs/>
          <w:color w:val="000000"/>
          <w:kern w:val="0"/>
          <w:sz w:val="24"/>
          <w:lang w:eastAsia="zh-Hans" w:bidi="ar"/>
        </w:rPr>
      </w:pPr>
      <w:r w:rsidRPr="000E2429">
        <w:rPr>
          <w:rFonts w:ascii="宋体" w:hAnsi="宋体" w:cs="宋体" w:hint="eastAsia"/>
          <w:bCs/>
          <w:color w:val="000000"/>
          <w:kern w:val="0"/>
          <w:sz w:val="24"/>
          <w:lang w:eastAsia="zh-Hans" w:bidi="ar"/>
        </w:rPr>
        <w:t>第四条 国家允许依法转让收费公路权益；</w:t>
      </w:r>
    </w:p>
    <w:p w14:paraId="40AD17EB" w14:textId="351C0D6D" w:rsidR="00A320E6" w:rsidRPr="000E2429" w:rsidRDefault="00977BD5" w:rsidP="00AE0286">
      <w:pPr>
        <w:pStyle w:val="a3"/>
        <w:spacing w:line="360" w:lineRule="auto"/>
        <w:ind w:firstLine="480"/>
        <w:rPr>
          <w:rFonts w:ascii="宋体" w:hAnsi="宋体" w:cs="宋体"/>
          <w:bCs/>
          <w:color w:val="000000"/>
          <w:kern w:val="0"/>
          <w:sz w:val="24"/>
          <w:lang w:eastAsia="zh-Hans" w:bidi="ar"/>
        </w:rPr>
      </w:pPr>
      <w:r w:rsidRPr="000E2429">
        <w:rPr>
          <w:rFonts w:ascii="宋体" w:hAnsi="宋体" w:cs="宋体" w:hint="eastAsia"/>
          <w:bCs/>
          <w:color w:val="000000"/>
          <w:kern w:val="0"/>
          <w:sz w:val="24"/>
          <w:lang w:eastAsia="zh-Hans" w:bidi="ar"/>
        </w:rPr>
        <w:t>第八条</w:t>
      </w:r>
      <w:r w:rsidR="00A45A13" w:rsidRPr="000E2429">
        <w:rPr>
          <w:rFonts w:ascii="宋体" w:hAnsi="宋体" w:cs="宋体" w:hint="eastAsia"/>
          <w:bCs/>
          <w:color w:val="000000"/>
          <w:kern w:val="0"/>
          <w:sz w:val="24"/>
          <w:lang w:eastAsia="zh-Hans" w:bidi="ar"/>
        </w:rPr>
        <w:t xml:space="preserve"> </w:t>
      </w:r>
      <w:r w:rsidRPr="000E2429">
        <w:rPr>
          <w:rFonts w:ascii="宋体" w:hAnsi="宋体" w:cs="宋体" w:hint="eastAsia"/>
          <w:bCs/>
          <w:color w:val="000000"/>
          <w:kern w:val="0"/>
          <w:sz w:val="24"/>
          <w:lang w:eastAsia="zh-Hans" w:bidi="ar"/>
        </w:rPr>
        <w:t>同一个收费公路项目的收费权、广告经营权、服务设施经营权，可以合并转让，也可以单独转让。</w:t>
      </w:r>
    </w:p>
    <w:p w14:paraId="4B7B6D42" w14:textId="3012133D" w:rsidR="00A320E6" w:rsidRPr="000E2429" w:rsidRDefault="00EC0B72" w:rsidP="00AE0286">
      <w:pPr>
        <w:pStyle w:val="a3"/>
        <w:spacing w:line="360" w:lineRule="auto"/>
        <w:ind w:firstLine="480"/>
        <w:rPr>
          <w:rFonts w:ascii="宋体" w:hAnsi="宋体" w:cs="宋体"/>
          <w:bCs/>
          <w:color w:val="000000"/>
          <w:kern w:val="0"/>
          <w:sz w:val="24"/>
          <w:lang w:eastAsia="zh-Hans" w:bidi="ar"/>
        </w:rPr>
      </w:pPr>
      <w:r w:rsidRPr="000E2429">
        <w:rPr>
          <w:rFonts w:ascii="宋体" w:hAnsi="宋体" w:cs="宋体" w:hint="eastAsia"/>
          <w:bCs/>
          <w:color w:val="000000"/>
          <w:kern w:val="0"/>
          <w:sz w:val="24"/>
          <w:lang w:eastAsia="zh-Hans" w:bidi="ar"/>
        </w:rPr>
        <w:t>第十六条</w:t>
      </w:r>
      <w:r w:rsidR="00A45A13" w:rsidRPr="000E2429">
        <w:rPr>
          <w:rFonts w:ascii="宋体" w:hAnsi="宋体" w:cs="宋体" w:hint="eastAsia"/>
          <w:bCs/>
          <w:color w:val="000000"/>
          <w:kern w:val="0"/>
          <w:sz w:val="24"/>
          <w:lang w:eastAsia="zh-Hans" w:bidi="ar"/>
        </w:rPr>
        <w:t xml:space="preserve"> </w:t>
      </w:r>
      <w:r w:rsidRPr="000E2429">
        <w:rPr>
          <w:rFonts w:ascii="宋体" w:hAnsi="宋体" w:cs="宋体" w:hint="eastAsia"/>
          <w:bCs/>
          <w:color w:val="000000"/>
          <w:kern w:val="0"/>
          <w:sz w:val="24"/>
          <w:lang w:eastAsia="zh-Hans" w:bidi="ar"/>
        </w:rPr>
        <w:t>转让下列收费公路的收费权，转让方应当委托符合条件的资产评估机构，对收费权价值进行评估。资产评估机构出具的评估报告，是确定前款规定收费公路的收费权转让最低成交价的依据。</w:t>
      </w:r>
    </w:p>
    <w:p w14:paraId="591B637A" w14:textId="6DABDF03" w:rsidR="00A320E6" w:rsidRPr="000E2429" w:rsidRDefault="00EC0B72" w:rsidP="00AE0286">
      <w:pPr>
        <w:pStyle w:val="a3"/>
        <w:spacing w:line="360" w:lineRule="auto"/>
        <w:ind w:firstLine="480"/>
        <w:rPr>
          <w:rFonts w:ascii="宋体" w:hAnsi="宋体" w:cs="宋体"/>
          <w:bCs/>
          <w:color w:val="000000"/>
          <w:kern w:val="0"/>
          <w:sz w:val="24"/>
          <w:lang w:eastAsia="zh-Hans" w:bidi="ar"/>
        </w:rPr>
      </w:pPr>
      <w:r w:rsidRPr="000E2429">
        <w:rPr>
          <w:rFonts w:ascii="宋体" w:hAnsi="宋体" w:cs="宋体" w:hint="eastAsia"/>
          <w:bCs/>
          <w:color w:val="000000"/>
          <w:kern w:val="0"/>
          <w:sz w:val="24"/>
          <w:lang w:eastAsia="zh-Hans" w:bidi="ar"/>
        </w:rPr>
        <w:lastRenderedPageBreak/>
        <w:t>第十八条</w:t>
      </w:r>
      <w:r w:rsidR="00A45A13" w:rsidRPr="000E2429">
        <w:rPr>
          <w:rFonts w:ascii="宋体" w:hAnsi="宋体" w:cs="宋体" w:hint="eastAsia"/>
          <w:bCs/>
          <w:color w:val="000000"/>
          <w:kern w:val="0"/>
          <w:sz w:val="24"/>
          <w:lang w:eastAsia="zh-Hans" w:bidi="ar"/>
        </w:rPr>
        <w:t xml:space="preserve"> </w:t>
      </w:r>
      <w:r w:rsidRPr="000E2429">
        <w:rPr>
          <w:rFonts w:ascii="宋体" w:hAnsi="宋体" w:cs="宋体" w:hint="eastAsia"/>
          <w:bCs/>
          <w:color w:val="000000"/>
          <w:kern w:val="0"/>
          <w:sz w:val="24"/>
          <w:lang w:eastAsia="zh-Hans" w:bidi="ar"/>
        </w:rPr>
        <w:t>转让收费公路权益进行收费权价值评估，评估方法应当采用收益现值法，所涉及的收益期限由转让方与资产评估机构在批准的收费期限内约定。</w:t>
      </w:r>
    </w:p>
    <w:p w14:paraId="0AC42BBF" w14:textId="312AE041" w:rsidR="00A320E6" w:rsidRPr="000E2429" w:rsidRDefault="00000000" w:rsidP="00AE0286">
      <w:pPr>
        <w:pStyle w:val="a3"/>
        <w:spacing w:line="360" w:lineRule="auto"/>
        <w:ind w:firstLine="480"/>
        <w:rPr>
          <w:rFonts w:ascii="宋体" w:hAnsi="宋体" w:cs="宋体"/>
          <w:bCs/>
          <w:color w:val="000000"/>
          <w:kern w:val="0"/>
          <w:sz w:val="24"/>
          <w:lang w:eastAsia="zh-Hans" w:bidi="ar"/>
        </w:rPr>
      </w:pPr>
      <w:r w:rsidRPr="000E2429">
        <w:rPr>
          <w:rFonts w:ascii="宋体" w:hAnsi="宋体" w:cs="宋体" w:hint="eastAsia"/>
          <w:bCs/>
          <w:color w:val="000000"/>
          <w:kern w:val="0"/>
          <w:sz w:val="24"/>
          <w:lang w:eastAsia="zh-Hans" w:bidi="ar"/>
        </w:rPr>
        <w:t>三、《水污染防治法》</w:t>
      </w:r>
      <w:r w:rsidR="00EC0B72" w:rsidRPr="000E2429">
        <w:rPr>
          <w:rFonts w:ascii="宋体" w:hAnsi="宋体" w:cs="宋体" w:hint="eastAsia"/>
          <w:bCs/>
          <w:color w:val="000000"/>
          <w:kern w:val="0"/>
          <w:sz w:val="24"/>
          <w:lang w:eastAsia="zh-Hans" w:bidi="ar"/>
        </w:rPr>
        <w:t>第二十条</w:t>
      </w:r>
      <w:r w:rsidRPr="000E2429">
        <w:rPr>
          <w:rFonts w:ascii="宋体" w:hAnsi="宋体" w:cs="宋体" w:hint="eastAsia"/>
          <w:bCs/>
          <w:color w:val="000000"/>
          <w:kern w:val="0"/>
          <w:sz w:val="24"/>
          <w:lang w:eastAsia="zh-Hans" w:bidi="ar"/>
        </w:rPr>
        <w:t>国家实行排污许可制度。直接或者间接向水体排放工业废水和医疗污水以及其他按照规定应当取得排污许可证方可排放的废水、污水的企业事业单位，应当取得排污许可证;城镇污水集中处理设施的运营单位，也应当取得排污许可证。</w:t>
      </w:r>
    </w:p>
    <w:p w14:paraId="22CEEB7F" w14:textId="2616B9CA" w:rsidR="00A320E6" w:rsidRDefault="00000000" w:rsidP="00AE0286">
      <w:pPr>
        <w:pStyle w:val="a3"/>
        <w:spacing w:line="360" w:lineRule="auto"/>
        <w:ind w:firstLine="480"/>
        <w:rPr>
          <w:rFonts w:ascii="宋体" w:hAnsi="宋体" w:cs="宋体"/>
          <w:color w:val="000000"/>
          <w:kern w:val="0"/>
          <w:sz w:val="24"/>
          <w:lang w:eastAsia="zh-Hans" w:bidi="ar"/>
        </w:rPr>
      </w:pPr>
      <w:r w:rsidRPr="000E2429">
        <w:rPr>
          <w:rFonts w:ascii="宋体" w:hAnsi="宋体" w:cs="宋体" w:hint="eastAsia"/>
          <w:bCs/>
          <w:color w:val="000000"/>
          <w:kern w:val="0"/>
          <w:sz w:val="24"/>
          <w:lang w:eastAsia="zh-Hans" w:bidi="ar"/>
        </w:rPr>
        <w:t>《大气污染防治法》</w:t>
      </w:r>
      <w:r w:rsidR="00EC0B72" w:rsidRPr="000E2429">
        <w:rPr>
          <w:rFonts w:ascii="宋体" w:hAnsi="宋体" w:cs="宋体" w:hint="eastAsia"/>
          <w:bCs/>
          <w:color w:val="000000"/>
          <w:kern w:val="0"/>
          <w:sz w:val="24"/>
          <w:lang w:eastAsia="zh-Hans" w:bidi="ar"/>
        </w:rPr>
        <w:t>第十九条</w:t>
      </w:r>
      <w:r w:rsidR="00A45A13" w:rsidRPr="000E2429">
        <w:rPr>
          <w:rFonts w:ascii="宋体" w:hAnsi="宋体" w:cs="宋体" w:hint="eastAsia"/>
          <w:bCs/>
          <w:color w:val="000000"/>
          <w:kern w:val="0"/>
          <w:sz w:val="24"/>
          <w:lang w:eastAsia="zh-Hans" w:bidi="ar"/>
        </w:rPr>
        <w:t xml:space="preserve"> </w:t>
      </w:r>
      <w:r w:rsidRPr="000E2429">
        <w:rPr>
          <w:rFonts w:ascii="宋体" w:hAnsi="宋体" w:cs="宋体" w:hint="eastAsia"/>
          <w:bCs/>
          <w:color w:val="000000"/>
          <w:kern w:val="0"/>
          <w:sz w:val="24"/>
          <w:lang w:eastAsia="zh-Hans" w:bidi="ar"/>
        </w:rPr>
        <w:t>排放工业废气或者本法第七十</w:t>
      </w:r>
      <w:r w:rsidR="00A45A13" w:rsidRPr="000E2429">
        <w:rPr>
          <w:rFonts w:ascii="宋体" w:hAnsi="宋体" w:cs="宋体" w:hint="eastAsia"/>
          <w:bCs/>
          <w:color w:val="000000"/>
          <w:kern w:val="0"/>
          <w:sz w:val="24"/>
          <w:lang w:eastAsia="zh-Hans" w:bidi="ar"/>
        </w:rPr>
        <w:t xml:space="preserve">八条 </w:t>
      </w:r>
      <w:r w:rsidRPr="000E2429">
        <w:rPr>
          <w:rFonts w:ascii="宋体" w:hAnsi="宋体" w:cs="宋体" w:hint="eastAsia"/>
          <w:bCs/>
          <w:color w:val="000000"/>
          <w:kern w:val="0"/>
          <w:sz w:val="24"/>
          <w:lang w:eastAsia="zh-Hans" w:bidi="ar"/>
        </w:rPr>
        <w:t>规定名录中所列有毒有害大气污染物的企业事业单</w:t>
      </w:r>
      <w:r>
        <w:rPr>
          <w:rFonts w:ascii="宋体" w:hAnsi="宋体" w:cs="宋体" w:hint="eastAsia"/>
          <w:color w:val="000000"/>
          <w:kern w:val="0"/>
          <w:sz w:val="24"/>
          <w:lang w:eastAsia="zh-Hans" w:bidi="ar"/>
        </w:rPr>
        <w:t>位、集中供热设施的燃煤热源生产运营单位以及其他依法实行排污许可管理的单位，应当取得排污许可证。</w:t>
      </w:r>
    </w:p>
    <w:p w14:paraId="772D27F2" w14:textId="4EDBB3E6"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四、《环境保护法》</w:t>
      </w:r>
      <w:r w:rsidR="00EC0B72" w:rsidRPr="000E2429">
        <w:rPr>
          <w:rFonts w:ascii="宋体" w:hAnsi="宋体" w:cs="宋体" w:hint="eastAsia"/>
          <w:bCs/>
          <w:color w:val="000000"/>
          <w:kern w:val="0"/>
          <w:sz w:val="24"/>
          <w:lang w:eastAsia="zh-Hans" w:bidi="ar"/>
        </w:rPr>
        <w:t>第四十五条</w:t>
      </w:r>
      <w:r w:rsidR="00A45A13">
        <w:rPr>
          <w:rFonts w:ascii="宋体" w:hAnsi="宋体" w:cs="宋体" w:hint="eastAsia"/>
          <w:color w:val="000000"/>
          <w:kern w:val="0"/>
          <w:sz w:val="24"/>
          <w:lang w:eastAsia="zh-Hans" w:bidi="ar"/>
        </w:rPr>
        <w:t xml:space="preserve"> </w:t>
      </w:r>
      <w:r>
        <w:rPr>
          <w:rFonts w:ascii="宋体" w:hAnsi="宋体" w:cs="宋体" w:hint="eastAsia"/>
          <w:color w:val="000000"/>
          <w:kern w:val="0"/>
          <w:sz w:val="24"/>
          <w:lang w:eastAsia="zh-Hans" w:bidi="ar"/>
        </w:rPr>
        <w:t>国家依照法律规定实行排污许可管理制度。实行排污许可管理的企业事业单位和其他生产经营者应当按照排污许可证的要求排放污染物;未取得排污许可证的，不得排放污染物。</w:t>
      </w:r>
    </w:p>
    <w:p w14:paraId="1A6273B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五、2017年8月，环境保护部公布了《固定污染源排污许可分类管理名录(2017年版)》,分批分步骤推进排污许可证管理。排污单位应当在"名录"规定的时限内持证排污，禁止无证排污或不按证排污。</w:t>
      </w:r>
    </w:p>
    <w:p w14:paraId="4DFCFBA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6.对政策性产能过剩企业价值采用资产基础法评估时，如何考虑经济性贬值？</w:t>
      </w:r>
    </w:p>
    <w:p w14:paraId="7D502CC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经济性贬值是由外部因素引起的资产价值贬损，主要有市场竞争性因素引起的经济性贬值和政策因素引起的经济性贬值。政策引起的经济性贬值主要指国家经济、产业、能源、环保等政策限制或削弱资产的产权行使或效能发挥，导致资产使用寿命缩短（甚至被强制报废），或者使用资产的收益减少（成本增加）造成的资产价值贬损。近年来国家对钢铁、煤炭、建材等产能过剩行业推行去产能政策，相关举措包括清理“僵尸企业”、淘汰落后或过剩产能、限制开工时数等。这些措施很可能会导致相关企业资产发生经济性贬值。在采用资产基础法对这些企业价值进行评估时，需要关注资产经济性贬值对评估结果的影响。对于已列入当地去产能计划的企业，需要关注以下方面：</w:t>
      </w:r>
    </w:p>
    <w:p w14:paraId="07D1F38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需要收集有关政府部门批准或下达的企业去产能实施计划（方案），以及国家和地方出台的相关去产能政策，明确被评估企业去产能涉及的具体对象和范围、去产能的方式、适用政策和实施要求等，以便针对性地确定评估方案。</w:t>
      </w:r>
    </w:p>
    <w:p w14:paraId="1C7969C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（2）对于当地采取核减产能或执法关闭措施的，按照相关措施的影响范围确定</w:t>
      </w:r>
      <w:r>
        <w:rPr>
          <w:rFonts w:ascii="宋体" w:hAnsi="宋体" w:cs="宋体" w:hint="eastAsia"/>
          <w:color w:val="000000"/>
          <w:kern w:val="0"/>
          <w:sz w:val="24"/>
          <w:lang w:eastAsia="zh-Hans" w:bidi="ar"/>
        </w:rPr>
        <w:lastRenderedPageBreak/>
        <w:t>经济性贬值涉及的具体对象，可能是有关措施针对的资产组，也可能是整个企业。需要了解相关措施实施的时间要求，以判断对产能退出所涉及资产使用寿命和处置方式产生的影响。对于涉及的落后产能，特别是能耗、污染物排放不符合国家产业要求的项目或资产，一般会要求在规定的时限内完成对去产能资产的处置，并禁止其死灰复燃又变成新增产能。例如，对列入去产能计划的钢铁企业会要求配套的烧结、焦化、高炉等设备一并退出。在这种情况下，依据去产能方案按报废要求评估相关资产的残余价值。对于长期停产停建、连续亏损、资不抵债，没有生存能力和发展潜力的“僵尸企业”关停目的的评估，可以考虑采用清算价值进行评估。</w:t>
      </w:r>
    </w:p>
    <w:p w14:paraId="78DBACF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（3）关注能够减轻资产退出损失的产能置换或者财政支持等政策对被评估企业价值的有益影响，分析企业获得产能置换指标转让收益、享受去产能政策资助的可能性。</w:t>
      </w:r>
    </w:p>
    <w:p w14:paraId="1E86757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7.利用专业报告确定评估参数时，需披露哪些专业报告的内容？</w:t>
      </w:r>
    </w:p>
    <w:p w14:paraId="2756117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答：评估实践中，涉（含）矿企业价值评估，涉（含）公路收费权企业价值评估，涉及利用专业报告确定评估参数的情形。从防范评估执业风险的角度理解，可以考虑披露下列内容：</w:t>
      </w:r>
    </w:p>
    <w:p w14:paraId="2BE86F3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1.取价依据中列示专业报告的完整名称、编制单位、编号和编制时间。</w:t>
      </w:r>
    </w:p>
    <w:p w14:paraId="0EFECC2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2.利用专业报告中的数据进一步计算评估参数时，说明专业报告中数据准确名词、准确完整的计量单位以及相关说明。</w:t>
      </w:r>
    </w:p>
    <w:p w14:paraId="5FE99DD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3.利用专业报告中数据表格，调整确定评估参数时，完整披露表格及其相关文字说明。</w:t>
      </w:r>
    </w:p>
    <w:p w14:paraId="205A615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关于第一个方面：评估实践中，资产评估利用专业报告，有几种情形，一种是资产评估工作前已经形成的专业报告，此时，需关注该专业报告是否存在不同版本，如果存在不同时期的不同版本，只需列示与委托人确认的、评估利用的一个或几个版本。一种是与资产评估工作同步开展工作并形成的、资产评估可以利用的专业报告，此时需密切关注该专业报告是否为正式的、具有明确出具日期的最终版本。例如，2006年，某房地产民企收购“某区某煤矿”，评估结果为 3.66亿元，交易完成的2015年，买方聘请机构重新评估得出1.44亿元。涉案后，经法庭调查发现该煤矿居然有三个版本的“可研报告”，报告名称与编制单位名称完全一致。该案提示，取价依据中列示专业报告的完整名称、编制单位、编号和编制时间的极端重要</w:t>
      </w:r>
      <w:r>
        <w:rPr>
          <w:rFonts w:ascii="宋体" w:hAnsi="宋体" w:cs="宋体" w:hint="eastAsia"/>
          <w:color w:val="000000"/>
          <w:kern w:val="0"/>
          <w:sz w:val="24"/>
          <w:lang w:eastAsia="zh-Hans" w:bidi="ar"/>
        </w:rPr>
        <w:lastRenderedPageBreak/>
        <w:t>性。</w:t>
      </w:r>
    </w:p>
    <w:p w14:paraId="4654D43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关于第二个方面，从对资产评估结论合理性的角度理解，利用专业报告中的数据进一步计算评估参数，专业报告中数据的有关情况比评估参数本身更为重要，错误利用或用错专业报告中的数据，都会直接影响评估结论，所以，说明专业报告中数据准确的名词定义、准确完整的计量单位以及相关说明。例如，某煤炭矿业企业价值收益法评估，计算收益期参数时，利用了“矿产资源储量报告”和“采煤工程初步设计书”的资源储量数据。矿产资源储量报告载明的矿产资源储量总数是116578万吨，“采煤工程初步设计书”仅对露天采矿部分进行了设计，设计的可采储量为57890万吨，设计的资源量为13960万吨。评估时，根据确定的生产规模（1500万吨/年）和设计的可采储量（57890万吨）计算的收益年限为42年。这一评估处理，一是没有考虑到资源量、可采储量名词的内涵，以及设计单位对资源量的可靠性处理，即资源量可靠性折算后可以视同储量参与计算收益年限；二是没有考虑企业合法可以利用的资源储量对企业价值的贡献，即地下开采部分（35421万吨）资源储量未考虑。</w:t>
      </w:r>
    </w:p>
    <w:p w14:paraId="3F5F2A9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关于第三方面，利用专业报告中数据表格，调整确定评估参数时，从稳健和控制执业风险角度，可以完整披露表格及其相关文字说明，否则容易导致表述不清楚的情况。例如，某铁矿业企业价值收益法评估时，主营业务成本——“铁精矿制造成本”预测时利用了该在建企业设计书的技术经济资料，成本资料有三张明细表格，分别是采矿车间制造成本、选矿车间制造成本和辅助车间制造成本，其中的“制造费用”中的折旧，与该技术经济资料中投资估算表分类投资额对应。评估时，评估专业人员利用该专业报告数据重新合并估算投资额和折旧，从而重复计算了采矿和选矿的“制造费用”，导致成本预测结果偏高。</w:t>
      </w:r>
    </w:p>
    <w:p w14:paraId="40F2859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8.评估业务中引用矿业权评估结果，评估范围及评估结果如何披露？</w:t>
      </w:r>
    </w:p>
    <w:p w14:paraId="32FB4F9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涉（含）矿企业股权评估实践中，有一类企业拥有一项或几项采矿权或探矿权但企业财务账面无记录，即没有账面值。除此外，企业几乎没有其他资产，总资产和净资产都非常小。在企业进行股权交易，特别是国有企业收购这类民营企业股权时，一般会委托矿业权评估机构，承担矿业权评估并出具矿业权评估报告。资产评估机构引用该矿业权评估报告结果到“无形资产”评估结果中，往往数额巨大，有的甚至占企业总资产和净资产的比例高达95%以上。因此，评估报告中对相关内容</w:t>
      </w:r>
      <w:r>
        <w:rPr>
          <w:rFonts w:ascii="宋体" w:hAnsi="宋体" w:cs="宋体" w:hint="eastAsia"/>
          <w:color w:val="000000"/>
          <w:kern w:val="0"/>
          <w:sz w:val="24"/>
          <w:lang w:eastAsia="zh-Hans" w:bidi="ar"/>
        </w:rPr>
        <w:lastRenderedPageBreak/>
        <w:t>的披露非常关键。对此，可以考虑以下披露方式：</w:t>
      </w:r>
    </w:p>
    <w:p w14:paraId="6E2A137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（1）在评估范围中，披露本次经济行为确定的评估范围包含矿业权。由于评估结论汇总了矿业权评估的结果，只不过该项资产由矿业权机构评估，资产评估机构进行汇总。</w:t>
      </w:r>
    </w:p>
    <w:p w14:paraId="5F3AEAB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评估实务中，评估报告对评估范围经常描述为“XXX评估对象和评估范围以XXX出具的审计报告会计报表为准”，这一做法可能存在以下问题：一是，从前后披露看，评估范围与评估结论不对应，评估范围以审计后会计报表为准，而评估结论包含了报表外的资产；二是，评估师实质性确认并计量了一个资产类型；三是，超出评估师执业能力分析评估增减原因。</w:t>
      </w:r>
    </w:p>
    <w:p w14:paraId="724A765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按照“财政部关于印发企业和地质勘查单位探矿权采矿权会计处理规定的通知”（财会字[1999]40号）规定，在相应项目中列式。通知规定：企业应在“资产负债表”中的“其他长期资产”项目下增设“地质成果”项目和“勘探开发成本”项目，分别反映企业因地质勘探而获得的地质成果的实际成本以及在地质勘探过程中所发生的各项支出。</w:t>
      </w:r>
    </w:p>
    <w:p w14:paraId="2DABEDD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实事求是的对增减原因进行分析。评估值的增减，是指评估值与企业账面值的差额。分析其变化的原因，首先应清楚了解企业账面核算情况，包括原始入账金额及其构成、核算具体内容和方式（如摊销）等，然后将评估值与此在同一比较基础上进行比较。实务中普遍存在的“矿产品价格上涨”、“当地矿业经济发展”“矿业市场变暖”等表述，可能会导致不必要的执业风险，特别是在无账面值或评估值是其他专业机构得出的情况下。</w:t>
      </w:r>
    </w:p>
    <w:p w14:paraId="37CFDD9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9.评估业务中利用专业数据公司数据（如wind）时，如何进行披露？</w:t>
      </w:r>
    </w:p>
    <w:p w14:paraId="3C75DD0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近几年，与证券公司、基金公司、投资咨询公司、会计师事务所等专业机构一样，资产评估机构承做评估项目利用万德wind、同花顺iFind、彭博Bloomberg等专业数据公司数据确定评估参数，已成为普遍的实践做法。例如，利用专业数据公司的参考公司财务报表、股票交易数据、公告信息、β值以及市场并购交易案例信息等确定相关评估参数。由于专业数据公司提供的数据信息是通过科学的技术手段搜集整理市场数据并采用先进的计算机程序算法进行分析运算得出相应的结果，大量数据的算法程序非常复杂。实际上，评估专业人员是无法对其进行查验核实的，但是基于专业数据公司数据产品应用的广泛性，甚至部分政府决策也利用这些数据，</w:t>
      </w:r>
      <w:r>
        <w:rPr>
          <w:rFonts w:ascii="宋体" w:hAnsi="宋体" w:cs="宋体" w:hint="eastAsia"/>
          <w:color w:val="000000"/>
          <w:kern w:val="0"/>
          <w:sz w:val="24"/>
          <w:lang w:eastAsia="zh-Hans" w:bidi="ar"/>
        </w:rPr>
        <w:lastRenderedPageBreak/>
        <w:t>一般认为数据可靠性具有一定的保证。因此，需要在选择数据公司时关注其被使用的广泛性、知名度和认可度。但是，客观、完整的披露仍是十分必要的。披露方式可以参考如下：</w:t>
      </w:r>
    </w:p>
    <w:p w14:paraId="10AE0FB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例如：本次评估中，我们参考和采用了被评估单位历史及评估基准日的财务报表，以及我们在wind数据库中寻找的有关对比公司的财务报告和交易数据。我们的估算工作在很大程度上依赖上述财务报表数据和交易数据，我们假定上述财务报表数据和有关交易数据均真实可靠。我们的估算依赖该等财务报表中数据，这并不代表我们对该财务资料的正确性和完整性的任何保证。</w:t>
      </w:r>
    </w:p>
    <w:p w14:paraId="009DD11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10.评估业务中使用公开研究报告、公开发表论文如何披露？</w:t>
      </w:r>
    </w:p>
    <w:p w14:paraId="416A877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资产评估实践中，参考和利用公开发表的相关研究报告或论文，分析和测算评估参数，确定相关评估事项，是十分普遍的做法。这些研究报告或论文，有的用于进行宏观、行业、市场、可比对象或竞争对手的分析，有的用于对特定资产现状和趋势的了解和分析（如专利研究报告等），还有的作为分析、确定评估模型和技术参数的参考依据（如与新药研发相关的患者流、临床试验成功率、渗透率、市场占有率等内容的研究成果）。对于利用这些报告和论文的情形，做好充分披露对于防范评估执业风险十分重要。根据所采用研究报告或论文的特点及对评估结论影响的重要性，在评估报告中披露实施核查验证程序的情况，重点在于关注相关研究报告/论文发布载体的种类和等级、报告/论文的研究或创作者及其研究领域、学术或行业地位及社会影响等因素，以及相关报告/论文用于评估的时效性和可靠性。对于不同的报告和不同的使用方式，评估处理和披露也应分析对待。</w:t>
      </w:r>
    </w:p>
    <w:p w14:paraId="2EDBB79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对于支持评估结论和主要资产评估结果的确定使用的公开研究报告或论文，评估专业人员可以考虑将其列示为评估报告的评估依据。披露内容可以包括报告或论文的名称、研究机构或作者、版本或文件编号、出版或发布载体名称及网址、出版或发布方名称、出版或发布日期等，以方便评估报告阅读者根据需要进行查对。必要时，可以将相关报告/论文（或其主要内容）作为评估报告的附件。</w:t>
      </w:r>
    </w:p>
    <w:p w14:paraId="3E1F45F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建立评估模型、提出评估假设、确定评估参数过程中参考或援引的研究报告或论文，可以考虑对采用的事实或数据、形成专业判断主要依托的逻辑和过程支持，在介绍评估方法运用过程中给予适度的披露，以帮助评估报告阅读者合理地理解评估结论。</w:t>
      </w:r>
    </w:p>
    <w:p w14:paraId="50CB14D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（3）对于在宏观、行业和企业等分析中援引的研究报告或论文的部分内容或数据，可以考虑在评估报告或评估说明中标明其来源或出处。</w:t>
      </w:r>
    </w:p>
    <w:p w14:paraId="19EAE08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11.评估业务中使用本评估公司数据库数据资料如何披露？</w:t>
      </w:r>
    </w:p>
    <w:p w14:paraId="62B4A13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评估实践中，部分规模较大的评估机构承做评估项目时，利用本公司数据库确定评估参数主要有两种情况：一是本公司已经向社会公开、进行市场化运作的数据库和信息化产品（例如：评估资讯网）；另一是只针对本公司内部需求开发、使用的数据库及其他信息资料。两种情况，应考虑分别处理与披露。</w:t>
      </w:r>
    </w:p>
    <w:p w14:paraId="469A873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对于资产评估执业中采用本机构已对外公开的数据库作为评估依据的，可以在资产评估报告的评估依据中披露相关数据库的具体名称及网址，例如：《评估资讯网》（https://www.pingguw.com/web/guest/index），以利于评估报告阅读者合理查验。在介绍重要资产的评估方法运用或典型资产评估过程中，也可以明示所使用数据的具体来源，例如：评估案例中液压履带式起重机的价格来源，可以披露为《评估资讯网》机电设备报价信息（https://www.pingguw.com/web/guest/query?p_p_id=jdsbpg&amp;p_p_lifecycle=0&amp;p_p_state=maximized&amp;p_p_mode=view&amp;tabs=sbbjxx）。</w:t>
      </w:r>
    </w:p>
    <w:p w14:paraId="31420B9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评估过程中采用本机构对内使用的数据库的，也可以在资产评估报告的评估依据中披露相关数据库的名称。例如《XX资产评估公司资产评估信息数据库（2020）》。相关资产评估机构应该考虑采取措施，使资产评估专业人员了解相关数据库的信息采集和筛选流程，帮助资产评估专业人员对相关信息能否在评估操作中被恰当运用做出合理的判断，从而有助其在评估报告中做出适当的信息披露。</w:t>
      </w:r>
    </w:p>
    <w:p w14:paraId="4DC38C0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12.如何披露企业价值评估对应的审计报告情况？</w:t>
      </w:r>
    </w:p>
    <w:p w14:paraId="61E0B3A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企业价值评估实践中，涉及国有资产评估项目时，审计报告不仅是评估工作的基础，也是企业申请备案核准的附报材料之一。《中央企业资产评估项目核准工作指引》《企业国有资产评估项目备案工作指引》《中央企业混合所有制改革操作指引》规定，拟上市项目或已上市公司的重大资产置换与收购项目，评估基准日在6月30日（含）之前的，需提供最近三个完整会计年度和本年度截至评估基准日的审计报告；评估基准日在6月30日之后的，需提供最近两个完整会计年度和本年度截至评估基准日的审计报告。其他经济行为需提供最近一个完整会计年度和本年度截至评估基准日的审计报告。</w:t>
      </w:r>
    </w:p>
    <w:p w14:paraId="0458DAD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在条件允许时，评估报告可以考虑披露企业近三年（一期）的资产、财务和经营状况，包括各个截止期资产负债表、利润表概要、审计机构名称、审计意见类型、审计报告文号以及审计报告日期等。审计报告意见类型有无保留和非无保留两种，相应披露内容可以参考如下示例：</w:t>
      </w:r>
    </w:p>
    <w:p w14:paraId="5FD06DC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（1）无保留意见审计报告</w:t>
      </w:r>
    </w:p>
    <w:p w14:paraId="5A0F646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披露内容包括但不限于：截至评估基准日**年*月*日，公司（母公司口径/合并口径）资产总计**万元，负债合计**万元，净资产或归属于母公司的所有者权益为**万元，主营业务收入**万元，净利润或归属于母公司的净利润**万元。公司**年至**年、**年*月至*月财务会计报表分别经**会计师事务所、**会计师事务所审计，并分别于**年*月*日、**年*月*日出具了无保留意见审计报告（报告号分别为**、**）。</w:t>
      </w:r>
    </w:p>
    <w:p w14:paraId="1B8C5EE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（2）非无保留意见审计报告</w:t>
      </w:r>
    </w:p>
    <w:p w14:paraId="7320707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非无保留意见审计报告分为保留意见、无法表示意见和否定意见三种类型。《中央企业资产评估项目核准工作指引》要求提供与经济行为相对应的无保留意见审计报告，如有强调事项段，需提供企业对有关事项的书面说明及意见。评估报告中可以考虑直接引用审计报告相关内容披露，同时说明对这些事项履行了什么程序、做了什么处理、最终评估值是如何确定的、存在哪些瑕疵或风险点提示。</w:t>
      </w:r>
    </w:p>
    <w:p w14:paraId="3E87952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（3）无审计报告</w:t>
      </w:r>
    </w:p>
    <w:p w14:paraId="727269E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如果企业财务会计报表未经审计，披露内容包括但不限于：公司**年至**年，截至评估基准日**年*月*日的财务会计报表为管理层提供，未经审计。评估机构履行了什么程序、哪些内容或数据无法核实、委托人对此做了什么承诺、可能对评估值有何影响、存在哪些瑕疵或风险点提示等。还要充分关注会计报表附注披露事项及可能对评估结果产生的影响，酌情考虑是否需要在评估报告特别事项说明中补充披露。</w:t>
      </w:r>
    </w:p>
    <w:p w14:paraId="2A5600F0" w14:textId="77777777" w:rsidR="00A320E6" w:rsidRDefault="00000000" w:rsidP="00F67407">
      <w:pPr>
        <w:keepNext/>
        <w:spacing w:beforeLines="50" w:before="156" w:afterLines="20" w:after="62" w:line="360" w:lineRule="auto"/>
        <w:jc w:val="center"/>
        <w:outlineLvl w:val="2"/>
        <w:rPr>
          <w:rFonts w:ascii="宋体" w:hAnsi="宋体" w:cs="宋体"/>
          <w:b/>
          <w:bCs/>
          <w:color w:val="000000"/>
          <w:kern w:val="0"/>
          <w:sz w:val="24"/>
          <w:lang w:eastAsia="zh-Hans" w:bidi="ar"/>
        </w:rPr>
      </w:pPr>
      <w:bookmarkStart w:id="93" w:name="_Toc112227401"/>
      <w:r>
        <w:rPr>
          <w:rFonts w:ascii="宋体" w:hAnsi="宋体" w:cs="宋体" w:hint="eastAsia"/>
          <w:b/>
          <w:bCs/>
          <w:color w:val="000000"/>
          <w:kern w:val="0"/>
          <w:sz w:val="24"/>
          <w:lang w:eastAsia="zh-Hans" w:bidi="ar"/>
        </w:rPr>
        <w:t>北京资产评估协会资产评估专业技术委员会执业问题解答（2020年第一期）</w:t>
      </w:r>
      <w:bookmarkEnd w:id="93"/>
    </w:p>
    <w:p w14:paraId="406EC33D" w14:textId="77777777" w:rsidR="00A320E6" w:rsidRDefault="00000000" w:rsidP="000E2429">
      <w:pPr>
        <w:pStyle w:val="1c"/>
        <w:rPr>
          <w:lang w:eastAsia="zh-Hans" w:bidi="ar"/>
        </w:rPr>
      </w:pPr>
      <w:r>
        <w:rPr>
          <w:rFonts w:hint="eastAsia"/>
          <w:lang w:eastAsia="zh-Hans" w:bidi="ar"/>
        </w:rPr>
        <w:t>特别提示</w:t>
      </w:r>
    </w:p>
    <w:p w14:paraId="7444E30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针对近期收集到的有关资产评估报告披露实务操作问题，北京资产评估协会专业技术委员会组织专家进行了相应解答。</w:t>
      </w:r>
    </w:p>
    <w:p w14:paraId="11C5BA7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本解答仅代表起草专家个人观点，不是对相关法律法规及资产评估执业准则的</w:t>
      </w:r>
      <w:r>
        <w:rPr>
          <w:rFonts w:ascii="宋体" w:hAnsi="宋体" w:cs="宋体" w:hint="eastAsia"/>
          <w:color w:val="000000"/>
          <w:kern w:val="0"/>
          <w:sz w:val="24"/>
          <w:lang w:eastAsia="zh-Hans" w:bidi="ar"/>
        </w:rPr>
        <w:lastRenderedPageBreak/>
        <w:t>解读，也不能替代资产评估专业人员的职业判断。在执业中，资产评估专业人员应结合项目实际情况、自身职业判断，不能直接照搬照抄。</w:t>
      </w:r>
    </w:p>
    <w:p w14:paraId="6990238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问题1.资产评估机构出具估值报告的相关规定？</w:t>
      </w:r>
    </w:p>
    <w:p w14:paraId="59AEDA6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2011年6月，国务院国资委印发的《中央企业境外国有产权管理暂行办法》（国资委令第27号）规定：中央企业及其各级子企业独资或者控股的境外企业在境外发生转让或者受让产权、以非货币资产出资、非上市公司国有股东股权比例变动、合并分立、解散清算等经济行为时，应当聘请具有相应资质、专业经验和良好信誉的专业机构对标的物进行评估或者估值，评估项目或者估值情况应当由中央企业备案；涉及中央企业重要子企业由国有独资转为绝对控股、绝对控股转为相对控股或者失去控股地位等经济行为的，评估项目或者估值情况应当报国资委备案或者核准。中央企业及其各级子企业独资或者控股的境外企业在进行与评估或者估值相应的经济行为时，其交易对价应当以经备案的评估或者估值结果为基准。</w:t>
      </w:r>
    </w:p>
    <w:p w14:paraId="23FCEF98" w14:textId="15F067A4"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2011年9月，国务院国资委印发的《关于加强中央企业境外国有产权管理有关工作的通知》（国资发产权〔2011〕144号）要求，中央企业及其各级子企业独资或者控股的境外企业发生《中央企业境外国有产权管理暂行办法》</w:t>
      </w:r>
      <w:r w:rsidR="00977BD5" w:rsidRPr="000E2429">
        <w:rPr>
          <w:rFonts w:ascii="宋体" w:hAnsi="宋体" w:cs="宋体" w:hint="eastAsia"/>
          <w:bCs/>
          <w:color w:val="000000"/>
          <w:kern w:val="0"/>
          <w:sz w:val="24"/>
          <w:lang w:eastAsia="zh-Hans" w:bidi="ar"/>
        </w:rPr>
        <w:t>第十条</w:t>
      </w:r>
      <w:r>
        <w:rPr>
          <w:rFonts w:ascii="宋体" w:hAnsi="宋体" w:cs="宋体" w:hint="eastAsia"/>
          <w:color w:val="000000"/>
          <w:kern w:val="0"/>
          <w:sz w:val="24"/>
          <w:lang w:eastAsia="zh-Hans" w:bidi="ar"/>
        </w:rPr>
        <w:t>规定的应评估或者估值的经济行为时，应当聘请具有相应资质、专业经验、良好信誉并与经济行为相适应的境内外专业机构对标的物进行评估或者估值。其中：选择的境内评估机构应当具有国家相关部门确认的专业资质；选择的境外评估或估值机构应当遵守标的物所在国家或地区对评估或估值机构专业资质的相关规定。评估或者估值情况应当按照《中央企业境外国有产权管理暂行办法》相关规定进行备案或核准。报送备案或核准的评估或者估值报告书及其相关说明等资料应为中文文本。</w:t>
      </w:r>
    </w:p>
    <w:p w14:paraId="398055B6" w14:textId="42C4BC65"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2013年5月，国务院国资委印发的《企业国有资产评估项目备案工作指引》（国资发产权〔2013〕64号），专门一章规范“境外评估或估值报告审核”。近几年，中央企业及其各级子企业独资或者控股的境外企业在境外发生的《中央企业境外国有产权管理暂行办法》</w:t>
      </w:r>
      <w:r w:rsidR="00977BD5" w:rsidRPr="000E2429">
        <w:rPr>
          <w:rFonts w:ascii="宋体" w:hAnsi="宋体" w:cs="宋体" w:hint="eastAsia"/>
          <w:bCs/>
          <w:color w:val="000000"/>
          <w:kern w:val="0"/>
          <w:sz w:val="24"/>
          <w:lang w:eastAsia="zh-Hans" w:bidi="ar"/>
        </w:rPr>
        <w:t>第十条</w:t>
      </w:r>
      <w:r>
        <w:rPr>
          <w:rFonts w:ascii="宋体" w:hAnsi="宋体" w:cs="宋体" w:hint="eastAsia"/>
          <w:color w:val="000000"/>
          <w:kern w:val="0"/>
          <w:sz w:val="24"/>
          <w:lang w:eastAsia="zh-Hans" w:bidi="ar"/>
        </w:rPr>
        <w:t>规定的应评估或者估值的经济行为，聘请境外机构出具估值报告，并备案的情况很多。</w:t>
      </w:r>
    </w:p>
    <w:p w14:paraId="0B650980" w14:textId="107C42EA"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2014年修订的《上市公司重大资产重组管理办法》（中国证监会令109号）提出了重大资产重组中相关资产以资产评估结果作为定价依据时，对资产评估机构和上市公司董事会的要求；相关资产不以资产评估结果作为定价依据，对上市公司及</w:t>
      </w:r>
      <w:r>
        <w:rPr>
          <w:rFonts w:ascii="宋体" w:hAnsi="宋体" w:cs="宋体" w:hint="eastAsia"/>
          <w:color w:val="000000"/>
          <w:kern w:val="0"/>
          <w:sz w:val="24"/>
          <w:lang w:eastAsia="zh-Hans" w:bidi="ar"/>
        </w:rPr>
        <w:lastRenderedPageBreak/>
        <w:t>上市公司董事会的要求。同时提出了“评估机构”“估值机构”的概念。中国证监会发言人指出，“估值机构”可以是评估机构，也可以是独立财务顾问、会计师事务所，提供估值服务不要求必须具有评估资质。其中，“评估机构”具有由财政部门或其他主管机构授予的评估行业资质。在目前上市公司重大资产重组定价环节，资产评估机构可以出具估值报告。但是同时，中国证监会发布的《公开发行证券的公司信息披露内容与格式准则第26号——上市公司重大资产重组》第七节“交易标的评估或估值”中的</w:t>
      </w:r>
      <w:r w:rsidR="00EC0B72" w:rsidRPr="000E2429">
        <w:rPr>
          <w:rFonts w:ascii="宋体" w:hAnsi="宋体" w:cs="宋体" w:hint="eastAsia"/>
          <w:bCs/>
          <w:color w:val="000000"/>
          <w:kern w:val="0"/>
          <w:sz w:val="24"/>
          <w:lang w:eastAsia="zh-Hans" w:bidi="ar"/>
        </w:rPr>
        <w:t>第二十四条</w:t>
      </w:r>
      <w:r>
        <w:rPr>
          <w:rFonts w:ascii="宋体" w:hAnsi="宋体" w:cs="宋体" w:hint="eastAsia"/>
          <w:color w:val="000000"/>
          <w:kern w:val="0"/>
          <w:sz w:val="24"/>
          <w:lang w:eastAsia="zh-Hans" w:bidi="ar"/>
        </w:rPr>
        <w:t>，对重大资产重组中相关评估报告和估值报告的信息披露提出详细要求。</w:t>
      </w:r>
    </w:p>
    <w:p w14:paraId="3E2A39E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2.对委托人与被评估单位不一致的项目，如何披露相关信息？</w:t>
      </w:r>
    </w:p>
    <w:p w14:paraId="74FD55C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资产评估法》规定，自然人、法人或者其他组织需要确定评估对象价值的，可以自愿委托评估机构评估。委托人有义务向评估专业人员提供相关的权属证明、财务会计信息和其他资料，以及为执行公允的评估程序所需的必要协助。并承诺对其提供的权属证明、财务会计信息和其他资料的真实性、完整性和合法性负责。涉及国有资产或者公共利益等事项，法律、行政法规规定需要评估的，应当依法委托评估机构评估。委托人是否恰当的问题涉及相关监管规定，在国有资产评估项目中还涉及逐级报送评估报告履行备案程序填写备案表等，故此项披露易受关注。</w:t>
      </w:r>
    </w:p>
    <w:p w14:paraId="35D05F8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常见的委托人与被评估单位不一致的情形有：委托人为被评估单位出资人或股东；委托人为被评估单位拟实施经济行为的参与方，如拟实施收购非国有产权行为的单位；委托人为被评估单位的债权人或债委会等。委托人通常关联到经济行为文件，如果经济行为文件与委托人无关则应审慎披露委托人与经济行为当事人存在何种关联。</w:t>
      </w:r>
    </w:p>
    <w:p w14:paraId="15EC91F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评估报告披露内容包括但不限于委托人及被评估单位简介、在本评估报告中委托人与被评估单位之间的关系，如产权关系、交易关系等。涉及多个委托人时还需逐一介绍。产权关系中如存在交叉持股，建议以图示或文字的形式描述交叉持股关系及是否属于同一控制的情形。交易关系中如存在关联交易，建议说明关联方、交易方式等基本情况。</w:t>
      </w:r>
    </w:p>
    <w:p w14:paraId="2FA74EE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3.委托人为司法机关时，经济行为和评估目的如何披露？</w:t>
      </w:r>
    </w:p>
    <w:p w14:paraId="408A959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答：目前，资产评估服务于各种交易（例如上市公司资产重组、国有产权交易、非货币实物资产出资、抵债等）、管理（如司法领域的侦察、起诉、量刑定罪、涉</w:t>
      </w:r>
      <w:r>
        <w:rPr>
          <w:rFonts w:ascii="宋体" w:hAnsi="宋体" w:cs="宋体" w:hint="eastAsia"/>
          <w:color w:val="000000"/>
          <w:kern w:val="0"/>
          <w:sz w:val="24"/>
          <w:lang w:eastAsia="zh-Hans" w:bidi="ar"/>
        </w:rPr>
        <w:lastRenderedPageBreak/>
        <w:t>执资产处置，税收领域的税基计量等，纪检监察审计调查等）、会计计量（例如依据会计准则进行的商誉减值测试）等三大类业务。其中，服务于公安机关侦察、检察机关起诉、人民法院量刑定罪和为涉执资产处置确定参考价格提供参考等评估业务，委托人是司法机关，在经济行为和评估目的等方面与一般产权（资产）交易行为的评估业务相比，具有不同之处。例如，公安机关侦查涉嫌出具证明文件重大失实案件时，取证中，目前的做法是另行聘请评估机构对案涉评估机构已经出具的评估报告重新进行评估。对这类评估业务的经济行为（实际上，资产评估实践中很多业务服务的不是经济行为，但评估报告评估依据列示的依然是“经济行为依据”）的描述，在遵守公安机关侦察保密等相关规定的前提下，客观描述评估目的对应的侦察行为而非涉案评估报告中已经发生的经济行为，并据此描述评估目的是为公安机关提供价值参考，可能是比较客观的做法。</w:t>
      </w:r>
    </w:p>
    <w:p w14:paraId="1F987E2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需要提请评估专业人员考虑的是：评估结论，更多的是依赖评估专业人员的职业判断，评估结论的作用更多的是作为参考。因此，针对同一标的、同一基准日、同一评估目的评估业务的评估结论，很可能会存在差异。</w:t>
      </w:r>
    </w:p>
    <w:p w14:paraId="382C1A3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4.如何更好披露集团型企业评估委托人和被评估单位情况？</w:t>
      </w:r>
    </w:p>
    <w:p w14:paraId="0EF5D85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集团型企业，通常指由一个企业作为母体，依法通过一层或多层投资纽带关系形成的多级化运作组织，规模庞大，具有业务多元化的特点。当评估对象为集团型企业时，委托人和被评估单位简介通常包括：基本情况、历史沿革、股本结构、股东情况、财务分析、经营分析、参控股投资情况等。</w:t>
      </w:r>
    </w:p>
    <w:p w14:paraId="0878615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（1）相关资产、财务和经营状况信息的披露，可以考虑分别披露审计报告中的母公司报表及合并报表数据，如具备资料，可以增加各业务板块数据披露、经营分析及行业分析。</w:t>
      </w:r>
    </w:p>
    <w:p w14:paraId="0D3AE5C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存在多级次下属企业时，可以采用组织架构图或列表方式。评估执业和管理实践中，相关部门在评估项目监管中认为，平铺直叙的文字方式介绍各企业、各企业之间及其与被评估单位之间的产权关系，文字量多，关系复杂，难以清晰了解相关情况。多数部门希望采用组织架构图表，并配以规范的多级编号对应至各企业。对于重要子公司和上市公司做单独介绍，说明其在集团下属企业哪一级次以及持股情况。</w:t>
      </w:r>
    </w:p>
    <w:p w14:paraId="278DCC5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（2）对于国有集团型企业，可以关注并披露企业国有产权登记证相关信息，方</w:t>
      </w:r>
      <w:r>
        <w:rPr>
          <w:rFonts w:ascii="宋体" w:hAnsi="宋体" w:cs="宋体" w:hint="eastAsia"/>
          <w:color w:val="000000"/>
          <w:kern w:val="0"/>
          <w:sz w:val="24"/>
          <w:lang w:eastAsia="zh-Hans" w:bidi="ar"/>
        </w:rPr>
        <w:lastRenderedPageBreak/>
        <w:t>便报告使用人使用评估报告。</w:t>
      </w:r>
    </w:p>
    <w:p w14:paraId="05E54FF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有的集团型企业采用VIE架构设立，即可变利益实体（VariableInterestEntities），是一种协议模式，不通过股权而是通过签订各种协议的方式实现对实际运营公司的控制及财务合并。通常由BVI公司（持有股权及现金）、香港公司（税务筹划）、WFOE公司（开展协议控制）、开曼公司（主体）以及可以获得经营效益的境内业务实体组成。境外企业通过自然人投资、协议控制境内企业，仅从企业工商登记信息无法看清其产权或出资关系，评估报告除披露组织架构图外，介绍相关协议以及律师的专项法律意见、审计报告编制基础及纳入合并范围理由等，更能方便委托人使用评估报告。</w:t>
      </w:r>
    </w:p>
    <w:p w14:paraId="493A9F0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5.如何更好地披露经济行为文件以及据此表述评估目的？</w:t>
      </w:r>
    </w:p>
    <w:p w14:paraId="68F4EFD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资产评估涉及经济行为种类繁多，如果仅按评估标的（评估对象）则可简化分为资产（含资产和资产组）和股权两种类型。同一标的在同一评估基准日不同的经济行为中的评估价值可能不同，即不同的评估目的需要选择不同的价值类型，从而可能有不同的评估结论。因此，准确恰当地选用资产评估涉及的经济行为文件非常重要。常见的经济行为文件包括产权持有人或投资人的决策文件，如公司董事会决议、股东大会决议、管理层会议纪要、投资协议或预案，以及有关上级单位的批复文件等。</w:t>
      </w:r>
    </w:p>
    <w:p w14:paraId="17A212C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提示委托人或产权持有人对资产评估涉及的经济行为提供合法有效文件作为评估报告的披露依据，将有助于报告使用人正确理解和使用评估结论。而评估报告依据经济行为文件表述评估目的，能够避免误导和歧义。披露方式可参考如下示例：</w:t>
      </w:r>
    </w:p>
    <w:p w14:paraId="3FB81A7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“A公司拟将其持有B公司的××%股权对外转让，为此需要对评估基准日时A公司持有B公司的××%股权的市场价值进行评估，为上述经济行为提供价值参考。</w:t>
      </w:r>
    </w:p>
    <w:p w14:paraId="14DB1DF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A公司董事会或公司上级单位**就此事项于**年*月*日下发了《关于A公司持有B公司的××%股权转让有关问题的批复》（文件号）。”</w:t>
      </w:r>
    </w:p>
    <w:p w14:paraId="3519806C" w14:textId="3ADB2521"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6.经济行为文件是否包含《资产评估委托合同》</w:t>
      </w:r>
      <w:r w:rsidR="000E2429">
        <w:rPr>
          <w:rFonts w:ascii="宋体" w:hAnsi="宋体" w:cs="宋体" w:hint="eastAsia"/>
          <w:color w:val="000000"/>
          <w:kern w:val="0"/>
          <w:sz w:val="24"/>
          <w:lang w:eastAsia="zh-Hans" w:bidi="ar"/>
        </w:rPr>
        <w:t>？</w:t>
      </w:r>
    </w:p>
    <w:p w14:paraId="2E60741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不应包括。在资产评估领域，经济行为文件，可以理解为“与评估目的相对应的经济行为文件”。也就是说，决定评估目的的企业拟实施的经济行为文件。拟实施的企业经济行为是资产评估发生的根本原因，也是评估服务内容的根本体现，其决定评估价值类型、评估方法以及评估结论。资产评估机构在开展资产评估业务</w:t>
      </w:r>
      <w:r>
        <w:rPr>
          <w:rFonts w:ascii="宋体" w:hAnsi="宋体" w:cs="宋体" w:hint="eastAsia"/>
          <w:color w:val="000000"/>
          <w:kern w:val="0"/>
          <w:sz w:val="24"/>
          <w:lang w:eastAsia="zh-Hans" w:bidi="ar"/>
        </w:rPr>
        <w:lastRenderedPageBreak/>
        <w:t>之前，与委托人签署的《资产评估委托合同》是“资产评估行为文件”，不属于“与评估目的相对应的经济行为文件”。它是确立本次资产评估业务行为的唯一合法依据，是评估机构与委托人对各自权利、责任和义务的约定，一种经济合同性质的契约。评估工作开始前，有一些资产评估基本事项必须由委托合同约定，如评估目的、评估基准日、评估范围和评估对象、评估工作起止时间、评估报告形式等内容。</w:t>
      </w:r>
    </w:p>
    <w:p w14:paraId="455293C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所谓的“经济行为”，原国家国有资产管理局转发的中国资产评估协会制定的《资产评估操作规范意见（试行）》（国资办发[1996]23号，目前该文件已经废止）提出“资产评估目的是资产评估所服务的经济行为的具体类型”。“经济行为涉及到的全部资产均应划入资产评估范围”。“企业经济行为”，是指企业为了实现一定的目标而采取的对策和行动，包括主要内容有：企业投资行为、企业生产经营决策行为、企业营销行为、企业经济核算行为、企业收入分配行为等。而与评估目的相对应的企业经济行为种类很多，如资产转让、企业兼并、企业出售、企业联营、股份经营、中外合资（合作）、企业清算、担保、企业租赁、债务重组等，文件种类也很多，涉及企业国有资产评估项目，依照现行规定，经济行为还需相关部门批准，经批准的经济行为文件方可作为依据。</w:t>
      </w:r>
    </w:p>
    <w:p w14:paraId="0BFC626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7.如何披露企业出具的相关承诺、说明和证明？</w:t>
      </w:r>
    </w:p>
    <w:p w14:paraId="6C58083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评估实践中，经常有一些评估事项，特别是评估参数依据方面的事项，评估专业人员要求委托人出具一些书面说明。例如：影响企业未来收益的项目投产时间、达产时间、或者某项重要合同的签署、某项目取得核准的时间、取得某项资质的时间等，完整披露这些内容十分重要。举例说明如下：</w:t>
      </w:r>
    </w:p>
    <w:p w14:paraId="083F4CE5"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对于企业内部事项，例如在建企业或项目未来收益预测事项，项目投产达产时间，可以取得企业的说明，并根据该说明在报告中全面披露企业的安排，评估的判断，以及评估结果以该说明为基础等完整信息。</w:t>
      </w:r>
    </w:p>
    <w:p w14:paraId="7F75A1D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对于涉企政府审批事项，例如高新技术产业证书的申请取得、税收优惠政策的获取等，确认已受理并已初审通过（或类似审批进度）可以取得企业的书面承诺，作为评估判断的基础条件。对于该事项，建议在报告中全面披露，包括：承诺的事项，评估的判断，评估结果以该承诺为基础等完整信息。</w:t>
      </w:r>
    </w:p>
    <w:p w14:paraId="5ECF8FB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（3）对企业法人资产的产权登记事项，例如房屋的不动产权证书，可以要求企业出具专项说明，说明产权登记进度或者不准备办理权属登记的具体情况，作为评</w:t>
      </w:r>
      <w:r>
        <w:rPr>
          <w:rFonts w:ascii="宋体" w:hAnsi="宋体" w:cs="宋体" w:hint="eastAsia"/>
          <w:color w:val="000000"/>
          <w:kern w:val="0"/>
          <w:sz w:val="24"/>
          <w:lang w:eastAsia="zh-Hans" w:bidi="ar"/>
        </w:rPr>
        <w:lastRenderedPageBreak/>
        <w:t>估基础，并在评估报告中如实披露说明内容及评估处理情况。</w:t>
      </w:r>
    </w:p>
    <w:p w14:paraId="5BC9908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8.权属资料不全与产权瑕疵是什么关系？如何披露？</w:t>
      </w:r>
    </w:p>
    <w:p w14:paraId="5EBAB9E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评估实践中，在资产评估报告出具时，因各种原因存在诸如房屋、土地等资产的权属证明文件不全、或缺失或正在办理等问题，一些评估专业人员将权属证明文件资料不齐全或缺失披露为“产权瑕疵”，从而与同一项目中其他专业服务机构（如律师等）的披露存在差异。</w:t>
      </w:r>
    </w:p>
    <w:p w14:paraId="3C7B90F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产权瑕疵，一般是指资产或财产本身的产权存在缺陷或不足。产权瑕疵和产权清晰，都是一种产权界定的法律性质结论。在产权界定时，权属资料是必要条件，但权属资料不全并不一定表明资产产权状况形成瑕疵。权属证书等权属资料不齐全或缺失，很有可能是权属资料或证明本身的瑕疵，而不一定是产权本身的瑕疵。同理，权属证书等权属资料齐全也可能仅代表权属资料或证明本身的完整，而不能绝对认定产权本身的无瑕疵。所以需要评估专业人员审慎对待严谨判断。</w:t>
      </w:r>
    </w:p>
    <w:p w14:paraId="6B76163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一般来说，实务中需要对以下情况予以重点关注，注意与此相关联的执业风险：不动产权属证记载的事项与不动产登记簿不一致；资产的建设取得与法律法规的相关规定不符，如小产权等违章建设的房产，其本身不具有合法性；资产的权属存在争议、纠纷等情况。</w:t>
      </w:r>
    </w:p>
    <w:p w14:paraId="2C3F5A2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实务中，权属资料不齐全的情况一般有：在自有土地上出资建设的房屋建筑物，由于历史原因，报建审批等手续不够完整，未取得权属证书，但一直由现权利人占有、使用，未有人申请提出过权利主张；企业内部资产重组划转或交易后，对权属证书尚未完成变更登记；购置的房屋或土地等资产，已办理取得权属证书，但购置资产的价款尚未支付完毕；原权利登记的资产数量、用途等事项发生变更后未进行变更登记等。</w:t>
      </w:r>
    </w:p>
    <w:p w14:paraId="1572751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对此，评估专业人员可能需要履行现场调查和资料核查验证等评估程序，查清导致上述状况的原因，并商请委托人或者被评估单位出具专项说明，必要的情况下可以请律师发表专项法律意见书。依据取得的相关资料和文件，在评估报告特别事项中充分披露相关信息。如客观描述权属资料不全面或者存在瑕疵的情况，说明本次评估结论是在假定资产权属完整情况下做出的，评估结论未考虑完善相关产权可能发生的测量、登记、办证或者行政罚款等费用，并提请报告使用人注意等。</w:t>
      </w:r>
    </w:p>
    <w:p w14:paraId="6302D4E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9.为什么需要编制企业价值收益法评估测算表？</w:t>
      </w:r>
    </w:p>
    <w:p w14:paraId="7EAEDB8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lastRenderedPageBreak/>
        <w:t>答：对于企业价值收益法评估参数的确定，由于评估参数之间的勾稽关系和计算过程复杂，除了必要的文字表述外，测算表对于了解评估参数确定过程、结果等十分重要。2009年9月11日，国务院国资委印发的《关于企业国有资产评估报告审核工作有关事项的通知》（国资产权[2009]941号）要求，报审的评估报告中有关收益法说明部分应包括下列参数、依据及测算过程。（一）收入预测表及说明；（二）成本及费用预测表及说明；（三）折旧和摊销预测表及说明；（四）营运资金预测表及说明；（五）资本性支出预测表及说明；（六）折现率选取、计算、分析及说明；（七）负债预测表及说明；（八）溢余资产分析及说明；（九）非经营性资产分析及说明。</w:t>
      </w:r>
    </w:p>
    <w:p w14:paraId="15282DD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在企业国有资产评估项目备案核准过程中，缺少必要的参数测算表将直接影响评估项目质量评价结果。按照相关规定编制评估参数测算表，已不仅仅是一个单独评估项目的质量问题，而作为企业评估机构备选库入围条件，评估项目质量评价将是评估机构管理的导向之一。</w:t>
      </w:r>
    </w:p>
    <w:p w14:paraId="4174927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10.如何说明部分股权的评估结果？</w:t>
      </w:r>
    </w:p>
    <w:p w14:paraId="3023998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当评估报告涉及计算部分股权评估结果时，可以关注公司章程或投资协议，了解股东在收益分配、股权转让等方面的权利和义务是否存在特殊的约定，如分红限制、清算约定和存在限售期等对评估的影响。关注公司最新的工商登记情况和近期的董事会决议等材料，取得最新的公司章程，了解被评估单位股权结构及股东权益。关注可能影响评估结论的重要事项，并要求委托人或被评估单位就该事项提供专项承诺等内部证明材料和律师函等外部证明材料，作为评估依据并在评估报告中适当披露，并披露计算是否考虑了控制权溢价或少数股权可能产生的折价因素。</w:t>
      </w:r>
    </w:p>
    <w:p w14:paraId="60C58FA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公司处于持续经营期内，评估基准日可能存在股东实缴出资不同步的情形，即认缴出资额有的股东已完成而有的股东尚未完成，但均属合法也未违约情形。有的公司处于多次融资期间，截止评估基准日前轮融资协议已签署但投资款尚未到位等各种情形。结合评估实践，可以在评估报告中分别披露评估基准日、评估报告日已（或承诺拟）出资的金额、股东及股权比例是否已经或将要发生变化、是否完成工商变更登记、评估结果如何考虑该影响等内容。但是，对于被评估单位股东全部权益作为评估对象时对评估基准日期后上述进程不关注或不披露的方法，可能忽略了评估结论服务于特定评估目的的作用。因为，即使委托人自行用评估结论计算对价</w:t>
      </w:r>
      <w:r>
        <w:rPr>
          <w:rFonts w:ascii="宋体" w:hAnsi="宋体" w:cs="宋体" w:hint="eastAsia"/>
          <w:color w:val="000000"/>
          <w:kern w:val="0"/>
          <w:sz w:val="24"/>
          <w:lang w:eastAsia="zh-Hans" w:bidi="ar"/>
        </w:rPr>
        <w:lastRenderedPageBreak/>
        <w:t>也需要根据评估基准日期后事项对其做出调整，所以除非这些事项发生在评估报告日后，否则评估报告还是做必要披露更合适，更方便评估报告使用人。</w:t>
      </w:r>
    </w:p>
    <w:p w14:paraId="1625020A"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此外，还可以关注并如实披露被评估单位是否存在明股实债、优先股、权益工具、股东独享权益、资不抵债（净资产为负）的长期股权投资等特殊情形，评估过程采用了什么处理方式，对评估值有何影响、存在哪些瑕疵或风险点提示等。</w:t>
      </w:r>
    </w:p>
    <w:p w14:paraId="24CC039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11.如何完整、准确地做好特别事项说明的披露？</w:t>
      </w:r>
    </w:p>
    <w:p w14:paraId="41B2760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评估实践中，经常遇到评估程序受限、或有事项、待定事项（或未决事项）等情况，进而可能导致评估结论的不确定性，评估结论使用的不确定性。因此，委托人理解和使用评估结论时，需要全面掌握评估结论的有关信息，以便于利用评估结论时充分考虑这些信息，做出客观的决策。</w:t>
      </w:r>
    </w:p>
    <w:p w14:paraId="76677B0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（1）评估程序执行受到限制时的披露</w:t>
      </w:r>
    </w:p>
    <w:p w14:paraId="7AE8B9F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实践中经常遇到的评估程序受限的情形有，不能全部或部分进行现场调查工作（如资产清查核实），或者全部或部分评估资料无法取得。造成受限的原因，大致归纳有两种情况：</w:t>
      </w:r>
    </w:p>
    <w:p w14:paraId="4D33894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一是由于法律法规规定，暂不能履行评估程序。例如诉讼保全（财产保全），法院审理案件时，在作出判决前为防止当事人(被告)转移、隐匿、变卖财产，依职权对财产作出查封、扣押、冻结等保护措施，以保证将来判决生效后能得到顺利执行，对这些资产的评估，一般不能完整履行评估程序。由于保密要求，军工涉密资产评估在一定意义上属于局部受限情形。比如：军工涉密产品的相关信息参数；与军方之间的往来款；核心生产设施（包括厂房、设备等）的相关信息参数；涉及军品的技术类无形资产的相关资料信息等等涉密资产的评估等，一般无法进行资产清查核实，部分评估资料也不能得到。</w:t>
      </w:r>
    </w:p>
    <w:p w14:paraId="4D256FE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二是客观条件限制，无法或者不能完全或部分履行评估程序。属于“应当，但不能或无法”情形，实践中一般有：</w:t>
      </w:r>
    </w:p>
    <w:p w14:paraId="3043FE3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①委托人完全或部分不配合评估工作，被评估单位完全或部分不配合评估工作，导致评估专业人员无法履行评估程序。例如，不能完整地进行资产清查核实，或未提供或未及时提供必要的评估资料；</w:t>
      </w:r>
    </w:p>
    <w:p w14:paraId="3B7B538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②资产置放地的影响，导致评估专业人员无法履行评估程序。如，输变电线路，地下直埋管线，工艺管道中的在产品，地下开采的井巷及建构筑物，公海航海中的</w:t>
      </w:r>
      <w:r>
        <w:rPr>
          <w:rFonts w:ascii="宋体" w:hAnsi="宋体" w:cs="宋体" w:hint="eastAsia"/>
          <w:color w:val="000000"/>
          <w:kern w:val="0"/>
          <w:sz w:val="24"/>
          <w:lang w:eastAsia="zh-Hans" w:bidi="ar"/>
        </w:rPr>
        <w:lastRenderedPageBreak/>
        <w:t>客货船；</w:t>
      </w:r>
    </w:p>
    <w:p w14:paraId="05401E97"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③特殊环境下的资产评估项目。如，本次新冠疫情，一些评估项目无法全部或部分进行资产的清查核实。</w:t>
      </w:r>
    </w:p>
    <w:p w14:paraId="07E23158"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对于评估程序受限的问题，实践中没有处理定式，建议评估专业人员一要敏感，二要灵活，以防范执业风险为核心。要结合经济行为本质、涉及的主体、对评估的依赖程度、评估目的，综合判断在评估程序限制条件下能否出具评估报告；如果决定出具评估报告，报告要既不影响经济行为实施，又能防范因此带来的执业风险。以资产置放地点受限为例，披露方式可以参考如下示例：</w:t>
      </w:r>
    </w:p>
    <w:p w14:paraId="0B8BB013"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纳入评估范围内的井下建构筑物资产共计**项，账面金额**万元，占全部固定资产的比例为**%，占全部资产的比率为**%。因煤矿生产的特殊性、安全性及井下建筑物的复杂性，对井下建构筑物，评估专业人员主要依据企业提供的工程图纸、工程设计及工程施工合同等文件，对企业填报的井下建筑物的工程量进行了复核，并对主要井下建筑物进行了现场查看，而未能对全部井下建筑物的工程量进行实地逐一核实。考虑到企业资产管理的规范性、矿山建设资料以及安全监测资料的完备性、井下建筑物维修维护制度的规范性，我们依据上述资料，通过履行上述程序，作为井下建筑物评估基础。</w:t>
      </w:r>
    </w:p>
    <w:p w14:paraId="08EE77BC"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（2）或有事项的披露</w:t>
      </w:r>
    </w:p>
    <w:p w14:paraId="3F742EE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企业的对外担保行为、资产租赁行为可能导致企业的或有负债或者损失，从而可能影响企业价值。但是，在出具评估报告之前无法合理判断该等事项对企业价值可能的影响程度。为满足报告使用人获得全面信息的要求，需要在评估报告特别事项中进行披露。披露的内容，首先要说明事项本身的性质、金额等情况；其次，说明评估报告的处理方式；第三，表明该事项可能导致的或有负债对企业价值的影响。披露方式可以参考如下：</w:t>
      </w:r>
    </w:p>
    <w:p w14:paraId="67392CD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根据A公司提供的担保保证合同，A公司于2012年5月为其关联公司B公司提供借款信用保证，B公司于2012年5月向**银行借款10000万元，借款期限至2015年5月，A公司为该笔借款提供保证，并对B公司偿还义务承担连带责任，保证内容包括借款本息、可能发生的违约金和实现债权的费用等。根据A公司提供的专项说明以及B公司近两年的财务报表，B公司正常经营，能够如期支付银行利息，并未出现无法归还贷款本息的迹象，本次评估结论未考虑担保行为导致的可能的或有负债</w:t>
      </w:r>
      <w:r>
        <w:rPr>
          <w:rFonts w:ascii="宋体" w:hAnsi="宋体" w:cs="宋体" w:hint="eastAsia"/>
          <w:color w:val="000000"/>
          <w:kern w:val="0"/>
          <w:sz w:val="24"/>
          <w:lang w:eastAsia="zh-Hans" w:bidi="ar"/>
        </w:rPr>
        <w:lastRenderedPageBreak/>
        <w:t>对企业价值的影响。在未来，如果出现B公司无法按期归还银行贷款本息的现象，A公司将会承担连带偿付责任，出现或有负债，影响企业价值，请评估报告使用人关注。（基准日2012年12月31日）</w:t>
      </w:r>
    </w:p>
    <w:p w14:paraId="177904E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（3）法律、经济等未决事项的披露</w:t>
      </w:r>
    </w:p>
    <w:p w14:paraId="18BEB80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被评估单位在基准日存在的法律、经济等未决事项，主要是指对评估结论产生重大影响的未决诉讼、未决法律纠纷、未决仲裁、未执行判决等存在争议或不确定性的、可能影响生产经营活动和财务状况的重大合同、重大诉讼事项等。该等事项如果发生，可能会对企业价值产生影响，但是截至报告日，这些事项并未确定，评估专业人员也无法合理判断其对结果的影响程度，建议在评估报告的特别事项中进行充分披露，为评估报告使用人合理使用评估报告提供相应的信息。</w:t>
      </w:r>
    </w:p>
    <w:p w14:paraId="67A6229B"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在披露相关信息时，通常首先需要，客观全面说明法律、经济未决事项的信息，包括该类事项的形成过程、涉及标的金额、评估明细表科目及金额、所处诉讼审判或争议解决进展</w:t>
      </w:r>
    </w:p>
    <w:p w14:paraId="6B8A7424"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阶段等情况；其次，说明评估报告的处理方式；第三，说明该事项可能导致的对评估结果的影响。披露方式可以参考如下：</w:t>
      </w:r>
    </w:p>
    <w:p w14:paraId="39966F2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根据NM公司提供的专项说明以及律师法律意见书，截止评估基准日，NM公司有关建设工程或者材料采购引发的未决诉讼事项共计三项，具体内容如下：</w:t>
      </w:r>
    </w:p>
    <w:tbl>
      <w:tblPr>
        <w:tblStyle w:val="ae"/>
        <w:tblW w:w="0" w:type="auto"/>
        <w:tblLook w:val="04A0" w:firstRow="1" w:lastRow="0" w:firstColumn="1" w:lastColumn="0" w:noHBand="0" w:noVBand="1"/>
      </w:tblPr>
      <w:tblGrid>
        <w:gridCol w:w="675"/>
        <w:gridCol w:w="709"/>
        <w:gridCol w:w="851"/>
        <w:gridCol w:w="5232"/>
        <w:gridCol w:w="1479"/>
      </w:tblGrid>
      <w:tr w:rsidR="003D3E0F" w14:paraId="2B52650D" w14:textId="77777777" w:rsidTr="003D3E0F">
        <w:tc>
          <w:tcPr>
            <w:tcW w:w="675" w:type="dxa"/>
            <w:vMerge w:val="restart"/>
            <w:vAlign w:val="center"/>
          </w:tcPr>
          <w:p w14:paraId="5B322E1D" w14:textId="12BF338C" w:rsidR="003D3E0F" w:rsidRDefault="003D3E0F"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序号</w:t>
            </w:r>
          </w:p>
        </w:tc>
        <w:tc>
          <w:tcPr>
            <w:tcW w:w="1560" w:type="dxa"/>
            <w:gridSpan w:val="2"/>
            <w:vAlign w:val="center"/>
          </w:tcPr>
          <w:p w14:paraId="2F1FE24E" w14:textId="77777777" w:rsidR="003D3E0F" w:rsidRDefault="003D3E0F" w:rsidP="000E2429">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诉讼双方</w:t>
            </w:r>
          </w:p>
        </w:tc>
        <w:tc>
          <w:tcPr>
            <w:tcW w:w="5232" w:type="dxa"/>
            <w:vMerge w:val="restart"/>
            <w:vAlign w:val="center"/>
          </w:tcPr>
          <w:p w14:paraId="7539A705" w14:textId="77777777" w:rsidR="003D3E0F" w:rsidRDefault="003D3E0F" w:rsidP="000E2429">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案件情况</w:t>
            </w:r>
          </w:p>
        </w:tc>
        <w:tc>
          <w:tcPr>
            <w:tcW w:w="0" w:type="auto"/>
            <w:vMerge w:val="restart"/>
            <w:vAlign w:val="center"/>
          </w:tcPr>
          <w:p w14:paraId="3FC95F1B" w14:textId="77777777" w:rsidR="003D3E0F" w:rsidRDefault="003D3E0F" w:rsidP="000E2429">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目前进展</w:t>
            </w:r>
          </w:p>
        </w:tc>
      </w:tr>
      <w:tr w:rsidR="003D3E0F" w14:paraId="22C1DECF" w14:textId="77777777" w:rsidTr="00737F3B">
        <w:tc>
          <w:tcPr>
            <w:tcW w:w="675" w:type="dxa"/>
            <w:vMerge/>
          </w:tcPr>
          <w:p w14:paraId="55716A75" w14:textId="32532BC8" w:rsidR="003D3E0F" w:rsidRDefault="003D3E0F" w:rsidP="000E2429">
            <w:pPr>
              <w:pStyle w:val="a3"/>
              <w:ind w:firstLineChars="0" w:firstLine="0"/>
              <w:jc w:val="center"/>
              <w:rPr>
                <w:rFonts w:ascii="宋体" w:hAnsi="宋体" w:cs="宋体"/>
                <w:color w:val="000000"/>
                <w:kern w:val="0"/>
                <w:szCs w:val="21"/>
                <w:lang w:eastAsia="zh-Hans" w:bidi="ar"/>
              </w:rPr>
            </w:pPr>
          </w:p>
        </w:tc>
        <w:tc>
          <w:tcPr>
            <w:tcW w:w="709" w:type="dxa"/>
            <w:vAlign w:val="center"/>
          </w:tcPr>
          <w:p w14:paraId="7B0DED1B" w14:textId="77777777" w:rsidR="003D3E0F" w:rsidRDefault="003D3E0F" w:rsidP="000E2429">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原告</w:t>
            </w:r>
          </w:p>
        </w:tc>
        <w:tc>
          <w:tcPr>
            <w:tcW w:w="851" w:type="dxa"/>
            <w:vAlign w:val="center"/>
          </w:tcPr>
          <w:p w14:paraId="604E2682" w14:textId="77777777" w:rsidR="003D3E0F" w:rsidRDefault="003D3E0F" w:rsidP="000E2429">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被告</w:t>
            </w:r>
          </w:p>
        </w:tc>
        <w:tc>
          <w:tcPr>
            <w:tcW w:w="5232" w:type="dxa"/>
            <w:vMerge/>
            <w:vAlign w:val="center"/>
          </w:tcPr>
          <w:p w14:paraId="31283340" w14:textId="77777777" w:rsidR="003D3E0F" w:rsidRDefault="003D3E0F" w:rsidP="000E2429">
            <w:pPr>
              <w:pStyle w:val="a3"/>
              <w:ind w:firstLineChars="0" w:firstLine="0"/>
              <w:jc w:val="center"/>
              <w:rPr>
                <w:rFonts w:ascii="宋体" w:hAnsi="宋体" w:cs="宋体"/>
                <w:color w:val="000000"/>
                <w:kern w:val="0"/>
                <w:szCs w:val="21"/>
                <w:lang w:eastAsia="zh-Hans" w:bidi="ar"/>
              </w:rPr>
            </w:pPr>
          </w:p>
        </w:tc>
        <w:tc>
          <w:tcPr>
            <w:tcW w:w="0" w:type="auto"/>
            <w:vMerge/>
            <w:vAlign w:val="center"/>
          </w:tcPr>
          <w:p w14:paraId="1A53FA9B" w14:textId="1C2F568D" w:rsidR="003D3E0F" w:rsidRDefault="003D3E0F" w:rsidP="000E2429">
            <w:pPr>
              <w:pStyle w:val="a3"/>
              <w:ind w:firstLineChars="0" w:firstLine="0"/>
              <w:jc w:val="center"/>
              <w:rPr>
                <w:rFonts w:ascii="宋体" w:hAnsi="宋体" w:cs="宋体"/>
                <w:color w:val="000000"/>
                <w:kern w:val="0"/>
                <w:szCs w:val="21"/>
                <w:lang w:eastAsia="zh-Hans" w:bidi="ar"/>
              </w:rPr>
            </w:pPr>
          </w:p>
        </w:tc>
      </w:tr>
      <w:tr w:rsidR="00A320E6" w14:paraId="0834EE12" w14:textId="77777777" w:rsidTr="003D3E0F">
        <w:tc>
          <w:tcPr>
            <w:tcW w:w="675" w:type="dxa"/>
            <w:vAlign w:val="center"/>
          </w:tcPr>
          <w:p w14:paraId="028D5E28" w14:textId="77777777" w:rsidR="00A320E6" w:rsidRDefault="00000000" w:rsidP="003D3E0F">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1</w:t>
            </w:r>
          </w:p>
        </w:tc>
        <w:tc>
          <w:tcPr>
            <w:tcW w:w="709" w:type="dxa"/>
            <w:vAlign w:val="center"/>
          </w:tcPr>
          <w:p w14:paraId="0461C56E"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A电磁电器厂</w:t>
            </w:r>
          </w:p>
        </w:tc>
        <w:tc>
          <w:tcPr>
            <w:tcW w:w="851" w:type="dxa"/>
            <w:vAlign w:val="center"/>
          </w:tcPr>
          <w:p w14:paraId="35DFB679"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NM公司</w:t>
            </w:r>
          </w:p>
        </w:tc>
        <w:tc>
          <w:tcPr>
            <w:tcW w:w="5232" w:type="dxa"/>
            <w:vAlign w:val="center"/>
          </w:tcPr>
          <w:p w14:paraId="6268228D"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2005年8月，原被告签署发电机组工程供货合同，原告要求支付设备款80万元并按同期银行贷款利率支付利息、违约金4万元</w:t>
            </w:r>
          </w:p>
        </w:tc>
        <w:tc>
          <w:tcPr>
            <w:tcW w:w="0" w:type="auto"/>
            <w:vAlign w:val="center"/>
          </w:tcPr>
          <w:p w14:paraId="50026DA3"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已收到诉状，NM公司提出管辖异议</w:t>
            </w:r>
          </w:p>
        </w:tc>
      </w:tr>
      <w:tr w:rsidR="00A320E6" w14:paraId="6676A67F" w14:textId="77777777" w:rsidTr="003D3E0F">
        <w:tc>
          <w:tcPr>
            <w:tcW w:w="675" w:type="dxa"/>
            <w:vAlign w:val="center"/>
          </w:tcPr>
          <w:p w14:paraId="719DD292" w14:textId="77777777" w:rsidR="00A320E6" w:rsidRDefault="00000000" w:rsidP="003D3E0F">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2</w:t>
            </w:r>
          </w:p>
        </w:tc>
        <w:tc>
          <w:tcPr>
            <w:tcW w:w="709" w:type="dxa"/>
            <w:vAlign w:val="center"/>
          </w:tcPr>
          <w:p w14:paraId="4EA4276B"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B科技环保公司</w:t>
            </w:r>
          </w:p>
        </w:tc>
        <w:tc>
          <w:tcPr>
            <w:tcW w:w="851" w:type="dxa"/>
            <w:vAlign w:val="center"/>
          </w:tcPr>
          <w:p w14:paraId="0A8921CB"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NM公司</w:t>
            </w:r>
          </w:p>
        </w:tc>
        <w:tc>
          <w:tcPr>
            <w:tcW w:w="5232" w:type="dxa"/>
            <w:vAlign w:val="center"/>
          </w:tcPr>
          <w:p w14:paraId="49E22E21"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2005年5月13日，原被告签署一份含油废水处理设备加工承揽合同，被告拖欠设备款。2009年1月原告起诉至法院，要求被告支付欠款305.52万元以及利息、违约金80万元。</w:t>
            </w:r>
          </w:p>
        </w:tc>
        <w:tc>
          <w:tcPr>
            <w:tcW w:w="0" w:type="auto"/>
            <w:vAlign w:val="center"/>
          </w:tcPr>
          <w:p w14:paraId="05108979"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诉讼中，待开庭</w:t>
            </w:r>
          </w:p>
        </w:tc>
      </w:tr>
      <w:tr w:rsidR="00A320E6" w14:paraId="2932C65C" w14:textId="77777777" w:rsidTr="003D3E0F">
        <w:tc>
          <w:tcPr>
            <w:tcW w:w="675" w:type="dxa"/>
            <w:vAlign w:val="center"/>
          </w:tcPr>
          <w:p w14:paraId="70DE312C" w14:textId="77777777" w:rsidR="00A320E6" w:rsidRDefault="00000000" w:rsidP="003D3E0F">
            <w:pPr>
              <w:pStyle w:val="a3"/>
              <w:ind w:firstLineChars="0" w:firstLine="0"/>
              <w:jc w:val="center"/>
              <w:rPr>
                <w:rFonts w:ascii="宋体" w:hAnsi="宋体" w:cs="宋体"/>
                <w:color w:val="000000"/>
                <w:kern w:val="0"/>
                <w:szCs w:val="21"/>
                <w:lang w:eastAsia="zh-Hans" w:bidi="ar"/>
              </w:rPr>
            </w:pPr>
            <w:r>
              <w:rPr>
                <w:rFonts w:ascii="宋体" w:hAnsi="宋体" w:cs="宋体" w:hint="eastAsia"/>
                <w:color w:val="000000"/>
                <w:kern w:val="0"/>
                <w:szCs w:val="21"/>
                <w:lang w:eastAsia="zh-Hans" w:bidi="ar"/>
              </w:rPr>
              <w:t>3</w:t>
            </w:r>
          </w:p>
        </w:tc>
        <w:tc>
          <w:tcPr>
            <w:tcW w:w="709" w:type="dxa"/>
            <w:vAlign w:val="center"/>
          </w:tcPr>
          <w:p w14:paraId="1711596D"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C建筑公司</w:t>
            </w:r>
          </w:p>
        </w:tc>
        <w:tc>
          <w:tcPr>
            <w:tcW w:w="851" w:type="dxa"/>
            <w:vAlign w:val="center"/>
          </w:tcPr>
          <w:p w14:paraId="0FA06891"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NM公司</w:t>
            </w:r>
          </w:p>
        </w:tc>
        <w:tc>
          <w:tcPr>
            <w:tcW w:w="5232" w:type="dxa"/>
            <w:vAlign w:val="center"/>
          </w:tcPr>
          <w:p w14:paraId="17D83E79"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因拖欠工程施工款，原告起诉至法院，要求被告支付工程款272万元以及利息、违约金80万元。</w:t>
            </w:r>
          </w:p>
        </w:tc>
        <w:tc>
          <w:tcPr>
            <w:tcW w:w="0" w:type="auto"/>
            <w:vAlign w:val="center"/>
          </w:tcPr>
          <w:p w14:paraId="5DE1597C" w14:textId="77777777" w:rsidR="00A320E6" w:rsidRDefault="00000000" w:rsidP="003D3E0F">
            <w:pPr>
              <w:pStyle w:val="a3"/>
              <w:ind w:firstLineChars="0" w:firstLine="0"/>
              <w:rPr>
                <w:rFonts w:ascii="宋体" w:hAnsi="宋体" w:cs="宋体"/>
                <w:color w:val="000000"/>
                <w:kern w:val="0"/>
                <w:szCs w:val="21"/>
                <w:lang w:eastAsia="zh-Hans" w:bidi="ar"/>
              </w:rPr>
            </w:pPr>
            <w:r>
              <w:rPr>
                <w:rFonts w:ascii="宋体" w:hAnsi="宋体" w:cs="宋体" w:hint="eastAsia"/>
                <w:color w:val="000000"/>
                <w:kern w:val="0"/>
                <w:szCs w:val="21"/>
                <w:lang w:eastAsia="zh-Hans" w:bidi="ar"/>
              </w:rPr>
              <w:t>诉讼中，尚未收到开庭通知</w:t>
            </w:r>
          </w:p>
        </w:tc>
      </w:tr>
    </w:tbl>
    <w:p w14:paraId="1BF088DF"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通过评估核实，上述诉讼事项涉及的款项与公司应付款项中记录的金额一致。由于诉讼事项尚未判决，除应付款项之外可能发生的利息、违约金赔偿、承担的诉讼费尚无法确定，因此评估结果仅按照账面记载的应付款进行了评估。诉讼事项判决的结果，如果发生除上述应付款项之外的利息、赔偿金以及诉讼费等费用的支付，</w:t>
      </w:r>
      <w:r>
        <w:rPr>
          <w:rFonts w:ascii="宋体" w:hAnsi="宋体" w:cs="宋体" w:hint="eastAsia"/>
          <w:color w:val="000000"/>
          <w:kern w:val="0"/>
          <w:sz w:val="24"/>
          <w:lang w:eastAsia="zh-Hans" w:bidi="ar"/>
        </w:rPr>
        <w:lastRenderedPageBreak/>
        <w:t>将会影响评估结果。请报告使用人关注。</w:t>
      </w:r>
    </w:p>
    <w:p w14:paraId="75BF977E"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（4）其他披露事项</w:t>
      </w:r>
    </w:p>
    <w:p w14:paraId="5223BDB9"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①评估报告中如果采用了对评估结论影响较大的评估假设，建议披露评估假设可能受哪些不确定性因素影响、如无法实现或延迟实现将对评估结论的影响程度，提示评估报告使用人关注风险谨慎决策。</w:t>
      </w:r>
    </w:p>
    <w:p w14:paraId="4032534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②对于周期性传统行业，开工率、市场价格和毛利的预测对评估结果影响较大，建议披露是否依据了第三方机构的研究预测报告，还是直接采信了企业管理层预测或其他来源，理由及风险提示。</w:t>
      </w:r>
    </w:p>
    <w:p w14:paraId="65B181F0"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③对于收益法中未参与预测直接加入结果中的非经营性资产等，当其占比较高、金额较大时，建议披露其分类理由、评估方法、评估结果、风险提示。</w:t>
      </w:r>
    </w:p>
    <w:p w14:paraId="65D2C866"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④对于单项实物资产建议披露评估值是否含税，对于股权建议披露评估中是否考虑纳税事项对评估值可能产生的影响。</w:t>
      </w:r>
    </w:p>
    <w:p w14:paraId="625EE6B1"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⑤对于存在大额往来款的，建议披露核查函证发出及回收情况及风险提示。</w:t>
      </w:r>
    </w:p>
    <w:p w14:paraId="6DC4F4E2"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12.外文评估报告披露一般注意哪些方面？</w:t>
      </w:r>
    </w:p>
    <w:p w14:paraId="37F3611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答：出具中外文报告时，出具的外文评估报告通常是中文报告的翻译件，虽然报告的格式体例与中文报告基本一致，但通常会增加以下披露内容。</w:t>
      </w:r>
    </w:p>
    <w:p w14:paraId="0EE1554D" w14:textId="77777777" w:rsidR="00A320E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1）关于有效性问题。一般会在报告声明中强调中文版本更加有效的披露，通常为：ThisreportwaspreparedandissuedinChinese,butatrelevantrequests，ithasbeentranslatedintoEnglish.However,shouldanyinconsistenciesorambiguitiesoccurbetweentheEnglishversionandtheChineseversion,theChineseversionshallprevail（此报告是按照中文编制和签发，根据相关要求，我们将其翻译为英文，如中、英文两个版本有任何抵触或不相符之处，应以中文版本为准）。</w:t>
      </w:r>
    </w:p>
    <w:p w14:paraId="7592348D" w14:textId="3D7CBC27" w:rsidR="00AE0286" w:rsidRDefault="00000000" w:rsidP="00AE0286">
      <w:pPr>
        <w:pStyle w:val="a3"/>
        <w:spacing w:line="360" w:lineRule="auto"/>
        <w:ind w:firstLine="480"/>
        <w:rPr>
          <w:rFonts w:ascii="宋体" w:hAnsi="宋体" w:cs="宋体"/>
          <w:color w:val="000000"/>
          <w:kern w:val="0"/>
          <w:sz w:val="24"/>
          <w:lang w:eastAsia="zh-Hans" w:bidi="ar"/>
        </w:rPr>
      </w:pPr>
      <w:r>
        <w:rPr>
          <w:rFonts w:ascii="宋体" w:hAnsi="宋体" w:cs="宋体" w:hint="eastAsia"/>
          <w:color w:val="000000"/>
          <w:kern w:val="0"/>
          <w:sz w:val="24"/>
          <w:lang w:eastAsia="zh-Hans" w:bidi="ar"/>
        </w:rPr>
        <w:t>（2）关于评估结果中外货币折算的问题。如果评估结论涉及外币折算，要清晰披露所使用的汇率，比如使用的是基准日买入价、卖出价或者中间价。由于不同国家（地区）数字表达习惯的不同，出具不同语种的评估报告时需要进行必要的调整。例如，中文报告中习惯使用元、万元来作为货币表达单位，而在外文报告中，则习惯使用元、千元、百万等单位来表达。因此，在外文报告中，无论表格数据还是文字表述数据，建议采用国外的习惯进行调整。</w:t>
      </w:r>
    </w:p>
    <w:p w14:paraId="754AEC3F" w14:textId="77777777" w:rsidR="00AE0286" w:rsidRDefault="00AE0286" w:rsidP="00AE0286">
      <w:pPr>
        <w:pStyle w:val="2"/>
        <w:rPr>
          <w:szCs w:val="24"/>
          <w:lang w:eastAsia="zh-Hans" w:bidi="ar"/>
        </w:rPr>
      </w:pPr>
      <w:r>
        <w:rPr>
          <w:lang w:eastAsia="zh-Hans" w:bidi="ar"/>
        </w:rPr>
        <w:br w:type="page"/>
      </w:r>
    </w:p>
    <w:p w14:paraId="04F6ED4D" w14:textId="77777777" w:rsidR="00A320E6" w:rsidRDefault="00000000" w:rsidP="00AE0286">
      <w:pPr>
        <w:numPr>
          <w:ilvl w:val="0"/>
          <w:numId w:val="1"/>
        </w:numPr>
        <w:jc w:val="left"/>
        <w:outlineLvl w:val="0"/>
        <w:rPr>
          <w:rFonts w:ascii="黑体" w:eastAsia="黑体" w:hAnsi="宋体" w:cs="黑体"/>
          <w:color w:val="000000"/>
          <w:kern w:val="0"/>
          <w:sz w:val="31"/>
          <w:szCs w:val="31"/>
          <w:lang w:eastAsia="zh-Hans" w:bidi="ar"/>
        </w:rPr>
      </w:pPr>
      <w:bookmarkStart w:id="94" w:name="_Toc112227402"/>
      <w:r>
        <w:rPr>
          <w:rFonts w:ascii="黑体" w:eastAsia="黑体" w:hAnsi="宋体" w:cs="黑体" w:hint="eastAsia"/>
          <w:color w:val="000000"/>
          <w:kern w:val="0"/>
          <w:sz w:val="31"/>
          <w:szCs w:val="31"/>
          <w:lang w:eastAsia="zh-Hans" w:bidi="ar"/>
        </w:rPr>
        <w:lastRenderedPageBreak/>
        <w:t>房地产估价规范</w:t>
      </w:r>
      <w:bookmarkEnd w:id="94"/>
    </w:p>
    <w:p w14:paraId="0FFA61FE" w14:textId="77777777" w:rsidR="00A320E6" w:rsidRDefault="00000000" w:rsidP="00EC761E">
      <w:pPr>
        <w:pStyle w:val="27"/>
        <w:rPr>
          <w:lang w:eastAsia="zh-Hans"/>
        </w:rPr>
      </w:pPr>
      <w:bookmarkStart w:id="95" w:name="_Toc112227403"/>
      <w:r>
        <w:rPr>
          <w:rFonts w:hint="eastAsia"/>
          <w:lang w:eastAsia="zh-Hans" w:bidi="ar"/>
        </w:rPr>
        <w:t>山东省规范</w:t>
      </w:r>
      <w:bookmarkEnd w:id="95"/>
    </w:p>
    <w:p w14:paraId="138DF789" w14:textId="77777777" w:rsidR="00A320E6" w:rsidRDefault="00000000" w:rsidP="00F67407">
      <w:pPr>
        <w:keepNext/>
        <w:spacing w:beforeLines="50" w:before="156" w:afterLines="20" w:after="62" w:line="360" w:lineRule="auto"/>
        <w:jc w:val="center"/>
        <w:outlineLvl w:val="2"/>
        <w:rPr>
          <w:b/>
          <w:bCs/>
          <w:sz w:val="24"/>
          <w:lang w:eastAsia="zh-Hans"/>
        </w:rPr>
      </w:pPr>
      <w:bookmarkStart w:id="96" w:name="_Toc112227404"/>
      <w:r>
        <w:rPr>
          <w:rFonts w:hint="eastAsia"/>
          <w:b/>
          <w:bCs/>
          <w:sz w:val="24"/>
          <w:lang w:eastAsia="zh-Hans"/>
        </w:rPr>
        <w:t>山东省住房和城乡建设厅关于调整工程建设疫情防控相关费用的通知</w:t>
      </w:r>
      <w:bookmarkEnd w:id="96"/>
    </w:p>
    <w:p w14:paraId="485E0754" w14:textId="77777777" w:rsidR="00A320E6" w:rsidRDefault="00000000" w:rsidP="0004718E">
      <w:pPr>
        <w:pStyle w:val="1c"/>
        <w:rPr>
          <w:lang w:eastAsia="zh-Hans"/>
        </w:rPr>
      </w:pPr>
      <w:r>
        <w:rPr>
          <w:rFonts w:hint="eastAsia"/>
          <w:lang w:eastAsia="zh-Hans"/>
        </w:rPr>
        <w:t>鲁建标字〔2022〕5号</w:t>
      </w:r>
    </w:p>
    <w:p w14:paraId="5A4C0312" w14:textId="77777777" w:rsidR="00A320E6" w:rsidRDefault="00000000" w:rsidP="0004718E">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各市住房城乡建设局：</w:t>
      </w:r>
    </w:p>
    <w:p w14:paraId="311EB66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为深入贯彻落实省委省政府关于统筹疫情防控和经济社会发展要求，建立建筑工地疫情防控长效机制，合理解决因疫情防控发生的各项费用，保障建设项目顺利实施，现就有关事项通知如下：</w:t>
      </w:r>
    </w:p>
    <w:p w14:paraId="0248B1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一、在《山东省建设工程费用项目组成及计算规则》《山东省建设工程概算费用编制规定》的总价措施费中增加疫情防控措施费。</w:t>
      </w:r>
    </w:p>
    <w:p w14:paraId="39BD81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疫情防控措施费是指在房屋建筑和市政工程施工现场采取常态化疫情防控措施所发生的直接费用，包括核酸检测、防护用品、消杀用品、测温器具、隔离围挡、宣传展板、专职防控人员等费用。不包括出现疫情事件以及应急处置、封闭管理状态下人员隔离转运、停工等发生的费用。</w:t>
      </w:r>
    </w:p>
    <w:p w14:paraId="3614C80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二、疫情防控措施费不区分专业类别，以分部分项工程费中的省价人工费为计费基数乘以相应费率计算（见下表），该费用除税金外不再计取其他费用。建设项目编制概算和最高投标限价时应包括该费用。</w:t>
      </w:r>
    </w:p>
    <w:tbl>
      <w:tblPr>
        <w:tblW w:w="0" w:type="auto"/>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2807"/>
        <w:gridCol w:w="2891"/>
        <w:gridCol w:w="3312"/>
      </w:tblGrid>
      <w:tr w:rsidR="00A320E6" w14:paraId="7D704414" w14:textId="77777777">
        <w:trPr>
          <w:trHeight w:val="394"/>
          <w:jc w:val="center"/>
        </w:trPr>
        <w:tc>
          <w:tcPr>
            <w:tcW w:w="3240"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56497E9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疫情防控措施费率</w:t>
            </w:r>
          </w:p>
        </w:tc>
        <w:tc>
          <w:tcPr>
            <w:tcW w:w="3280" w:type="dxa"/>
            <w:tcBorders>
              <w:top w:val="single" w:sz="8" w:space="0" w:color="auto"/>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5C8B4C56"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一般计税法</w:t>
            </w:r>
          </w:p>
        </w:tc>
        <w:tc>
          <w:tcPr>
            <w:tcW w:w="3780" w:type="dxa"/>
            <w:tcBorders>
              <w:top w:val="single" w:sz="8" w:space="0" w:color="auto"/>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66FC7062"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简易计税法</w:t>
            </w:r>
          </w:p>
        </w:tc>
      </w:tr>
      <w:tr w:rsidR="00A320E6" w14:paraId="5BE72159" w14:textId="77777777">
        <w:trPr>
          <w:trHeight w:val="335"/>
          <w:jc w:val="center"/>
        </w:trPr>
        <w:tc>
          <w:tcPr>
            <w:tcW w:w="3240" w:type="dxa"/>
            <w:vMerge/>
            <w:tcBorders>
              <w:top w:val="single" w:sz="8" w:space="0" w:color="auto"/>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56F0A35B" w14:textId="77777777" w:rsidR="00A320E6" w:rsidRDefault="00A320E6" w:rsidP="00AE0286">
            <w:pPr>
              <w:pStyle w:val="a3"/>
              <w:ind w:firstLineChars="0" w:firstLine="0"/>
              <w:rPr>
                <w:rFonts w:ascii="宋体" w:hAnsi="宋体" w:cs="宋体"/>
                <w:szCs w:val="21"/>
                <w:lang w:eastAsia="zh-Hans"/>
              </w:rPr>
            </w:pPr>
          </w:p>
        </w:tc>
        <w:tc>
          <w:tcPr>
            <w:tcW w:w="3280" w:type="dxa"/>
            <w:tcBorders>
              <w:top w:val="nil"/>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68B7D012"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3.98%</w:t>
            </w:r>
          </w:p>
        </w:tc>
        <w:tc>
          <w:tcPr>
            <w:tcW w:w="3780" w:type="dxa"/>
            <w:tcBorders>
              <w:top w:val="nil"/>
              <w:left w:val="single" w:sz="8" w:space="0" w:color="auto"/>
              <w:bottom w:val="single" w:sz="8" w:space="0" w:color="auto"/>
              <w:right w:val="single" w:sz="8" w:space="0" w:color="auto"/>
            </w:tcBorders>
            <w:shd w:val="clear" w:color="auto" w:fill="auto"/>
            <w:tcMar>
              <w:top w:w="0" w:type="dxa"/>
              <w:left w:w="140" w:type="dxa"/>
              <w:bottom w:w="0" w:type="dxa"/>
              <w:right w:w="140" w:type="dxa"/>
            </w:tcMar>
            <w:vAlign w:val="center"/>
          </w:tcPr>
          <w:p w14:paraId="6EB61F9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4.21%</w:t>
            </w:r>
          </w:p>
        </w:tc>
      </w:tr>
    </w:tbl>
    <w:p w14:paraId="4CF73B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三、因疫情防控造成施工降效、窝工，以及施工单位应建设单位要求赶工所发生的费用，应计入工程造价，由发包人承担。发承包双方根据经审定的施工组织方案确定费用。</w:t>
      </w:r>
    </w:p>
    <w:p w14:paraId="43AEEA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因人工短缺、交通运输不便等原因造成的人工成本和材料价格上涨，发承包双方根据合同和省住房城乡建设厅《关于加强工程建设人工材料价格风险控制的意见》（鲁建标字〔2019〕21号）相关规定，由发包人承担超出风险幅度的价格风险。</w:t>
      </w:r>
    </w:p>
    <w:p w14:paraId="285717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四、因疫情防控造成施工单位人员滞留、隔离、食宿以及机械设备、周转材料停滞等发生的费用，发承包双方根据实际情况测算后，协商合理分担。</w:t>
      </w:r>
    </w:p>
    <w:p w14:paraId="303303F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五、集中医学观察隔离点、方舱医院等应急抢建项目宜采取成本加酬金模式确定工程造价。使用统一计价依据计价的，人工单价在省市指导价基础上上浮一定比</w:t>
      </w:r>
      <w:r>
        <w:rPr>
          <w:rFonts w:ascii="宋体" w:hAnsi="宋体" w:cs="宋体" w:hint="eastAsia"/>
          <w:sz w:val="24"/>
          <w:lang w:eastAsia="zh-Hans"/>
        </w:rPr>
        <w:lastRenderedPageBreak/>
        <w:t>例，材料设备按照实际购买价格计算，同时应计取疫情防控、赶工、降效等费用。</w:t>
      </w:r>
    </w:p>
    <w:p w14:paraId="302CBB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各市要根据疫情防控形势，密切跟踪市场变化，及时发布定额人工指导单价，加快材料信息价格更新频率。要结合本地区实际，研究制定施工降效、窝工、赶工等费用计取办法和应急抢建项目具体计价规则，降低疫情对合同履约的影响。</w:t>
      </w:r>
    </w:p>
    <w:p w14:paraId="3F2ABE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各市要把疫情防控要求纳入建筑市场和施工现场日常监管范围，对招标文件和施工合同中疫情防控费用计取、价格风险分担等进行重点监管，对未保障防控费用的建设单位和不落实防控措施的施工单位进行通报和信用惩戒。</w:t>
      </w:r>
    </w:p>
    <w:p w14:paraId="65ECCEE3" w14:textId="77777777" w:rsidR="00A320E6" w:rsidRDefault="00000000" w:rsidP="0004718E">
      <w:pPr>
        <w:pStyle w:val="a3"/>
        <w:spacing w:line="360" w:lineRule="auto"/>
        <w:ind w:firstLine="480"/>
        <w:rPr>
          <w:rFonts w:ascii="宋体" w:hAnsi="宋体" w:cs="宋体"/>
          <w:sz w:val="24"/>
          <w:lang w:eastAsia="zh-Hans"/>
        </w:rPr>
      </w:pPr>
      <w:r>
        <w:rPr>
          <w:rFonts w:ascii="宋体" w:hAnsi="宋体" w:cs="宋体" w:hint="eastAsia"/>
          <w:sz w:val="24"/>
          <w:lang w:eastAsia="zh-Hans"/>
        </w:rPr>
        <w:t>七、本通知自发布之日起执行。</w:t>
      </w:r>
    </w:p>
    <w:p w14:paraId="48C9CD68"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山东省住房和城乡建设厅</w:t>
      </w:r>
    </w:p>
    <w:p w14:paraId="00D9DAB0" w14:textId="77777777" w:rsidR="00A320E6" w:rsidRDefault="00000000" w:rsidP="00AE0286">
      <w:pPr>
        <w:pStyle w:val="a3"/>
        <w:spacing w:line="360" w:lineRule="auto"/>
        <w:ind w:firstLine="480"/>
        <w:jc w:val="right"/>
        <w:rPr>
          <w:b/>
          <w:bCs/>
          <w:sz w:val="24"/>
          <w:lang w:eastAsia="zh-Hans"/>
        </w:rPr>
      </w:pPr>
      <w:r>
        <w:rPr>
          <w:rFonts w:ascii="宋体" w:hAnsi="宋体" w:cs="宋体" w:hint="eastAsia"/>
          <w:sz w:val="24"/>
          <w:lang w:eastAsia="zh-Hans"/>
        </w:rPr>
        <w:t>2022年4月21日</w:t>
      </w:r>
    </w:p>
    <w:p w14:paraId="40A7457D" w14:textId="77777777" w:rsidR="00A320E6" w:rsidRDefault="00000000" w:rsidP="00F67407">
      <w:pPr>
        <w:keepNext/>
        <w:spacing w:beforeLines="50" w:before="156" w:afterLines="20" w:after="62" w:line="360" w:lineRule="auto"/>
        <w:jc w:val="center"/>
        <w:outlineLvl w:val="2"/>
        <w:rPr>
          <w:b/>
          <w:bCs/>
          <w:sz w:val="24"/>
          <w:lang w:eastAsia="zh-Hans"/>
        </w:rPr>
      </w:pPr>
      <w:bookmarkStart w:id="97" w:name="_Toc112227405"/>
      <w:r>
        <w:rPr>
          <w:rFonts w:hint="eastAsia"/>
          <w:b/>
          <w:bCs/>
          <w:sz w:val="24"/>
          <w:lang w:eastAsia="zh-Hans"/>
        </w:rPr>
        <w:t>青岛市住房和城乡建设局国有土地上房屋征收评估管理办法</w:t>
      </w:r>
      <w:bookmarkEnd w:id="97"/>
    </w:p>
    <w:p w14:paraId="6C21A50D" w14:textId="1B9893EF" w:rsidR="00A320E6" w:rsidRDefault="00000000" w:rsidP="0004718E">
      <w:pPr>
        <w:pStyle w:val="13"/>
        <w:spacing w:before="62" w:after="62"/>
        <w:rPr>
          <w:lang w:eastAsia="zh-Hans"/>
        </w:rPr>
      </w:pPr>
      <w:r>
        <w:rPr>
          <w:rFonts w:hint="eastAsia"/>
          <w:lang w:eastAsia="zh-Hans"/>
        </w:rPr>
        <w:t>第一章</w:t>
      </w:r>
      <w:r w:rsidR="0004718E">
        <w:rPr>
          <w:rFonts w:hint="eastAsia"/>
        </w:rPr>
        <w:t xml:space="preserve"> </w:t>
      </w:r>
      <w:r>
        <w:rPr>
          <w:rFonts w:hint="eastAsia"/>
          <w:lang w:eastAsia="zh-Hans"/>
        </w:rPr>
        <w:t>总则</w:t>
      </w:r>
    </w:p>
    <w:p w14:paraId="61C5C474" w14:textId="3F0F2F32"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第一条</w:t>
      </w:r>
      <w:r w:rsidR="00C36EF7">
        <w:rPr>
          <w:rFonts w:hint="eastAsia"/>
          <w:lang w:val="en-US" w:eastAsia="zh-Hans"/>
        </w:rPr>
        <w:t xml:space="preserve"> </w:t>
      </w:r>
      <w:r>
        <w:rPr>
          <w:rFonts w:hint="eastAsia"/>
          <w:lang w:val="en-US" w:eastAsia="zh-Hans"/>
        </w:rPr>
        <w:t>为进一步加强房屋征收评估机构管理，规范评估行为和市场秩序，维护房屋征收当事人的合法权益，根据《中华人民共和国资产评估法》、《国有土地上房屋征收与补偿条例》、住房和城乡建设部《国有土地上房屋征收评估办法》（建房〔2011〕77号）和《青岛市国有土地上房屋征收与补偿条例》等有关法律、法规和文件规定，结合本市实际，制定本办法。</w:t>
      </w:r>
    </w:p>
    <w:p w14:paraId="7B0E8328" w14:textId="533FB209"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第二条</w:t>
      </w:r>
      <w:r w:rsidR="00C36EF7">
        <w:rPr>
          <w:rFonts w:hint="eastAsia"/>
          <w:lang w:val="en-US" w:eastAsia="zh-Hans"/>
        </w:rPr>
        <w:t xml:space="preserve"> </w:t>
      </w:r>
      <w:r>
        <w:rPr>
          <w:rFonts w:hint="eastAsia"/>
          <w:lang w:val="en-US" w:eastAsia="zh-Hans"/>
        </w:rPr>
        <w:t>本市行政区范围内国有土地上实施的房屋征收评估活动，适用本办法。</w:t>
      </w:r>
    </w:p>
    <w:p w14:paraId="76CAA0BF" w14:textId="6A8A2F5A"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第三条</w:t>
      </w:r>
      <w:r w:rsidR="00C36EF7">
        <w:rPr>
          <w:rFonts w:hint="eastAsia"/>
          <w:lang w:val="en-US" w:eastAsia="zh-Hans"/>
        </w:rPr>
        <w:t xml:space="preserve"> </w:t>
      </w:r>
      <w:r>
        <w:rPr>
          <w:rFonts w:hint="eastAsia"/>
          <w:lang w:val="en-US" w:eastAsia="zh-Hans"/>
        </w:rPr>
        <w:t>青岛市住房和城乡建设局（以下称“市房屋征收部门”）负责全市房屋征收评估工作的监督管理。具体工作由市国有土地上房屋征收与补偿服务中心（以下简称“市房屋征收中心”）承担。</w:t>
      </w:r>
    </w:p>
    <w:p w14:paraId="5685AC1B" w14:textId="77777777" w:rsidR="00A320E6" w:rsidRDefault="00000000" w:rsidP="00AE0286">
      <w:pPr>
        <w:pStyle w:val="a5"/>
        <w:spacing w:line="360" w:lineRule="auto"/>
        <w:ind w:left="0"/>
        <w:rPr>
          <w:lang w:val="en-US" w:eastAsia="zh-Hans"/>
        </w:rPr>
      </w:pPr>
      <w:r>
        <w:rPr>
          <w:rFonts w:hint="eastAsia"/>
          <w:lang w:val="en-US" w:eastAsia="zh-Hans"/>
        </w:rPr>
        <w:t xml:space="preserve">　　各区、市房屋征收部门负责对辖区内房屋征收项目的房屋征收评估工作进行监督管理。</w:t>
      </w:r>
    </w:p>
    <w:p w14:paraId="6128773A" w14:textId="08B8A43D"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第四条</w:t>
      </w:r>
      <w:r w:rsidR="00A45A13">
        <w:rPr>
          <w:rFonts w:hint="eastAsia"/>
          <w:lang w:val="en-US" w:eastAsia="zh-Hans"/>
        </w:rPr>
        <w:t xml:space="preserve"> </w:t>
      </w:r>
      <w:r>
        <w:rPr>
          <w:rFonts w:hint="eastAsia"/>
          <w:lang w:val="en-US" w:eastAsia="zh-Hans"/>
        </w:rPr>
        <w:t>本办法所称房屋征收评估机构，是指依法设立并取得房地产估价机构资质，从事房屋征收评估相关活动的中介服务机构。</w:t>
      </w:r>
    </w:p>
    <w:p w14:paraId="6872C9BB" w14:textId="48FAC0F6"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第五条</w:t>
      </w:r>
      <w:r w:rsidR="00A45A13">
        <w:rPr>
          <w:rFonts w:hint="eastAsia"/>
          <w:lang w:val="en-US" w:eastAsia="zh-Hans"/>
        </w:rPr>
        <w:t xml:space="preserve"> </w:t>
      </w:r>
      <w:r>
        <w:rPr>
          <w:rFonts w:hint="eastAsia"/>
          <w:lang w:val="en-US" w:eastAsia="zh-Hans"/>
        </w:rPr>
        <w:t>房屋征收评估机构从事房屋征收评估活动，应当坚持独立、客观、公正的原则。任何组织或者个人不得干预房屋征收评估活动和评估结果。</w:t>
      </w:r>
    </w:p>
    <w:p w14:paraId="16B1E6B9" w14:textId="63F1D971"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第六条</w:t>
      </w:r>
      <w:r w:rsidR="00A45A13">
        <w:rPr>
          <w:rFonts w:hint="eastAsia"/>
          <w:lang w:val="en-US" w:eastAsia="zh-Hans"/>
        </w:rPr>
        <w:t xml:space="preserve"> </w:t>
      </w:r>
      <w:r>
        <w:rPr>
          <w:rFonts w:hint="eastAsia"/>
          <w:lang w:val="en-US" w:eastAsia="zh-Hans"/>
        </w:rPr>
        <w:t>房屋征收行业组织应加强对房屋征收评估机构的业务培训、理论研究、专家指导和行业自律等相关工作，参与房地产评估行业诚信评价活动，促进行业健</w:t>
      </w:r>
      <w:r>
        <w:rPr>
          <w:rFonts w:hint="eastAsia"/>
          <w:lang w:val="en-US" w:eastAsia="zh-Hans"/>
        </w:rPr>
        <w:lastRenderedPageBreak/>
        <w:t>康有序发展。</w:t>
      </w:r>
    </w:p>
    <w:p w14:paraId="41ED0E3D" w14:textId="2A0F9434" w:rsidR="00A320E6" w:rsidRDefault="00000000" w:rsidP="0004718E">
      <w:pPr>
        <w:pStyle w:val="13"/>
        <w:spacing w:before="62" w:after="62"/>
        <w:rPr>
          <w:lang w:eastAsia="zh-Hans"/>
        </w:rPr>
      </w:pPr>
      <w:r>
        <w:rPr>
          <w:rFonts w:hint="eastAsia"/>
          <w:lang w:eastAsia="zh-Hans"/>
        </w:rPr>
        <w:t>第二章</w:t>
      </w:r>
      <w:r w:rsidR="0004718E">
        <w:rPr>
          <w:rFonts w:hint="eastAsia"/>
        </w:rPr>
        <w:t xml:space="preserve"> </w:t>
      </w:r>
      <w:r>
        <w:rPr>
          <w:rFonts w:hint="eastAsia"/>
          <w:lang w:eastAsia="zh-Hans"/>
        </w:rPr>
        <w:t>评估机构管理</w:t>
      </w:r>
    </w:p>
    <w:p w14:paraId="3E481B7E" w14:textId="0448CE9A"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第七条</w:t>
      </w:r>
      <w:r w:rsidR="00A45A13">
        <w:rPr>
          <w:rFonts w:hint="eastAsia"/>
          <w:lang w:val="en-US" w:eastAsia="zh-Hans"/>
        </w:rPr>
        <w:t xml:space="preserve"> </w:t>
      </w:r>
      <w:r>
        <w:rPr>
          <w:rFonts w:hint="eastAsia"/>
          <w:lang w:val="en-US" w:eastAsia="zh-Hans"/>
        </w:rPr>
        <w:t>从事房屋征收评估的房地产估价机构应当取得三级以上房地产估价机构备案证书。具备三级以上房地产估价资格的机构，可列入我市房屋征收评估机构推荐名录。</w:t>
      </w:r>
    </w:p>
    <w:p w14:paraId="6F5388BD" w14:textId="6300BD00"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第八条</w:t>
      </w:r>
      <w:r w:rsidR="00A45A13">
        <w:rPr>
          <w:rFonts w:hint="eastAsia"/>
          <w:lang w:val="en-US" w:eastAsia="zh-Hans"/>
        </w:rPr>
        <w:t xml:space="preserve"> </w:t>
      </w:r>
      <w:r>
        <w:rPr>
          <w:rFonts w:hint="eastAsia"/>
          <w:lang w:val="en-US" w:eastAsia="zh-Hans"/>
        </w:rPr>
        <w:t>市房屋征收部门应加强对房屋征收评估机构的监督考核，推行房屋征收评估机构信用评价机制。市房屋征收部门应根据房屋征收评估机构备案等级、社会诚信、工作业绩、执业人员培训等情况，定期向社会公布房屋征收评估机构诚信评价情况。</w:t>
      </w:r>
    </w:p>
    <w:p w14:paraId="72B19DF0" w14:textId="77777777" w:rsidR="00A320E6" w:rsidRDefault="00000000" w:rsidP="00AE0286">
      <w:pPr>
        <w:pStyle w:val="a5"/>
        <w:spacing w:line="360" w:lineRule="auto"/>
        <w:ind w:left="0"/>
        <w:rPr>
          <w:lang w:val="en-US" w:eastAsia="zh-Hans"/>
        </w:rPr>
      </w:pPr>
      <w:r>
        <w:rPr>
          <w:rFonts w:hint="eastAsia"/>
          <w:lang w:val="en-US" w:eastAsia="zh-Hans"/>
        </w:rPr>
        <w:t xml:space="preserve">　　开展房屋征收活动时，区（市）房屋征收部门应优先选择信用评价高的机构，承担房屋征收评估和房屋征收补偿费用测算等相关工作，推荐房屋征收当事人选择。</w:t>
      </w:r>
    </w:p>
    <w:p w14:paraId="2304F3F4" w14:textId="773CE615"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第九条</w:t>
      </w:r>
      <w:r w:rsidR="00A45A13">
        <w:rPr>
          <w:rFonts w:hint="eastAsia"/>
          <w:lang w:val="en-US" w:eastAsia="zh-Hans"/>
        </w:rPr>
        <w:t xml:space="preserve"> </w:t>
      </w:r>
      <w:r>
        <w:rPr>
          <w:rFonts w:hint="eastAsia"/>
          <w:lang w:val="en-US" w:eastAsia="zh-Hans"/>
        </w:rPr>
        <w:t>市房屋征收部门定期选取房地产估价、土地估价、资产评估、征收实施、价格鉴定、城市规划、法律等方面专家，经向社会公示无异议后，组建房屋征收评估专家委员会。</w:t>
      </w:r>
    </w:p>
    <w:p w14:paraId="100FA38C" w14:textId="3E75ED2C"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第十条</w:t>
      </w:r>
      <w:r w:rsidR="00A45A13">
        <w:rPr>
          <w:rFonts w:hint="eastAsia"/>
          <w:lang w:val="en-US" w:eastAsia="zh-Hans"/>
        </w:rPr>
        <w:t xml:space="preserve"> </w:t>
      </w:r>
      <w:r>
        <w:rPr>
          <w:rFonts w:hint="eastAsia"/>
          <w:lang w:val="en-US" w:eastAsia="zh-Hans"/>
        </w:rPr>
        <w:t>从事房屋征收评估的工作人员应当积极参加国家、省和市房屋征收部门组织的业务培训。</w:t>
      </w:r>
    </w:p>
    <w:p w14:paraId="4301E569" w14:textId="4128ABB0"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第十一条</w:t>
      </w:r>
      <w:r w:rsidR="00C36EF7">
        <w:rPr>
          <w:rFonts w:hint="eastAsia"/>
          <w:lang w:val="en-US" w:eastAsia="zh-Hans"/>
        </w:rPr>
        <w:t xml:space="preserve"> </w:t>
      </w:r>
      <w:r>
        <w:rPr>
          <w:rFonts w:hint="eastAsia"/>
          <w:lang w:val="en-US" w:eastAsia="zh-Hans"/>
        </w:rPr>
        <w:t>房屋征收评估机构从事房屋征收评估工作应当履行以下职责：</w:t>
      </w:r>
    </w:p>
    <w:p w14:paraId="3ACAC5C9" w14:textId="77777777" w:rsidR="00A320E6" w:rsidRDefault="00000000" w:rsidP="00AE0286">
      <w:pPr>
        <w:pStyle w:val="a5"/>
        <w:spacing w:line="360" w:lineRule="auto"/>
        <w:ind w:left="0"/>
        <w:rPr>
          <w:lang w:val="en-US" w:eastAsia="zh-Hans"/>
        </w:rPr>
      </w:pPr>
      <w:r>
        <w:rPr>
          <w:rFonts w:hint="eastAsia"/>
          <w:lang w:val="en-US" w:eastAsia="zh-Hans"/>
        </w:rPr>
        <w:t xml:space="preserve">　　（一）遵守法律、法规、政策及相关技术规范；</w:t>
      </w:r>
    </w:p>
    <w:p w14:paraId="1012854B" w14:textId="77777777" w:rsidR="00A320E6" w:rsidRDefault="00000000" w:rsidP="00AE0286">
      <w:pPr>
        <w:pStyle w:val="a5"/>
        <w:spacing w:line="360" w:lineRule="auto"/>
        <w:ind w:left="0"/>
        <w:rPr>
          <w:lang w:val="en-US" w:eastAsia="zh-Hans"/>
        </w:rPr>
      </w:pPr>
      <w:r>
        <w:rPr>
          <w:rFonts w:hint="eastAsia"/>
          <w:lang w:val="en-US" w:eastAsia="zh-Hans"/>
        </w:rPr>
        <w:t xml:space="preserve">　　（二）接受市房屋征收评估专家委员会的技术指导；</w:t>
      </w:r>
    </w:p>
    <w:p w14:paraId="3190367C" w14:textId="77777777" w:rsidR="00A320E6" w:rsidRDefault="00000000" w:rsidP="00AE0286">
      <w:pPr>
        <w:pStyle w:val="a5"/>
        <w:spacing w:line="360" w:lineRule="auto"/>
        <w:ind w:left="0"/>
        <w:rPr>
          <w:lang w:val="en-US" w:eastAsia="zh-Hans"/>
        </w:rPr>
      </w:pPr>
      <w:r>
        <w:rPr>
          <w:rFonts w:hint="eastAsia"/>
          <w:lang w:val="en-US" w:eastAsia="zh-Hans"/>
        </w:rPr>
        <w:t xml:space="preserve">　　（三）独立、客观、公正地完成评估报告，评估报告符合规范要求；</w:t>
      </w:r>
    </w:p>
    <w:p w14:paraId="0486FB48" w14:textId="77777777" w:rsidR="00A320E6" w:rsidRDefault="00000000" w:rsidP="00AE0286">
      <w:pPr>
        <w:pStyle w:val="a5"/>
        <w:spacing w:line="360" w:lineRule="auto"/>
        <w:ind w:left="0"/>
        <w:rPr>
          <w:lang w:val="en-US" w:eastAsia="zh-Hans"/>
        </w:rPr>
      </w:pPr>
      <w:r>
        <w:rPr>
          <w:rFonts w:hint="eastAsia"/>
          <w:lang w:val="en-US" w:eastAsia="zh-Hans"/>
        </w:rPr>
        <w:t xml:space="preserve">　　（四）按时将房屋征收评估委托合同及房屋征收评估报告报市房屋征收中心备案；</w:t>
      </w:r>
    </w:p>
    <w:p w14:paraId="4962B087" w14:textId="77777777" w:rsidR="00A320E6" w:rsidRDefault="00000000" w:rsidP="00AE0286">
      <w:pPr>
        <w:pStyle w:val="a5"/>
        <w:spacing w:line="360" w:lineRule="auto"/>
        <w:ind w:left="0"/>
        <w:rPr>
          <w:lang w:val="en-US" w:eastAsia="zh-Hans"/>
        </w:rPr>
      </w:pPr>
      <w:r>
        <w:rPr>
          <w:rFonts w:hint="eastAsia"/>
          <w:lang w:val="en-US" w:eastAsia="zh-Hans"/>
        </w:rPr>
        <w:t xml:space="preserve">　　（五）履行评估技术咨询、解释或复核义务；</w:t>
      </w:r>
    </w:p>
    <w:p w14:paraId="6A1B0DCC" w14:textId="77777777" w:rsidR="00A320E6" w:rsidRDefault="00000000" w:rsidP="00AE0286">
      <w:pPr>
        <w:pStyle w:val="a5"/>
        <w:spacing w:line="360" w:lineRule="auto"/>
        <w:ind w:left="0"/>
        <w:rPr>
          <w:lang w:val="en-US" w:eastAsia="zh-Hans"/>
        </w:rPr>
      </w:pPr>
      <w:r>
        <w:rPr>
          <w:rFonts w:hint="eastAsia"/>
          <w:lang w:val="en-US" w:eastAsia="zh-Hans"/>
        </w:rPr>
        <w:t xml:space="preserve">　　（六）按照规定整理保管房屋征收评估档案。</w:t>
      </w:r>
    </w:p>
    <w:p w14:paraId="2AED3463" w14:textId="64A1510C" w:rsidR="00A320E6" w:rsidRDefault="00000000" w:rsidP="0004718E">
      <w:pPr>
        <w:pStyle w:val="13"/>
        <w:spacing w:before="62" w:after="62"/>
        <w:rPr>
          <w:lang w:eastAsia="zh-Hans"/>
        </w:rPr>
      </w:pPr>
      <w:r>
        <w:rPr>
          <w:rFonts w:hint="eastAsia"/>
          <w:lang w:eastAsia="zh-Hans"/>
        </w:rPr>
        <w:t>第三章</w:t>
      </w:r>
      <w:r w:rsidR="0004718E">
        <w:rPr>
          <w:rFonts w:hint="eastAsia"/>
        </w:rPr>
        <w:t xml:space="preserve"> </w:t>
      </w:r>
      <w:r>
        <w:rPr>
          <w:rFonts w:hint="eastAsia"/>
          <w:lang w:eastAsia="zh-Hans"/>
        </w:rPr>
        <w:t>评估工作管理</w:t>
      </w:r>
    </w:p>
    <w:p w14:paraId="68FF754E" w14:textId="68FBE134"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第十二条</w:t>
      </w:r>
      <w:r w:rsidR="00C36EF7">
        <w:rPr>
          <w:rFonts w:hint="eastAsia"/>
          <w:lang w:val="en-US" w:eastAsia="zh-Hans"/>
        </w:rPr>
        <w:t xml:space="preserve"> </w:t>
      </w:r>
      <w:r>
        <w:rPr>
          <w:rFonts w:hint="eastAsia"/>
          <w:lang w:val="en-US" w:eastAsia="zh-Hans"/>
        </w:rPr>
        <w:t>房屋征收评估应当遵循下列程序：</w:t>
      </w:r>
    </w:p>
    <w:p w14:paraId="2B442C25" w14:textId="77777777" w:rsidR="00A320E6" w:rsidRDefault="00000000" w:rsidP="00AE0286">
      <w:pPr>
        <w:pStyle w:val="a5"/>
        <w:spacing w:line="360" w:lineRule="auto"/>
        <w:ind w:left="0"/>
        <w:rPr>
          <w:lang w:val="en-US" w:eastAsia="zh-Hans"/>
        </w:rPr>
      </w:pPr>
      <w:r>
        <w:rPr>
          <w:rFonts w:hint="eastAsia"/>
          <w:lang w:val="en-US" w:eastAsia="zh-Hans"/>
        </w:rPr>
        <w:t xml:space="preserve">　　（一）选定房屋征收评估机构，签订委托评估协议；</w:t>
      </w:r>
    </w:p>
    <w:p w14:paraId="715E561D" w14:textId="77777777" w:rsidR="00A320E6" w:rsidRDefault="00000000" w:rsidP="00AE0286">
      <w:pPr>
        <w:pStyle w:val="a5"/>
        <w:spacing w:line="360" w:lineRule="auto"/>
        <w:ind w:left="0"/>
        <w:rPr>
          <w:lang w:val="en-US" w:eastAsia="zh-Hans"/>
        </w:rPr>
      </w:pPr>
      <w:r>
        <w:rPr>
          <w:rFonts w:hint="eastAsia"/>
          <w:lang w:val="en-US" w:eastAsia="zh-Hans"/>
        </w:rPr>
        <w:t xml:space="preserve">　　（二）房屋征收评估机构接受委托方提供的相关资料，进行前期工作；</w:t>
      </w:r>
    </w:p>
    <w:p w14:paraId="4B1A8C19" w14:textId="77777777" w:rsidR="00A320E6" w:rsidRDefault="00000000" w:rsidP="00AE0286">
      <w:pPr>
        <w:pStyle w:val="a5"/>
        <w:spacing w:line="360" w:lineRule="auto"/>
        <w:ind w:left="0"/>
        <w:rPr>
          <w:lang w:val="en-US" w:eastAsia="zh-Hans"/>
        </w:rPr>
      </w:pPr>
      <w:r>
        <w:rPr>
          <w:rFonts w:hint="eastAsia"/>
          <w:lang w:val="en-US" w:eastAsia="zh-Hans"/>
        </w:rPr>
        <w:t xml:space="preserve">　　（三）进行实地勘察；</w:t>
      </w:r>
    </w:p>
    <w:p w14:paraId="547D74C5"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（四）评估测算；</w:t>
      </w:r>
    </w:p>
    <w:p w14:paraId="6BF593AA" w14:textId="77777777" w:rsidR="00A320E6" w:rsidRDefault="00000000" w:rsidP="00AE0286">
      <w:pPr>
        <w:pStyle w:val="a5"/>
        <w:spacing w:line="360" w:lineRule="auto"/>
        <w:ind w:left="0"/>
        <w:rPr>
          <w:lang w:val="en-US" w:eastAsia="zh-Hans"/>
        </w:rPr>
      </w:pPr>
      <w:r>
        <w:rPr>
          <w:rFonts w:hint="eastAsia"/>
          <w:lang w:val="en-US" w:eastAsia="zh-Hans"/>
        </w:rPr>
        <w:t xml:space="preserve">　　（五）确定、公布评估结果。</w:t>
      </w:r>
    </w:p>
    <w:p w14:paraId="472EC264" w14:textId="77777777" w:rsidR="00A320E6" w:rsidRDefault="00000000" w:rsidP="00AE0286">
      <w:pPr>
        <w:pStyle w:val="a5"/>
        <w:spacing w:line="360" w:lineRule="auto"/>
        <w:ind w:left="0"/>
        <w:rPr>
          <w:lang w:val="en-US" w:eastAsia="zh-Hans"/>
        </w:rPr>
      </w:pPr>
      <w:r>
        <w:rPr>
          <w:rFonts w:hint="eastAsia"/>
          <w:lang w:val="en-US" w:eastAsia="zh-Hans"/>
        </w:rPr>
        <w:t xml:space="preserve">　　评估过程中，征收评估机构应当接受市房屋征收评估专家委员会的技术指导。</w:t>
      </w:r>
    </w:p>
    <w:p w14:paraId="67E443E0" w14:textId="1BE6875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第十三条</w:t>
      </w:r>
      <w:r w:rsidR="00C36EF7">
        <w:rPr>
          <w:rFonts w:hint="eastAsia"/>
          <w:lang w:val="en-US" w:eastAsia="zh-Hans"/>
        </w:rPr>
        <w:t xml:space="preserve"> </w:t>
      </w:r>
      <w:r>
        <w:rPr>
          <w:rFonts w:hint="eastAsia"/>
          <w:lang w:val="en-US" w:eastAsia="zh-Hans"/>
        </w:rPr>
        <w:t>同一征收项目的房屋征收评估工作，原则上由1家房屋征收评估机构承担。房屋征收范围较大的，可以由2家或2家以上房屋征收评估机构共同承担，价值时点、估价对象、评估方法、评估技术路线、重要参数选取等事项应当统一。</w:t>
      </w:r>
    </w:p>
    <w:p w14:paraId="3B0CE881" w14:textId="4E301D78"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第十四条</w:t>
      </w:r>
      <w:r w:rsidR="00A45A13">
        <w:rPr>
          <w:rFonts w:hint="eastAsia"/>
          <w:lang w:val="en-US" w:eastAsia="zh-Hans"/>
        </w:rPr>
        <w:t xml:space="preserve"> </w:t>
      </w:r>
      <w:r>
        <w:rPr>
          <w:rFonts w:hint="eastAsia"/>
          <w:lang w:val="en-US" w:eastAsia="zh-Hans"/>
        </w:rPr>
        <w:t>区（市）政府发布房屋征收公告后，区（市）房屋征收部门应当将征收项目的名称、范围、房屋征收评估机构选定方式等相关事项在征收范围内公告，并告知被征收人、公房承租人协商选定房屋征收评估机构的权利和期限，协商期限为10日。在规定期限内，超过半数的被征收人或公房承租人共同签字认可的房屋征收评估机构，视为共同协商选定。</w:t>
      </w:r>
    </w:p>
    <w:p w14:paraId="79406790" w14:textId="5A67DE1A"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第十五条</w:t>
      </w:r>
      <w:r w:rsidR="00A45A13">
        <w:rPr>
          <w:rFonts w:hint="eastAsia"/>
          <w:lang w:val="en-US" w:eastAsia="zh-Hans"/>
        </w:rPr>
        <w:t xml:space="preserve"> </w:t>
      </w:r>
      <w:r>
        <w:rPr>
          <w:rFonts w:hint="eastAsia"/>
          <w:lang w:val="en-US" w:eastAsia="zh-Hans"/>
        </w:rPr>
        <w:t>被征收人、公房承租人逾期协商不成的，区（市）房屋征收部门应当根据信用评价情况，按照1：3的比例推荐评估候选机构，在征收区域予以公示，由被征收人、公房承租人集中投票选定；被征收人、公房承租人也可选取推荐名录以外的具有三级以上房地产估价资格的评估机构，从事房屋征收项目的评估工作。</w:t>
      </w:r>
    </w:p>
    <w:p w14:paraId="36D20330" w14:textId="77777777" w:rsidR="00A320E6" w:rsidRDefault="00000000" w:rsidP="00AE0286">
      <w:pPr>
        <w:pStyle w:val="a5"/>
        <w:spacing w:line="360" w:lineRule="auto"/>
        <w:ind w:left="0"/>
        <w:rPr>
          <w:lang w:val="en-US" w:eastAsia="zh-Hans"/>
        </w:rPr>
      </w:pPr>
      <w:r>
        <w:rPr>
          <w:rFonts w:hint="eastAsia"/>
          <w:lang w:val="en-US" w:eastAsia="zh-Hans"/>
        </w:rPr>
        <w:t xml:space="preserve">　　征收当事人不能选定房屋征收评估机构的，区（市）房屋征收部门可通过抽签确定房屋征收评估机构，区（市）房屋征收部门应当邀请被征收人、街道办事处、社区居委会代表等进行现场监督。</w:t>
      </w:r>
    </w:p>
    <w:p w14:paraId="31D1164A" w14:textId="78270BFB"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第十六条</w:t>
      </w:r>
      <w:r w:rsidR="00A45A13">
        <w:rPr>
          <w:rFonts w:hint="eastAsia"/>
          <w:lang w:val="en-US" w:eastAsia="zh-Hans"/>
        </w:rPr>
        <w:t xml:space="preserve"> </w:t>
      </w:r>
      <w:r>
        <w:rPr>
          <w:rFonts w:hint="eastAsia"/>
          <w:lang w:val="en-US" w:eastAsia="zh-Hans"/>
        </w:rPr>
        <w:t>选定的房屋征收评估机构出具的评估报告可作为实施房屋征收补偿的依据。</w:t>
      </w:r>
    </w:p>
    <w:p w14:paraId="3D50E428" w14:textId="6DF7FBAB"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第十七条</w:t>
      </w:r>
      <w:r w:rsidR="00A45A13">
        <w:rPr>
          <w:rFonts w:hint="eastAsia"/>
          <w:lang w:val="en-US" w:eastAsia="zh-Hans"/>
        </w:rPr>
        <w:t xml:space="preserve"> </w:t>
      </w:r>
      <w:r>
        <w:rPr>
          <w:rFonts w:hint="eastAsia"/>
          <w:lang w:val="en-US" w:eastAsia="zh-Hans"/>
        </w:rPr>
        <w:t>被征收房屋评估价值时点为房屋征收决定公告之日。</w:t>
      </w:r>
    </w:p>
    <w:p w14:paraId="634DB31D" w14:textId="77777777" w:rsidR="00A320E6" w:rsidRDefault="00000000" w:rsidP="00AE0286">
      <w:pPr>
        <w:pStyle w:val="a5"/>
        <w:spacing w:line="360" w:lineRule="auto"/>
        <w:ind w:left="0"/>
        <w:rPr>
          <w:lang w:val="en-US" w:eastAsia="zh-Hans"/>
        </w:rPr>
      </w:pPr>
      <w:r>
        <w:rPr>
          <w:rFonts w:hint="eastAsia"/>
          <w:lang w:val="en-US" w:eastAsia="zh-Hans"/>
        </w:rPr>
        <w:t xml:space="preserve">　　用于产权调换房屋评估价值时点应当与被征收房屋价值时点一致。</w:t>
      </w:r>
    </w:p>
    <w:p w14:paraId="36DD3E8C" w14:textId="4A691D9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第十八条</w:t>
      </w:r>
      <w:r w:rsidR="00A45A13">
        <w:rPr>
          <w:rFonts w:hint="eastAsia"/>
          <w:lang w:val="en-US" w:eastAsia="zh-Hans"/>
        </w:rPr>
        <w:t xml:space="preserve"> </w:t>
      </w:r>
      <w:r>
        <w:rPr>
          <w:rFonts w:hint="eastAsia"/>
          <w:lang w:val="en-US" w:eastAsia="zh-Hans"/>
        </w:rPr>
        <w:t>各区（市）房屋征收部门应当与选定的评估机构订立评估委托合同，并自评估委托合同签订后15日内，评估机构将委托合同报市房屋征收中心备案。</w:t>
      </w:r>
    </w:p>
    <w:p w14:paraId="60B5409F" w14:textId="77777777" w:rsidR="00A320E6" w:rsidRDefault="00000000" w:rsidP="00AE0286">
      <w:pPr>
        <w:pStyle w:val="a5"/>
        <w:spacing w:line="360" w:lineRule="auto"/>
        <w:ind w:left="0"/>
        <w:rPr>
          <w:lang w:val="en-US" w:eastAsia="zh-Hans"/>
        </w:rPr>
      </w:pPr>
      <w:r>
        <w:rPr>
          <w:rFonts w:hint="eastAsia"/>
          <w:lang w:val="en-US" w:eastAsia="zh-Hans"/>
        </w:rPr>
        <w:t xml:space="preserve">　　评估委托合同应当包括下列内容：</w:t>
      </w:r>
    </w:p>
    <w:p w14:paraId="247D03B5" w14:textId="77777777" w:rsidR="00A320E6" w:rsidRDefault="00000000" w:rsidP="00AE0286">
      <w:pPr>
        <w:pStyle w:val="a5"/>
        <w:spacing w:line="360" w:lineRule="auto"/>
        <w:ind w:left="0"/>
        <w:rPr>
          <w:lang w:val="en-US" w:eastAsia="zh-Hans"/>
        </w:rPr>
      </w:pPr>
      <w:r>
        <w:rPr>
          <w:rFonts w:hint="eastAsia"/>
          <w:lang w:val="en-US" w:eastAsia="zh-Hans"/>
        </w:rPr>
        <w:t xml:space="preserve">　　（一）委托人的名称和住所；</w:t>
      </w:r>
    </w:p>
    <w:p w14:paraId="6B03F877" w14:textId="77777777" w:rsidR="00A320E6" w:rsidRDefault="00000000" w:rsidP="00AE0286">
      <w:pPr>
        <w:pStyle w:val="a5"/>
        <w:spacing w:line="360" w:lineRule="auto"/>
        <w:ind w:left="0"/>
        <w:rPr>
          <w:lang w:val="en-US" w:eastAsia="zh-Hans"/>
        </w:rPr>
      </w:pPr>
      <w:r>
        <w:rPr>
          <w:rFonts w:hint="eastAsia"/>
          <w:lang w:val="en-US" w:eastAsia="zh-Hans"/>
        </w:rPr>
        <w:t xml:space="preserve">　　（二）评估机构的名称和住所；</w:t>
      </w:r>
    </w:p>
    <w:p w14:paraId="125FD289" w14:textId="77777777" w:rsidR="00A320E6" w:rsidRDefault="00000000" w:rsidP="00AE0286">
      <w:pPr>
        <w:pStyle w:val="a5"/>
        <w:spacing w:line="360" w:lineRule="auto"/>
        <w:ind w:left="0"/>
        <w:rPr>
          <w:lang w:val="en-US" w:eastAsia="zh-Hans"/>
        </w:rPr>
      </w:pPr>
      <w:r>
        <w:rPr>
          <w:rFonts w:hint="eastAsia"/>
          <w:lang w:val="en-US" w:eastAsia="zh-Hans"/>
        </w:rPr>
        <w:t xml:space="preserve">　　（三）负责本评估项目的注册房地产估价师；</w:t>
      </w:r>
    </w:p>
    <w:p w14:paraId="011C9B6E" w14:textId="77777777" w:rsidR="00A320E6" w:rsidRDefault="00000000" w:rsidP="00AE0286">
      <w:pPr>
        <w:pStyle w:val="a5"/>
        <w:spacing w:line="360" w:lineRule="auto"/>
        <w:ind w:left="0"/>
        <w:rPr>
          <w:lang w:val="en-US" w:eastAsia="zh-Hans"/>
        </w:rPr>
      </w:pPr>
      <w:r>
        <w:rPr>
          <w:rFonts w:hint="eastAsia"/>
          <w:lang w:val="en-US" w:eastAsia="zh-Hans"/>
        </w:rPr>
        <w:t xml:space="preserve">　　（四）评估对象和评估范围；</w:t>
      </w:r>
    </w:p>
    <w:p w14:paraId="41836D47"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（五）评估目的；</w:t>
      </w:r>
    </w:p>
    <w:p w14:paraId="6A041DF9" w14:textId="77777777" w:rsidR="00A320E6" w:rsidRDefault="00000000" w:rsidP="00AE0286">
      <w:pPr>
        <w:pStyle w:val="a5"/>
        <w:spacing w:line="360" w:lineRule="auto"/>
        <w:ind w:left="0"/>
        <w:rPr>
          <w:lang w:val="en-US" w:eastAsia="zh-Hans"/>
        </w:rPr>
      </w:pPr>
      <w:r>
        <w:rPr>
          <w:rFonts w:hint="eastAsia"/>
          <w:lang w:val="en-US" w:eastAsia="zh-Hans"/>
        </w:rPr>
        <w:t xml:space="preserve">　　（六）价值时点；</w:t>
      </w:r>
    </w:p>
    <w:p w14:paraId="3AFED550" w14:textId="77777777" w:rsidR="00A320E6" w:rsidRDefault="00000000" w:rsidP="00AE0286">
      <w:pPr>
        <w:pStyle w:val="a5"/>
        <w:spacing w:line="360" w:lineRule="auto"/>
        <w:ind w:left="0"/>
        <w:rPr>
          <w:lang w:val="en-US" w:eastAsia="zh-Hans"/>
        </w:rPr>
      </w:pPr>
      <w:r>
        <w:rPr>
          <w:rFonts w:hint="eastAsia"/>
          <w:lang w:val="en-US" w:eastAsia="zh-Hans"/>
        </w:rPr>
        <w:t xml:space="preserve">　　（七）委托人应提供的评估所需资料；</w:t>
      </w:r>
    </w:p>
    <w:p w14:paraId="5D4A4191" w14:textId="77777777" w:rsidR="00A320E6" w:rsidRDefault="00000000" w:rsidP="00AE0286">
      <w:pPr>
        <w:pStyle w:val="a5"/>
        <w:spacing w:line="360" w:lineRule="auto"/>
        <w:ind w:left="0"/>
        <w:rPr>
          <w:lang w:val="en-US" w:eastAsia="zh-Hans"/>
        </w:rPr>
      </w:pPr>
      <w:r>
        <w:rPr>
          <w:rFonts w:hint="eastAsia"/>
          <w:lang w:val="en-US" w:eastAsia="zh-Hans"/>
        </w:rPr>
        <w:t xml:space="preserve">　　（八）当事人双方的权利和义务；</w:t>
      </w:r>
    </w:p>
    <w:p w14:paraId="04C239E9" w14:textId="77777777" w:rsidR="00A320E6" w:rsidRDefault="00000000" w:rsidP="00AE0286">
      <w:pPr>
        <w:pStyle w:val="a5"/>
        <w:spacing w:line="360" w:lineRule="auto"/>
        <w:ind w:left="0"/>
        <w:rPr>
          <w:lang w:val="en-US" w:eastAsia="zh-Hans"/>
        </w:rPr>
      </w:pPr>
      <w:r>
        <w:rPr>
          <w:rFonts w:hint="eastAsia"/>
          <w:lang w:val="en-US" w:eastAsia="zh-Hans"/>
        </w:rPr>
        <w:t xml:space="preserve">　　（九）评估费的收取及支付方式；</w:t>
      </w:r>
    </w:p>
    <w:p w14:paraId="2A345824" w14:textId="77777777" w:rsidR="00A320E6" w:rsidRDefault="00000000" w:rsidP="00AE0286">
      <w:pPr>
        <w:pStyle w:val="a5"/>
        <w:spacing w:line="360" w:lineRule="auto"/>
        <w:ind w:left="0"/>
        <w:rPr>
          <w:lang w:val="en-US" w:eastAsia="zh-Hans"/>
        </w:rPr>
      </w:pPr>
      <w:r>
        <w:rPr>
          <w:rFonts w:hint="eastAsia"/>
          <w:lang w:val="en-US" w:eastAsia="zh-Hans"/>
        </w:rPr>
        <w:t xml:space="preserve">　　（十）评估报告交付的日期和方式；</w:t>
      </w:r>
    </w:p>
    <w:p w14:paraId="35263545" w14:textId="77777777" w:rsidR="00A320E6" w:rsidRDefault="00000000" w:rsidP="00AE0286">
      <w:pPr>
        <w:pStyle w:val="a5"/>
        <w:spacing w:line="360" w:lineRule="auto"/>
        <w:ind w:left="0"/>
        <w:rPr>
          <w:lang w:val="en-US" w:eastAsia="zh-Hans"/>
        </w:rPr>
      </w:pPr>
      <w:r>
        <w:rPr>
          <w:rFonts w:hint="eastAsia"/>
          <w:lang w:val="en-US" w:eastAsia="zh-Hans"/>
        </w:rPr>
        <w:t xml:space="preserve">　　（十一）违约责任；</w:t>
      </w:r>
    </w:p>
    <w:p w14:paraId="15D669E4" w14:textId="77777777" w:rsidR="00A320E6" w:rsidRDefault="00000000" w:rsidP="00AE0286">
      <w:pPr>
        <w:pStyle w:val="a5"/>
        <w:spacing w:line="360" w:lineRule="auto"/>
        <w:ind w:left="0"/>
        <w:rPr>
          <w:lang w:val="en-US" w:eastAsia="zh-Hans"/>
        </w:rPr>
      </w:pPr>
      <w:r>
        <w:rPr>
          <w:rFonts w:hint="eastAsia"/>
          <w:lang w:val="en-US" w:eastAsia="zh-Hans"/>
        </w:rPr>
        <w:t xml:space="preserve">　　（十二）解决争议的办法。</w:t>
      </w:r>
    </w:p>
    <w:p w14:paraId="5DA910CA" w14:textId="15A641C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第十九条</w:t>
      </w:r>
      <w:r w:rsidR="00A45A13">
        <w:rPr>
          <w:rFonts w:hint="eastAsia"/>
          <w:lang w:val="en-US" w:eastAsia="zh-Hans"/>
        </w:rPr>
        <w:t xml:space="preserve"> </w:t>
      </w:r>
      <w:r>
        <w:rPr>
          <w:rFonts w:hint="eastAsia"/>
          <w:lang w:val="en-US" w:eastAsia="zh-Hans"/>
        </w:rPr>
        <w:t>委托人及相关部门和被征收人应当协助房屋征收评估机构进行实地查勘，如实向房屋征收评估机构提供评估所必需的资料，并对其所提供资料的真实性负责。</w:t>
      </w:r>
    </w:p>
    <w:p w14:paraId="39F601BB" w14:textId="77777777" w:rsidR="00A320E6" w:rsidRDefault="00000000" w:rsidP="00AE0286">
      <w:pPr>
        <w:pStyle w:val="a5"/>
        <w:spacing w:line="360" w:lineRule="auto"/>
        <w:ind w:left="0"/>
        <w:rPr>
          <w:lang w:val="en-US" w:eastAsia="zh-Hans"/>
        </w:rPr>
      </w:pPr>
      <w:r>
        <w:rPr>
          <w:rFonts w:hint="eastAsia"/>
          <w:lang w:val="en-US" w:eastAsia="zh-Hans"/>
        </w:rPr>
        <w:t xml:space="preserve">　　涉及国家机密、商业秘密和个人隐私的，按照有关规定办理。</w:t>
      </w:r>
    </w:p>
    <w:p w14:paraId="2DAD2F70" w14:textId="1BC89D6D"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第二十条</w:t>
      </w:r>
      <w:r w:rsidR="00A45A13">
        <w:rPr>
          <w:rFonts w:hint="eastAsia"/>
          <w:lang w:val="en-US" w:eastAsia="zh-Hans"/>
        </w:rPr>
        <w:t xml:space="preserve"> </w:t>
      </w:r>
      <w:r>
        <w:rPr>
          <w:rFonts w:hint="eastAsia"/>
          <w:lang w:val="en-US" w:eastAsia="zh-Hans"/>
        </w:rPr>
        <w:t>房屋征收评估报告应当由房屋征收评估机构出具，加盖房屋征收评估机构公章和资质印章，并有至少2名以上专职注册房地产估价师签字。</w:t>
      </w:r>
    </w:p>
    <w:p w14:paraId="6801A09F" w14:textId="5F92AF96"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第二十一条</w:t>
      </w:r>
      <w:r w:rsidR="00C36EF7">
        <w:rPr>
          <w:rFonts w:hint="eastAsia"/>
          <w:lang w:val="en-US" w:eastAsia="zh-Hans"/>
        </w:rPr>
        <w:t xml:space="preserve"> </w:t>
      </w:r>
      <w:r>
        <w:rPr>
          <w:rFonts w:hint="eastAsia"/>
          <w:lang w:val="en-US" w:eastAsia="zh-Hans"/>
        </w:rPr>
        <w:t>房屋征收评估机构及执行房屋征收评估业务的评估人员与委托人或者评估业务相对人有利害关系的，应当回避。</w:t>
      </w:r>
    </w:p>
    <w:p w14:paraId="217BD1CD" w14:textId="0BB79A67"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第二十二条</w:t>
      </w:r>
      <w:r w:rsidR="00C36EF7">
        <w:rPr>
          <w:rFonts w:hint="eastAsia"/>
          <w:lang w:val="en-US" w:eastAsia="zh-Hans"/>
        </w:rPr>
        <w:t xml:space="preserve"> </w:t>
      </w:r>
      <w:r>
        <w:rPr>
          <w:rFonts w:hint="eastAsia"/>
          <w:lang w:val="en-US" w:eastAsia="zh-Hans"/>
        </w:rPr>
        <w:t>被征收人或者房屋征收部门对评估报告有疑问的，出具评估报告的房屋征收评估机构应当向其作出解释和说明。</w:t>
      </w:r>
    </w:p>
    <w:p w14:paraId="262C5760" w14:textId="52ADE701"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第二十三条</w:t>
      </w:r>
      <w:r w:rsidR="00C36EF7">
        <w:rPr>
          <w:rFonts w:hint="eastAsia"/>
          <w:lang w:val="en-US" w:eastAsia="zh-Hans"/>
        </w:rPr>
        <w:t xml:space="preserve"> </w:t>
      </w:r>
      <w:r>
        <w:rPr>
          <w:rFonts w:hint="eastAsia"/>
          <w:lang w:val="en-US" w:eastAsia="zh-Hans"/>
        </w:rPr>
        <w:t>被征收人或者房屋征收部门对评估结果有异议的，应当自收到评估报告之日起10日内，向房屋征收评估机构申请复核评估。</w:t>
      </w:r>
    </w:p>
    <w:p w14:paraId="0E20D6AB" w14:textId="77777777" w:rsidR="00A320E6" w:rsidRDefault="00000000" w:rsidP="00AE0286">
      <w:pPr>
        <w:pStyle w:val="a5"/>
        <w:spacing w:line="360" w:lineRule="auto"/>
        <w:ind w:left="0"/>
        <w:rPr>
          <w:lang w:val="en-US" w:eastAsia="zh-Hans"/>
        </w:rPr>
      </w:pPr>
      <w:r>
        <w:rPr>
          <w:rFonts w:hint="eastAsia"/>
          <w:lang w:val="en-US" w:eastAsia="zh-Hans"/>
        </w:rPr>
        <w:t xml:space="preserve">　　申请复核评估的，应当向原房屋征收评估机构提出书面复核评估申请，并指出评估报告存在的问题。</w:t>
      </w:r>
    </w:p>
    <w:p w14:paraId="1CD81AF7" w14:textId="238EEA5C"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第二十四条</w:t>
      </w:r>
      <w:r w:rsidR="00A45A13">
        <w:rPr>
          <w:rFonts w:hint="eastAsia"/>
          <w:lang w:val="en-US" w:eastAsia="zh-Hans"/>
        </w:rPr>
        <w:t xml:space="preserve"> </w:t>
      </w:r>
      <w:r>
        <w:rPr>
          <w:rFonts w:hint="eastAsia"/>
          <w:lang w:val="en-US" w:eastAsia="zh-Hans"/>
        </w:rPr>
        <w:t>原房屋征收评估机构应当自收到书面复核评估申请之日起10日内对评估结果进行复核。复核后，改变原评估结果的，应当重新出具评估报告；评估结果没有改变的，应当出具复核报告并书面告知复核评估申请人。</w:t>
      </w:r>
    </w:p>
    <w:p w14:paraId="298F3C17" w14:textId="215CFF2A"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第二十五条</w:t>
      </w:r>
      <w:r w:rsidR="00A45A13">
        <w:rPr>
          <w:rFonts w:hint="eastAsia"/>
          <w:lang w:val="en-US" w:eastAsia="zh-Hans"/>
        </w:rPr>
        <w:t xml:space="preserve"> </w:t>
      </w:r>
      <w:r>
        <w:rPr>
          <w:rFonts w:hint="eastAsia"/>
          <w:lang w:val="en-US" w:eastAsia="zh-Hans"/>
        </w:rPr>
        <w:t>被征收人或者房屋征收部门对原房屋征收评估机构的复核结果有异议的，应当自收到复核结果之日起10日内，向市房屋征收评估专家委员会申请鉴定。被征收人对鉴定结果仍有异议的，按照国务院《国有土地上房屋征收与补偿条例》</w:t>
      </w:r>
      <w:r w:rsidR="00EC0B72" w:rsidRPr="00EC0B72">
        <w:rPr>
          <w:rFonts w:hint="eastAsia"/>
          <w:b/>
          <w:lang w:val="en-US" w:eastAsia="zh-Hans"/>
        </w:rPr>
        <w:t>第二十六条</w:t>
      </w:r>
      <w:r w:rsidR="00A45A13">
        <w:rPr>
          <w:rFonts w:hint="eastAsia"/>
          <w:lang w:val="en-US" w:eastAsia="zh-Hans"/>
        </w:rPr>
        <w:t xml:space="preserve"> </w:t>
      </w:r>
      <w:r>
        <w:rPr>
          <w:rFonts w:hint="eastAsia"/>
          <w:lang w:val="en-US" w:eastAsia="zh-Hans"/>
        </w:rPr>
        <w:t>规定处理。</w:t>
      </w:r>
    </w:p>
    <w:p w14:paraId="77010755" w14:textId="7420C3DF" w:rsidR="00A320E6" w:rsidRDefault="00000000" w:rsidP="0004718E">
      <w:pPr>
        <w:pStyle w:val="13"/>
        <w:spacing w:before="62" w:after="62"/>
        <w:rPr>
          <w:lang w:eastAsia="zh-Hans"/>
        </w:rPr>
      </w:pPr>
      <w:r>
        <w:rPr>
          <w:rFonts w:hint="eastAsia"/>
          <w:lang w:eastAsia="zh-Hans"/>
        </w:rPr>
        <w:lastRenderedPageBreak/>
        <w:t>第四章</w:t>
      </w:r>
      <w:r w:rsidR="0004718E">
        <w:rPr>
          <w:rFonts w:hint="eastAsia"/>
        </w:rPr>
        <w:t xml:space="preserve"> </w:t>
      </w:r>
      <w:r>
        <w:rPr>
          <w:rFonts w:hint="eastAsia"/>
          <w:lang w:eastAsia="zh-Hans"/>
        </w:rPr>
        <w:t>相关责任</w:t>
      </w:r>
    </w:p>
    <w:p w14:paraId="7D8344EE" w14:textId="5E9FF43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第二十六条</w:t>
      </w:r>
      <w:r w:rsidR="00A45A13">
        <w:rPr>
          <w:rFonts w:hint="eastAsia"/>
          <w:lang w:val="en-US" w:eastAsia="zh-Hans"/>
        </w:rPr>
        <w:t xml:space="preserve"> </w:t>
      </w:r>
      <w:r>
        <w:rPr>
          <w:rFonts w:hint="eastAsia"/>
          <w:lang w:val="en-US" w:eastAsia="zh-Hans"/>
        </w:rPr>
        <w:t>对有下列行为之一的评估机构和评估人员，市房屋征收部门应当记入其信用档案，并移交相关主管部门依法处理：</w:t>
      </w:r>
    </w:p>
    <w:p w14:paraId="2FF864CF" w14:textId="77777777" w:rsidR="00A320E6" w:rsidRDefault="00000000" w:rsidP="00AE0286">
      <w:pPr>
        <w:pStyle w:val="a5"/>
        <w:spacing w:line="360" w:lineRule="auto"/>
        <w:ind w:left="0"/>
        <w:rPr>
          <w:lang w:val="en-US" w:eastAsia="zh-Hans"/>
        </w:rPr>
      </w:pPr>
      <w:r>
        <w:rPr>
          <w:rFonts w:hint="eastAsia"/>
          <w:lang w:val="en-US" w:eastAsia="zh-Hans"/>
        </w:rPr>
        <w:t xml:space="preserve">　　（一）违反国家和省、市房地产估价规范，出具虚假评估报告，评估结果严重失实的；</w:t>
      </w:r>
    </w:p>
    <w:p w14:paraId="674026E6" w14:textId="77777777" w:rsidR="00A320E6" w:rsidRDefault="00000000" w:rsidP="00AE0286">
      <w:pPr>
        <w:pStyle w:val="a5"/>
        <w:spacing w:line="360" w:lineRule="auto"/>
        <w:ind w:left="0"/>
        <w:rPr>
          <w:lang w:val="en-US" w:eastAsia="zh-Hans"/>
        </w:rPr>
      </w:pPr>
      <w:r>
        <w:rPr>
          <w:rFonts w:hint="eastAsia"/>
          <w:lang w:val="en-US" w:eastAsia="zh-Hans"/>
        </w:rPr>
        <w:t xml:space="preserve">　　（二）与当事人一方串通，损害对方合法权益的；</w:t>
      </w:r>
    </w:p>
    <w:p w14:paraId="23212D42" w14:textId="77777777" w:rsidR="00A320E6" w:rsidRDefault="00000000" w:rsidP="00AE0286">
      <w:pPr>
        <w:pStyle w:val="a5"/>
        <w:spacing w:line="360" w:lineRule="auto"/>
        <w:ind w:left="0"/>
        <w:rPr>
          <w:lang w:val="en-US" w:eastAsia="zh-Hans"/>
        </w:rPr>
      </w:pPr>
      <w:r>
        <w:rPr>
          <w:rFonts w:hint="eastAsia"/>
          <w:lang w:val="en-US" w:eastAsia="zh-Hans"/>
        </w:rPr>
        <w:t xml:space="preserve">　　（三）以不正当手段获取房屋征收评估业务的；</w:t>
      </w:r>
    </w:p>
    <w:p w14:paraId="4AD1FF70" w14:textId="77777777" w:rsidR="00A320E6" w:rsidRDefault="00000000" w:rsidP="00AE0286">
      <w:pPr>
        <w:pStyle w:val="a5"/>
        <w:spacing w:line="360" w:lineRule="auto"/>
        <w:ind w:left="0"/>
        <w:rPr>
          <w:lang w:val="en-US" w:eastAsia="zh-Hans"/>
        </w:rPr>
      </w:pPr>
      <w:r>
        <w:rPr>
          <w:rFonts w:hint="eastAsia"/>
          <w:lang w:val="en-US" w:eastAsia="zh-Hans"/>
        </w:rPr>
        <w:t xml:space="preserve">　　（四）允许他人借用自己名义从事房屋征收评估活动或者转让、变相转让受托的房屋征收评估业务的；</w:t>
      </w:r>
    </w:p>
    <w:p w14:paraId="754149F2" w14:textId="77777777" w:rsidR="00A320E6" w:rsidRDefault="00000000" w:rsidP="00AE0286">
      <w:pPr>
        <w:pStyle w:val="a5"/>
        <w:spacing w:line="360" w:lineRule="auto"/>
        <w:ind w:left="0"/>
        <w:rPr>
          <w:lang w:val="en-US" w:eastAsia="zh-Hans"/>
        </w:rPr>
      </w:pPr>
      <w:r>
        <w:rPr>
          <w:rFonts w:hint="eastAsia"/>
          <w:lang w:val="en-US" w:eastAsia="zh-Hans"/>
        </w:rPr>
        <w:t xml:space="preserve">　　（五）不履行评估技术咨询、解释或复核义务的；</w:t>
      </w:r>
    </w:p>
    <w:p w14:paraId="64BEB615" w14:textId="77777777" w:rsidR="00A320E6" w:rsidRDefault="00000000" w:rsidP="00AE0286">
      <w:pPr>
        <w:pStyle w:val="a5"/>
        <w:spacing w:line="360" w:lineRule="auto"/>
        <w:ind w:left="0"/>
        <w:rPr>
          <w:lang w:val="en-US" w:eastAsia="zh-Hans"/>
        </w:rPr>
      </w:pPr>
      <w:r>
        <w:rPr>
          <w:rFonts w:hint="eastAsia"/>
          <w:lang w:val="en-US" w:eastAsia="zh-Hans"/>
        </w:rPr>
        <w:t xml:space="preserve">　　（六）不配合专家委员会业务指导和鉴定，以及多次被申请鉴定，确实存在问题的；</w:t>
      </w:r>
    </w:p>
    <w:p w14:paraId="035C367F" w14:textId="77777777" w:rsidR="00A320E6" w:rsidRDefault="00000000" w:rsidP="00AE0286">
      <w:pPr>
        <w:pStyle w:val="a5"/>
        <w:spacing w:line="360" w:lineRule="auto"/>
        <w:ind w:left="0"/>
        <w:rPr>
          <w:lang w:val="en-US" w:eastAsia="zh-Hans"/>
        </w:rPr>
      </w:pPr>
      <w:r>
        <w:rPr>
          <w:rFonts w:hint="eastAsia"/>
          <w:lang w:val="en-US" w:eastAsia="zh-Hans"/>
        </w:rPr>
        <w:t xml:space="preserve">　　（七）法律、法规规定的其他情形。</w:t>
      </w:r>
    </w:p>
    <w:p w14:paraId="03A36B13" w14:textId="2807304F" w:rsidR="00A320E6" w:rsidRDefault="00000000" w:rsidP="0004718E">
      <w:pPr>
        <w:pStyle w:val="13"/>
        <w:spacing w:before="62" w:after="62"/>
        <w:rPr>
          <w:lang w:eastAsia="zh-Hans"/>
        </w:rPr>
      </w:pPr>
      <w:r>
        <w:rPr>
          <w:rFonts w:hint="eastAsia"/>
          <w:lang w:eastAsia="zh-Hans"/>
        </w:rPr>
        <w:t>第五章</w:t>
      </w:r>
      <w:r w:rsidR="0004718E">
        <w:rPr>
          <w:rFonts w:hint="eastAsia"/>
        </w:rPr>
        <w:t xml:space="preserve"> </w:t>
      </w:r>
      <w:r>
        <w:rPr>
          <w:rFonts w:hint="eastAsia"/>
          <w:lang w:eastAsia="zh-Hans"/>
        </w:rPr>
        <w:t>附</w:t>
      </w:r>
      <w:r>
        <w:rPr>
          <w:lang w:eastAsia="zh-Hans"/>
        </w:rPr>
        <w:t xml:space="preserve"> </w:t>
      </w:r>
      <w:r>
        <w:rPr>
          <w:rFonts w:hint="eastAsia"/>
          <w:lang w:eastAsia="zh-Hans"/>
        </w:rPr>
        <w:t>则</w:t>
      </w:r>
    </w:p>
    <w:p w14:paraId="2F4F6F93" w14:textId="710832C6"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第二十七条</w:t>
      </w:r>
      <w:r w:rsidR="00A45A13">
        <w:rPr>
          <w:rFonts w:hint="eastAsia"/>
          <w:lang w:val="en-US" w:eastAsia="zh-Hans"/>
        </w:rPr>
        <w:t xml:space="preserve"> </w:t>
      </w:r>
      <w:r>
        <w:rPr>
          <w:rFonts w:hint="eastAsia"/>
          <w:lang w:val="en-US" w:eastAsia="zh-Hans"/>
        </w:rPr>
        <w:t>房屋征收评估委托费按照当事人确定的评估收费标准计算，由委托评估的房屋征收当事人承担。</w:t>
      </w:r>
    </w:p>
    <w:p w14:paraId="157832AC" w14:textId="77777777" w:rsidR="00A320E6" w:rsidRDefault="00000000" w:rsidP="00AE0286">
      <w:pPr>
        <w:pStyle w:val="a5"/>
        <w:spacing w:line="360" w:lineRule="auto"/>
        <w:ind w:left="0"/>
        <w:rPr>
          <w:lang w:val="en-US" w:eastAsia="zh-Hans"/>
        </w:rPr>
      </w:pPr>
      <w:r>
        <w:rPr>
          <w:rFonts w:hint="eastAsia"/>
          <w:lang w:val="en-US" w:eastAsia="zh-Hans"/>
        </w:rPr>
        <w:t xml:space="preserve">　　房屋征收评估鉴定费由申请人在申请鉴定时预交，鉴定费用的收费标准另行制定。</w:t>
      </w:r>
    </w:p>
    <w:p w14:paraId="3F3CA2E9" w14:textId="1E33279F"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第二十八条</w:t>
      </w:r>
      <w:r w:rsidR="00A45A13">
        <w:rPr>
          <w:rFonts w:hint="eastAsia"/>
          <w:lang w:val="en-US" w:eastAsia="zh-Hans"/>
        </w:rPr>
        <w:t xml:space="preserve"> </w:t>
      </w:r>
      <w:r>
        <w:rPr>
          <w:rFonts w:hint="eastAsia"/>
          <w:lang w:val="en-US" w:eastAsia="zh-Hans"/>
        </w:rPr>
        <w:t>国务院《国有土地上房屋征收与补偿条例》施行前已依法取得房屋拆迁许可证的项目和本办法实施前区（市）政府已经发布公告实施房屋征收的项目，仍按照原有规定执行。</w:t>
      </w:r>
    </w:p>
    <w:p w14:paraId="1442A7DA" w14:textId="355685B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第二十九条</w:t>
      </w:r>
      <w:r w:rsidR="00A45A13">
        <w:rPr>
          <w:rFonts w:hint="eastAsia"/>
          <w:lang w:val="en-US" w:eastAsia="zh-Hans"/>
        </w:rPr>
        <w:t xml:space="preserve"> </w:t>
      </w:r>
      <w:r>
        <w:rPr>
          <w:rFonts w:hint="eastAsia"/>
          <w:lang w:val="en-US" w:eastAsia="zh-Hans"/>
        </w:rPr>
        <w:t>本办法自2021年2月1日起施行，有效期至</w:t>
      </w:r>
      <w:r>
        <w:rPr>
          <w:lang w:eastAsia="zh-Hans"/>
        </w:rPr>
        <w:t xml:space="preserve">  </w:t>
      </w:r>
      <w:r>
        <w:rPr>
          <w:rFonts w:hint="eastAsia"/>
          <w:lang w:val="en-US" w:eastAsia="zh-Hans"/>
        </w:rPr>
        <w:t>2026年1月31日。</w:t>
      </w:r>
    </w:p>
    <w:p w14:paraId="5C2E1C8D" w14:textId="77777777" w:rsidR="00A320E6" w:rsidRPr="00F67407"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98" w:name="_Toc112227406"/>
      <w:r w:rsidRPr="00F67407">
        <w:rPr>
          <w:rFonts w:ascii="宋体" w:hAnsi="宋体" w:cs="宋体" w:hint="eastAsia"/>
          <w:b/>
          <w:bCs/>
          <w:sz w:val="24"/>
          <w:lang w:eastAsia="zh-Hans"/>
        </w:rPr>
        <w:t>青岛市住房和城乡建设局国有土地上房屋征收评估技术规范</w:t>
      </w:r>
      <w:bookmarkEnd w:id="98"/>
    </w:p>
    <w:p w14:paraId="700A3C90" w14:textId="453A881A" w:rsidR="00A320E6" w:rsidRDefault="00000000" w:rsidP="0004718E">
      <w:pPr>
        <w:pStyle w:val="13"/>
        <w:spacing w:before="62" w:after="62"/>
        <w:rPr>
          <w:lang w:eastAsia="zh-Hans"/>
        </w:rPr>
      </w:pPr>
      <w:r>
        <w:rPr>
          <w:rFonts w:hint="eastAsia"/>
          <w:lang w:eastAsia="zh-Hans"/>
        </w:rPr>
        <w:t>第一章</w:t>
      </w:r>
      <w:r w:rsidR="0004718E">
        <w:rPr>
          <w:rFonts w:hint="eastAsia"/>
        </w:rPr>
        <w:t xml:space="preserve"> </w:t>
      </w:r>
      <w:r>
        <w:rPr>
          <w:rFonts w:hint="eastAsia"/>
          <w:lang w:eastAsia="zh-Hans"/>
        </w:rPr>
        <w:t>总则</w:t>
      </w:r>
    </w:p>
    <w:p w14:paraId="53C25D5E" w14:textId="41F461F5"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第一条</w:t>
      </w:r>
      <w:r w:rsidR="00C36EF7">
        <w:rPr>
          <w:rFonts w:hint="eastAsia"/>
          <w:lang w:val="en-US" w:eastAsia="zh-Hans"/>
        </w:rPr>
        <w:t xml:space="preserve"> </w:t>
      </w:r>
      <w:r>
        <w:rPr>
          <w:rFonts w:hint="eastAsia"/>
          <w:lang w:val="en-US" w:eastAsia="zh-Hans"/>
        </w:rPr>
        <w:t>为规范国有土地上房屋征收评估活动，维护房屋征收当事人的合法权益，根据《中华人民共和国资产评估法》、《国有土地上房屋征收与补偿条例》、住房和城乡建设部《国有土地上房屋征收评估办法》（建房〔2011〕77号）和《青岛市国有土地上房屋征收与补偿条例》等有关法律、法规和文件规定，结合本市实际，制定本规范。</w:t>
      </w:r>
    </w:p>
    <w:p w14:paraId="6284BF21" w14:textId="3B079A8E" w:rsidR="00A320E6" w:rsidRDefault="00000000" w:rsidP="00AE0286">
      <w:pPr>
        <w:pStyle w:val="a5"/>
        <w:spacing w:line="360" w:lineRule="auto"/>
        <w:ind w:left="0"/>
        <w:rPr>
          <w:lang w:val="en-US" w:eastAsia="zh-Hans"/>
        </w:rPr>
      </w:pPr>
      <w:r>
        <w:rPr>
          <w:rFonts w:hint="eastAsia"/>
          <w:lang w:val="en-US" w:eastAsia="zh-Hans"/>
        </w:rPr>
        <w:lastRenderedPageBreak/>
        <w:t xml:space="preserve">　　</w:t>
      </w:r>
      <w:r w:rsidR="00A45A13" w:rsidRPr="00A45A13">
        <w:rPr>
          <w:rFonts w:hint="eastAsia"/>
          <w:b/>
          <w:lang w:val="en-US" w:eastAsia="zh-Hans"/>
        </w:rPr>
        <w:t>第二条</w:t>
      </w:r>
      <w:r w:rsidR="00C36EF7">
        <w:rPr>
          <w:rFonts w:hint="eastAsia"/>
          <w:lang w:val="en-US" w:eastAsia="zh-Hans"/>
        </w:rPr>
        <w:t xml:space="preserve"> </w:t>
      </w:r>
      <w:r>
        <w:rPr>
          <w:rFonts w:hint="eastAsia"/>
          <w:lang w:val="en-US" w:eastAsia="zh-Hans"/>
        </w:rPr>
        <w:t>本规范是《青岛市住房和城乡建设局国有土地上房屋征收评估管理办法》配套文件，本市行政区范围内国有土地上实施的房屋征收评估活动，适用本规范。</w:t>
      </w:r>
    </w:p>
    <w:p w14:paraId="19A548FB" w14:textId="1CF28D0B"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第三条</w:t>
      </w:r>
      <w:r w:rsidR="00C36EF7">
        <w:rPr>
          <w:rFonts w:hint="eastAsia"/>
          <w:lang w:val="en-US" w:eastAsia="zh-Hans"/>
        </w:rPr>
        <w:t xml:space="preserve"> </w:t>
      </w:r>
      <w:r>
        <w:rPr>
          <w:rFonts w:hint="eastAsia"/>
          <w:lang w:val="en-US" w:eastAsia="zh-Hans"/>
        </w:rPr>
        <w:t>本规范所称房屋征收评估（以下简称“征收评估”），是指为实施国有土地上房屋征收补偿，对征收区域新建住宅商品房市场价格、征收区域新建同类非住宅商品房市场价格、异地补偿房屋价款进行的评估。</w:t>
      </w:r>
    </w:p>
    <w:p w14:paraId="74ED7F8D" w14:textId="3686B854" w:rsidR="00A320E6" w:rsidRDefault="00000000" w:rsidP="00AE0286">
      <w:pPr>
        <w:pStyle w:val="a5"/>
        <w:spacing w:line="360" w:lineRule="auto"/>
        <w:ind w:left="0"/>
        <w:rPr>
          <w:lang w:val="en-US" w:eastAsia="zh-Hans"/>
        </w:rPr>
      </w:pPr>
      <w:r>
        <w:rPr>
          <w:rFonts w:hint="eastAsia"/>
          <w:lang w:val="en-US" w:eastAsia="zh-Hans"/>
        </w:rPr>
        <w:t xml:space="preserve">　　</w:t>
      </w:r>
      <w:r w:rsidR="00A45A13" w:rsidRPr="00A45A13">
        <w:rPr>
          <w:rFonts w:hint="eastAsia"/>
          <w:b/>
          <w:lang w:val="en-US" w:eastAsia="zh-Hans"/>
        </w:rPr>
        <w:t>第四条</w:t>
      </w:r>
      <w:r w:rsidR="00A45A13">
        <w:rPr>
          <w:rFonts w:hint="eastAsia"/>
          <w:lang w:val="en-US" w:eastAsia="zh-Hans"/>
        </w:rPr>
        <w:t xml:space="preserve"> </w:t>
      </w:r>
      <w:r>
        <w:rPr>
          <w:rFonts w:hint="eastAsia"/>
          <w:lang w:val="en-US" w:eastAsia="zh-Hans"/>
        </w:rPr>
        <w:t>征收评估目的统一表述“为房屋征收部门与被征收人确定被征收房屋价值的补偿提供依据”。</w:t>
      </w:r>
    </w:p>
    <w:p w14:paraId="5643312B" w14:textId="77777777" w:rsidR="00A320E6" w:rsidRDefault="00000000" w:rsidP="00AE0286">
      <w:pPr>
        <w:pStyle w:val="a5"/>
        <w:spacing w:line="360" w:lineRule="auto"/>
        <w:ind w:left="0"/>
        <w:rPr>
          <w:lang w:val="en-US" w:eastAsia="zh-Hans"/>
        </w:rPr>
      </w:pPr>
      <w:r>
        <w:rPr>
          <w:rFonts w:hint="eastAsia"/>
          <w:lang w:val="en-US" w:eastAsia="zh-Hans"/>
        </w:rPr>
        <w:t xml:space="preserve">　　被征收房屋价值是指被征收房屋及其占用国有土地使用权，在正常市场交易情况下的同类新建房屋的市场价值和属于被征收人的其他不动产的价值。</w:t>
      </w:r>
    </w:p>
    <w:p w14:paraId="6AC21CA7" w14:textId="77777777" w:rsidR="00A320E6" w:rsidRDefault="00000000" w:rsidP="00AE0286">
      <w:pPr>
        <w:pStyle w:val="a5"/>
        <w:spacing w:line="360" w:lineRule="auto"/>
        <w:ind w:left="0"/>
        <w:rPr>
          <w:lang w:val="en-US" w:eastAsia="zh-Hans"/>
        </w:rPr>
      </w:pPr>
      <w:r>
        <w:rPr>
          <w:rFonts w:hint="eastAsia"/>
          <w:lang w:val="en-US" w:eastAsia="zh-Hans"/>
        </w:rPr>
        <w:t xml:space="preserve">　　用于产权调换房屋价值应包括用于产权调换房屋及其占用范围内的土地使用权和用于产权调换的其他不动产的价值。</w:t>
      </w:r>
    </w:p>
    <w:p w14:paraId="33D2314C" w14:textId="77777777" w:rsidR="00A320E6" w:rsidRDefault="00000000" w:rsidP="00AE0286">
      <w:pPr>
        <w:pStyle w:val="a5"/>
        <w:spacing w:line="360" w:lineRule="auto"/>
        <w:ind w:left="0"/>
        <w:rPr>
          <w:lang w:val="en-US" w:eastAsia="zh-Hans"/>
        </w:rPr>
      </w:pPr>
      <w:r>
        <w:rPr>
          <w:rFonts w:hint="eastAsia"/>
          <w:lang w:val="en-US" w:eastAsia="zh-Hans"/>
        </w:rPr>
        <w:t xml:space="preserve">　　评估对象是指被征收房屋及用于产权调换的房屋。</w:t>
      </w:r>
    </w:p>
    <w:p w14:paraId="21BA0967" w14:textId="08EF2970"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第五条</w:t>
      </w:r>
      <w:r w:rsidR="00A45A13">
        <w:rPr>
          <w:rFonts w:hint="eastAsia"/>
          <w:lang w:val="en-US" w:eastAsia="zh-Hans"/>
        </w:rPr>
        <w:t xml:space="preserve"> </w:t>
      </w:r>
      <w:r>
        <w:rPr>
          <w:rFonts w:hint="eastAsia"/>
          <w:lang w:val="en-US" w:eastAsia="zh-Hans"/>
        </w:rPr>
        <w:t>被征收房屋评估价值时点为房屋征收决定公告之日。</w:t>
      </w:r>
    </w:p>
    <w:p w14:paraId="79077142" w14:textId="77777777" w:rsidR="00A320E6" w:rsidRDefault="00000000" w:rsidP="00AE0286">
      <w:pPr>
        <w:pStyle w:val="a5"/>
        <w:spacing w:line="360" w:lineRule="auto"/>
        <w:ind w:left="0"/>
        <w:rPr>
          <w:lang w:val="en-US" w:eastAsia="zh-Hans"/>
        </w:rPr>
      </w:pPr>
      <w:r>
        <w:rPr>
          <w:rFonts w:hint="eastAsia"/>
          <w:lang w:val="en-US" w:eastAsia="zh-Hans"/>
        </w:rPr>
        <w:t xml:space="preserve">　　用于产权调换房屋评估价值时点应当与被征收房屋价值时点一致。</w:t>
      </w:r>
    </w:p>
    <w:p w14:paraId="2D90DDB3" w14:textId="4E0B2286"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第六条</w:t>
      </w:r>
      <w:r w:rsidR="00A45A13">
        <w:rPr>
          <w:rFonts w:hint="eastAsia"/>
          <w:lang w:val="en-US" w:eastAsia="zh-Hans"/>
        </w:rPr>
        <w:t xml:space="preserve"> </w:t>
      </w:r>
      <w:r>
        <w:rPr>
          <w:rFonts w:hint="eastAsia"/>
          <w:lang w:val="en-US" w:eastAsia="zh-Hans"/>
        </w:rPr>
        <w:t>房屋征收评估机构应当参照邻近、同类房地产的市场交易价格，结合被征收房屋的状况，按照被征收房屋所在地的新建房屋市场价格进行评估。</w:t>
      </w:r>
    </w:p>
    <w:p w14:paraId="2995E516" w14:textId="77777777" w:rsidR="00A320E6" w:rsidRDefault="00000000" w:rsidP="00AE0286">
      <w:pPr>
        <w:pStyle w:val="a5"/>
        <w:spacing w:line="360" w:lineRule="auto"/>
        <w:ind w:left="0"/>
        <w:rPr>
          <w:lang w:val="en-US" w:eastAsia="zh-Hans"/>
        </w:rPr>
      </w:pPr>
      <w:r>
        <w:rPr>
          <w:rFonts w:hint="eastAsia"/>
          <w:lang w:val="en-US" w:eastAsia="zh-Hans"/>
        </w:rPr>
        <w:t xml:space="preserve">　　被征收房屋的同类房地产是指与被征收房屋的区位、用途、权利性质、建筑结构、建筑面积等相同或者相似的房地产。</w:t>
      </w:r>
    </w:p>
    <w:p w14:paraId="76823449" w14:textId="77777777" w:rsidR="00A320E6" w:rsidRDefault="00000000" w:rsidP="00AE0286">
      <w:pPr>
        <w:pStyle w:val="a5"/>
        <w:spacing w:line="360" w:lineRule="auto"/>
        <w:ind w:left="0"/>
        <w:rPr>
          <w:lang w:val="en-US" w:eastAsia="zh-Hans"/>
        </w:rPr>
      </w:pPr>
      <w:r>
        <w:rPr>
          <w:rFonts w:hint="eastAsia"/>
          <w:lang w:val="en-US" w:eastAsia="zh-Hans"/>
        </w:rPr>
        <w:t xml:space="preserve">　　被征收房屋同类房地产的市场价格是指被征收房屋的类似房地产在价值时点的正常交易价格。确定被征收房屋同类房地产的市场价格，应当剔除偶然的和不正常的因素。</w:t>
      </w:r>
    </w:p>
    <w:p w14:paraId="7C1CD6AB" w14:textId="77777777" w:rsidR="00A320E6" w:rsidRDefault="00000000" w:rsidP="00AE0286">
      <w:pPr>
        <w:pStyle w:val="a5"/>
        <w:spacing w:line="360" w:lineRule="auto"/>
        <w:ind w:left="0"/>
        <w:rPr>
          <w:lang w:val="en-US" w:eastAsia="zh-Hans"/>
        </w:rPr>
      </w:pPr>
      <w:r>
        <w:rPr>
          <w:rFonts w:hint="eastAsia"/>
          <w:lang w:val="en-US" w:eastAsia="zh-Hans"/>
        </w:rPr>
        <w:t xml:space="preserve">　　房屋征收评估不考虑租赁、抵押、查封等权利限制的影响。</w:t>
      </w:r>
    </w:p>
    <w:p w14:paraId="79644B97" w14:textId="182D8FA8"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第七条</w:t>
      </w:r>
      <w:r w:rsidR="00A45A13">
        <w:rPr>
          <w:rFonts w:hint="eastAsia"/>
          <w:lang w:val="en-US" w:eastAsia="zh-Hans"/>
        </w:rPr>
        <w:t xml:space="preserve"> </w:t>
      </w:r>
      <w:r>
        <w:rPr>
          <w:rFonts w:hint="eastAsia"/>
          <w:lang w:val="en-US" w:eastAsia="zh-Hans"/>
        </w:rPr>
        <w:t>被征收房屋的建筑面积、占地面积、房屋用途及性质等原则上以房屋权属证书或公房计租表所记载的事项为依据。被征收房屋的用途、性质或者面积另有认定依据的，应当按照认定依据进行评估。房屋征收部门与被征收人对被征收房屋的用途、性质或者面积另有约定的，可以按照双方书面约定进行评估。</w:t>
      </w:r>
    </w:p>
    <w:p w14:paraId="17B4C83C" w14:textId="21D7BC05"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第八条</w:t>
      </w:r>
      <w:r w:rsidR="00A45A13">
        <w:rPr>
          <w:rFonts w:hint="eastAsia"/>
          <w:lang w:val="en-US" w:eastAsia="zh-Hans"/>
        </w:rPr>
        <w:t xml:space="preserve"> </w:t>
      </w:r>
      <w:r>
        <w:rPr>
          <w:rFonts w:hint="eastAsia"/>
          <w:lang w:val="en-US" w:eastAsia="zh-Hans"/>
        </w:rPr>
        <w:t>被征收房屋属于期房的，其用途和面积以规划行政管理部门批准建设的房屋用途和建筑面积为准。</w:t>
      </w:r>
    </w:p>
    <w:p w14:paraId="0D725A53"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当被征收房地产为正常开发建设的待开发房地产或因征收已停建、缓建的未完工工程且采用假设开发法估价时，应选择业主自行开发前提进行估价；当被征收房地产为非征收原因已停建、缓建未完工程且采用假设开发法估价时，应选择自愿转让开发前提进行估价。</w:t>
      </w:r>
    </w:p>
    <w:p w14:paraId="76FFE24A" w14:textId="03B6C02D"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第九条</w:t>
      </w:r>
      <w:r w:rsidR="00A45A13">
        <w:rPr>
          <w:rFonts w:hint="eastAsia"/>
          <w:lang w:val="en-US" w:eastAsia="zh-Hans"/>
        </w:rPr>
        <w:t xml:space="preserve"> </w:t>
      </w:r>
      <w:r>
        <w:rPr>
          <w:rFonts w:hint="eastAsia"/>
          <w:lang w:val="en-US" w:eastAsia="zh-Hans"/>
        </w:rPr>
        <w:t>评估机构应当对被征收房屋进行实地查勘，做好实地查勘记录，进行拍摄或录像。</w:t>
      </w:r>
    </w:p>
    <w:p w14:paraId="51991D4E" w14:textId="77777777" w:rsidR="00A320E6" w:rsidRDefault="00000000" w:rsidP="00AE0286">
      <w:pPr>
        <w:pStyle w:val="a5"/>
        <w:spacing w:line="360" w:lineRule="auto"/>
        <w:ind w:left="0"/>
        <w:rPr>
          <w:lang w:val="en-US" w:eastAsia="zh-Hans"/>
        </w:rPr>
      </w:pPr>
      <w:r>
        <w:rPr>
          <w:rFonts w:hint="eastAsia"/>
          <w:lang w:val="en-US" w:eastAsia="zh-Hans"/>
        </w:rPr>
        <w:t xml:space="preserve">　　在房屋征收评估过程中，房屋征收部门或者被征收人不配合、不提供相关资料的，房屋征收评估机构应当依据搜集的资料进行评估，并在评估报告中说明有关情况。</w:t>
      </w:r>
    </w:p>
    <w:p w14:paraId="7A060CE1" w14:textId="43AEFA03"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第十条</w:t>
      </w:r>
      <w:r w:rsidR="00A45A13">
        <w:rPr>
          <w:rFonts w:hint="eastAsia"/>
          <w:lang w:val="en-US" w:eastAsia="zh-Hans"/>
        </w:rPr>
        <w:t xml:space="preserve"> </w:t>
      </w:r>
      <w:r>
        <w:rPr>
          <w:rFonts w:hint="eastAsia"/>
          <w:lang w:val="en-US" w:eastAsia="zh-Hans"/>
        </w:rPr>
        <w:t>注册房地产估价师应当根据评估对象和当地房地产市场状况，对比较法、收益法、成本法、假设开发法等估价方法进行适用性分析后，估价对象适用几种估价方法进行估价，就应选用几种方法进行估价，而不是仅适用一种估价方法进行估价的，也要强行采用两种估价方法进行估价，或者适用三种或三种以上估价方法进行估价的，也可只采用两种估价方法进行估价。被征收房屋的同类房地产有交易的，应选用比较法估价；被征收房屋或者其同类房地产有经济收益的，应当选用收益法估价；被征收房屋是在建工程的，应当选用成本法或假设开发法估价。只能采用一种方法的，应当说明原因。</w:t>
      </w:r>
    </w:p>
    <w:p w14:paraId="552901E2" w14:textId="77777777" w:rsidR="00A320E6" w:rsidRDefault="00000000" w:rsidP="00AE0286">
      <w:pPr>
        <w:pStyle w:val="a5"/>
        <w:spacing w:line="360" w:lineRule="auto"/>
        <w:ind w:left="0"/>
        <w:rPr>
          <w:lang w:val="en-US" w:eastAsia="zh-Hans"/>
        </w:rPr>
      </w:pPr>
      <w:r>
        <w:rPr>
          <w:rFonts w:hint="eastAsia"/>
          <w:lang w:val="en-US" w:eastAsia="zh-Hans"/>
        </w:rPr>
        <w:t xml:space="preserve">　　可以同时选用两种以上评估方法评估的，应当选用两种及以上评估方法评估，并对各种评估方法的测算结果进行校核和比较分析后，合理确定评估结果。</w:t>
      </w:r>
    </w:p>
    <w:p w14:paraId="213A158B" w14:textId="0E27A650"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第十一条</w:t>
      </w:r>
      <w:r w:rsidR="00C36EF7">
        <w:rPr>
          <w:rFonts w:hint="eastAsia"/>
          <w:lang w:val="en-US" w:eastAsia="zh-Hans"/>
        </w:rPr>
        <w:t xml:space="preserve"> </w:t>
      </w:r>
      <w:r>
        <w:rPr>
          <w:rFonts w:hint="eastAsia"/>
          <w:lang w:val="en-US" w:eastAsia="zh-Hans"/>
        </w:rPr>
        <w:t>被征收房屋价值评估应当考虑被征收房屋的区位、用途、建筑结构、建筑面积以及占地面积、土地使用权等影响被征收房屋的价值因素。</w:t>
      </w:r>
    </w:p>
    <w:p w14:paraId="4C593230" w14:textId="77777777" w:rsidR="00A320E6" w:rsidRDefault="00000000" w:rsidP="00AE0286">
      <w:pPr>
        <w:pStyle w:val="a5"/>
        <w:spacing w:line="360" w:lineRule="auto"/>
        <w:ind w:left="0"/>
        <w:rPr>
          <w:lang w:val="en-US" w:eastAsia="zh-Hans"/>
        </w:rPr>
      </w:pPr>
      <w:r>
        <w:rPr>
          <w:rFonts w:hint="eastAsia"/>
          <w:lang w:val="en-US" w:eastAsia="zh-Hans"/>
        </w:rPr>
        <w:t xml:space="preserve">　　被征收人的土地权属面积已经确权并能够独立使用且大于房屋占地面积，征收评估时应当将多出部分土地使用权价值纳入评估；土地权属证书未载明土地使用权面积或房地产权属证书未载明房屋占地面积的，不应纳入评估。评估多出的土地使用权价值时，房地产评估机构应按照《城镇土地估价规程》，参照土地用途、使用年限、取得方式等因素，采用适宜的估价方法进行评估。</w:t>
      </w:r>
    </w:p>
    <w:p w14:paraId="14E73A3A" w14:textId="47566CC6" w:rsidR="00A320E6" w:rsidRDefault="00000000" w:rsidP="00AE0286">
      <w:pPr>
        <w:pStyle w:val="a5"/>
        <w:spacing w:line="360" w:lineRule="auto"/>
        <w:ind w:left="0"/>
        <w:rPr>
          <w:lang w:val="en-US" w:eastAsia="zh-Hans"/>
        </w:rPr>
      </w:pPr>
      <w:r>
        <w:rPr>
          <w:rFonts w:hint="eastAsia"/>
          <w:lang w:val="en-US" w:eastAsia="zh-Hans"/>
        </w:rPr>
        <w:t xml:space="preserve">　　</w:t>
      </w:r>
      <w:r w:rsidR="00977BD5" w:rsidRPr="00977BD5">
        <w:rPr>
          <w:rFonts w:hint="eastAsia"/>
          <w:b/>
          <w:lang w:val="en-US" w:eastAsia="zh-Hans"/>
        </w:rPr>
        <w:t>第十二条</w:t>
      </w:r>
      <w:r w:rsidR="00C36EF7">
        <w:rPr>
          <w:rFonts w:hint="eastAsia"/>
          <w:lang w:val="en-US" w:eastAsia="zh-Hans"/>
        </w:rPr>
        <w:t xml:space="preserve"> </w:t>
      </w:r>
      <w:r>
        <w:rPr>
          <w:rFonts w:hint="eastAsia"/>
          <w:lang w:val="en-US" w:eastAsia="zh-Hans"/>
        </w:rPr>
        <w:t>被征收房屋室内装修价值、机器设备、物资等搬迁费用，以及停产停业损失等补偿，由征收当事人协商确定；协商不成的，可以委托被征收人选定具有专业胜任能力的房屋征收评估机构通过评估确定。</w:t>
      </w:r>
    </w:p>
    <w:p w14:paraId="05B16DEF"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被征收房屋装饰装修补偿由被征收房屋当事人协商确定或房地产估价机构另行评估确定时，所评估的被征收房屋价值不应包括被征收房屋室内装饰装修价值，并应在被征收房屋价值评估报告中作出特别说明。</w:t>
      </w:r>
    </w:p>
    <w:p w14:paraId="02D31968" w14:textId="77777777" w:rsidR="00A320E6" w:rsidRDefault="00000000" w:rsidP="00AE0286">
      <w:pPr>
        <w:pStyle w:val="a5"/>
        <w:spacing w:line="360" w:lineRule="auto"/>
        <w:ind w:left="0"/>
        <w:rPr>
          <w:lang w:val="en-US" w:eastAsia="zh-Hans"/>
        </w:rPr>
      </w:pPr>
      <w:r>
        <w:rPr>
          <w:rFonts w:hint="eastAsia"/>
          <w:lang w:val="en-US" w:eastAsia="zh-Hans"/>
        </w:rPr>
        <w:t xml:space="preserve">　　在估价中遇有难以解决的复杂、疑难、特殊的估价技术问题时，可按照《中华人民共和国国家标准房地产估价规范》的规定，以专业机构或专家出具的专业意见为依据进行估价，并应在估价报告中说明。</w:t>
      </w:r>
    </w:p>
    <w:p w14:paraId="77826B5E" w14:textId="444C02AA"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第十三条</w:t>
      </w:r>
      <w:r w:rsidR="00C36EF7">
        <w:rPr>
          <w:rFonts w:hint="eastAsia"/>
          <w:lang w:val="en-US" w:eastAsia="zh-Hans"/>
        </w:rPr>
        <w:t xml:space="preserve"> </w:t>
      </w:r>
      <w:r>
        <w:rPr>
          <w:rFonts w:hint="eastAsia"/>
          <w:lang w:val="en-US" w:eastAsia="zh-Hans"/>
        </w:rPr>
        <w:t>房屋征收评估价值应当以人民币为计价货币单位，精确到元。</w:t>
      </w:r>
    </w:p>
    <w:p w14:paraId="615DE504" w14:textId="15F6304D"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第十四条</w:t>
      </w:r>
      <w:r w:rsidR="00A45A13">
        <w:rPr>
          <w:rFonts w:hint="eastAsia"/>
          <w:lang w:val="en-US" w:eastAsia="zh-Hans"/>
        </w:rPr>
        <w:t xml:space="preserve"> </w:t>
      </w:r>
      <w:r>
        <w:rPr>
          <w:rFonts w:hint="eastAsia"/>
          <w:lang w:val="en-US" w:eastAsia="zh-Hans"/>
        </w:rPr>
        <w:t>房地产征用估价，应评估被征用房地产的市场租金，为给予使用上的补偿提供参考依据。并可评估因征用造成的搬迁费用、临时安置费用、停产停业损失；当房地产被征用或征用后毁损的，还可评估被征用房地产的价值减损额；当房地产被征用或征用后灭失的，还可评估被征用房地产的市场价值，为相关补偿提供参考依据。</w:t>
      </w:r>
    </w:p>
    <w:p w14:paraId="6A27C290" w14:textId="3D897EAF"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第十五条</w:t>
      </w:r>
      <w:r w:rsidR="00A45A13">
        <w:rPr>
          <w:rFonts w:hint="eastAsia"/>
          <w:lang w:val="en-US" w:eastAsia="zh-Hans"/>
        </w:rPr>
        <w:t xml:space="preserve"> </w:t>
      </w:r>
      <w:r>
        <w:rPr>
          <w:rFonts w:hint="eastAsia"/>
          <w:lang w:val="en-US" w:eastAsia="zh-Hans"/>
        </w:rPr>
        <w:t>被征收人或者房屋征收部门对评估报告有疑问的，出具评估报告的房屋征收评估机构应当向其作出解释和说明。</w:t>
      </w:r>
    </w:p>
    <w:p w14:paraId="125FEEAC" w14:textId="5CFB2613"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第十六条</w:t>
      </w:r>
      <w:r w:rsidR="00A45A13">
        <w:rPr>
          <w:rFonts w:hint="eastAsia"/>
          <w:lang w:val="en-US" w:eastAsia="zh-Hans"/>
        </w:rPr>
        <w:t xml:space="preserve"> </w:t>
      </w:r>
      <w:r>
        <w:rPr>
          <w:rFonts w:hint="eastAsia"/>
          <w:lang w:val="en-US" w:eastAsia="zh-Hans"/>
        </w:rPr>
        <w:t>评估机构应当将评估报告与下列资料整理存档：</w:t>
      </w:r>
    </w:p>
    <w:p w14:paraId="05540698" w14:textId="77777777" w:rsidR="00A320E6" w:rsidRDefault="00000000" w:rsidP="00AE0286">
      <w:pPr>
        <w:pStyle w:val="a5"/>
        <w:spacing w:line="360" w:lineRule="auto"/>
        <w:ind w:left="0"/>
        <w:rPr>
          <w:lang w:val="en-US" w:eastAsia="zh-Hans"/>
        </w:rPr>
      </w:pPr>
      <w:r>
        <w:rPr>
          <w:rFonts w:hint="eastAsia"/>
          <w:lang w:val="en-US" w:eastAsia="zh-Hans"/>
        </w:rPr>
        <w:t xml:space="preserve">　　（一）房屋征收评估委托合同及付费凭证；</w:t>
      </w:r>
    </w:p>
    <w:p w14:paraId="038D9AFD" w14:textId="77777777" w:rsidR="00A320E6" w:rsidRDefault="00000000" w:rsidP="00AE0286">
      <w:pPr>
        <w:pStyle w:val="a5"/>
        <w:spacing w:line="360" w:lineRule="auto"/>
        <w:ind w:left="0"/>
        <w:rPr>
          <w:lang w:val="en-US" w:eastAsia="zh-Hans"/>
        </w:rPr>
      </w:pPr>
      <w:r>
        <w:rPr>
          <w:rFonts w:hint="eastAsia"/>
          <w:lang w:val="en-US" w:eastAsia="zh-Hans"/>
        </w:rPr>
        <w:t xml:space="preserve">　　（二）房屋征收决定和公告复印件；</w:t>
      </w:r>
    </w:p>
    <w:p w14:paraId="6A7F7E00" w14:textId="77777777" w:rsidR="00A320E6" w:rsidRDefault="00000000" w:rsidP="00AE0286">
      <w:pPr>
        <w:pStyle w:val="a5"/>
        <w:spacing w:line="360" w:lineRule="auto"/>
        <w:ind w:left="0"/>
        <w:rPr>
          <w:lang w:val="en-US" w:eastAsia="zh-Hans"/>
        </w:rPr>
      </w:pPr>
      <w:r>
        <w:rPr>
          <w:rFonts w:hint="eastAsia"/>
          <w:lang w:val="en-US" w:eastAsia="zh-Hans"/>
        </w:rPr>
        <w:t xml:space="preserve">　　（三）评估对象的权属证明材料；</w:t>
      </w:r>
    </w:p>
    <w:p w14:paraId="3811B8A4" w14:textId="77777777" w:rsidR="00A320E6" w:rsidRDefault="00000000" w:rsidP="00AE0286">
      <w:pPr>
        <w:pStyle w:val="a5"/>
        <w:spacing w:line="360" w:lineRule="auto"/>
        <w:ind w:left="0"/>
        <w:rPr>
          <w:lang w:val="en-US" w:eastAsia="zh-Hans"/>
        </w:rPr>
      </w:pPr>
      <w:r>
        <w:rPr>
          <w:rFonts w:hint="eastAsia"/>
          <w:lang w:val="en-US" w:eastAsia="zh-Hans"/>
        </w:rPr>
        <w:t xml:space="preserve">　　（四）评估对象的实地查勘记录、照片等资料；</w:t>
      </w:r>
    </w:p>
    <w:p w14:paraId="1AE541F9" w14:textId="77777777" w:rsidR="00A320E6" w:rsidRDefault="00000000" w:rsidP="00AE0286">
      <w:pPr>
        <w:pStyle w:val="a5"/>
        <w:spacing w:line="360" w:lineRule="auto"/>
        <w:ind w:left="0"/>
        <w:rPr>
          <w:lang w:val="en-US" w:eastAsia="zh-Hans"/>
        </w:rPr>
      </w:pPr>
      <w:r>
        <w:rPr>
          <w:rFonts w:hint="eastAsia"/>
          <w:lang w:val="en-US" w:eastAsia="zh-Hans"/>
        </w:rPr>
        <w:t xml:space="preserve">　　（五）评估涉及的有关参数等资料；</w:t>
      </w:r>
    </w:p>
    <w:p w14:paraId="6820B17D" w14:textId="77777777" w:rsidR="00A320E6" w:rsidRDefault="00000000" w:rsidP="00AE0286">
      <w:pPr>
        <w:pStyle w:val="a5"/>
        <w:spacing w:line="360" w:lineRule="auto"/>
        <w:ind w:left="0"/>
        <w:rPr>
          <w:lang w:val="en-US" w:eastAsia="zh-Hans"/>
        </w:rPr>
      </w:pPr>
      <w:r>
        <w:rPr>
          <w:rFonts w:hint="eastAsia"/>
          <w:lang w:val="en-US" w:eastAsia="zh-Hans"/>
        </w:rPr>
        <w:t xml:space="preserve">　　（六）其他涉及评估的有关资料。</w:t>
      </w:r>
    </w:p>
    <w:p w14:paraId="494605EA" w14:textId="77777777" w:rsidR="00A320E6" w:rsidRDefault="00000000" w:rsidP="00AE0286">
      <w:pPr>
        <w:pStyle w:val="a5"/>
        <w:spacing w:line="360" w:lineRule="auto"/>
        <w:ind w:left="0"/>
        <w:rPr>
          <w:lang w:val="en-US" w:eastAsia="zh-Hans"/>
        </w:rPr>
      </w:pPr>
      <w:r>
        <w:rPr>
          <w:rFonts w:hint="eastAsia"/>
          <w:lang w:val="en-US" w:eastAsia="zh-Hans"/>
        </w:rPr>
        <w:t xml:space="preserve">　　评估报告及有关资料应当至少保留十年。</w:t>
      </w:r>
    </w:p>
    <w:p w14:paraId="1E5DC55D" w14:textId="4F217BD3" w:rsidR="00A320E6" w:rsidRDefault="00000000" w:rsidP="00431106">
      <w:pPr>
        <w:pStyle w:val="13"/>
        <w:spacing w:before="62" w:after="62"/>
        <w:rPr>
          <w:lang w:eastAsia="zh-Hans"/>
        </w:rPr>
      </w:pPr>
      <w:r>
        <w:rPr>
          <w:rFonts w:hint="eastAsia"/>
          <w:lang w:eastAsia="zh-Hans"/>
        </w:rPr>
        <w:t>第二章</w:t>
      </w:r>
      <w:r w:rsidR="00431106">
        <w:rPr>
          <w:rFonts w:hint="eastAsia"/>
        </w:rPr>
        <w:t xml:space="preserve"> </w:t>
      </w:r>
      <w:r>
        <w:rPr>
          <w:rFonts w:hint="eastAsia"/>
          <w:lang w:eastAsia="zh-Hans"/>
        </w:rPr>
        <w:t>住宅房屋评估</w:t>
      </w:r>
    </w:p>
    <w:p w14:paraId="0E695515" w14:textId="6104C197"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第十七条</w:t>
      </w:r>
      <w:r w:rsidR="00A45A13">
        <w:rPr>
          <w:rFonts w:hint="eastAsia"/>
          <w:lang w:val="en-US" w:eastAsia="zh-Hans"/>
        </w:rPr>
        <w:t xml:space="preserve"> </w:t>
      </w:r>
      <w:r>
        <w:rPr>
          <w:rFonts w:hint="eastAsia"/>
          <w:lang w:val="en-US" w:eastAsia="zh-Hans"/>
        </w:rPr>
        <w:t>住宅房屋评估，一般应当采用比较法，参照被征收房屋的状况进行评估。不具备采用比较法条件的，可采用收益法、成本法或其他方法评估，并在评估报告中说明原因。</w:t>
      </w:r>
    </w:p>
    <w:p w14:paraId="79F1C75D" w14:textId="1091A097"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第十八条</w:t>
      </w:r>
      <w:r w:rsidR="00A45A13">
        <w:rPr>
          <w:rFonts w:hint="eastAsia"/>
          <w:lang w:val="en-US" w:eastAsia="zh-Hans"/>
        </w:rPr>
        <w:t xml:space="preserve"> </w:t>
      </w:r>
      <w:r>
        <w:rPr>
          <w:rFonts w:hint="eastAsia"/>
          <w:lang w:val="en-US" w:eastAsia="zh-Hans"/>
        </w:rPr>
        <w:t>采用比较法时，应当在被征收房屋同一供需圈收集成交时间不超过1年的最相近的市场交易案例，并确定与评估对象的区位、用途、结构、建筑面积等因素相同或相似的三个以上的可比实例。</w:t>
      </w:r>
    </w:p>
    <w:p w14:paraId="4B7A3897"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可比实例的单项修正不超过20%，综合修正不超过30%。</w:t>
      </w:r>
    </w:p>
    <w:p w14:paraId="2AD9D1CC" w14:textId="77777777" w:rsidR="00A320E6" w:rsidRDefault="00000000" w:rsidP="00AE0286">
      <w:pPr>
        <w:pStyle w:val="a5"/>
        <w:spacing w:line="360" w:lineRule="auto"/>
        <w:ind w:left="0"/>
        <w:rPr>
          <w:lang w:val="en-US" w:eastAsia="zh-Hans"/>
        </w:rPr>
      </w:pPr>
      <w:r>
        <w:rPr>
          <w:rFonts w:hint="eastAsia"/>
          <w:lang w:val="en-US" w:eastAsia="zh-Hans"/>
        </w:rPr>
        <w:t xml:space="preserve">　　经修正和调整后的各个可比实例价格中，最高价与最低价的比值不宜大于1.2。</w:t>
      </w:r>
    </w:p>
    <w:p w14:paraId="015249E4" w14:textId="2F18F67C"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第十九条</w:t>
      </w:r>
      <w:r w:rsidR="00A45A13">
        <w:rPr>
          <w:rFonts w:hint="eastAsia"/>
          <w:lang w:val="en-US" w:eastAsia="zh-Hans"/>
        </w:rPr>
        <w:t xml:space="preserve"> </w:t>
      </w:r>
      <w:r>
        <w:rPr>
          <w:rFonts w:hint="eastAsia"/>
          <w:lang w:val="en-US" w:eastAsia="zh-Hans"/>
        </w:rPr>
        <w:t>运用比较法评估应当按下列步骤进行：</w:t>
      </w:r>
    </w:p>
    <w:p w14:paraId="4CE96DF1" w14:textId="77777777" w:rsidR="00A320E6" w:rsidRDefault="00000000" w:rsidP="00AE0286">
      <w:pPr>
        <w:pStyle w:val="a5"/>
        <w:spacing w:line="360" w:lineRule="auto"/>
        <w:ind w:left="0"/>
        <w:rPr>
          <w:lang w:val="en-US" w:eastAsia="zh-Hans"/>
        </w:rPr>
      </w:pPr>
      <w:r>
        <w:rPr>
          <w:rFonts w:hint="eastAsia"/>
          <w:lang w:val="en-US" w:eastAsia="zh-Hans"/>
        </w:rPr>
        <w:t xml:space="preserve">　　（一）搜集交易案例；</w:t>
      </w:r>
    </w:p>
    <w:p w14:paraId="322BA6A5" w14:textId="77777777" w:rsidR="00A320E6" w:rsidRDefault="00000000" w:rsidP="00AE0286">
      <w:pPr>
        <w:pStyle w:val="a5"/>
        <w:spacing w:line="360" w:lineRule="auto"/>
        <w:ind w:left="0"/>
        <w:rPr>
          <w:lang w:val="en-US" w:eastAsia="zh-Hans"/>
        </w:rPr>
      </w:pPr>
      <w:r>
        <w:rPr>
          <w:rFonts w:hint="eastAsia"/>
          <w:lang w:val="en-US" w:eastAsia="zh-Hans"/>
        </w:rPr>
        <w:t xml:space="preserve">　　（二）选取可比实例，可比实例的成交日期应接近价值时点，与价值时点相差不宜超过一年，且不得超过两年；</w:t>
      </w:r>
    </w:p>
    <w:p w14:paraId="4FA4E30E" w14:textId="77777777" w:rsidR="00A320E6" w:rsidRDefault="00000000" w:rsidP="00AE0286">
      <w:pPr>
        <w:pStyle w:val="a5"/>
        <w:spacing w:line="360" w:lineRule="auto"/>
        <w:ind w:left="0"/>
        <w:rPr>
          <w:lang w:val="en-US" w:eastAsia="zh-Hans"/>
        </w:rPr>
      </w:pPr>
      <w:r>
        <w:rPr>
          <w:rFonts w:hint="eastAsia"/>
          <w:lang w:val="en-US" w:eastAsia="zh-Hans"/>
        </w:rPr>
        <w:t xml:space="preserve">　　（三）建立比较基础；</w:t>
      </w:r>
    </w:p>
    <w:p w14:paraId="03A76522" w14:textId="77777777" w:rsidR="00A320E6" w:rsidRDefault="00000000" w:rsidP="00AE0286">
      <w:pPr>
        <w:pStyle w:val="a5"/>
        <w:spacing w:line="360" w:lineRule="auto"/>
        <w:ind w:left="0"/>
        <w:rPr>
          <w:lang w:val="en-US" w:eastAsia="zh-Hans"/>
        </w:rPr>
      </w:pPr>
      <w:r>
        <w:rPr>
          <w:rFonts w:hint="eastAsia"/>
          <w:lang w:val="en-US" w:eastAsia="zh-Hans"/>
        </w:rPr>
        <w:t xml:space="preserve">　　（四）进行交易情况修正；</w:t>
      </w:r>
    </w:p>
    <w:p w14:paraId="47DF830C" w14:textId="77777777" w:rsidR="00A320E6" w:rsidRDefault="00000000" w:rsidP="00AE0286">
      <w:pPr>
        <w:pStyle w:val="a5"/>
        <w:spacing w:line="360" w:lineRule="auto"/>
        <w:ind w:left="0"/>
        <w:rPr>
          <w:lang w:val="en-US" w:eastAsia="zh-Hans"/>
        </w:rPr>
      </w:pPr>
      <w:r>
        <w:rPr>
          <w:rFonts w:hint="eastAsia"/>
          <w:lang w:val="en-US" w:eastAsia="zh-Hans"/>
        </w:rPr>
        <w:t xml:space="preserve">　　（五）进行市场状况调整，将可比实例在其成交日期的价格调整为在价值时点的价格；</w:t>
      </w:r>
    </w:p>
    <w:p w14:paraId="64B337F4" w14:textId="77777777" w:rsidR="00A320E6" w:rsidRDefault="00000000" w:rsidP="00AE0286">
      <w:pPr>
        <w:pStyle w:val="a5"/>
        <w:spacing w:line="360" w:lineRule="auto"/>
        <w:ind w:left="0"/>
        <w:rPr>
          <w:lang w:val="en-US" w:eastAsia="zh-Hans"/>
        </w:rPr>
      </w:pPr>
      <w:r>
        <w:rPr>
          <w:rFonts w:hint="eastAsia"/>
          <w:lang w:val="en-US" w:eastAsia="zh-Hans"/>
        </w:rPr>
        <w:t xml:space="preserve">　　（六）进行房地产状况调整，包括区位状况调整、实物状况调整和权益状况调整；</w:t>
      </w:r>
    </w:p>
    <w:p w14:paraId="4A766840" w14:textId="77777777" w:rsidR="00A320E6" w:rsidRDefault="00000000" w:rsidP="00AE0286">
      <w:pPr>
        <w:pStyle w:val="a5"/>
        <w:spacing w:line="360" w:lineRule="auto"/>
        <w:ind w:left="0"/>
        <w:rPr>
          <w:lang w:val="en-US" w:eastAsia="zh-Hans"/>
        </w:rPr>
      </w:pPr>
      <w:r>
        <w:rPr>
          <w:rFonts w:hint="eastAsia"/>
          <w:lang w:val="en-US" w:eastAsia="zh-Hans"/>
        </w:rPr>
        <w:t xml:space="preserve">　　（七）计算比较价值。</w:t>
      </w:r>
    </w:p>
    <w:p w14:paraId="3B8A4C92" w14:textId="560775EC"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第二十条</w:t>
      </w:r>
      <w:r w:rsidR="00A45A13">
        <w:rPr>
          <w:rFonts w:hint="eastAsia"/>
          <w:lang w:val="en-US" w:eastAsia="zh-Hans"/>
        </w:rPr>
        <w:t xml:space="preserve"> </w:t>
      </w:r>
      <w:r>
        <w:rPr>
          <w:rFonts w:hint="eastAsia"/>
          <w:lang w:val="en-US" w:eastAsia="zh-Hans"/>
        </w:rPr>
        <w:t>搜集的交易实例信息应满足比较法运用的需要，宜包括下列内容：</w:t>
      </w:r>
    </w:p>
    <w:p w14:paraId="43A85767" w14:textId="77777777" w:rsidR="00A320E6" w:rsidRDefault="00000000" w:rsidP="00AE0286">
      <w:pPr>
        <w:pStyle w:val="a5"/>
        <w:spacing w:line="360" w:lineRule="auto"/>
        <w:ind w:left="0"/>
        <w:rPr>
          <w:lang w:val="en-US" w:eastAsia="zh-Hans"/>
        </w:rPr>
      </w:pPr>
      <w:r>
        <w:rPr>
          <w:rFonts w:hint="eastAsia"/>
          <w:lang w:val="en-US" w:eastAsia="zh-Hans"/>
        </w:rPr>
        <w:t xml:space="preserve">　　（一）交易对象基本状况；</w:t>
      </w:r>
    </w:p>
    <w:p w14:paraId="2C2DE682" w14:textId="77777777" w:rsidR="00A320E6" w:rsidRDefault="00000000" w:rsidP="00AE0286">
      <w:pPr>
        <w:pStyle w:val="a5"/>
        <w:spacing w:line="360" w:lineRule="auto"/>
        <w:ind w:left="0"/>
        <w:rPr>
          <w:lang w:val="en-US" w:eastAsia="zh-Hans"/>
        </w:rPr>
      </w:pPr>
      <w:r>
        <w:rPr>
          <w:rFonts w:hint="eastAsia"/>
          <w:lang w:val="en-US" w:eastAsia="zh-Hans"/>
        </w:rPr>
        <w:t xml:space="preserve">　　（二）交易双方基本情况；</w:t>
      </w:r>
    </w:p>
    <w:p w14:paraId="77F0C5C4" w14:textId="77777777" w:rsidR="00A320E6" w:rsidRDefault="00000000" w:rsidP="00AE0286">
      <w:pPr>
        <w:pStyle w:val="a5"/>
        <w:spacing w:line="360" w:lineRule="auto"/>
        <w:ind w:left="0"/>
        <w:rPr>
          <w:lang w:val="en-US" w:eastAsia="zh-Hans"/>
        </w:rPr>
      </w:pPr>
      <w:r>
        <w:rPr>
          <w:rFonts w:hint="eastAsia"/>
          <w:lang w:val="en-US" w:eastAsia="zh-Hans"/>
        </w:rPr>
        <w:t xml:space="preserve">　　（三）交易方式；</w:t>
      </w:r>
    </w:p>
    <w:p w14:paraId="6ADFE769" w14:textId="77777777" w:rsidR="00A320E6" w:rsidRDefault="00000000" w:rsidP="00AE0286">
      <w:pPr>
        <w:pStyle w:val="a5"/>
        <w:spacing w:line="360" w:lineRule="auto"/>
        <w:ind w:left="0"/>
        <w:rPr>
          <w:lang w:val="en-US" w:eastAsia="zh-Hans"/>
        </w:rPr>
      </w:pPr>
      <w:r>
        <w:rPr>
          <w:rFonts w:hint="eastAsia"/>
          <w:lang w:val="en-US" w:eastAsia="zh-Hans"/>
        </w:rPr>
        <w:t xml:space="preserve">　　（四）成交日期；</w:t>
      </w:r>
    </w:p>
    <w:p w14:paraId="2ABDA70C" w14:textId="77777777" w:rsidR="00A320E6" w:rsidRDefault="00000000" w:rsidP="00AE0286">
      <w:pPr>
        <w:pStyle w:val="a5"/>
        <w:spacing w:line="360" w:lineRule="auto"/>
        <w:ind w:left="0"/>
        <w:rPr>
          <w:lang w:val="en-US" w:eastAsia="zh-Hans"/>
        </w:rPr>
      </w:pPr>
      <w:r>
        <w:rPr>
          <w:rFonts w:hint="eastAsia"/>
          <w:lang w:val="en-US" w:eastAsia="zh-Hans"/>
        </w:rPr>
        <w:t xml:space="preserve">　　（五）成交价格、付款方式、融资条件、交易税费负担情况；</w:t>
      </w:r>
    </w:p>
    <w:p w14:paraId="48BE5399" w14:textId="77777777" w:rsidR="00A320E6" w:rsidRDefault="00000000" w:rsidP="00AE0286">
      <w:pPr>
        <w:pStyle w:val="a5"/>
        <w:spacing w:line="360" w:lineRule="auto"/>
        <w:ind w:left="0"/>
        <w:rPr>
          <w:lang w:val="en-US" w:eastAsia="zh-Hans"/>
        </w:rPr>
      </w:pPr>
      <w:r>
        <w:rPr>
          <w:rFonts w:hint="eastAsia"/>
          <w:lang w:val="en-US" w:eastAsia="zh-Hans"/>
        </w:rPr>
        <w:t xml:space="preserve">　　（六）交易目的等。</w:t>
      </w:r>
    </w:p>
    <w:p w14:paraId="4899DF10" w14:textId="1D328921"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第二十一条</w:t>
      </w:r>
      <w:r w:rsidR="00C36EF7">
        <w:rPr>
          <w:rFonts w:hint="eastAsia"/>
          <w:lang w:val="en-US" w:eastAsia="zh-Hans"/>
        </w:rPr>
        <w:t xml:space="preserve"> </w:t>
      </w:r>
      <w:r>
        <w:rPr>
          <w:rFonts w:hint="eastAsia"/>
          <w:lang w:val="en-US" w:eastAsia="zh-Hans"/>
        </w:rPr>
        <w:t>运用成本法评估应当按下列步骤进行：</w:t>
      </w:r>
    </w:p>
    <w:p w14:paraId="520F316B" w14:textId="77777777" w:rsidR="00A320E6" w:rsidRDefault="00000000" w:rsidP="00AE0286">
      <w:pPr>
        <w:pStyle w:val="a5"/>
        <w:spacing w:line="360" w:lineRule="auto"/>
        <w:ind w:left="0"/>
        <w:rPr>
          <w:lang w:val="en-US" w:eastAsia="zh-Hans"/>
        </w:rPr>
      </w:pPr>
      <w:r>
        <w:rPr>
          <w:rFonts w:hint="eastAsia"/>
          <w:lang w:val="en-US" w:eastAsia="zh-Hans"/>
        </w:rPr>
        <w:t xml:space="preserve">　　（一）选择具体估价路径；</w:t>
      </w:r>
    </w:p>
    <w:p w14:paraId="2BE7B016" w14:textId="77777777" w:rsidR="00A320E6" w:rsidRDefault="00000000" w:rsidP="00AE0286">
      <w:pPr>
        <w:pStyle w:val="a5"/>
        <w:spacing w:line="360" w:lineRule="auto"/>
        <w:ind w:left="0"/>
        <w:rPr>
          <w:lang w:val="en-US" w:eastAsia="zh-Hans"/>
        </w:rPr>
      </w:pPr>
      <w:r>
        <w:rPr>
          <w:rFonts w:hint="eastAsia"/>
          <w:lang w:val="en-US" w:eastAsia="zh-Hans"/>
        </w:rPr>
        <w:t xml:space="preserve">　　（二）测算重置成本或重建成本；</w:t>
      </w:r>
    </w:p>
    <w:p w14:paraId="725B0A24" w14:textId="77777777" w:rsidR="00A320E6" w:rsidRDefault="00000000" w:rsidP="00AE0286">
      <w:pPr>
        <w:pStyle w:val="a5"/>
        <w:spacing w:line="360" w:lineRule="auto"/>
        <w:ind w:left="0"/>
        <w:rPr>
          <w:lang w:val="en-US" w:eastAsia="zh-Hans"/>
        </w:rPr>
      </w:pPr>
      <w:r>
        <w:rPr>
          <w:rFonts w:hint="eastAsia"/>
          <w:lang w:val="en-US" w:eastAsia="zh-Hans"/>
        </w:rPr>
        <w:t xml:space="preserve">　　（三）测算折旧；</w:t>
      </w:r>
    </w:p>
    <w:p w14:paraId="29A0F23A" w14:textId="77777777" w:rsidR="00A320E6" w:rsidRDefault="00000000" w:rsidP="00AE0286">
      <w:pPr>
        <w:pStyle w:val="a5"/>
        <w:spacing w:line="360" w:lineRule="auto"/>
        <w:ind w:left="0"/>
        <w:rPr>
          <w:lang w:val="en-US" w:eastAsia="zh-Hans"/>
        </w:rPr>
      </w:pPr>
      <w:r>
        <w:rPr>
          <w:rFonts w:hint="eastAsia"/>
          <w:lang w:val="en-US" w:eastAsia="zh-Hans"/>
        </w:rPr>
        <w:t xml:space="preserve">　　（四）计算成本价值。</w:t>
      </w:r>
    </w:p>
    <w:p w14:paraId="1E796B52" w14:textId="472248CE"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第二十二条</w:t>
      </w:r>
      <w:r w:rsidR="00C36EF7">
        <w:rPr>
          <w:rFonts w:hint="eastAsia"/>
          <w:lang w:val="en-US" w:eastAsia="zh-Hans"/>
        </w:rPr>
        <w:t xml:space="preserve"> </w:t>
      </w:r>
      <w:r>
        <w:rPr>
          <w:rFonts w:hint="eastAsia"/>
          <w:lang w:val="en-US" w:eastAsia="zh-Hans"/>
        </w:rPr>
        <w:t>成本法的费用构成包括：</w:t>
      </w:r>
    </w:p>
    <w:p w14:paraId="3316F0DF" w14:textId="77777777" w:rsidR="00A320E6" w:rsidRDefault="00000000" w:rsidP="00AE0286">
      <w:pPr>
        <w:pStyle w:val="a5"/>
        <w:spacing w:line="360" w:lineRule="auto"/>
        <w:ind w:left="0"/>
        <w:rPr>
          <w:lang w:val="en-US" w:eastAsia="zh-Hans"/>
        </w:rPr>
      </w:pPr>
      <w:r>
        <w:rPr>
          <w:rFonts w:hint="eastAsia"/>
          <w:lang w:val="en-US" w:eastAsia="zh-Hans"/>
        </w:rPr>
        <w:t xml:space="preserve">　　（一）土地取得费用；</w:t>
      </w:r>
    </w:p>
    <w:p w14:paraId="12236AD0" w14:textId="77777777" w:rsidR="00A320E6" w:rsidRDefault="00000000" w:rsidP="00AE0286">
      <w:pPr>
        <w:pStyle w:val="a5"/>
        <w:spacing w:line="360" w:lineRule="auto"/>
        <w:ind w:left="0"/>
        <w:rPr>
          <w:lang w:val="en-US" w:eastAsia="zh-Hans"/>
        </w:rPr>
      </w:pPr>
      <w:r>
        <w:rPr>
          <w:rFonts w:hint="eastAsia"/>
          <w:lang w:val="en-US" w:eastAsia="zh-Hans"/>
        </w:rPr>
        <w:t xml:space="preserve">　　（二）开发成本（包含勘察设计和前期工程费、基础设施建设费、房屋建筑安装工程费、公共配套设施费等费用）；</w:t>
      </w:r>
    </w:p>
    <w:p w14:paraId="73C57232" w14:textId="77777777" w:rsidR="00A320E6" w:rsidRDefault="00000000" w:rsidP="00AE0286">
      <w:pPr>
        <w:pStyle w:val="a5"/>
        <w:spacing w:line="360" w:lineRule="auto"/>
        <w:ind w:left="0"/>
        <w:rPr>
          <w:lang w:val="en-US" w:eastAsia="zh-Hans"/>
        </w:rPr>
      </w:pPr>
      <w:r>
        <w:rPr>
          <w:rFonts w:hint="eastAsia"/>
          <w:lang w:val="en-US" w:eastAsia="zh-Hans"/>
        </w:rPr>
        <w:lastRenderedPageBreak/>
        <w:t xml:space="preserve">　　（三）管理费用；</w:t>
      </w:r>
    </w:p>
    <w:p w14:paraId="78BAD0B0" w14:textId="77777777" w:rsidR="00A320E6" w:rsidRDefault="00000000" w:rsidP="00AE0286">
      <w:pPr>
        <w:pStyle w:val="a5"/>
        <w:spacing w:line="360" w:lineRule="auto"/>
        <w:ind w:left="0"/>
        <w:rPr>
          <w:lang w:val="en-US" w:eastAsia="zh-Hans"/>
        </w:rPr>
      </w:pPr>
      <w:r>
        <w:rPr>
          <w:rFonts w:hint="eastAsia"/>
          <w:lang w:val="en-US" w:eastAsia="zh-Hans"/>
        </w:rPr>
        <w:t xml:space="preserve">　　（四）投资利息；</w:t>
      </w:r>
    </w:p>
    <w:p w14:paraId="31E4D8C3" w14:textId="77777777" w:rsidR="00A320E6" w:rsidRDefault="00000000" w:rsidP="00AE0286">
      <w:pPr>
        <w:pStyle w:val="a5"/>
        <w:spacing w:line="360" w:lineRule="auto"/>
        <w:ind w:left="0"/>
        <w:rPr>
          <w:lang w:val="en-US" w:eastAsia="zh-Hans"/>
        </w:rPr>
      </w:pPr>
      <w:r>
        <w:rPr>
          <w:rFonts w:hint="eastAsia"/>
          <w:lang w:val="en-US" w:eastAsia="zh-Hans"/>
        </w:rPr>
        <w:t xml:space="preserve">　　（五）销售税费；</w:t>
      </w:r>
    </w:p>
    <w:p w14:paraId="335C8F2D" w14:textId="77777777" w:rsidR="00A320E6" w:rsidRDefault="00000000" w:rsidP="00AE0286">
      <w:pPr>
        <w:pStyle w:val="a5"/>
        <w:spacing w:line="360" w:lineRule="auto"/>
        <w:ind w:left="0"/>
        <w:rPr>
          <w:lang w:val="en-US" w:eastAsia="zh-Hans"/>
        </w:rPr>
      </w:pPr>
      <w:r>
        <w:rPr>
          <w:rFonts w:hint="eastAsia"/>
          <w:lang w:val="en-US" w:eastAsia="zh-Hans"/>
        </w:rPr>
        <w:t xml:space="preserve">　　（六）开发利润。</w:t>
      </w:r>
    </w:p>
    <w:p w14:paraId="00ED7F21" w14:textId="0749F461"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第二十三条</w:t>
      </w:r>
      <w:r w:rsidR="00C36EF7">
        <w:rPr>
          <w:rFonts w:hint="eastAsia"/>
          <w:lang w:val="en-US" w:eastAsia="zh-Hans"/>
        </w:rPr>
        <w:t xml:space="preserve"> </w:t>
      </w:r>
      <w:r>
        <w:rPr>
          <w:rFonts w:hint="eastAsia"/>
          <w:lang w:val="en-US" w:eastAsia="zh-Hans"/>
        </w:rPr>
        <w:t>土地取得费用的评估按照《城镇土地估价规程》的规定进行，土地取得费用的评估运用市场比较法、基准地价系数修正法、剩余法、成本逼近法或假设开发法等。</w:t>
      </w:r>
    </w:p>
    <w:p w14:paraId="3232B6EF" w14:textId="77777777" w:rsidR="00A320E6" w:rsidRDefault="00000000" w:rsidP="00AE0286">
      <w:pPr>
        <w:pStyle w:val="a5"/>
        <w:spacing w:line="360" w:lineRule="auto"/>
        <w:ind w:left="0"/>
        <w:rPr>
          <w:lang w:val="en-US" w:eastAsia="zh-Hans"/>
        </w:rPr>
      </w:pPr>
      <w:r>
        <w:rPr>
          <w:rFonts w:hint="eastAsia"/>
          <w:lang w:val="en-US" w:eastAsia="zh-Hans"/>
        </w:rPr>
        <w:t xml:space="preserve">　　开发成本的构成应当符合《房地产估价规范》的有关规定。房屋建筑安装工程费按照价值时点本省、市现行的建筑安装工程计价的有关规定及指导意见执行。</w:t>
      </w:r>
    </w:p>
    <w:p w14:paraId="5EA0AD2A" w14:textId="6A3320ED"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第二十四条</w:t>
      </w:r>
      <w:r w:rsidR="00A45A13">
        <w:rPr>
          <w:rFonts w:hint="eastAsia"/>
          <w:lang w:val="en-US" w:eastAsia="zh-Hans"/>
        </w:rPr>
        <w:t xml:space="preserve"> </w:t>
      </w:r>
      <w:r>
        <w:rPr>
          <w:rFonts w:hint="eastAsia"/>
          <w:lang w:val="en-US" w:eastAsia="zh-Hans"/>
        </w:rPr>
        <w:t>被征收房屋是在建工程的，应当选用成本法或假设开发法评估。</w:t>
      </w:r>
    </w:p>
    <w:p w14:paraId="55200E65" w14:textId="77777777" w:rsidR="00A320E6" w:rsidRDefault="00000000" w:rsidP="00AE0286">
      <w:pPr>
        <w:pStyle w:val="a5"/>
        <w:spacing w:line="360" w:lineRule="auto"/>
        <w:ind w:left="0"/>
        <w:rPr>
          <w:lang w:val="en-US" w:eastAsia="zh-Hans"/>
        </w:rPr>
      </w:pPr>
      <w:r>
        <w:rPr>
          <w:rFonts w:hint="eastAsia"/>
          <w:lang w:val="en-US" w:eastAsia="zh-Hans"/>
        </w:rPr>
        <w:t xml:space="preserve">　　采用假设开发法评估时，应当以规划管理部门批准的用途和规划设计条件或经济技术指标为依据，按照征收公告发布之日的工程建设进度进行评估。</w:t>
      </w:r>
    </w:p>
    <w:p w14:paraId="49D50AAA" w14:textId="6891007C"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第二十五条</w:t>
      </w:r>
      <w:r w:rsidR="00A45A13">
        <w:rPr>
          <w:rFonts w:hint="eastAsia"/>
          <w:lang w:val="en-US" w:eastAsia="zh-Hans"/>
        </w:rPr>
        <w:t xml:space="preserve"> </w:t>
      </w:r>
      <w:r>
        <w:rPr>
          <w:rFonts w:hint="eastAsia"/>
          <w:lang w:val="en-US" w:eastAsia="zh-Hans"/>
        </w:rPr>
        <w:t>评估机构对被征收房屋和产权调换房屋原则上实行分户评估。</w:t>
      </w:r>
    </w:p>
    <w:p w14:paraId="0D06EAA9" w14:textId="77777777" w:rsidR="00A320E6" w:rsidRDefault="00000000" w:rsidP="00AE0286">
      <w:pPr>
        <w:pStyle w:val="a5"/>
        <w:spacing w:line="360" w:lineRule="auto"/>
        <w:ind w:left="0"/>
        <w:rPr>
          <w:lang w:val="en-US" w:eastAsia="zh-Hans"/>
        </w:rPr>
      </w:pPr>
      <w:r>
        <w:rPr>
          <w:rFonts w:hint="eastAsia"/>
          <w:lang w:val="en-US" w:eastAsia="zh-Hans"/>
        </w:rPr>
        <w:t xml:space="preserve">　　评估机构应当对评估对象出具整体评估报告（结果报告和技术报告）和分户评估报告。整体评估报告按照《房地产估价规范》的要求，应当先评估出被征收房屋所在地新房正常市场价格，然后根据被征收房屋的状况，参照房屋楼层修正系数、房屋坐落朝向修正系数（详见附件1、2、3）进行修正后出具分户评估报告。整体评估报告应采用文字式，分户评估报告可采用表格式。分户评估报告与整体评估报告具有同等效力。</w:t>
      </w:r>
    </w:p>
    <w:p w14:paraId="5D651322" w14:textId="77777777" w:rsidR="00A320E6" w:rsidRDefault="00000000" w:rsidP="00AE0286">
      <w:pPr>
        <w:pStyle w:val="a5"/>
        <w:spacing w:line="360" w:lineRule="auto"/>
        <w:ind w:left="0"/>
        <w:rPr>
          <w:lang w:val="en-US" w:eastAsia="zh-Hans"/>
        </w:rPr>
      </w:pPr>
      <w:r>
        <w:rPr>
          <w:rFonts w:hint="eastAsia"/>
          <w:lang w:val="en-US" w:eastAsia="zh-Hans"/>
        </w:rPr>
        <w:t xml:space="preserve">　　评估报告须由两名及以上评估机构的专职注册房地产估价师签字、盖章，并加盖评估机构资质印章。</w:t>
      </w:r>
    </w:p>
    <w:p w14:paraId="099BF2F8" w14:textId="77777777" w:rsidR="00A320E6" w:rsidRDefault="00000000" w:rsidP="00AE0286">
      <w:pPr>
        <w:pStyle w:val="a5"/>
        <w:spacing w:line="360" w:lineRule="auto"/>
        <w:ind w:left="0"/>
        <w:rPr>
          <w:lang w:val="en-US" w:eastAsia="zh-Hans"/>
        </w:rPr>
      </w:pPr>
      <w:r>
        <w:rPr>
          <w:rFonts w:hint="eastAsia"/>
          <w:lang w:val="en-US" w:eastAsia="zh-Hans"/>
        </w:rPr>
        <w:t xml:space="preserve">　　评估报告中的致估价委托人函应当由评估机构法人代表签字并加盖评估机构公章。</w:t>
      </w:r>
    </w:p>
    <w:p w14:paraId="3EC4D1FC" w14:textId="50C0355A" w:rsidR="00A320E6" w:rsidRDefault="00000000" w:rsidP="00431106">
      <w:pPr>
        <w:pStyle w:val="13"/>
        <w:spacing w:before="62" w:after="62"/>
        <w:rPr>
          <w:lang w:eastAsia="zh-Hans"/>
        </w:rPr>
      </w:pPr>
      <w:r>
        <w:rPr>
          <w:rFonts w:hint="eastAsia"/>
          <w:lang w:eastAsia="zh-Hans"/>
        </w:rPr>
        <w:t>第三章</w:t>
      </w:r>
      <w:r w:rsidR="00431106">
        <w:rPr>
          <w:rFonts w:hint="eastAsia"/>
        </w:rPr>
        <w:t xml:space="preserve"> </w:t>
      </w:r>
      <w:r>
        <w:rPr>
          <w:rFonts w:hint="eastAsia"/>
          <w:lang w:eastAsia="zh-Hans"/>
        </w:rPr>
        <w:t>非住宅房屋评估</w:t>
      </w:r>
    </w:p>
    <w:p w14:paraId="1FB88BBD" w14:textId="2C888ED1"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第二十六条</w:t>
      </w:r>
      <w:r w:rsidR="00A45A13">
        <w:rPr>
          <w:rFonts w:hint="eastAsia"/>
          <w:lang w:val="en-US" w:eastAsia="zh-Hans"/>
        </w:rPr>
        <w:t xml:space="preserve"> </w:t>
      </w:r>
      <w:r>
        <w:rPr>
          <w:rFonts w:hint="eastAsia"/>
          <w:lang w:val="en-US" w:eastAsia="zh-Hans"/>
        </w:rPr>
        <w:t>征收非住宅房屋，实行货币补偿和实行就地房屋补偿而补偿的房屋建筑面积超出被征收房屋建筑面积的部分以及实行异地房屋补偿找差价的，应当对被征收房屋建筑面积按照被征收区域同类非住宅商品房市场价格进行评估。</w:t>
      </w:r>
    </w:p>
    <w:p w14:paraId="05D58750" w14:textId="6A765C75"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第二十七条</w:t>
      </w:r>
      <w:r w:rsidR="00A45A13">
        <w:rPr>
          <w:rFonts w:hint="eastAsia"/>
          <w:lang w:val="en-US" w:eastAsia="zh-Hans"/>
        </w:rPr>
        <w:t xml:space="preserve"> </w:t>
      </w:r>
      <w:r>
        <w:rPr>
          <w:rFonts w:hint="eastAsia"/>
          <w:lang w:val="en-US" w:eastAsia="zh-Hans"/>
        </w:rPr>
        <w:t>非住宅房屋评估应当优先采用比较法。</w:t>
      </w:r>
    </w:p>
    <w:p w14:paraId="6BB4BDA2" w14:textId="77777777" w:rsidR="00A320E6" w:rsidRDefault="00000000" w:rsidP="00AE0286">
      <w:pPr>
        <w:pStyle w:val="a5"/>
        <w:spacing w:line="360" w:lineRule="auto"/>
        <w:ind w:left="0"/>
        <w:rPr>
          <w:lang w:val="en-US" w:eastAsia="zh-Hans"/>
        </w:rPr>
      </w:pPr>
      <w:r>
        <w:rPr>
          <w:rFonts w:hint="eastAsia"/>
          <w:lang w:val="en-US" w:eastAsia="zh-Hans"/>
        </w:rPr>
        <w:t xml:space="preserve">　　对于缺乏市场成交实例的，可采用成本法评估，同一房地产合估路径与房地产</w:t>
      </w:r>
      <w:r>
        <w:rPr>
          <w:rFonts w:hint="eastAsia"/>
          <w:lang w:val="en-US" w:eastAsia="zh-Hans"/>
        </w:rPr>
        <w:lastRenderedPageBreak/>
        <w:t>分估路径均应符合市场价格的要求。</w:t>
      </w:r>
    </w:p>
    <w:p w14:paraId="0FDBEB30" w14:textId="77777777" w:rsidR="00A320E6" w:rsidRDefault="00000000" w:rsidP="00AE0286">
      <w:pPr>
        <w:pStyle w:val="a5"/>
        <w:spacing w:line="360" w:lineRule="auto"/>
        <w:ind w:left="0"/>
        <w:rPr>
          <w:lang w:val="en-US" w:eastAsia="zh-Hans"/>
        </w:rPr>
      </w:pPr>
      <w:r>
        <w:rPr>
          <w:rFonts w:hint="eastAsia"/>
          <w:lang w:val="en-US" w:eastAsia="zh-Hans"/>
        </w:rPr>
        <w:t xml:space="preserve">　　凡有收益的非住宅房屋可采用收益法等其他方法评估。采用收益法估价时，应区分报酬资本化法和直接资本化法，并优先选用报酬资本化法。报酬资本化法估价时，应区分全寿命模式和持有加转售模式。当收益期较长、难以预测该期限内各年净收益时，宜采用持有加转售模式。对于房地产和资产的毛收益、净收益和资本化率的计取应按《房地产估价规范》的规定结合标的物的实际状况计算。资本化率的选取可采用安全利率加风险调整值确定或采取市场提取法确定。</w:t>
      </w:r>
    </w:p>
    <w:p w14:paraId="02DA4351" w14:textId="484D83A7" w:rsidR="00A320E6" w:rsidRDefault="00000000" w:rsidP="00431106">
      <w:pPr>
        <w:pStyle w:val="13"/>
        <w:spacing w:before="62" w:after="62"/>
        <w:rPr>
          <w:lang w:eastAsia="zh-Hans"/>
        </w:rPr>
      </w:pPr>
      <w:r>
        <w:rPr>
          <w:rFonts w:hint="eastAsia"/>
          <w:lang w:eastAsia="zh-Hans"/>
        </w:rPr>
        <w:t>第四章</w:t>
      </w:r>
      <w:r w:rsidR="00431106">
        <w:rPr>
          <w:rFonts w:hint="eastAsia"/>
        </w:rPr>
        <w:t xml:space="preserve"> </w:t>
      </w:r>
      <w:r>
        <w:rPr>
          <w:rFonts w:hint="eastAsia"/>
          <w:lang w:eastAsia="zh-Hans"/>
        </w:rPr>
        <w:t>附则</w:t>
      </w:r>
    </w:p>
    <w:p w14:paraId="0A553AB8" w14:textId="7B308817"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第二十八条</w:t>
      </w:r>
      <w:r w:rsidR="00A45A13">
        <w:rPr>
          <w:rFonts w:hint="eastAsia"/>
          <w:lang w:val="en-US" w:eastAsia="zh-Hans"/>
        </w:rPr>
        <w:t xml:space="preserve"> </w:t>
      </w:r>
      <w:r>
        <w:rPr>
          <w:rFonts w:hint="eastAsia"/>
          <w:lang w:val="en-US" w:eastAsia="zh-Hans"/>
        </w:rPr>
        <w:t>未超过批准期限的临时建筑应当评估其建筑物重置价格并计算折旧，折旧年限按照其批准期限计算，但批准临时建筑时规定不予补偿的除外。</w:t>
      </w:r>
    </w:p>
    <w:p w14:paraId="02BA527B" w14:textId="15A79C0A"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第二十九条</w:t>
      </w:r>
      <w:r w:rsidR="00A45A13">
        <w:rPr>
          <w:rFonts w:hint="eastAsia"/>
          <w:lang w:val="en-US" w:eastAsia="zh-Hans"/>
        </w:rPr>
        <w:t xml:space="preserve"> </w:t>
      </w:r>
      <w:r>
        <w:rPr>
          <w:rFonts w:hint="eastAsia"/>
          <w:lang w:val="en-US" w:eastAsia="zh-Hans"/>
        </w:rPr>
        <w:t>本规范未作规定的，应当按照国家和省相关规定执行。</w:t>
      </w:r>
    </w:p>
    <w:p w14:paraId="40FAF48B" w14:textId="4FA749DC"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第三十条</w:t>
      </w:r>
      <w:r w:rsidR="00A45A13">
        <w:rPr>
          <w:rFonts w:hint="eastAsia"/>
          <w:lang w:val="en-US" w:eastAsia="zh-Hans"/>
        </w:rPr>
        <w:t xml:space="preserve"> </w:t>
      </w:r>
      <w:r>
        <w:rPr>
          <w:rFonts w:hint="eastAsia"/>
          <w:lang w:val="en-US" w:eastAsia="zh-Hans"/>
        </w:rPr>
        <w:t>《国有土地上房屋征收与补偿条例》施行前已依法取得房屋拆迁许可证的项目和本办法实施前区政府已经发布公告实施房屋征收的项目，仍按原规定执行。</w:t>
      </w:r>
    </w:p>
    <w:p w14:paraId="76844819" w14:textId="27A5C287" w:rsidR="00A320E6" w:rsidRDefault="00000000" w:rsidP="00AE0286">
      <w:pPr>
        <w:pStyle w:val="a5"/>
        <w:spacing w:line="360" w:lineRule="auto"/>
        <w:ind w:left="0"/>
        <w:rPr>
          <w:lang w:val="en-US" w:eastAsia="zh-Hans"/>
        </w:rPr>
      </w:pPr>
      <w:r>
        <w:rPr>
          <w:rFonts w:hint="eastAsia"/>
          <w:lang w:val="en-US" w:eastAsia="zh-Hans"/>
        </w:rPr>
        <w:t xml:space="preserve">　　</w:t>
      </w:r>
      <w:r w:rsidR="00EC0B72" w:rsidRPr="00EC0B72">
        <w:rPr>
          <w:rFonts w:hint="eastAsia"/>
          <w:b/>
          <w:lang w:val="en-US" w:eastAsia="zh-Hans"/>
        </w:rPr>
        <w:t>第三十一条</w:t>
      </w:r>
      <w:r w:rsidR="00C36EF7">
        <w:rPr>
          <w:rFonts w:hint="eastAsia"/>
          <w:lang w:val="en-US" w:eastAsia="zh-Hans"/>
        </w:rPr>
        <w:t xml:space="preserve"> </w:t>
      </w:r>
      <w:r>
        <w:rPr>
          <w:rFonts w:hint="eastAsia"/>
          <w:lang w:val="en-US" w:eastAsia="zh-Hans"/>
        </w:rPr>
        <w:t>本规范自2021年2月1日起施行。</w:t>
      </w:r>
    </w:p>
    <w:p w14:paraId="4BCEDB9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附件1</w:t>
      </w:r>
    </w:p>
    <w:p w14:paraId="59CB4171"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征收住宅房屋楼层修正系数表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6"/>
        <w:gridCol w:w="858"/>
        <w:gridCol w:w="858"/>
        <w:gridCol w:w="860"/>
        <w:gridCol w:w="810"/>
        <w:gridCol w:w="936"/>
        <w:gridCol w:w="840"/>
        <w:gridCol w:w="774"/>
        <w:gridCol w:w="760"/>
      </w:tblGrid>
      <w:tr w:rsidR="00A320E6" w14:paraId="2C427DDC" w14:textId="77777777" w:rsidTr="00431106">
        <w:trPr>
          <w:trHeight w:val="1053"/>
          <w:jc w:val="center"/>
        </w:trPr>
        <w:tc>
          <w:tcPr>
            <w:tcW w:w="1534" w:type="dxa"/>
          </w:tcPr>
          <w:p w14:paraId="659A631E" w14:textId="0342A9C8" w:rsidR="00A320E6" w:rsidRDefault="00000000" w:rsidP="00431106">
            <w:pPr>
              <w:pStyle w:val="a5"/>
              <w:ind w:left="0"/>
              <w:jc w:val="right"/>
              <w:rPr>
                <w:sz w:val="18"/>
                <w:szCs w:val="18"/>
                <w:lang w:eastAsia="zh-Hans"/>
              </w:rPr>
            </w:pPr>
            <w:r>
              <w:rPr>
                <w:rFonts w:hint="eastAsia"/>
                <w:sz w:val="18"/>
                <w:szCs w:val="18"/>
                <w:lang w:val="en-US" w:eastAsia="zh-Hans"/>
              </w:rPr>
              <w:t>自然层次</w:t>
            </w:r>
          </w:p>
          <w:p w14:paraId="6ED95248" w14:textId="77777777" w:rsidR="00A320E6" w:rsidRDefault="00000000" w:rsidP="00431106">
            <w:pPr>
              <w:pStyle w:val="a5"/>
              <w:ind w:left="0"/>
              <w:jc w:val="center"/>
              <w:rPr>
                <w:sz w:val="18"/>
                <w:szCs w:val="18"/>
                <w:lang w:eastAsia="zh-Hans"/>
              </w:rPr>
            </w:pPr>
            <w:r>
              <w:rPr>
                <w:rFonts w:hint="eastAsia"/>
                <w:sz w:val="18"/>
                <w:szCs w:val="18"/>
                <w:lang w:val="en-US" w:eastAsia="zh-Hans"/>
              </w:rPr>
              <w:t>系数％</w:t>
            </w:r>
          </w:p>
          <w:p w14:paraId="223692F0" w14:textId="77777777" w:rsidR="00A320E6" w:rsidRDefault="00000000" w:rsidP="00431106">
            <w:pPr>
              <w:pStyle w:val="a5"/>
              <w:ind w:left="0"/>
              <w:rPr>
                <w:sz w:val="18"/>
                <w:szCs w:val="18"/>
                <w:lang w:val="en-US" w:eastAsia="zh-Hans"/>
              </w:rPr>
            </w:pPr>
            <w:r>
              <w:rPr>
                <w:rFonts w:hint="eastAsia"/>
                <w:sz w:val="18"/>
                <w:szCs w:val="18"/>
                <w:lang w:val="en-US" w:eastAsia="zh-Hans"/>
              </w:rPr>
              <w:t>总层次</w:t>
            </w:r>
          </w:p>
        </w:tc>
        <w:tc>
          <w:tcPr>
            <w:tcW w:w="696" w:type="dxa"/>
            <w:vAlign w:val="center"/>
          </w:tcPr>
          <w:p w14:paraId="22AFC18E" w14:textId="77777777" w:rsidR="00A320E6" w:rsidRDefault="00000000" w:rsidP="00431106">
            <w:pPr>
              <w:pStyle w:val="a5"/>
              <w:ind w:left="0"/>
              <w:rPr>
                <w:sz w:val="18"/>
                <w:szCs w:val="18"/>
                <w:lang w:val="en-US" w:eastAsia="zh-Hans"/>
              </w:rPr>
            </w:pPr>
            <w:r>
              <w:rPr>
                <w:rFonts w:hint="eastAsia"/>
                <w:sz w:val="18"/>
                <w:szCs w:val="18"/>
                <w:lang w:val="en-US" w:eastAsia="zh-Hans"/>
              </w:rPr>
              <w:t>一</w:t>
            </w:r>
          </w:p>
        </w:tc>
        <w:tc>
          <w:tcPr>
            <w:tcW w:w="858" w:type="dxa"/>
            <w:vAlign w:val="center"/>
          </w:tcPr>
          <w:p w14:paraId="4BA1192F" w14:textId="77777777" w:rsidR="00A320E6" w:rsidRDefault="00000000" w:rsidP="00431106">
            <w:pPr>
              <w:pStyle w:val="a5"/>
              <w:ind w:left="0"/>
              <w:rPr>
                <w:sz w:val="18"/>
                <w:szCs w:val="18"/>
                <w:lang w:val="en-US" w:eastAsia="zh-Hans"/>
              </w:rPr>
            </w:pPr>
            <w:r>
              <w:rPr>
                <w:rFonts w:hint="eastAsia"/>
                <w:sz w:val="18"/>
                <w:szCs w:val="18"/>
                <w:lang w:val="en-US" w:eastAsia="zh-Hans"/>
              </w:rPr>
              <w:t>二</w:t>
            </w:r>
          </w:p>
        </w:tc>
        <w:tc>
          <w:tcPr>
            <w:tcW w:w="858" w:type="dxa"/>
            <w:vAlign w:val="center"/>
          </w:tcPr>
          <w:p w14:paraId="7E500D8A" w14:textId="77777777" w:rsidR="00A320E6" w:rsidRDefault="00000000" w:rsidP="00431106">
            <w:pPr>
              <w:pStyle w:val="a5"/>
              <w:ind w:left="0"/>
              <w:rPr>
                <w:sz w:val="18"/>
                <w:szCs w:val="18"/>
                <w:lang w:val="en-US" w:eastAsia="zh-Hans"/>
              </w:rPr>
            </w:pPr>
            <w:r>
              <w:rPr>
                <w:rFonts w:hint="eastAsia"/>
                <w:sz w:val="18"/>
                <w:szCs w:val="18"/>
                <w:lang w:val="en-US" w:eastAsia="zh-Hans"/>
              </w:rPr>
              <w:t>三</w:t>
            </w:r>
          </w:p>
        </w:tc>
        <w:tc>
          <w:tcPr>
            <w:tcW w:w="860" w:type="dxa"/>
            <w:vAlign w:val="center"/>
          </w:tcPr>
          <w:p w14:paraId="602475CB" w14:textId="77777777" w:rsidR="00A320E6" w:rsidRDefault="00000000" w:rsidP="00431106">
            <w:pPr>
              <w:pStyle w:val="a5"/>
              <w:ind w:left="0"/>
              <w:rPr>
                <w:sz w:val="18"/>
                <w:szCs w:val="18"/>
                <w:lang w:val="en-US" w:eastAsia="zh-Hans"/>
              </w:rPr>
            </w:pPr>
            <w:r>
              <w:rPr>
                <w:rFonts w:hint="eastAsia"/>
                <w:sz w:val="18"/>
                <w:szCs w:val="18"/>
                <w:lang w:val="en-US" w:eastAsia="zh-Hans"/>
              </w:rPr>
              <w:t>四</w:t>
            </w:r>
          </w:p>
        </w:tc>
        <w:tc>
          <w:tcPr>
            <w:tcW w:w="810" w:type="dxa"/>
            <w:vAlign w:val="center"/>
          </w:tcPr>
          <w:p w14:paraId="71C7E6F4" w14:textId="77777777" w:rsidR="00A320E6" w:rsidRDefault="00000000" w:rsidP="00431106">
            <w:pPr>
              <w:pStyle w:val="a5"/>
              <w:ind w:left="0"/>
              <w:rPr>
                <w:sz w:val="18"/>
                <w:szCs w:val="18"/>
                <w:lang w:val="en-US" w:eastAsia="zh-Hans"/>
              </w:rPr>
            </w:pPr>
            <w:r>
              <w:rPr>
                <w:rFonts w:hint="eastAsia"/>
                <w:sz w:val="18"/>
                <w:szCs w:val="18"/>
                <w:lang w:val="en-US" w:eastAsia="zh-Hans"/>
              </w:rPr>
              <w:t>五</w:t>
            </w:r>
          </w:p>
        </w:tc>
        <w:tc>
          <w:tcPr>
            <w:tcW w:w="936" w:type="dxa"/>
            <w:vAlign w:val="center"/>
          </w:tcPr>
          <w:p w14:paraId="1CF4024C" w14:textId="77777777" w:rsidR="00A320E6" w:rsidRDefault="00000000" w:rsidP="00431106">
            <w:pPr>
              <w:pStyle w:val="a5"/>
              <w:ind w:left="0"/>
              <w:rPr>
                <w:sz w:val="18"/>
                <w:szCs w:val="18"/>
                <w:lang w:val="en-US" w:eastAsia="zh-Hans"/>
              </w:rPr>
            </w:pPr>
            <w:r>
              <w:rPr>
                <w:rFonts w:hint="eastAsia"/>
                <w:sz w:val="18"/>
                <w:szCs w:val="18"/>
                <w:lang w:val="en-US" w:eastAsia="zh-Hans"/>
              </w:rPr>
              <w:t>六</w:t>
            </w:r>
          </w:p>
        </w:tc>
        <w:tc>
          <w:tcPr>
            <w:tcW w:w="840" w:type="dxa"/>
            <w:vAlign w:val="center"/>
          </w:tcPr>
          <w:p w14:paraId="5808E790" w14:textId="77777777" w:rsidR="00A320E6" w:rsidRDefault="00000000" w:rsidP="00431106">
            <w:pPr>
              <w:pStyle w:val="a5"/>
              <w:ind w:left="0"/>
              <w:rPr>
                <w:sz w:val="18"/>
                <w:szCs w:val="18"/>
                <w:lang w:val="en-US" w:eastAsia="zh-Hans"/>
              </w:rPr>
            </w:pPr>
            <w:r>
              <w:rPr>
                <w:rFonts w:hint="eastAsia"/>
                <w:sz w:val="18"/>
                <w:szCs w:val="18"/>
                <w:lang w:val="en-US" w:eastAsia="zh-Hans"/>
              </w:rPr>
              <w:t>七</w:t>
            </w:r>
          </w:p>
        </w:tc>
        <w:tc>
          <w:tcPr>
            <w:tcW w:w="774" w:type="dxa"/>
            <w:vAlign w:val="center"/>
          </w:tcPr>
          <w:p w14:paraId="68A863DD" w14:textId="77777777" w:rsidR="00A320E6" w:rsidRDefault="00000000" w:rsidP="00431106">
            <w:pPr>
              <w:pStyle w:val="a5"/>
              <w:ind w:left="0"/>
              <w:rPr>
                <w:sz w:val="18"/>
                <w:szCs w:val="18"/>
                <w:lang w:val="en-US" w:eastAsia="zh-Hans"/>
              </w:rPr>
            </w:pPr>
            <w:r>
              <w:rPr>
                <w:rFonts w:hint="eastAsia"/>
                <w:sz w:val="18"/>
                <w:szCs w:val="18"/>
                <w:lang w:val="en-US" w:eastAsia="zh-Hans"/>
              </w:rPr>
              <w:t>八</w:t>
            </w:r>
          </w:p>
        </w:tc>
        <w:tc>
          <w:tcPr>
            <w:tcW w:w="760" w:type="dxa"/>
            <w:vAlign w:val="center"/>
          </w:tcPr>
          <w:p w14:paraId="1F0C0C59" w14:textId="77777777" w:rsidR="00A320E6" w:rsidRDefault="00000000" w:rsidP="00431106">
            <w:pPr>
              <w:pStyle w:val="a5"/>
              <w:ind w:left="0"/>
              <w:rPr>
                <w:sz w:val="18"/>
                <w:szCs w:val="18"/>
                <w:lang w:val="en-US" w:eastAsia="zh-Hans"/>
              </w:rPr>
            </w:pPr>
            <w:r>
              <w:rPr>
                <w:rFonts w:hint="eastAsia"/>
                <w:sz w:val="18"/>
                <w:szCs w:val="18"/>
                <w:lang w:val="en-US" w:eastAsia="zh-Hans"/>
              </w:rPr>
              <w:t>九</w:t>
            </w:r>
          </w:p>
        </w:tc>
      </w:tr>
      <w:tr w:rsidR="00A320E6" w14:paraId="62062E43" w14:textId="77777777">
        <w:trPr>
          <w:jc w:val="center"/>
        </w:trPr>
        <w:tc>
          <w:tcPr>
            <w:tcW w:w="1534" w:type="dxa"/>
          </w:tcPr>
          <w:p w14:paraId="0DE33E5C"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一</w:t>
            </w:r>
          </w:p>
        </w:tc>
        <w:tc>
          <w:tcPr>
            <w:tcW w:w="696" w:type="dxa"/>
          </w:tcPr>
          <w:p w14:paraId="61DC164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535081BB" w14:textId="77777777" w:rsidR="00A320E6" w:rsidRDefault="00A320E6" w:rsidP="00431106">
            <w:pPr>
              <w:pStyle w:val="a5"/>
              <w:spacing w:line="360" w:lineRule="auto"/>
              <w:ind w:left="0"/>
              <w:rPr>
                <w:sz w:val="18"/>
                <w:szCs w:val="18"/>
                <w:lang w:val="en-US" w:eastAsia="zh-Hans"/>
              </w:rPr>
            </w:pPr>
          </w:p>
        </w:tc>
        <w:tc>
          <w:tcPr>
            <w:tcW w:w="858" w:type="dxa"/>
          </w:tcPr>
          <w:p w14:paraId="528DC324" w14:textId="77777777" w:rsidR="00A320E6" w:rsidRDefault="00A320E6" w:rsidP="00431106">
            <w:pPr>
              <w:pStyle w:val="a5"/>
              <w:spacing w:line="360" w:lineRule="auto"/>
              <w:ind w:left="0"/>
              <w:rPr>
                <w:sz w:val="18"/>
                <w:szCs w:val="18"/>
                <w:lang w:val="en-US" w:eastAsia="zh-Hans"/>
              </w:rPr>
            </w:pPr>
          </w:p>
        </w:tc>
        <w:tc>
          <w:tcPr>
            <w:tcW w:w="860" w:type="dxa"/>
          </w:tcPr>
          <w:p w14:paraId="23841E9C" w14:textId="77777777" w:rsidR="00A320E6" w:rsidRDefault="00A320E6" w:rsidP="00431106">
            <w:pPr>
              <w:pStyle w:val="a5"/>
              <w:spacing w:line="360" w:lineRule="auto"/>
              <w:ind w:left="0"/>
              <w:rPr>
                <w:sz w:val="18"/>
                <w:szCs w:val="18"/>
                <w:lang w:val="en-US" w:eastAsia="zh-Hans"/>
              </w:rPr>
            </w:pPr>
          </w:p>
        </w:tc>
        <w:tc>
          <w:tcPr>
            <w:tcW w:w="810" w:type="dxa"/>
          </w:tcPr>
          <w:p w14:paraId="1E971B0B" w14:textId="77777777" w:rsidR="00A320E6" w:rsidRDefault="00A320E6" w:rsidP="00431106">
            <w:pPr>
              <w:pStyle w:val="a5"/>
              <w:spacing w:line="360" w:lineRule="auto"/>
              <w:ind w:left="0"/>
              <w:rPr>
                <w:sz w:val="18"/>
                <w:szCs w:val="18"/>
                <w:lang w:val="en-US" w:eastAsia="zh-Hans"/>
              </w:rPr>
            </w:pPr>
          </w:p>
        </w:tc>
        <w:tc>
          <w:tcPr>
            <w:tcW w:w="936" w:type="dxa"/>
          </w:tcPr>
          <w:p w14:paraId="25F53CB4" w14:textId="77777777" w:rsidR="00A320E6" w:rsidRDefault="00A320E6" w:rsidP="00431106">
            <w:pPr>
              <w:pStyle w:val="a5"/>
              <w:spacing w:line="360" w:lineRule="auto"/>
              <w:ind w:left="0"/>
              <w:rPr>
                <w:sz w:val="18"/>
                <w:szCs w:val="18"/>
                <w:lang w:val="en-US" w:eastAsia="zh-Hans"/>
              </w:rPr>
            </w:pPr>
          </w:p>
        </w:tc>
        <w:tc>
          <w:tcPr>
            <w:tcW w:w="840" w:type="dxa"/>
          </w:tcPr>
          <w:p w14:paraId="4C2698B6" w14:textId="77777777" w:rsidR="00A320E6" w:rsidRDefault="00A320E6" w:rsidP="00431106">
            <w:pPr>
              <w:pStyle w:val="a5"/>
              <w:spacing w:line="360" w:lineRule="auto"/>
              <w:ind w:left="0"/>
              <w:rPr>
                <w:sz w:val="18"/>
                <w:szCs w:val="18"/>
                <w:lang w:val="en-US" w:eastAsia="zh-Hans"/>
              </w:rPr>
            </w:pPr>
          </w:p>
        </w:tc>
        <w:tc>
          <w:tcPr>
            <w:tcW w:w="774" w:type="dxa"/>
          </w:tcPr>
          <w:p w14:paraId="7FBD575A" w14:textId="77777777" w:rsidR="00A320E6" w:rsidRDefault="00A320E6" w:rsidP="00431106">
            <w:pPr>
              <w:pStyle w:val="a5"/>
              <w:spacing w:line="360" w:lineRule="auto"/>
              <w:ind w:left="0"/>
              <w:rPr>
                <w:sz w:val="18"/>
                <w:szCs w:val="18"/>
                <w:lang w:val="en-US" w:eastAsia="zh-Hans"/>
              </w:rPr>
            </w:pPr>
          </w:p>
        </w:tc>
        <w:tc>
          <w:tcPr>
            <w:tcW w:w="760" w:type="dxa"/>
          </w:tcPr>
          <w:p w14:paraId="1DCD24B6" w14:textId="77777777" w:rsidR="00A320E6" w:rsidRDefault="00A320E6" w:rsidP="00431106">
            <w:pPr>
              <w:pStyle w:val="a5"/>
              <w:spacing w:line="360" w:lineRule="auto"/>
              <w:ind w:left="0"/>
              <w:rPr>
                <w:sz w:val="18"/>
                <w:szCs w:val="18"/>
                <w:lang w:val="en-US" w:eastAsia="zh-Hans"/>
              </w:rPr>
            </w:pPr>
          </w:p>
        </w:tc>
      </w:tr>
      <w:tr w:rsidR="00A320E6" w14:paraId="67F02101" w14:textId="77777777">
        <w:trPr>
          <w:jc w:val="center"/>
        </w:trPr>
        <w:tc>
          <w:tcPr>
            <w:tcW w:w="1534" w:type="dxa"/>
          </w:tcPr>
          <w:p w14:paraId="22299982"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二</w:t>
            </w:r>
          </w:p>
        </w:tc>
        <w:tc>
          <w:tcPr>
            <w:tcW w:w="696" w:type="dxa"/>
          </w:tcPr>
          <w:p w14:paraId="30F2C98C"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6D2AD7F9"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1</w:t>
            </w:r>
          </w:p>
        </w:tc>
        <w:tc>
          <w:tcPr>
            <w:tcW w:w="858" w:type="dxa"/>
          </w:tcPr>
          <w:p w14:paraId="1FAC5CAD" w14:textId="77777777" w:rsidR="00A320E6" w:rsidRDefault="00A320E6" w:rsidP="00431106">
            <w:pPr>
              <w:pStyle w:val="a5"/>
              <w:spacing w:line="360" w:lineRule="auto"/>
              <w:ind w:left="0"/>
              <w:rPr>
                <w:sz w:val="18"/>
                <w:szCs w:val="18"/>
                <w:lang w:val="en-US" w:eastAsia="zh-Hans"/>
              </w:rPr>
            </w:pPr>
          </w:p>
        </w:tc>
        <w:tc>
          <w:tcPr>
            <w:tcW w:w="860" w:type="dxa"/>
          </w:tcPr>
          <w:p w14:paraId="326C1E02" w14:textId="77777777" w:rsidR="00A320E6" w:rsidRDefault="00A320E6" w:rsidP="00431106">
            <w:pPr>
              <w:pStyle w:val="a5"/>
              <w:spacing w:line="360" w:lineRule="auto"/>
              <w:ind w:left="0"/>
              <w:rPr>
                <w:sz w:val="18"/>
                <w:szCs w:val="18"/>
                <w:lang w:val="en-US" w:eastAsia="zh-Hans"/>
              </w:rPr>
            </w:pPr>
          </w:p>
        </w:tc>
        <w:tc>
          <w:tcPr>
            <w:tcW w:w="810" w:type="dxa"/>
          </w:tcPr>
          <w:p w14:paraId="78C7FF4D" w14:textId="77777777" w:rsidR="00A320E6" w:rsidRDefault="00A320E6" w:rsidP="00431106">
            <w:pPr>
              <w:pStyle w:val="a5"/>
              <w:spacing w:line="360" w:lineRule="auto"/>
              <w:ind w:left="0"/>
              <w:rPr>
                <w:sz w:val="18"/>
                <w:szCs w:val="18"/>
                <w:lang w:val="en-US" w:eastAsia="zh-Hans"/>
              </w:rPr>
            </w:pPr>
          </w:p>
        </w:tc>
        <w:tc>
          <w:tcPr>
            <w:tcW w:w="936" w:type="dxa"/>
          </w:tcPr>
          <w:p w14:paraId="2B9A1F3D" w14:textId="77777777" w:rsidR="00A320E6" w:rsidRDefault="00A320E6" w:rsidP="00431106">
            <w:pPr>
              <w:pStyle w:val="a5"/>
              <w:spacing w:line="360" w:lineRule="auto"/>
              <w:ind w:left="0"/>
              <w:rPr>
                <w:sz w:val="18"/>
                <w:szCs w:val="18"/>
                <w:lang w:val="en-US" w:eastAsia="zh-Hans"/>
              </w:rPr>
            </w:pPr>
          </w:p>
        </w:tc>
        <w:tc>
          <w:tcPr>
            <w:tcW w:w="840" w:type="dxa"/>
          </w:tcPr>
          <w:p w14:paraId="52AD4126" w14:textId="77777777" w:rsidR="00A320E6" w:rsidRDefault="00A320E6" w:rsidP="00431106">
            <w:pPr>
              <w:pStyle w:val="a5"/>
              <w:spacing w:line="360" w:lineRule="auto"/>
              <w:ind w:left="0"/>
              <w:rPr>
                <w:sz w:val="18"/>
                <w:szCs w:val="18"/>
                <w:lang w:val="en-US" w:eastAsia="zh-Hans"/>
              </w:rPr>
            </w:pPr>
          </w:p>
        </w:tc>
        <w:tc>
          <w:tcPr>
            <w:tcW w:w="774" w:type="dxa"/>
          </w:tcPr>
          <w:p w14:paraId="5BA92E69" w14:textId="77777777" w:rsidR="00A320E6" w:rsidRDefault="00A320E6" w:rsidP="00431106">
            <w:pPr>
              <w:pStyle w:val="a5"/>
              <w:spacing w:line="360" w:lineRule="auto"/>
              <w:ind w:left="0"/>
              <w:rPr>
                <w:sz w:val="18"/>
                <w:szCs w:val="18"/>
                <w:lang w:val="en-US" w:eastAsia="zh-Hans"/>
              </w:rPr>
            </w:pPr>
          </w:p>
        </w:tc>
        <w:tc>
          <w:tcPr>
            <w:tcW w:w="760" w:type="dxa"/>
          </w:tcPr>
          <w:p w14:paraId="046669A9" w14:textId="77777777" w:rsidR="00A320E6" w:rsidRDefault="00A320E6" w:rsidP="00431106">
            <w:pPr>
              <w:pStyle w:val="a5"/>
              <w:spacing w:line="360" w:lineRule="auto"/>
              <w:ind w:left="0"/>
              <w:rPr>
                <w:sz w:val="18"/>
                <w:szCs w:val="18"/>
                <w:lang w:val="en-US" w:eastAsia="zh-Hans"/>
              </w:rPr>
            </w:pPr>
          </w:p>
        </w:tc>
      </w:tr>
      <w:tr w:rsidR="00A320E6" w14:paraId="21A87874" w14:textId="77777777">
        <w:trPr>
          <w:jc w:val="center"/>
        </w:trPr>
        <w:tc>
          <w:tcPr>
            <w:tcW w:w="1534" w:type="dxa"/>
          </w:tcPr>
          <w:p w14:paraId="022F0E71"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三</w:t>
            </w:r>
          </w:p>
        </w:tc>
        <w:tc>
          <w:tcPr>
            <w:tcW w:w="696" w:type="dxa"/>
          </w:tcPr>
          <w:p w14:paraId="6249A7D1"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3EB7E18F"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2F54F342"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1</w:t>
            </w:r>
          </w:p>
        </w:tc>
        <w:tc>
          <w:tcPr>
            <w:tcW w:w="860" w:type="dxa"/>
          </w:tcPr>
          <w:p w14:paraId="6904E951" w14:textId="77777777" w:rsidR="00A320E6" w:rsidRDefault="00A320E6" w:rsidP="00431106">
            <w:pPr>
              <w:pStyle w:val="a5"/>
              <w:spacing w:line="360" w:lineRule="auto"/>
              <w:ind w:left="0"/>
              <w:rPr>
                <w:sz w:val="18"/>
                <w:szCs w:val="18"/>
                <w:lang w:val="en-US" w:eastAsia="zh-Hans"/>
              </w:rPr>
            </w:pPr>
          </w:p>
        </w:tc>
        <w:tc>
          <w:tcPr>
            <w:tcW w:w="810" w:type="dxa"/>
          </w:tcPr>
          <w:p w14:paraId="7C77A70F" w14:textId="77777777" w:rsidR="00A320E6" w:rsidRDefault="00A320E6" w:rsidP="00431106">
            <w:pPr>
              <w:pStyle w:val="a5"/>
              <w:spacing w:line="360" w:lineRule="auto"/>
              <w:ind w:left="0"/>
              <w:rPr>
                <w:sz w:val="18"/>
                <w:szCs w:val="18"/>
                <w:lang w:val="en-US" w:eastAsia="zh-Hans"/>
              </w:rPr>
            </w:pPr>
          </w:p>
        </w:tc>
        <w:tc>
          <w:tcPr>
            <w:tcW w:w="936" w:type="dxa"/>
          </w:tcPr>
          <w:p w14:paraId="1550D41A" w14:textId="77777777" w:rsidR="00A320E6" w:rsidRDefault="00A320E6" w:rsidP="00431106">
            <w:pPr>
              <w:pStyle w:val="a5"/>
              <w:spacing w:line="360" w:lineRule="auto"/>
              <w:ind w:left="0"/>
              <w:rPr>
                <w:sz w:val="18"/>
                <w:szCs w:val="18"/>
                <w:lang w:val="en-US" w:eastAsia="zh-Hans"/>
              </w:rPr>
            </w:pPr>
          </w:p>
        </w:tc>
        <w:tc>
          <w:tcPr>
            <w:tcW w:w="840" w:type="dxa"/>
          </w:tcPr>
          <w:p w14:paraId="58E5A16A" w14:textId="77777777" w:rsidR="00A320E6" w:rsidRDefault="00A320E6" w:rsidP="00431106">
            <w:pPr>
              <w:pStyle w:val="a5"/>
              <w:spacing w:line="360" w:lineRule="auto"/>
              <w:ind w:left="0"/>
              <w:rPr>
                <w:sz w:val="18"/>
                <w:szCs w:val="18"/>
                <w:lang w:val="en-US" w:eastAsia="zh-Hans"/>
              </w:rPr>
            </w:pPr>
          </w:p>
        </w:tc>
        <w:tc>
          <w:tcPr>
            <w:tcW w:w="774" w:type="dxa"/>
          </w:tcPr>
          <w:p w14:paraId="7C6E53A5" w14:textId="77777777" w:rsidR="00A320E6" w:rsidRDefault="00A320E6" w:rsidP="00431106">
            <w:pPr>
              <w:pStyle w:val="a5"/>
              <w:spacing w:line="360" w:lineRule="auto"/>
              <w:ind w:left="0"/>
              <w:rPr>
                <w:sz w:val="18"/>
                <w:szCs w:val="18"/>
                <w:lang w:val="en-US" w:eastAsia="zh-Hans"/>
              </w:rPr>
            </w:pPr>
          </w:p>
        </w:tc>
        <w:tc>
          <w:tcPr>
            <w:tcW w:w="760" w:type="dxa"/>
          </w:tcPr>
          <w:p w14:paraId="2F8BCF9D" w14:textId="77777777" w:rsidR="00A320E6" w:rsidRDefault="00A320E6" w:rsidP="00431106">
            <w:pPr>
              <w:pStyle w:val="a5"/>
              <w:spacing w:line="360" w:lineRule="auto"/>
              <w:ind w:left="0"/>
              <w:rPr>
                <w:sz w:val="18"/>
                <w:szCs w:val="18"/>
                <w:lang w:val="en-US" w:eastAsia="zh-Hans"/>
              </w:rPr>
            </w:pPr>
          </w:p>
        </w:tc>
      </w:tr>
      <w:tr w:rsidR="00A320E6" w14:paraId="238E109C" w14:textId="77777777">
        <w:trPr>
          <w:jc w:val="center"/>
        </w:trPr>
        <w:tc>
          <w:tcPr>
            <w:tcW w:w="1534" w:type="dxa"/>
          </w:tcPr>
          <w:p w14:paraId="5721B961"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四</w:t>
            </w:r>
          </w:p>
        </w:tc>
        <w:tc>
          <w:tcPr>
            <w:tcW w:w="696" w:type="dxa"/>
          </w:tcPr>
          <w:p w14:paraId="43D1A3C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5C8474C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60803F85"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3311B3A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0.5</w:t>
            </w:r>
          </w:p>
        </w:tc>
        <w:tc>
          <w:tcPr>
            <w:tcW w:w="810" w:type="dxa"/>
          </w:tcPr>
          <w:p w14:paraId="4924C097" w14:textId="77777777" w:rsidR="00A320E6" w:rsidRDefault="00A320E6" w:rsidP="00431106">
            <w:pPr>
              <w:pStyle w:val="a5"/>
              <w:spacing w:line="360" w:lineRule="auto"/>
              <w:ind w:left="0"/>
              <w:rPr>
                <w:sz w:val="18"/>
                <w:szCs w:val="18"/>
                <w:lang w:val="en-US" w:eastAsia="zh-Hans"/>
              </w:rPr>
            </w:pPr>
          </w:p>
        </w:tc>
        <w:tc>
          <w:tcPr>
            <w:tcW w:w="936" w:type="dxa"/>
          </w:tcPr>
          <w:p w14:paraId="21FD34ED" w14:textId="77777777" w:rsidR="00A320E6" w:rsidRDefault="00A320E6" w:rsidP="00431106">
            <w:pPr>
              <w:pStyle w:val="a5"/>
              <w:spacing w:line="360" w:lineRule="auto"/>
              <w:ind w:left="0"/>
              <w:rPr>
                <w:sz w:val="18"/>
                <w:szCs w:val="18"/>
                <w:lang w:val="en-US" w:eastAsia="zh-Hans"/>
              </w:rPr>
            </w:pPr>
          </w:p>
        </w:tc>
        <w:tc>
          <w:tcPr>
            <w:tcW w:w="840" w:type="dxa"/>
          </w:tcPr>
          <w:p w14:paraId="09E43A4C" w14:textId="77777777" w:rsidR="00A320E6" w:rsidRDefault="00A320E6" w:rsidP="00431106">
            <w:pPr>
              <w:pStyle w:val="a5"/>
              <w:spacing w:line="360" w:lineRule="auto"/>
              <w:ind w:left="0"/>
              <w:rPr>
                <w:sz w:val="18"/>
                <w:szCs w:val="18"/>
                <w:lang w:val="en-US" w:eastAsia="zh-Hans"/>
              </w:rPr>
            </w:pPr>
          </w:p>
        </w:tc>
        <w:tc>
          <w:tcPr>
            <w:tcW w:w="774" w:type="dxa"/>
          </w:tcPr>
          <w:p w14:paraId="139D330E" w14:textId="77777777" w:rsidR="00A320E6" w:rsidRDefault="00A320E6" w:rsidP="00431106">
            <w:pPr>
              <w:pStyle w:val="a5"/>
              <w:spacing w:line="360" w:lineRule="auto"/>
              <w:ind w:left="0"/>
              <w:rPr>
                <w:sz w:val="18"/>
                <w:szCs w:val="18"/>
                <w:lang w:val="en-US" w:eastAsia="zh-Hans"/>
              </w:rPr>
            </w:pPr>
          </w:p>
        </w:tc>
        <w:tc>
          <w:tcPr>
            <w:tcW w:w="760" w:type="dxa"/>
          </w:tcPr>
          <w:p w14:paraId="10BC5178" w14:textId="77777777" w:rsidR="00A320E6" w:rsidRDefault="00A320E6" w:rsidP="00431106">
            <w:pPr>
              <w:pStyle w:val="a5"/>
              <w:spacing w:line="360" w:lineRule="auto"/>
              <w:ind w:left="0"/>
              <w:rPr>
                <w:sz w:val="18"/>
                <w:szCs w:val="18"/>
                <w:lang w:val="en-US" w:eastAsia="zh-Hans"/>
              </w:rPr>
            </w:pPr>
          </w:p>
        </w:tc>
      </w:tr>
      <w:tr w:rsidR="00A320E6" w14:paraId="00BD8E9E" w14:textId="77777777">
        <w:trPr>
          <w:jc w:val="center"/>
        </w:trPr>
        <w:tc>
          <w:tcPr>
            <w:tcW w:w="1534" w:type="dxa"/>
          </w:tcPr>
          <w:p w14:paraId="1C1FE40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五</w:t>
            </w:r>
          </w:p>
        </w:tc>
        <w:tc>
          <w:tcPr>
            <w:tcW w:w="696" w:type="dxa"/>
          </w:tcPr>
          <w:p w14:paraId="0E7A97B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101BE8EF"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19C3BFF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05A72CF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10" w:type="dxa"/>
          </w:tcPr>
          <w:p w14:paraId="79758E5E"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0.5</w:t>
            </w:r>
          </w:p>
        </w:tc>
        <w:tc>
          <w:tcPr>
            <w:tcW w:w="936" w:type="dxa"/>
          </w:tcPr>
          <w:p w14:paraId="2DE3AFA6" w14:textId="77777777" w:rsidR="00A320E6" w:rsidRDefault="00A320E6" w:rsidP="00431106">
            <w:pPr>
              <w:pStyle w:val="a5"/>
              <w:spacing w:line="360" w:lineRule="auto"/>
              <w:ind w:left="0"/>
              <w:rPr>
                <w:sz w:val="18"/>
                <w:szCs w:val="18"/>
                <w:lang w:val="en-US" w:eastAsia="zh-Hans"/>
              </w:rPr>
            </w:pPr>
          </w:p>
        </w:tc>
        <w:tc>
          <w:tcPr>
            <w:tcW w:w="840" w:type="dxa"/>
          </w:tcPr>
          <w:p w14:paraId="12D644C1" w14:textId="77777777" w:rsidR="00A320E6" w:rsidRDefault="00A320E6" w:rsidP="00431106">
            <w:pPr>
              <w:pStyle w:val="a5"/>
              <w:spacing w:line="360" w:lineRule="auto"/>
              <w:ind w:left="0"/>
              <w:rPr>
                <w:sz w:val="18"/>
                <w:szCs w:val="18"/>
                <w:lang w:val="en-US" w:eastAsia="zh-Hans"/>
              </w:rPr>
            </w:pPr>
          </w:p>
        </w:tc>
        <w:tc>
          <w:tcPr>
            <w:tcW w:w="774" w:type="dxa"/>
          </w:tcPr>
          <w:p w14:paraId="41186499" w14:textId="77777777" w:rsidR="00A320E6" w:rsidRDefault="00A320E6" w:rsidP="00431106">
            <w:pPr>
              <w:pStyle w:val="a5"/>
              <w:spacing w:line="360" w:lineRule="auto"/>
              <w:ind w:left="0"/>
              <w:rPr>
                <w:sz w:val="18"/>
                <w:szCs w:val="18"/>
                <w:lang w:val="en-US" w:eastAsia="zh-Hans"/>
              </w:rPr>
            </w:pPr>
          </w:p>
        </w:tc>
        <w:tc>
          <w:tcPr>
            <w:tcW w:w="760" w:type="dxa"/>
          </w:tcPr>
          <w:p w14:paraId="5FD81C2B" w14:textId="77777777" w:rsidR="00A320E6" w:rsidRDefault="00A320E6" w:rsidP="00431106">
            <w:pPr>
              <w:pStyle w:val="a5"/>
              <w:spacing w:line="360" w:lineRule="auto"/>
              <w:ind w:left="0"/>
              <w:rPr>
                <w:sz w:val="18"/>
                <w:szCs w:val="18"/>
                <w:lang w:val="en-US" w:eastAsia="zh-Hans"/>
              </w:rPr>
            </w:pPr>
          </w:p>
        </w:tc>
      </w:tr>
      <w:tr w:rsidR="00A320E6" w14:paraId="7C2F218C" w14:textId="77777777">
        <w:trPr>
          <w:jc w:val="center"/>
        </w:trPr>
        <w:tc>
          <w:tcPr>
            <w:tcW w:w="1534" w:type="dxa"/>
          </w:tcPr>
          <w:p w14:paraId="0314F395"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六</w:t>
            </w:r>
          </w:p>
        </w:tc>
        <w:tc>
          <w:tcPr>
            <w:tcW w:w="696" w:type="dxa"/>
          </w:tcPr>
          <w:p w14:paraId="55D146B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58939B0F"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31B06A3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57E86D31"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10" w:type="dxa"/>
          </w:tcPr>
          <w:p w14:paraId="0AB1D22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936" w:type="dxa"/>
          </w:tcPr>
          <w:p w14:paraId="62D73A51"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0.25</w:t>
            </w:r>
          </w:p>
        </w:tc>
        <w:tc>
          <w:tcPr>
            <w:tcW w:w="840" w:type="dxa"/>
          </w:tcPr>
          <w:p w14:paraId="75E518B4" w14:textId="77777777" w:rsidR="00A320E6" w:rsidRDefault="00A320E6" w:rsidP="00431106">
            <w:pPr>
              <w:pStyle w:val="a5"/>
              <w:spacing w:line="360" w:lineRule="auto"/>
              <w:ind w:left="0"/>
              <w:rPr>
                <w:sz w:val="18"/>
                <w:szCs w:val="18"/>
                <w:lang w:val="en-US" w:eastAsia="zh-Hans"/>
              </w:rPr>
            </w:pPr>
          </w:p>
        </w:tc>
        <w:tc>
          <w:tcPr>
            <w:tcW w:w="774" w:type="dxa"/>
          </w:tcPr>
          <w:p w14:paraId="70F1A514" w14:textId="77777777" w:rsidR="00A320E6" w:rsidRDefault="00A320E6" w:rsidP="00431106">
            <w:pPr>
              <w:pStyle w:val="a5"/>
              <w:spacing w:line="360" w:lineRule="auto"/>
              <w:ind w:left="0"/>
              <w:rPr>
                <w:sz w:val="18"/>
                <w:szCs w:val="18"/>
                <w:lang w:val="en-US" w:eastAsia="zh-Hans"/>
              </w:rPr>
            </w:pPr>
          </w:p>
        </w:tc>
        <w:tc>
          <w:tcPr>
            <w:tcW w:w="760" w:type="dxa"/>
          </w:tcPr>
          <w:p w14:paraId="0156DB7E" w14:textId="77777777" w:rsidR="00A320E6" w:rsidRDefault="00A320E6" w:rsidP="00431106">
            <w:pPr>
              <w:pStyle w:val="a5"/>
              <w:spacing w:line="360" w:lineRule="auto"/>
              <w:ind w:left="0"/>
              <w:rPr>
                <w:sz w:val="18"/>
                <w:szCs w:val="18"/>
                <w:lang w:val="en-US" w:eastAsia="zh-Hans"/>
              </w:rPr>
            </w:pPr>
          </w:p>
        </w:tc>
      </w:tr>
      <w:tr w:rsidR="00A320E6" w14:paraId="07BDDD12" w14:textId="77777777">
        <w:trPr>
          <w:jc w:val="center"/>
        </w:trPr>
        <w:tc>
          <w:tcPr>
            <w:tcW w:w="1534" w:type="dxa"/>
          </w:tcPr>
          <w:p w14:paraId="3727019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七</w:t>
            </w:r>
          </w:p>
        </w:tc>
        <w:tc>
          <w:tcPr>
            <w:tcW w:w="696" w:type="dxa"/>
          </w:tcPr>
          <w:p w14:paraId="6E746A99"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032A55A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0A2410FB"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24AC1A98"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10" w:type="dxa"/>
          </w:tcPr>
          <w:p w14:paraId="79850688"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936" w:type="dxa"/>
          </w:tcPr>
          <w:p w14:paraId="7F5891BE"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1</w:t>
            </w:r>
          </w:p>
        </w:tc>
        <w:tc>
          <w:tcPr>
            <w:tcW w:w="840" w:type="dxa"/>
          </w:tcPr>
          <w:p w14:paraId="03DC11B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774" w:type="dxa"/>
          </w:tcPr>
          <w:p w14:paraId="2C9FB441" w14:textId="77777777" w:rsidR="00A320E6" w:rsidRDefault="00A320E6" w:rsidP="00431106">
            <w:pPr>
              <w:pStyle w:val="a5"/>
              <w:spacing w:line="360" w:lineRule="auto"/>
              <w:ind w:left="0"/>
              <w:rPr>
                <w:sz w:val="18"/>
                <w:szCs w:val="18"/>
                <w:lang w:val="en-US" w:eastAsia="zh-Hans"/>
              </w:rPr>
            </w:pPr>
          </w:p>
        </w:tc>
        <w:tc>
          <w:tcPr>
            <w:tcW w:w="760" w:type="dxa"/>
          </w:tcPr>
          <w:p w14:paraId="05D2EC3F" w14:textId="77777777" w:rsidR="00A320E6" w:rsidRDefault="00A320E6" w:rsidP="00431106">
            <w:pPr>
              <w:pStyle w:val="a5"/>
              <w:spacing w:line="360" w:lineRule="auto"/>
              <w:ind w:left="0"/>
              <w:rPr>
                <w:sz w:val="18"/>
                <w:szCs w:val="18"/>
                <w:lang w:val="en-US" w:eastAsia="zh-Hans"/>
              </w:rPr>
            </w:pPr>
          </w:p>
        </w:tc>
      </w:tr>
      <w:tr w:rsidR="00A320E6" w14:paraId="70225DD4" w14:textId="77777777">
        <w:trPr>
          <w:jc w:val="center"/>
        </w:trPr>
        <w:tc>
          <w:tcPr>
            <w:tcW w:w="1534" w:type="dxa"/>
          </w:tcPr>
          <w:p w14:paraId="19D6A726"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八</w:t>
            </w:r>
          </w:p>
        </w:tc>
        <w:tc>
          <w:tcPr>
            <w:tcW w:w="696" w:type="dxa"/>
          </w:tcPr>
          <w:p w14:paraId="5AD72BB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0BB47C8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2618E16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238B7739"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10" w:type="dxa"/>
          </w:tcPr>
          <w:p w14:paraId="38697A88"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936" w:type="dxa"/>
          </w:tcPr>
          <w:p w14:paraId="418E8F6B"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1</w:t>
            </w:r>
          </w:p>
        </w:tc>
        <w:tc>
          <w:tcPr>
            <w:tcW w:w="840" w:type="dxa"/>
          </w:tcPr>
          <w:p w14:paraId="1520D7D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0.5</w:t>
            </w:r>
          </w:p>
        </w:tc>
        <w:tc>
          <w:tcPr>
            <w:tcW w:w="774" w:type="dxa"/>
          </w:tcPr>
          <w:p w14:paraId="2803F52B"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760" w:type="dxa"/>
          </w:tcPr>
          <w:p w14:paraId="3AE14BB6" w14:textId="77777777" w:rsidR="00A320E6" w:rsidRDefault="00A320E6" w:rsidP="00431106">
            <w:pPr>
              <w:pStyle w:val="a5"/>
              <w:spacing w:line="360" w:lineRule="auto"/>
              <w:ind w:left="0"/>
              <w:rPr>
                <w:sz w:val="18"/>
                <w:szCs w:val="18"/>
                <w:lang w:val="en-US" w:eastAsia="zh-Hans"/>
              </w:rPr>
            </w:pPr>
          </w:p>
        </w:tc>
      </w:tr>
      <w:tr w:rsidR="00A320E6" w14:paraId="514B1E5B" w14:textId="77777777">
        <w:trPr>
          <w:jc w:val="center"/>
        </w:trPr>
        <w:tc>
          <w:tcPr>
            <w:tcW w:w="1534" w:type="dxa"/>
          </w:tcPr>
          <w:p w14:paraId="7176909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九</w:t>
            </w:r>
          </w:p>
        </w:tc>
        <w:tc>
          <w:tcPr>
            <w:tcW w:w="696" w:type="dxa"/>
          </w:tcPr>
          <w:p w14:paraId="6C96C7F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c>
          <w:tcPr>
            <w:tcW w:w="858" w:type="dxa"/>
          </w:tcPr>
          <w:p w14:paraId="6F81AB49"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858" w:type="dxa"/>
          </w:tcPr>
          <w:p w14:paraId="5C95130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60" w:type="dxa"/>
          </w:tcPr>
          <w:p w14:paraId="5E077843"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3</w:t>
            </w:r>
          </w:p>
        </w:tc>
        <w:tc>
          <w:tcPr>
            <w:tcW w:w="810" w:type="dxa"/>
          </w:tcPr>
          <w:p w14:paraId="5F9D8D30"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2</w:t>
            </w:r>
          </w:p>
        </w:tc>
        <w:tc>
          <w:tcPr>
            <w:tcW w:w="936" w:type="dxa"/>
          </w:tcPr>
          <w:p w14:paraId="3A3E4507"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1</w:t>
            </w:r>
          </w:p>
        </w:tc>
        <w:tc>
          <w:tcPr>
            <w:tcW w:w="840" w:type="dxa"/>
          </w:tcPr>
          <w:p w14:paraId="01EAE82D"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0.5</w:t>
            </w:r>
          </w:p>
        </w:tc>
        <w:tc>
          <w:tcPr>
            <w:tcW w:w="774" w:type="dxa"/>
          </w:tcPr>
          <w:p w14:paraId="2BD9B687"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0.5</w:t>
            </w:r>
          </w:p>
        </w:tc>
        <w:tc>
          <w:tcPr>
            <w:tcW w:w="760" w:type="dxa"/>
          </w:tcPr>
          <w:p w14:paraId="5A3C2B04" w14:textId="77777777" w:rsidR="00A320E6" w:rsidRDefault="00000000" w:rsidP="00431106">
            <w:pPr>
              <w:pStyle w:val="a5"/>
              <w:spacing w:line="360" w:lineRule="auto"/>
              <w:ind w:left="0"/>
              <w:rPr>
                <w:sz w:val="18"/>
                <w:szCs w:val="18"/>
                <w:lang w:val="en-US" w:eastAsia="zh-Hans"/>
              </w:rPr>
            </w:pPr>
            <w:r>
              <w:rPr>
                <w:rFonts w:hint="eastAsia"/>
                <w:sz w:val="18"/>
                <w:szCs w:val="18"/>
                <w:lang w:val="en-US" w:eastAsia="zh-Hans"/>
              </w:rPr>
              <w:t>0</w:t>
            </w:r>
          </w:p>
        </w:tc>
      </w:tr>
    </w:tbl>
    <w:p w14:paraId="49D8641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注：1.凡起脊的瓦屋（不含阁楼）面顶层修正系数加0.5；</w:t>
      </w:r>
    </w:p>
    <w:p w14:paraId="0D84E12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lastRenderedPageBreak/>
        <w:t>2.自然层次按照实际层次计；</w:t>
      </w:r>
    </w:p>
    <w:p w14:paraId="3DBE9FB6"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3.胶州市、平度市、莱西市可参照此表结合本市具体情况另行制订，并报市房屋征收部门备案。</w:t>
      </w:r>
    </w:p>
    <w:p w14:paraId="5501DD56"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附件2</w:t>
      </w:r>
    </w:p>
    <w:p w14:paraId="43950C60"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征收住宅房屋座落朝向修正系数表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420"/>
        <w:gridCol w:w="1420"/>
        <w:gridCol w:w="1421"/>
        <w:gridCol w:w="1421"/>
      </w:tblGrid>
      <w:tr w:rsidR="00A320E6" w14:paraId="2209BD46" w14:textId="77777777">
        <w:trPr>
          <w:jc w:val="center"/>
        </w:trPr>
        <w:tc>
          <w:tcPr>
            <w:tcW w:w="1817" w:type="dxa"/>
            <w:vAlign w:val="center"/>
          </w:tcPr>
          <w:p w14:paraId="48089A70"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朝向</w:t>
            </w:r>
          </w:p>
        </w:tc>
        <w:tc>
          <w:tcPr>
            <w:tcW w:w="1420" w:type="dxa"/>
            <w:vAlign w:val="center"/>
          </w:tcPr>
          <w:p w14:paraId="0D19932E"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东向</w:t>
            </w:r>
          </w:p>
        </w:tc>
        <w:tc>
          <w:tcPr>
            <w:tcW w:w="1420" w:type="dxa"/>
            <w:vAlign w:val="center"/>
          </w:tcPr>
          <w:p w14:paraId="2930130B"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南向</w:t>
            </w:r>
          </w:p>
        </w:tc>
        <w:tc>
          <w:tcPr>
            <w:tcW w:w="1421" w:type="dxa"/>
            <w:vAlign w:val="center"/>
          </w:tcPr>
          <w:p w14:paraId="345763D7"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西向</w:t>
            </w:r>
          </w:p>
        </w:tc>
        <w:tc>
          <w:tcPr>
            <w:tcW w:w="1421" w:type="dxa"/>
            <w:vAlign w:val="center"/>
          </w:tcPr>
          <w:p w14:paraId="179DF697"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北向</w:t>
            </w:r>
          </w:p>
        </w:tc>
      </w:tr>
      <w:tr w:rsidR="00A320E6" w14:paraId="73ABF8F7" w14:textId="77777777">
        <w:trPr>
          <w:jc w:val="center"/>
        </w:trPr>
        <w:tc>
          <w:tcPr>
            <w:tcW w:w="1817" w:type="dxa"/>
            <w:vAlign w:val="center"/>
          </w:tcPr>
          <w:p w14:paraId="6AAEE5AB"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系数（％）</w:t>
            </w:r>
          </w:p>
        </w:tc>
        <w:tc>
          <w:tcPr>
            <w:tcW w:w="1420" w:type="dxa"/>
            <w:vAlign w:val="center"/>
          </w:tcPr>
          <w:p w14:paraId="52ADB6A6"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3</w:t>
            </w:r>
          </w:p>
        </w:tc>
        <w:tc>
          <w:tcPr>
            <w:tcW w:w="1420" w:type="dxa"/>
            <w:vAlign w:val="center"/>
          </w:tcPr>
          <w:p w14:paraId="6D44DCDD"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5</w:t>
            </w:r>
          </w:p>
        </w:tc>
        <w:tc>
          <w:tcPr>
            <w:tcW w:w="1421" w:type="dxa"/>
            <w:vAlign w:val="center"/>
          </w:tcPr>
          <w:p w14:paraId="05D9ECF8"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2</w:t>
            </w:r>
          </w:p>
        </w:tc>
        <w:tc>
          <w:tcPr>
            <w:tcW w:w="1421" w:type="dxa"/>
            <w:vAlign w:val="center"/>
          </w:tcPr>
          <w:p w14:paraId="1464A21D" w14:textId="77777777" w:rsidR="00A320E6" w:rsidRDefault="00000000" w:rsidP="00AE0286">
            <w:pPr>
              <w:jc w:val="center"/>
              <w:rPr>
                <w:rFonts w:ascii="宋体" w:hAnsi="宋体" w:cs="宋体"/>
                <w:color w:val="000000"/>
                <w:kern w:val="0"/>
                <w:szCs w:val="21"/>
                <w:lang w:eastAsia="zh-Hans"/>
              </w:rPr>
            </w:pPr>
            <w:r>
              <w:rPr>
                <w:rFonts w:ascii="宋体" w:hAnsi="宋体" w:cs="宋体" w:hint="eastAsia"/>
                <w:color w:val="000000"/>
                <w:kern w:val="0"/>
                <w:szCs w:val="21"/>
                <w:lang w:eastAsia="zh-Hans"/>
              </w:rPr>
              <w:t>0</w:t>
            </w:r>
          </w:p>
        </w:tc>
      </w:tr>
    </w:tbl>
    <w:p w14:paraId="277B120B"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注：1.朝向：</w:t>
      </w:r>
    </w:p>
    <w:p w14:paraId="377002A5"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东向：包括正东～东南45°范围（含正东）；</w:t>
      </w:r>
    </w:p>
    <w:p w14:paraId="5F2234D4"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南向：包括东南45°～西南45°范围（含东南、西南）；</w:t>
      </w:r>
    </w:p>
    <w:p w14:paraId="3E518E65"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西向：包括西南～正西45°范围（含正西）；</w:t>
      </w:r>
    </w:p>
    <w:p w14:paraId="59D08950"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北向：包括西～西北～北～东北～东180°范围（不含正东、正西）以及无窗和挡光严重的窗；</w:t>
      </w:r>
    </w:p>
    <w:p w14:paraId="3030ACFD"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2.整套房屋朝向系数按各居室最佳朝向系数取算术平均值；</w:t>
      </w:r>
    </w:p>
    <w:p w14:paraId="5669211A"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3.一间居室有2个或2个以上窗户的，以朝向好、系数高的为准。</w:t>
      </w:r>
    </w:p>
    <w:p w14:paraId="1A27CF5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4.计算公式：基准价格乘以楼层修正系数与朝向修正系数之和。</w:t>
      </w:r>
    </w:p>
    <w:p w14:paraId="04492D5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5.胶州市、平度市、莱西市可参照此表结合本市具体情况另行制订，并报市房屋征收部门备案。</w:t>
      </w:r>
    </w:p>
    <w:p w14:paraId="065D576C" w14:textId="77777777" w:rsidR="00A320E6" w:rsidRDefault="00000000" w:rsidP="00AE0286">
      <w:pPr>
        <w:tabs>
          <w:tab w:val="left" w:pos="720"/>
        </w:tabs>
        <w:rPr>
          <w:rFonts w:ascii="黑体" w:eastAsia="黑体" w:hAnsi="宋体"/>
          <w:color w:val="000000"/>
          <w:szCs w:val="32"/>
        </w:rPr>
      </w:pPr>
      <w:r>
        <w:rPr>
          <w:rFonts w:ascii="黑体" w:eastAsia="黑体" w:hAnsi="宋体" w:hint="eastAsia"/>
          <w:color w:val="000000"/>
          <w:szCs w:val="32"/>
        </w:rPr>
        <w:t>附件3</w:t>
      </w:r>
    </w:p>
    <w:p w14:paraId="45EF8487" w14:textId="77777777" w:rsidR="00A320E6" w:rsidRDefault="00000000" w:rsidP="00AE0286">
      <w:pPr>
        <w:tabs>
          <w:tab w:val="left" w:pos="720"/>
        </w:tabs>
        <w:jc w:val="center"/>
        <w:rPr>
          <w:rFonts w:ascii="宋体" w:hAnsi="宋体" w:cs="宋体"/>
          <w:color w:val="000000"/>
          <w:sz w:val="24"/>
          <w:szCs w:val="24"/>
        </w:rPr>
      </w:pPr>
      <w:r>
        <w:rPr>
          <w:rFonts w:ascii="宋体" w:hAnsi="宋体" w:cs="宋体" w:hint="eastAsia"/>
          <w:color w:val="000000"/>
          <w:sz w:val="24"/>
          <w:szCs w:val="24"/>
        </w:rPr>
        <w:t>青岛市高层建筑楼层修正系数表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941"/>
        <w:gridCol w:w="636"/>
        <w:gridCol w:w="719"/>
        <w:gridCol w:w="713"/>
        <w:gridCol w:w="711"/>
        <w:gridCol w:w="854"/>
        <w:gridCol w:w="850"/>
        <w:gridCol w:w="951"/>
        <w:gridCol w:w="1266"/>
        <w:gridCol w:w="872"/>
      </w:tblGrid>
      <w:tr w:rsidR="00A320E6" w14:paraId="1C1CB76A" w14:textId="77777777">
        <w:trPr>
          <w:jc w:val="center"/>
        </w:trPr>
        <w:tc>
          <w:tcPr>
            <w:tcW w:w="278" w:type="pct"/>
            <w:tcMar>
              <w:top w:w="0" w:type="dxa"/>
              <w:left w:w="108" w:type="dxa"/>
              <w:bottom w:w="0" w:type="dxa"/>
              <w:right w:w="108" w:type="dxa"/>
            </w:tcMar>
            <w:vAlign w:val="center"/>
          </w:tcPr>
          <w:p w14:paraId="10BC150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层数</w:t>
            </w:r>
          </w:p>
        </w:tc>
        <w:tc>
          <w:tcPr>
            <w:tcW w:w="572" w:type="pct"/>
            <w:tcMar>
              <w:top w:w="0" w:type="dxa"/>
              <w:left w:w="108" w:type="dxa"/>
              <w:bottom w:w="0" w:type="dxa"/>
              <w:right w:w="108" w:type="dxa"/>
            </w:tcMar>
            <w:vAlign w:val="center"/>
          </w:tcPr>
          <w:p w14:paraId="1A7F42D3"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w:t>
            </w:r>
          </w:p>
        </w:tc>
        <w:tc>
          <w:tcPr>
            <w:tcW w:w="211" w:type="pct"/>
            <w:tcMar>
              <w:top w:w="0" w:type="dxa"/>
              <w:left w:w="108" w:type="dxa"/>
              <w:bottom w:w="0" w:type="dxa"/>
              <w:right w:w="108" w:type="dxa"/>
            </w:tcMar>
            <w:vAlign w:val="center"/>
          </w:tcPr>
          <w:p w14:paraId="1F33629C"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2</w:t>
            </w:r>
          </w:p>
        </w:tc>
        <w:tc>
          <w:tcPr>
            <w:tcW w:w="445" w:type="pct"/>
            <w:tcMar>
              <w:top w:w="0" w:type="dxa"/>
              <w:left w:w="108" w:type="dxa"/>
              <w:bottom w:w="0" w:type="dxa"/>
              <w:right w:w="108" w:type="dxa"/>
            </w:tcMar>
            <w:vAlign w:val="center"/>
          </w:tcPr>
          <w:p w14:paraId="115AB8DE"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w:t>
            </w:r>
          </w:p>
        </w:tc>
        <w:tc>
          <w:tcPr>
            <w:tcW w:w="442" w:type="pct"/>
            <w:tcMar>
              <w:top w:w="0" w:type="dxa"/>
              <w:left w:w="108" w:type="dxa"/>
              <w:bottom w:w="0" w:type="dxa"/>
              <w:right w:w="108" w:type="dxa"/>
            </w:tcMar>
            <w:vAlign w:val="center"/>
          </w:tcPr>
          <w:p w14:paraId="6072C6FB"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4</w:t>
            </w:r>
          </w:p>
        </w:tc>
        <w:tc>
          <w:tcPr>
            <w:tcW w:w="440" w:type="pct"/>
            <w:tcMar>
              <w:top w:w="0" w:type="dxa"/>
              <w:left w:w="108" w:type="dxa"/>
              <w:bottom w:w="0" w:type="dxa"/>
              <w:right w:w="108" w:type="dxa"/>
            </w:tcMar>
            <w:vAlign w:val="center"/>
          </w:tcPr>
          <w:p w14:paraId="2E487D13"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5</w:t>
            </w:r>
          </w:p>
        </w:tc>
        <w:tc>
          <w:tcPr>
            <w:tcW w:w="519" w:type="pct"/>
            <w:tcMar>
              <w:top w:w="0" w:type="dxa"/>
              <w:left w:w="108" w:type="dxa"/>
              <w:bottom w:w="0" w:type="dxa"/>
              <w:right w:w="108" w:type="dxa"/>
            </w:tcMar>
            <w:vAlign w:val="center"/>
          </w:tcPr>
          <w:p w14:paraId="2DF31F57"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6</w:t>
            </w:r>
          </w:p>
        </w:tc>
        <w:tc>
          <w:tcPr>
            <w:tcW w:w="517" w:type="pct"/>
            <w:tcMar>
              <w:top w:w="0" w:type="dxa"/>
              <w:left w:w="108" w:type="dxa"/>
              <w:bottom w:w="0" w:type="dxa"/>
              <w:right w:w="108" w:type="dxa"/>
            </w:tcMar>
            <w:vAlign w:val="center"/>
          </w:tcPr>
          <w:p w14:paraId="6306137C"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7</w:t>
            </w:r>
          </w:p>
        </w:tc>
        <w:tc>
          <w:tcPr>
            <w:tcW w:w="523" w:type="pct"/>
            <w:tcMar>
              <w:top w:w="0" w:type="dxa"/>
              <w:left w:w="108" w:type="dxa"/>
              <w:bottom w:w="0" w:type="dxa"/>
              <w:right w:w="108" w:type="dxa"/>
            </w:tcMar>
            <w:vAlign w:val="center"/>
          </w:tcPr>
          <w:p w14:paraId="7B2675CD"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8</w:t>
            </w:r>
          </w:p>
        </w:tc>
        <w:tc>
          <w:tcPr>
            <w:tcW w:w="519" w:type="pct"/>
            <w:tcMar>
              <w:top w:w="0" w:type="dxa"/>
              <w:left w:w="108" w:type="dxa"/>
              <w:bottom w:w="0" w:type="dxa"/>
              <w:right w:w="108" w:type="dxa"/>
            </w:tcMar>
            <w:vAlign w:val="center"/>
          </w:tcPr>
          <w:p w14:paraId="0D82400C"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9</w:t>
            </w:r>
          </w:p>
        </w:tc>
        <w:tc>
          <w:tcPr>
            <w:tcW w:w="529" w:type="pct"/>
            <w:tcMar>
              <w:top w:w="0" w:type="dxa"/>
              <w:left w:w="108" w:type="dxa"/>
              <w:bottom w:w="0" w:type="dxa"/>
              <w:right w:w="108" w:type="dxa"/>
            </w:tcMar>
            <w:vAlign w:val="center"/>
          </w:tcPr>
          <w:p w14:paraId="58DFC887"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10</w:t>
            </w:r>
          </w:p>
        </w:tc>
      </w:tr>
      <w:tr w:rsidR="00A320E6" w14:paraId="40D53F97" w14:textId="77777777">
        <w:trPr>
          <w:jc w:val="center"/>
        </w:trPr>
        <w:tc>
          <w:tcPr>
            <w:tcW w:w="278" w:type="pct"/>
            <w:tcMar>
              <w:top w:w="0" w:type="dxa"/>
              <w:left w:w="108" w:type="dxa"/>
              <w:bottom w:w="0" w:type="dxa"/>
              <w:right w:w="108" w:type="dxa"/>
            </w:tcMar>
            <w:vAlign w:val="center"/>
          </w:tcPr>
          <w:p w14:paraId="14B52538"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系数</w:t>
            </w:r>
          </w:p>
        </w:tc>
        <w:tc>
          <w:tcPr>
            <w:tcW w:w="572" w:type="pct"/>
            <w:tcMar>
              <w:top w:w="0" w:type="dxa"/>
              <w:left w:w="108" w:type="dxa"/>
              <w:bottom w:w="0" w:type="dxa"/>
              <w:right w:w="108" w:type="dxa"/>
            </w:tcMar>
            <w:vAlign w:val="center"/>
          </w:tcPr>
          <w:p w14:paraId="0461824E" w14:textId="77777777" w:rsidR="00A320E6" w:rsidRDefault="00000000" w:rsidP="00AE0286">
            <w:pPr>
              <w:spacing w:line="326" w:lineRule="atLeast"/>
              <w:rPr>
                <w:rFonts w:ascii="宋体" w:hAnsi="宋体" w:cs="宋体"/>
                <w:color w:val="000000"/>
                <w:kern w:val="0"/>
                <w:szCs w:val="21"/>
              </w:rPr>
            </w:pPr>
            <w:r>
              <w:rPr>
                <w:rFonts w:ascii="宋体" w:hAnsi="宋体" w:cs="宋体" w:hint="eastAsia"/>
                <w:color w:val="000000"/>
                <w:kern w:val="0"/>
                <w:szCs w:val="21"/>
              </w:rPr>
              <w:t>-1％</w:t>
            </w:r>
          </w:p>
        </w:tc>
        <w:tc>
          <w:tcPr>
            <w:tcW w:w="211" w:type="pct"/>
            <w:tcMar>
              <w:top w:w="0" w:type="dxa"/>
              <w:left w:w="108" w:type="dxa"/>
              <w:bottom w:w="0" w:type="dxa"/>
              <w:right w:w="108" w:type="dxa"/>
            </w:tcMar>
            <w:vAlign w:val="center"/>
          </w:tcPr>
          <w:p w14:paraId="2BD09D37"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0</w:t>
            </w:r>
          </w:p>
        </w:tc>
        <w:tc>
          <w:tcPr>
            <w:tcW w:w="445" w:type="pct"/>
            <w:tcMar>
              <w:top w:w="0" w:type="dxa"/>
              <w:left w:w="108" w:type="dxa"/>
              <w:bottom w:w="0" w:type="dxa"/>
              <w:right w:w="108" w:type="dxa"/>
            </w:tcMar>
            <w:vAlign w:val="center"/>
          </w:tcPr>
          <w:p w14:paraId="7D2C0744"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w:t>
            </w:r>
          </w:p>
        </w:tc>
        <w:tc>
          <w:tcPr>
            <w:tcW w:w="442" w:type="pct"/>
            <w:tcMar>
              <w:top w:w="0" w:type="dxa"/>
              <w:left w:w="108" w:type="dxa"/>
              <w:bottom w:w="0" w:type="dxa"/>
              <w:right w:w="108" w:type="dxa"/>
            </w:tcMar>
            <w:vAlign w:val="center"/>
          </w:tcPr>
          <w:p w14:paraId="1D1FB610"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6‰</w:t>
            </w:r>
          </w:p>
        </w:tc>
        <w:tc>
          <w:tcPr>
            <w:tcW w:w="440" w:type="pct"/>
            <w:tcMar>
              <w:top w:w="0" w:type="dxa"/>
              <w:left w:w="108" w:type="dxa"/>
              <w:bottom w:w="0" w:type="dxa"/>
              <w:right w:w="108" w:type="dxa"/>
            </w:tcMar>
            <w:vAlign w:val="center"/>
          </w:tcPr>
          <w:p w14:paraId="64984F1D"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9‰</w:t>
            </w:r>
          </w:p>
        </w:tc>
        <w:tc>
          <w:tcPr>
            <w:tcW w:w="519" w:type="pct"/>
            <w:tcMar>
              <w:top w:w="0" w:type="dxa"/>
              <w:left w:w="108" w:type="dxa"/>
              <w:bottom w:w="0" w:type="dxa"/>
              <w:right w:w="108" w:type="dxa"/>
            </w:tcMar>
            <w:vAlign w:val="center"/>
          </w:tcPr>
          <w:p w14:paraId="421FFA6E"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12‰</w:t>
            </w:r>
          </w:p>
        </w:tc>
        <w:tc>
          <w:tcPr>
            <w:tcW w:w="517" w:type="pct"/>
            <w:tcMar>
              <w:top w:w="0" w:type="dxa"/>
              <w:left w:w="108" w:type="dxa"/>
              <w:bottom w:w="0" w:type="dxa"/>
              <w:right w:w="108" w:type="dxa"/>
            </w:tcMar>
            <w:vAlign w:val="center"/>
          </w:tcPr>
          <w:p w14:paraId="5FD72134"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15‰</w:t>
            </w:r>
          </w:p>
        </w:tc>
        <w:tc>
          <w:tcPr>
            <w:tcW w:w="523" w:type="pct"/>
            <w:tcMar>
              <w:top w:w="0" w:type="dxa"/>
              <w:left w:w="108" w:type="dxa"/>
              <w:bottom w:w="0" w:type="dxa"/>
              <w:right w:w="108" w:type="dxa"/>
            </w:tcMar>
            <w:vAlign w:val="center"/>
          </w:tcPr>
          <w:p w14:paraId="5B21C08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18‰</w:t>
            </w:r>
          </w:p>
        </w:tc>
        <w:tc>
          <w:tcPr>
            <w:tcW w:w="519" w:type="pct"/>
            <w:tcMar>
              <w:top w:w="0" w:type="dxa"/>
              <w:left w:w="108" w:type="dxa"/>
              <w:bottom w:w="0" w:type="dxa"/>
              <w:right w:w="108" w:type="dxa"/>
            </w:tcMar>
            <w:vAlign w:val="center"/>
          </w:tcPr>
          <w:p w14:paraId="38E3BF74"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21‰</w:t>
            </w:r>
          </w:p>
        </w:tc>
        <w:tc>
          <w:tcPr>
            <w:tcW w:w="529" w:type="pct"/>
            <w:tcMar>
              <w:top w:w="0" w:type="dxa"/>
              <w:left w:w="108" w:type="dxa"/>
              <w:bottom w:w="0" w:type="dxa"/>
              <w:right w:w="108" w:type="dxa"/>
            </w:tcMar>
            <w:vAlign w:val="center"/>
          </w:tcPr>
          <w:p w14:paraId="143498C3"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24‰</w:t>
            </w:r>
          </w:p>
        </w:tc>
      </w:tr>
      <w:tr w:rsidR="00A320E6" w14:paraId="3965A388" w14:textId="77777777">
        <w:trPr>
          <w:jc w:val="center"/>
        </w:trPr>
        <w:tc>
          <w:tcPr>
            <w:tcW w:w="278" w:type="pct"/>
            <w:tcMar>
              <w:top w:w="0" w:type="dxa"/>
              <w:left w:w="108" w:type="dxa"/>
              <w:bottom w:w="0" w:type="dxa"/>
              <w:right w:w="108" w:type="dxa"/>
            </w:tcMar>
            <w:vAlign w:val="center"/>
          </w:tcPr>
          <w:p w14:paraId="4FF55A0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层数</w:t>
            </w:r>
          </w:p>
        </w:tc>
        <w:tc>
          <w:tcPr>
            <w:tcW w:w="572" w:type="pct"/>
            <w:tcMar>
              <w:top w:w="0" w:type="dxa"/>
              <w:left w:w="108" w:type="dxa"/>
              <w:bottom w:w="0" w:type="dxa"/>
              <w:right w:w="108" w:type="dxa"/>
            </w:tcMar>
            <w:vAlign w:val="center"/>
          </w:tcPr>
          <w:p w14:paraId="128B6DAD"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10</w:t>
            </w:r>
          </w:p>
        </w:tc>
        <w:tc>
          <w:tcPr>
            <w:tcW w:w="211" w:type="pct"/>
            <w:tcMar>
              <w:top w:w="0" w:type="dxa"/>
              <w:left w:w="108" w:type="dxa"/>
              <w:bottom w:w="0" w:type="dxa"/>
              <w:right w:w="108" w:type="dxa"/>
            </w:tcMar>
            <w:vAlign w:val="center"/>
          </w:tcPr>
          <w:p w14:paraId="09FB42FE"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11</w:t>
            </w:r>
          </w:p>
        </w:tc>
        <w:tc>
          <w:tcPr>
            <w:tcW w:w="445" w:type="pct"/>
            <w:tcMar>
              <w:top w:w="0" w:type="dxa"/>
              <w:left w:w="108" w:type="dxa"/>
              <w:bottom w:w="0" w:type="dxa"/>
              <w:right w:w="108" w:type="dxa"/>
            </w:tcMar>
            <w:vAlign w:val="center"/>
          </w:tcPr>
          <w:p w14:paraId="0745C625"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12</w:t>
            </w:r>
          </w:p>
        </w:tc>
        <w:tc>
          <w:tcPr>
            <w:tcW w:w="442" w:type="pct"/>
            <w:tcMar>
              <w:top w:w="0" w:type="dxa"/>
              <w:left w:w="108" w:type="dxa"/>
              <w:bottom w:w="0" w:type="dxa"/>
              <w:right w:w="108" w:type="dxa"/>
            </w:tcMar>
            <w:vAlign w:val="center"/>
          </w:tcPr>
          <w:p w14:paraId="1ACF31F1"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13</w:t>
            </w:r>
          </w:p>
        </w:tc>
        <w:tc>
          <w:tcPr>
            <w:tcW w:w="440" w:type="pct"/>
            <w:tcMar>
              <w:top w:w="0" w:type="dxa"/>
              <w:left w:w="108" w:type="dxa"/>
              <w:bottom w:w="0" w:type="dxa"/>
              <w:right w:w="108" w:type="dxa"/>
            </w:tcMar>
            <w:vAlign w:val="center"/>
          </w:tcPr>
          <w:p w14:paraId="19BB9C61"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14</w:t>
            </w:r>
          </w:p>
        </w:tc>
        <w:tc>
          <w:tcPr>
            <w:tcW w:w="519" w:type="pct"/>
            <w:tcMar>
              <w:top w:w="0" w:type="dxa"/>
              <w:left w:w="108" w:type="dxa"/>
              <w:bottom w:w="0" w:type="dxa"/>
              <w:right w:w="108" w:type="dxa"/>
            </w:tcMar>
            <w:vAlign w:val="center"/>
          </w:tcPr>
          <w:p w14:paraId="4D6B070F"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15</w:t>
            </w:r>
          </w:p>
        </w:tc>
        <w:tc>
          <w:tcPr>
            <w:tcW w:w="517" w:type="pct"/>
            <w:tcMar>
              <w:top w:w="0" w:type="dxa"/>
              <w:left w:w="108" w:type="dxa"/>
              <w:bottom w:w="0" w:type="dxa"/>
              <w:right w:w="108" w:type="dxa"/>
            </w:tcMar>
            <w:vAlign w:val="center"/>
          </w:tcPr>
          <w:p w14:paraId="1DFAB1C7"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w:t>
            </w:r>
          </w:p>
        </w:tc>
        <w:tc>
          <w:tcPr>
            <w:tcW w:w="523" w:type="pct"/>
            <w:tcMar>
              <w:top w:w="0" w:type="dxa"/>
              <w:left w:w="108" w:type="dxa"/>
              <w:bottom w:w="0" w:type="dxa"/>
              <w:right w:w="108" w:type="dxa"/>
            </w:tcMar>
            <w:vAlign w:val="center"/>
          </w:tcPr>
          <w:p w14:paraId="3582E547"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N－1</w:t>
            </w:r>
          </w:p>
        </w:tc>
        <w:tc>
          <w:tcPr>
            <w:tcW w:w="519" w:type="pct"/>
            <w:tcMar>
              <w:top w:w="0" w:type="dxa"/>
              <w:left w:w="108" w:type="dxa"/>
              <w:bottom w:w="0" w:type="dxa"/>
              <w:right w:w="108" w:type="dxa"/>
            </w:tcMar>
            <w:vAlign w:val="center"/>
          </w:tcPr>
          <w:p w14:paraId="79A2A14B"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N</w:t>
            </w:r>
          </w:p>
        </w:tc>
        <w:tc>
          <w:tcPr>
            <w:tcW w:w="529" w:type="pct"/>
            <w:tcMar>
              <w:top w:w="0" w:type="dxa"/>
              <w:left w:w="108" w:type="dxa"/>
              <w:bottom w:w="0" w:type="dxa"/>
              <w:right w:w="108" w:type="dxa"/>
            </w:tcMar>
            <w:vAlign w:val="center"/>
          </w:tcPr>
          <w:p w14:paraId="6F12A58A" w14:textId="77777777" w:rsidR="00A320E6" w:rsidRDefault="00A320E6" w:rsidP="00AE0286">
            <w:pPr>
              <w:spacing w:line="326" w:lineRule="atLeast"/>
              <w:rPr>
                <w:rFonts w:ascii="宋体" w:hAnsi="宋体" w:cs="宋体"/>
                <w:color w:val="000000"/>
                <w:kern w:val="0"/>
                <w:szCs w:val="21"/>
              </w:rPr>
            </w:pPr>
          </w:p>
        </w:tc>
      </w:tr>
      <w:tr w:rsidR="00A320E6" w14:paraId="21935923" w14:textId="77777777">
        <w:trPr>
          <w:jc w:val="center"/>
        </w:trPr>
        <w:tc>
          <w:tcPr>
            <w:tcW w:w="278" w:type="pct"/>
            <w:tcMar>
              <w:top w:w="0" w:type="dxa"/>
              <w:left w:w="108" w:type="dxa"/>
              <w:bottom w:w="0" w:type="dxa"/>
              <w:right w:w="108" w:type="dxa"/>
            </w:tcMar>
            <w:vAlign w:val="center"/>
          </w:tcPr>
          <w:p w14:paraId="0B3F70C0"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系数</w:t>
            </w:r>
          </w:p>
        </w:tc>
        <w:tc>
          <w:tcPr>
            <w:tcW w:w="572" w:type="pct"/>
            <w:tcMar>
              <w:top w:w="0" w:type="dxa"/>
              <w:left w:w="108" w:type="dxa"/>
              <w:bottom w:w="0" w:type="dxa"/>
              <w:right w:w="108" w:type="dxa"/>
            </w:tcMar>
            <w:vAlign w:val="center"/>
          </w:tcPr>
          <w:p w14:paraId="1BD52F2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24‰</w:t>
            </w:r>
          </w:p>
        </w:tc>
        <w:tc>
          <w:tcPr>
            <w:tcW w:w="211" w:type="pct"/>
            <w:tcMar>
              <w:top w:w="0" w:type="dxa"/>
              <w:left w:w="108" w:type="dxa"/>
              <w:bottom w:w="0" w:type="dxa"/>
              <w:right w:w="108" w:type="dxa"/>
            </w:tcMar>
            <w:vAlign w:val="center"/>
          </w:tcPr>
          <w:p w14:paraId="5C7E7D8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27‰</w:t>
            </w:r>
          </w:p>
        </w:tc>
        <w:tc>
          <w:tcPr>
            <w:tcW w:w="445" w:type="pct"/>
            <w:tcMar>
              <w:top w:w="0" w:type="dxa"/>
              <w:left w:w="108" w:type="dxa"/>
              <w:bottom w:w="0" w:type="dxa"/>
              <w:right w:w="108" w:type="dxa"/>
            </w:tcMar>
            <w:vAlign w:val="center"/>
          </w:tcPr>
          <w:p w14:paraId="7BA26AC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30‰</w:t>
            </w:r>
          </w:p>
        </w:tc>
        <w:tc>
          <w:tcPr>
            <w:tcW w:w="442" w:type="pct"/>
            <w:tcMar>
              <w:top w:w="0" w:type="dxa"/>
              <w:left w:w="108" w:type="dxa"/>
              <w:bottom w:w="0" w:type="dxa"/>
              <w:right w:w="108" w:type="dxa"/>
            </w:tcMar>
            <w:vAlign w:val="center"/>
          </w:tcPr>
          <w:p w14:paraId="20E719C1"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33‰</w:t>
            </w:r>
          </w:p>
        </w:tc>
        <w:tc>
          <w:tcPr>
            <w:tcW w:w="440" w:type="pct"/>
            <w:tcMar>
              <w:top w:w="0" w:type="dxa"/>
              <w:left w:w="108" w:type="dxa"/>
              <w:bottom w:w="0" w:type="dxa"/>
              <w:right w:w="108" w:type="dxa"/>
            </w:tcMar>
            <w:vAlign w:val="center"/>
          </w:tcPr>
          <w:p w14:paraId="5CD3C346"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36‰</w:t>
            </w:r>
          </w:p>
        </w:tc>
        <w:tc>
          <w:tcPr>
            <w:tcW w:w="519" w:type="pct"/>
            <w:tcMar>
              <w:top w:w="0" w:type="dxa"/>
              <w:left w:w="108" w:type="dxa"/>
              <w:bottom w:w="0" w:type="dxa"/>
              <w:right w:w="108" w:type="dxa"/>
            </w:tcMar>
            <w:vAlign w:val="center"/>
          </w:tcPr>
          <w:p w14:paraId="42F73D2E"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39‰</w:t>
            </w:r>
          </w:p>
        </w:tc>
        <w:tc>
          <w:tcPr>
            <w:tcW w:w="517" w:type="pct"/>
            <w:tcMar>
              <w:top w:w="0" w:type="dxa"/>
              <w:left w:w="108" w:type="dxa"/>
              <w:bottom w:w="0" w:type="dxa"/>
              <w:right w:w="108" w:type="dxa"/>
            </w:tcMar>
            <w:vAlign w:val="center"/>
          </w:tcPr>
          <w:p w14:paraId="21F2E501"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w:t>
            </w:r>
          </w:p>
        </w:tc>
        <w:tc>
          <w:tcPr>
            <w:tcW w:w="523" w:type="pct"/>
            <w:tcMar>
              <w:top w:w="0" w:type="dxa"/>
              <w:left w:w="108" w:type="dxa"/>
              <w:bottom w:w="0" w:type="dxa"/>
              <w:right w:w="108" w:type="dxa"/>
            </w:tcMar>
            <w:vAlign w:val="center"/>
          </w:tcPr>
          <w:p w14:paraId="7E48224A"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P（n-2）</w:t>
            </w:r>
          </w:p>
        </w:tc>
        <w:tc>
          <w:tcPr>
            <w:tcW w:w="519" w:type="pct"/>
            <w:tcMar>
              <w:top w:w="0" w:type="dxa"/>
              <w:left w:w="108" w:type="dxa"/>
              <w:bottom w:w="0" w:type="dxa"/>
              <w:right w:w="108" w:type="dxa"/>
            </w:tcMar>
            <w:vAlign w:val="center"/>
          </w:tcPr>
          <w:p w14:paraId="3058634D" w14:textId="77777777" w:rsidR="00A320E6" w:rsidRDefault="00000000" w:rsidP="00AE0286">
            <w:pPr>
              <w:spacing w:line="326" w:lineRule="atLeast"/>
              <w:jc w:val="center"/>
              <w:rPr>
                <w:rFonts w:ascii="宋体" w:hAnsi="宋体" w:cs="宋体"/>
                <w:color w:val="000000"/>
                <w:kern w:val="0"/>
                <w:szCs w:val="21"/>
              </w:rPr>
            </w:pPr>
            <w:r>
              <w:rPr>
                <w:rFonts w:ascii="宋体" w:hAnsi="宋体" w:cs="宋体" w:hint="eastAsia"/>
                <w:color w:val="000000"/>
                <w:kern w:val="0"/>
                <w:szCs w:val="21"/>
              </w:rPr>
              <w:t>P(n-2)-6‰</w:t>
            </w:r>
          </w:p>
        </w:tc>
        <w:tc>
          <w:tcPr>
            <w:tcW w:w="529" w:type="pct"/>
            <w:tcMar>
              <w:top w:w="0" w:type="dxa"/>
              <w:left w:w="108" w:type="dxa"/>
              <w:bottom w:w="0" w:type="dxa"/>
              <w:right w:w="108" w:type="dxa"/>
            </w:tcMar>
            <w:vAlign w:val="center"/>
          </w:tcPr>
          <w:p w14:paraId="49E64289" w14:textId="77777777" w:rsidR="00A320E6" w:rsidRDefault="00A320E6" w:rsidP="00AE0286">
            <w:pPr>
              <w:spacing w:line="326" w:lineRule="atLeast"/>
              <w:jc w:val="center"/>
              <w:rPr>
                <w:rFonts w:ascii="宋体" w:hAnsi="宋体" w:cs="宋体"/>
                <w:color w:val="000000"/>
                <w:kern w:val="0"/>
                <w:szCs w:val="21"/>
              </w:rPr>
            </w:pPr>
          </w:p>
        </w:tc>
      </w:tr>
    </w:tbl>
    <w:p w14:paraId="2CCF659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1.3层以上的建筑，楼层修正系数3‰递增；</w:t>
      </w:r>
    </w:p>
    <w:p w14:paraId="2B79FFF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2.1层修正系数为2层修正系数扣减1%；</w:t>
      </w:r>
    </w:p>
    <w:p w14:paraId="025D8EF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3.高层建筑顶层修正系数为下一层修正系数扣减6‰；</w:t>
      </w:r>
    </w:p>
    <w:p w14:paraId="5A4219E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4.N：总楼层，n：实际所在层（n≥2），P：3‰；</w:t>
      </w:r>
    </w:p>
    <w:p w14:paraId="34E7B48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5.胶州市、平度市、莱西市可参照此表结合本市具体情况另行制订，并报市房</w:t>
      </w:r>
      <w:r>
        <w:rPr>
          <w:rFonts w:ascii="宋体" w:hAnsi="宋体" w:cs="宋体" w:hint="eastAsia"/>
          <w:sz w:val="24"/>
          <w:szCs w:val="24"/>
        </w:rPr>
        <w:lastRenderedPageBreak/>
        <w:t>屋征收部门备案。</w:t>
      </w:r>
    </w:p>
    <w:p w14:paraId="38050C63" w14:textId="77777777" w:rsidR="00A320E6" w:rsidRDefault="00000000" w:rsidP="00EC761E">
      <w:pPr>
        <w:pStyle w:val="27"/>
        <w:rPr>
          <w:lang w:eastAsia="zh-Hans"/>
        </w:rPr>
      </w:pPr>
      <w:bookmarkStart w:id="99" w:name="_Toc112227407"/>
      <w:r>
        <w:rPr>
          <w:rFonts w:hint="eastAsia"/>
          <w:lang w:eastAsia="zh-Hans"/>
        </w:rPr>
        <w:t>北京市规范</w:t>
      </w:r>
      <w:bookmarkEnd w:id="99"/>
    </w:p>
    <w:p w14:paraId="34B9030A" w14:textId="77777777" w:rsidR="00A320E6" w:rsidRDefault="00000000" w:rsidP="00F67407">
      <w:pPr>
        <w:keepNext/>
        <w:spacing w:beforeLines="50" w:before="156" w:afterLines="20" w:after="62" w:line="360" w:lineRule="auto"/>
        <w:jc w:val="center"/>
        <w:outlineLvl w:val="2"/>
        <w:rPr>
          <w:rFonts w:ascii="宋体" w:hAnsi="宋体" w:cs="宋体"/>
          <w:b/>
          <w:bCs/>
          <w:sz w:val="24"/>
          <w:szCs w:val="24"/>
        </w:rPr>
      </w:pPr>
      <w:bookmarkStart w:id="100" w:name="_Toc112227408"/>
      <w:r>
        <w:rPr>
          <w:rFonts w:ascii="宋体" w:hAnsi="宋体" w:cs="宋体" w:hint="eastAsia"/>
          <w:b/>
          <w:bCs/>
          <w:sz w:val="24"/>
          <w:szCs w:val="24"/>
        </w:rPr>
        <w:t>北京市国有土地上房屋征收评估暂行办法</w:t>
      </w:r>
      <w:bookmarkEnd w:id="100"/>
    </w:p>
    <w:p w14:paraId="38B65EA4" w14:textId="22D1924B" w:rsidR="00A320E6" w:rsidRDefault="00431106" w:rsidP="00431106">
      <w:pPr>
        <w:pStyle w:val="13"/>
        <w:spacing w:before="62" w:after="62"/>
      </w:pPr>
      <w:r>
        <w:rPr>
          <w:rFonts w:hint="eastAsia"/>
        </w:rPr>
        <w:t>第一章 总则</w:t>
      </w:r>
    </w:p>
    <w:p w14:paraId="47598269" w14:textId="680C2BAB"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第一条</w:t>
      </w:r>
      <w:r w:rsidR="00C36EF7">
        <w:rPr>
          <w:rFonts w:ascii="宋体" w:hAnsi="宋体" w:cs="宋体" w:hint="eastAsia"/>
          <w:b/>
          <w:sz w:val="24"/>
          <w:szCs w:val="24"/>
        </w:rPr>
        <w:t xml:space="preserve"> </w:t>
      </w:r>
      <w:r>
        <w:rPr>
          <w:rFonts w:ascii="宋体" w:hAnsi="宋体" w:cs="宋体" w:hint="eastAsia"/>
          <w:sz w:val="24"/>
          <w:szCs w:val="24"/>
        </w:rPr>
        <w:t>为进一步规范本市国有土地上房屋征收评估活动，维护房屋征收当事人合法权益，保证房屋征收补偿公平合理，依据《国有土地上房屋征收与补偿条例》、《国有土地上房屋征收评估办法》、《北京市国有土地上房屋征收与补偿实施意见》及《房地产估价规范》等有关规定，结合本市实际情况，制定本办法。</w:t>
      </w:r>
    </w:p>
    <w:p w14:paraId="4FECBEE6" w14:textId="5F7B37A7"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第二条</w:t>
      </w:r>
      <w:r w:rsidR="00C36EF7">
        <w:rPr>
          <w:rFonts w:ascii="宋体" w:hAnsi="宋体" w:cs="宋体" w:hint="eastAsia"/>
          <w:b/>
          <w:sz w:val="24"/>
          <w:szCs w:val="24"/>
        </w:rPr>
        <w:t xml:space="preserve"> </w:t>
      </w:r>
      <w:r>
        <w:rPr>
          <w:rFonts w:ascii="宋体" w:hAnsi="宋体" w:cs="宋体" w:hint="eastAsia"/>
          <w:sz w:val="24"/>
          <w:szCs w:val="24"/>
        </w:rPr>
        <w:t>本市行政区域内国有土地上被征收房屋价值评估，用于产权调换房屋价值评估，</w:t>
      </w:r>
      <w:r>
        <w:rPr>
          <w:rFonts w:ascii="宋体" w:hAnsi="宋体" w:cs="宋体" w:hint="eastAsia"/>
          <w:kern w:val="0"/>
          <w:sz w:val="24"/>
          <w:szCs w:val="24"/>
        </w:rPr>
        <w:t>被征收房屋装修、设备及附属物价值评估</w:t>
      </w:r>
      <w:r>
        <w:rPr>
          <w:rFonts w:ascii="宋体" w:hAnsi="宋体" w:cs="宋体" w:hint="eastAsia"/>
          <w:sz w:val="24"/>
          <w:szCs w:val="24"/>
        </w:rPr>
        <w:t>，因征收房屋造成的机器设备、物资等搬迁费用评估，因征收房屋造成的停产停业损失评估，房屋征收涉及的其他价值评估，以及对相关评估结果进行复核或鉴定，适用本办法。</w:t>
      </w:r>
    </w:p>
    <w:p w14:paraId="486465B4"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为编制征收补偿方案、确定征收补偿费用或政府作出房屋征收决定等服务的国有土地上房屋征收预评估，适用本办法。</w:t>
      </w:r>
    </w:p>
    <w:p w14:paraId="4E9E96A9" w14:textId="0FD000BC" w:rsidR="00A320E6" w:rsidRDefault="00A45A13" w:rsidP="00AE0286">
      <w:pPr>
        <w:spacing w:line="360" w:lineRule="auto"/>
        <w:ind w:firstLineChars="200" w:firstLine="482"/>
        <w:rPr>
          <w:rFonts w:ascii="宋体" w:hAnsi="宋体" w:cs="宋体"/>
          <w:sz w:val="24"/>
          <w:szCs w:val="24"/>
        </w:rPr>
      </w:pPr>
      <w:bookmarkStart w:id="101" w:name="OLE_LINK3"/>
      <w:r w:rsidRPr="00A45A13">
        <w:rPr>
          <w:rFonts w:ascii="宋体" w:hAnsi="宋体" w:cs="宋体" w:hint="eastAsia"/>
          <w:b/>
          <w:sz w:val="24"/>
          <w:szCs w:val="24"/>
        </w:rPr>
        <w:t>第三条</w:t>
      </w:r>
      <w:r w:rsidR="00C36EF7">
        <w:rPr>
          <w:rFonts w:ascii="宋体" w:hAnsi="宋体" w:cs="宋体" w:hint="eastAsia"/>
          <w:b/>
          <w:sz w:val="24"/>
          <w:szCs w:val="24"/>
        </w:rPr>
        <w:t xml:space="preserve"> </w:t>
      </w:r>
      <w:bookmarkEnd w:id="101"/>
      <w:r>
        <w:rPr>
          <w:rFonts w:ascii="宋体" w:hAnsi="宋体" w:cs="宋体" w:hint="eastAsia"/>
          <w:sz w:val="24"/>
          <w:szCs w:val="24"/>
        </w:rPr>
        <w:t>被征收房屋价值评估目的应当表述为“为房屋征收部门与被征收人确定被征收房屋价值的补偿提供依据，评估被征收房屋的价值”。</w:t>
      </w:r>
    </w:p>
    <w:p w14:paraId="3506BD4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用于产权调换房屋价值评估，被征收房屋装修、设备及附属物价值评估等房屋征收涉及的其他价值评估，应当分别对评估目的进行适当表述。</w:t>
      </w:r>
    </w:p>
    <w:p w14:paraId="5E98AF4D" w14:textId="43F62681" w:rsidR="00A320E6" w:rsidRDefault="00A45A13" w:rsidP="00AE0286">
      <w:pPr>
        <w:spacing w:line="360" w:lineRule="auto"/>
        <w:ind w:firstLineChars="200" w:firstLine="482"/>
        <w:rPr>
          <w:rFonts w:ascii="宋体" w:hAnsi="宋体" w:cs="宋体"/>
          <w:sz w:val="24"/>
          <w:szCs w:val="24"/>
        </w:rPr>
      </w:pPr>
      <w:r w:rsidRPr="00A45A13">
        <w:rPr>
          <w:rFonts w:ascii="宋体" w:hAnsi="宋体" w:cs="宋体" w:hint="eastAsia"/>
          <w:b/>
          <w:sz w:val="24"/>
          <w:szCs w:val="24"/>
        </w:rPr>
        <w:t>第四条</w:t>
      </w:r>
      <w:r>
        <w:rPr>
          <w:rFonts w:ascii="宋体" w:hAnsi="宋体" w:cs="宋体" w:hint="eastAsia"/>
          <w:b/>
          <w:sz w:val="24"/>
          <w:szCs w:val="24"/>
        </w:rPr>
        <w:t xml:space="preserve"> </w:t>
      </w:r>
      <w:r>
        <w:rPr>
          <w:rFonts w:ascii="宋体" w:hAnsi="宋体" w:cs="宋体" w:hint="eastAsia"/>
          <w:sz w:val="24"/>
          <w:szCs w:val="24"/>
        </w:rPr>
        <w:t>房屋征收部门应当向受托的房地产价格评估机构提供征收范围内房屋情况，包括已经登记的房屋情况和未经登记建筑的认定、处理结果情况。调查结果应当在房屋征收范围内向被征收人公布。</w:t>
      </w:r>
    </w:p>
    <w:p w14:paraId="2289FAA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对于已经登记的房屋，其性质、用途和建筑面积，一般以权属证书和登记簿的记载为准；权属证书与登记簿的记载不一致的，除有证据证明登记簿确有错误外，以登记簿为准。对于未经登记的建筑，应当按照区人民政府的认定、处理结果进行评估。</w:t>
      </w:r>
    </w:p>
    <w:p w14:paraId="2260F4A4" w14:textId="04651598"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第五条</w:t>
      </w:r>
      <w:r w:rsidR="00A45A13">
        <w:rPr>
          <w:rFonts w:ascii="宋体" w:hAnsi="宋体" w:cs="宋体" w:hint="eastAsia"/>
          <w:b/>
          <w:sz w:val="24"/>
          <w:szCs w:val="24"/>
        </w:rPr>
        <w:t xml:space="preserve"> </w:t>
      </w:r>
      <w:r>
        <w:rPr>
          <w:rFonts w:ascii="宋体" w:hAnsi="宋体" w:cs="宋体" w:hint="eastAsia"/>
          <w:sz w:val="24"/>
          <w:szCs w:val="24"/>
        </w:rPr>
        <w:t>被征收房屋价值评估时点为房屋征收决定公告之日。</w:t>
      </w:r>
    </w:p>
    <w:p w14:paraId="7C95FE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用于产权调换房屋价值评估时点，被征收房屋装修、设备及附属物价值评估等房屋征收涉及的其他价值评估时点，应当与被征收房屋价值评估时点一致。</w:t>
      </w:r>
    </w:p>
    <w:p w14:paraId="21558802" w14:textId="393CA5B8"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第六条</w:t>
      </w:r>
      <w:r w:rsidR="00A45A13">
        <w:rPr>
          <w:rFonts w:ascii="宋体" w:hAnsi="宋体" w:cs="宋体" w:hint="eastAsia"/>
          <w:b/>
          <w:sz w:val="24"/>
          <w:szCs w:val="24"/>
        </w:rPr>
        <w:t xml:space="preserve"> </w:t>
      </w:r>
      <w:r>
        <w:rPr>
          <w:rFonts w:ascii="宋体" w:hAnsi="宋体" w:cs="宋体" w:hint="eastAsia"/>
          <w:sz w:val="24"/>
          <w:szCs w:val="24"/>
        </w:rPr>
        <w:t>被征收房屋价值是指被征收房屋及其占用范围内的土地使用权在正常</w:t>
      </w:r>
      <w:r>
        <w:rPr>
          <w:rFonts w:ascii="宋体" w:hAnsi="宋体" w:cs="宋体" w:hint="eastAsia"/>
          <w:sz w:val="24"/>
          <w:szCs w:val="24"/>
        </w:rPr>
        <w:lastRenderedPageBreak/>
        <w:t>交易情况下，由熟悉情况的交易双方以公平交易方式在评估时点自愿进行交易的金额，但不考虑被征收房屋租赁、抵押、查封等因素的影响。</w:t>
      </w:r>
    </w:p>
    <w:p w14:paraId="694F666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前款所述不考虑租赁因素的影响，是指评估被征收房屋无租约限制的价值；不考虑抵押、查封因素的影响，是指评估价值中不扣除被征收房屋已抵押担保的债权数款、拖欠的建设工程价款和其他法定优先受偿款。</w:t>
      </w:r>
    </w:p>
    <w:p w14:paraId="261867A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被征收房屋的价值，由具有相应资质的房地产价格评估机构按照《国有土地上房屋征收评估办法》及本办法评估确定。</w:t>
      </w:r>
    </w:p>
    <w:p w14:paraId="114DD454" w14:textId="678927BD"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第七条</w:t>
      </w:r>
      <w:r w:rsidR="00A45A13">
        <w:rPr>
          <w:rFonts w:ascii="宋体" w:hAnsi="宋体" w:cs="宋体" w:hint="eastAsia"/>
          <w:b/>
          <w:sz w:val="24"/>
          <w:szCs w:val="24"/>
        </w:rPr>
        <w:t xml:space="preserve"> </w:t>
      </w:r>
      <w:r>
        <w:rPr>
          <w:rFonts w:ascii="宋体" w:hAnsi="宋体" w:cs="宋体" w:hint="eastAsia"/>
          <w:sz w:val="24"/>
          <w:szCs w:val="24"/>
        </w:rPr>
        <w:t>被征收房屋价值评估应当考虑被征收房屋的区位、用途、建筑结构、新旧程度、建筑面积以及占地面积、土地使用权等影响被征收房屋价值的因素。</w:t>
      </w:r>
    </w:p>
    <w:p w14:paraId="71D75FBF" w14:textId="0D5A8DF8" w:rsidR="00A320E6" w:rsidRDefault="00977BD5" w:rsidP="00AE0286">
      <w:pPr>
        <w:spacing w:line="360" w:lineRule="auto"/>
        <w:ind w:firstLineChars="196" w:firstLine="472"/>
        <w:rPr>
          <w:rFonts w:ascii="宋体" w:hAnsi="宋体" w:cs="宋体"/>
          <w:sz w:val="24"/>
          <w:szCs w:val="24"/>
        </w:rPr>
      </w:pPr>
      <w:r w:rsidRPr="00977BD5">
        <w:rPr>
          <w:rFonts w:ascii="宋体" w:hAnsi="宋体" w:cs="宋体" w:hint="eastAsia"/>
          <w:b/>
          <w:sz w:val="24"/>
          <w:szCs w:val="24"/>
        </w:rPr>
        <w:t>第八条</w:t>
      </w:r>
      <w:r w:rsidR="00A45A13">
        <w:rPr>
          <w:rFonts w:ascii="宋体" w:hAnsi="宋体" w:cs="宋体" w:hint="eastAsia"/>
          <w:b/>
          <w:sz w:val="24"/>
          <w:szCs w:val="24"/>
        </w:rPr>
        <w:t xml:space="preserve"> </w:t>
      </w:r>
      <w:r>
        <w:rPr>
          <w:rFonts w:ascii="宋体" w:hAnsi="宋体" w:cs="宋体" w:hint="eastAsia"/>
          <w:sz w:val="24"/>
          <w:szCs w:val="24"/>
        </w:rPr>
        <w:t>同一征收项目的房屋征收评估工作由两家以上房地产价格评估机构承担的，应当共同协商确定一家房地产价格评估机构为牵头单位；牵头单位应当组织相关房地产价格评估机构就评估对象、评估时点、价值内涵、评估依据、评估假设、评估原则、评估技术路线、评估方法、重要参数选取、评估结果确定方式等进行沟通，统一标准。</w:t>
      </w:r>
    </w:p>
    <w:p w14:paraId="6E811C4B" w14:textId="796DF9EE" w:rsidR="00A320E6" w:rsidRDefault="00431106" w:rsidP="00431106">
      <w:pPr>
        <w:pStyle w:val="13"/>
        <w:spacing w:before="62" w:after="62"/>
      </w:pPr>
      <w:r>
        <w:rPr>
          <w:rFonts w:hint="eastAsia"/>
        </w:rPr>
        <w:t>第二章 被征收房屋价值评估方法</w:t>
      </w:r>
    </w:p>
    <w:p w14:paraId="6A275777" w14:textId="6AF7350C" w:rsidR="00A320E6" w:rsidRDefault="00977BD5" w:rsidP="00AE0286">
      <w:pPr>
        <w:spacing w:line="360" w:lineRule="auto"/>
        <w:ind w:firstLineChars="200" w:firstLine="482"/>
        <w:rPr>
          <w:rFonts w:ascii="宋体" w:hAnsi="宋体" w:cs="宋体"/>
          <w:sz w:val="24"/>
          <w:szCs w:val="24"/>
        </w:rPr>
      </w:pPr>
      <w:bookmarkStart w:id="102" w:name="OLE_LINK2"/>
      <w:r w:rsidRPr="00977BD5">
        <w:rPr>
          <w:rFonts w:ascii="宋体" w:hAnsi="宋体" w:cs="宋体" w:hint="eastAsia"/>
          <w:b/>
          <w:sz w:val="24"/>
          <w:szCs w:val="24"/>
        </w:rPr>
        <w:t>第九条</w:t>
      </w:r>
      <w:r w:rsidR="00A45A13">
        <w:rPr>
          <w:rFonts w:ascii="宋体" w:hAnsi="宋体" w:cs="宋体" w:hint="eastAsia"/>
          <w:b/>
          <w:sz w:val="24"/>
          <w:szCs w:val="24"/>
        </w:rPr>
        <w:t xml:space="preserve"> </w:t>
      </w:r>
      <w:bookmarkEnd w:id="102"/>
      <w:r>
        <w:rPr>
          <w:rFonts w:ascii="宋体" w:hAnsi="宋体" w:cs="宋体" w:hint="eastAsia"/>
          <w:sz w:val="24"/>
          <w:szCs w:val="24"/>
        </w:rPr>
        <w:t>房屋征收评估应当根据评估对象和当地房地产市场状况，对比较法、收益法、成本法、假设开发法等评估方法进行适用性分析，选用其中一种或者多种方法对被征收房屋价值进行评估。</w:t>
      </w:r>
    </w:p>
    <w:p w14:paraId="0253519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被征收房屋的类似房地产有较多交易的，应当选用比较法评估；被征收房屋或其类似房地产通常有租金等经济收入的，应当选用收益法评估；被征收房屋的类似房地产没有交易或交易很少，且被征收房屋或其类似房地产没有租金等经济收入的，应当选用成本法评估；被征收房屋是在建工程的，应当选用假设开发法评估，在建工程建设进度以房屋征收决定公告之日的状态为准。</w:t>
      </w:r>
    </w:p>
    <w:p w14:paraId="516CD94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可以同时选用两种以上评估方法评估的，应当选用两种以上评估方法评估，并对各种评估方法的测算结果进行校核和比较分析后，合理确定评估结果。</w:t>
      </w:r>
    </w:p>
    <w:p w14:paraId="57D85C13" w14:textId="4010AFD7"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sz w:val="24"/>
          <w:szCs w:val="24"/>
        </w:rPr>
        <w:t>第十条</w:t>
      </w:r>
      <w:r w:rsidR="00A45A13">
        <w:rPr>
          <w:rFonts w:ascii="宋体" w:hAnsi="宋体" w:cs="宋体" w:hint="eastAsia"/>
          <w:b/>
          <w:color w:val="000000"/>
          <w:sz w:val="24"/>
          <w:szCs w:val="24"/>
        </w:rPr>
        <w:t xml:space="preserve"> </w:t>
      </w:r>
      <w:r>
        <w:rPr>
          <w:rFonts w:ascii="宋体" w:hAnsi="宋体" w:cs="宋体" w:hint="eastAsia"/>
          <w:kern w:val="0"/>
          <w:sz w:val="24"/>
          <w:szCs w:val="24"/>
        </w:rPr>
        <w:t>比较法评估时，一般应在与被征收房屋区域具有相同特征的同一区域、相邻或临近区域内搜集交易实例，并选取符合要求的不少于三个可比实例。选取可比实例后，应先统一其价格内涵和形式，建立价格比较基础，之后再</w:t>
      </w:r>
      <w:r>
        <w:rPr>
          <w:rFonts w:ascii="宋体" w:hAnsi="宋体" w:cs="宋体" w:hint="eastAsia"/>
          <w:sz w:val="24"/>
          <w:szCs w:val="24"/>
        </w:rPr>
        <w:t>进行交易情况修正、市场状况调整和房地产状况调整。</w:t>
      </w:r>
    </w:p>
    <w:p w14:paraId="2251293C" w14:textId="5D415F44"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color w:val="000000"/>
          <w:sz w:val="24"/>
          <w:szCs w:val="24"/>
        </w:rPr>
        <w:lastRenderedPageBreak/>
        <w:t>第十一条</w:t>
      </w:r>
      <w:r w:rsidR="00C36EF7">
        <w:rPr>
          <w:rFonts w:ascii="宋体" w:hAnsi="宋体" w:cs="宋体" w:hint="eastAsia"/>
          <w:b/>
          <w:color w:val="000000"/>
          <w:sz w:val="24"/>
          <w:szCs w:val="24"/>
        </w:rPr>
        <w:t xml:space="preserve"> </w:t>
      </w:r>
      <w:r>
        <w:rPr>
          <w:rFonts w:ascii="宋体" w:hAnsi="宋体" w:cs="宋体" w:hint="eastAsia"/>
          <w:sz w:val="24"/>
          <w:szCs w:val="24"/>
        </w:rPr>
        <w:t>收益法评估时，应区分报酬资本化法和直接资本化法，并应优先选用报酬资本化法。</w:t>
      </w:r>
    </w:p>
    <w:p w14:paraId="1EA79E98" w14:textId="2D61BAB5" w:rsidR="00A320E6" w:rsidRDefault="00977BD5" w:rsidP="00AE0286">
      <w:pPr>
        <w:spacing w:line="360" w:lineRule="auto"/>
        <w:ind w:firstLineChars="200" w:firstLine="482"/>
        <w:rPr>
          <w:rFonts w:ascii="宋体" w:hAnsi="宋体" w:cs="宋体"/>
          <w:sz w:val="24"/>
          <w:szCs w:val="24"/>
        </w:rPr>
      </w:pPr>
      <w:r w:rsidRPr="00977BD5">
        <w:rPr>
          <w:rFonts w:ascii="宋体" w:hAnsi="宋体" w:cs="宋体" w:hint="eastAsia"/>
          <w:b/>
          <w:sz w:val="24"/>
          <w:szCs w:val="24"/>
        </w:rPr>
        <w:t>第十二条</w:t>
      </w:r>
      <w:r w:rsidR="00C36EF7">
        <w:rPr>
          <w:rFonts w:ascii="宋体" w:hAnsi="宋体" w:cs="宋体" w:hint="eastAsia"/>
          <w:b/>
          <w:sz w:val="24"/>
          <w:szCs w:val="24"/>
        </w:rPr>
        <w:t xml:space="preserve"> </w:t>
      </w:r>
      <w:r>
        <w:rPr>
          <w:rFonts w:ascii="宋体" w:hAnsi="宋体" w:cs="宋体" w:hint="eastAsia"/>
          <w:sz w:val="24"/>
          <w:szCs w:val="24"/>
        </w:rPr>
        <w:t>成本法评估时，应根据被征收房屋状况和土地状况，选择房地合估路径或房地分估路径。</w:t>
      </w:r>
    </w:p>
    <w:p w14:paraId="1F7BDEC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kern w:val="0"/>
          <w:sz w:val="24"/>
          <w:szCs w:val="24"/>
        </w:rPr>
        <w:t>对于容积率小于1.0的非住宅房屋评估，优先选用房地分估路径，且设定容积率为1.0进行土地重置成本评估。土地重置成本可采用比较法、成本法、基准地价修正法等方法进行测算。采用成本法评估时，可优先选用同区域或类似区域内三个（含）以上土地一级开发项目，获取其已审定的征地拆迁费用、市政基础设施建设费、前期费用、利息、利润、税费等相关成本费用，进行分析比较后取值。</w:t>
      </w:r>
    </w:p>
    <w:p w14:paraId="6E1D21B2" w14:textId="60A9995C" w:rsidR="00A320E6" w:rsidRDefault="00EC0B72" w:rsidP="00AE0286">
      <w:pPr>
        <w:spacing w:line="360" w:lineRule="auto"/>
        <w:ind w:firstLineChars="200" w:firstLine="482"/>
        <w:rPr>
          <w:rFonts w:ascii="宋体" w:hAnsi="宋体" w:cs="宋体"/>
          <w:b/>
          <w:sz w:val="24"/>
          <w:szCs w:val="24"/>
        </w:rPr>
      </w:pPr>
      <w:r w:rsidRPr="00EC0B72">
        <w:rPr>
          <w:rFonts w:ascii="宋体" w:hAnsi="宋体" w:cs="宋体" w:hint="eastAsia"/>
          <w:b/>
          <w:sz w:val="24"/>
          <w:szCs w:val="24"/>
        </w:rPr>
        <w:t>第十三条</w:t>
      </w:r>
      <w:r w:rsidR="00C36EF7">
        <w:rPr>
          <w:rFonts w:ascii="宋体" w:hAnsi="宋体" w:cs="宋体" w:hint="eastAsia"/>
          <w:b/>
          <w:sz w:val="24"/>
          <w:szCs w:val="24"/>
        </w:rPr>
        <w:t xml:space="preserve"> </w:t>
      </w:r>
      <w:r>
        <w:rPr>
          <w:rFonts w:ascii="宋体" w:hAnsi="宋体" w:cs="宋体" w:hint="eastAsia"/>
          <w:sz w:val="24"/>
          <w:szCs w:val="24"/>
        </w:rPr>
        <w:t>对被征收房屋类似、分布密集的成片房屋进行评估，可先设定或选定标准房屋，根据实际情况采取适用的评估方法评估标准房屋市场价格，再对标准房屋市场价格进行修正，求取被征收房屋价值。</w:t>
      </w:r>
    </w:p>
    <w:p w14:paraId="6EA2A179" w14:textId="7411CC0B" w:rsidR="00A320E6" w:rsidRDefault="00431106" w:rsidP="00431106">
      <w:pPr>
        <w:pStyle w:val="13"/>
        <w:spacing w:before="62" w:after="62"/>
      </w:pPr>
      <w:r>
        <w:rPr>
          <w:rFonts w:hint="eastAsia"/>
        </w:rPr>
        <w:t>第三章 成片住宅评估</w:t>
      </w:r>
    </w:p>
    <w:p w14:paraId="701989E1" w14:textId="5B514AF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第十四条</w:t>
      </w:r>
      <w:r w:rsidR="00A45A13">
        <w:rPr>
          <w:rFonts w:ascii="宋体" w:hAnsi="宋体" w:cs="宋体" w:hint="eastAsia"/>
          <w:b/>
          <w:sz w:val="24"/>
          <w:szCs w:val="24"/>
        </w:rPr>
        <w:t xml:space="preserve"> </w:t>
      </w:r>
      <w:r>
        <w:rPr>
          <w:rFonts w:ascii="宋体" w:hAnsi="宋体" w:cs="宋体" w:hint="eastAsia"/>
          <w:sz w:val="24"/>
          <w:szCs w:val="24"/>
        </w:rPr>
        <w:t>对于房屋类似、分布密集的成片住宅房屋征收项目，可采用对住宅标准房屋市场价格进行修正的评估路径求取被征收住宅房屋价值。公式如下：</w:t>
      </w:r>
    </w:p>
    <w:p w14:paraId="1ECB5E5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kern w:val="0"/>
          <w:sz w:val="24"/>
          <w:szCs w:val="24"/>
        </w:rPr>
        <w:t>被征收房屋价值＝</w:t>
      </w:r>
      <w:r>
        <w:rPr>
          <w:rFonts w:ascii="宋体" w:hAnsi="宋体" w:cs="宋体" w:hint="eastAsia"/>
          <w:sz w:val="24"/>
          <w:szCs w:val="24"/>
        </w:rPr>
        <w:t>（</w:t>
      </w:r>
      <w:r>
        <w:rPr>
          <w:rFonts w:ascii="宋体" w:hAnsi="宋体" w:cs="宋体" w:hint="eastAsia"/>
          <w:kern w:val="0"/>
          <w:sz w:val="24"/>
          <w:szCs w:val="24"/>
        </w:rPr>
        <w:t>标准房屋市场价格</w:t>
      </w:r>
      <w:r>
        <w:rPr>
          <w:rFonts w:ascii="宋体" w:hAnsi="宋体" w:cs="宋体" w:hint="eastAsia"/>
          <w:sz w:val="24"/>
          <w:szCs w:val="24"/>
        </w:rPr>
        <w:t>-</w:t>
      </w:r>
      <w:r>
        <w:rPr>
          <w:rFonts w:ascii="宋体" w:hAnsi="宋体" w:cs="宋体" w:hint="eastAsia"/>
          <w:kern w:val="0"/>
          <w:sz w:val="24"/>
          <w:szCs w:val="24"/>
        </w:rPr>
        <w:t>标准房屋</w:t>
      </w:r>
      <w:r>
        <w:rPr>
          <w:rFonts w:ascii="宋体" w:hAnsi="宋体" w:cs="宋体" w:hint="eastAsia"/>
          <w:sz w:val="24"/>
          <w:szCs w:val="24"/>
        </w:rPr>
        <w:t>重置成新价＋被征收房屋重置成新价）×因素修正×被征收房屋建筑面积</w:t>
      </w:r>
    </w:p>
    <w:p w14:paraId="7AF0300F" w14:textId="1C42705A"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第十五条</w:t>
      </w:r>
      <w:r w:rsidR="00A45A13">
        <w:rPr>
          <w:rFonts w:ascii="宋体" w:hAnsi="宋体" w:cs="宋体" w:hint="eastAsia"/>
          <w:b/>
          <w:sz w:val="24"/>
          <w:szCs w:val="24"/>
        </w:rPr>
        <w:t xml:space="preserve"> </w:t>
      </w:r>
      <w:r>
        <w:rPr>
          <w:rFonts w:ascii="宋体" w:hAnsi="宋体" w:cs="宋体" w:hint="eastAsia"/>
          <w:sz w:val="24"/>
          <w:szCs w:val="24"/>
        </w:rPr>
        <w:t>住宅标准房屋是指在被征收房屋所在区域的环境状况下，模拟重建类似住宅房屋。一般应满足以下条件：</w:t>
      </w:r>
    </w:p>
    <w:p w14:paraId="6B70AF9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1．同区域内建设的具有长时间可居住价值，较好流通性，砖混、钢混或以上标准建筑结构的房屋；</w:t>
      </w:r>
    </w:p>
    <w:p w14:paraId="5D0C8B9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2．普通装修标准（不低于四白落地，水泥地面，带门窗等标准）；</w:t>
      </w:r>
    </w:p>
    <w:p w14:paraId="455517E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3．项目容积率大于1或符合区域住宅控制性规划。</w:t>
      </w:r>
    </w:p>
    <w:p w14:paraId="6C83854F" w14:textId="77777777" w:rsidR="00A320E6" w:rsidRDefault="00000000" w:rsidP="00AE0286">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如果征收区域范围较大或呈狭长带状分布，应将被征收房屋按房屋所在区域分组，每组分别设定标准房屋。</w:t>
      </w:r>
    </w:p>
    <w:p w14:paraId="0C9E19F8" w14:textId="0CF78EA3" w:rsidR="00A320E6" w:rsidRDefault="00EC0B72" w:rsidP="00AE0286">
      <w:pPr>
        <w:spacing w:line="360" w:lineRule="auto"/>
        <w:ind w:firstLineChars="200" w:firstLine="482"/>
        <w:rPr>
          <w:rFonts w:ascii="宋体" w:hAnsi="宋体" w:cs="宋体"/>
          <w:b/>
          <w:sz w:val="24"/>
          <w:szCs w:val="24"/>
        </w:rPr>
      </w:pPr>
      <w:r w:rsidRPr="00EC0B72">
        <w:rPr>
          <w:rFonts w:ascii="宋体" w:hAnsi="宋体" w:cs="宋体" w:hint="eastAsia"/>
          <w:b/>
          <w:sz w:val="24"/>
          <w:szCs w:val="24"/>
        </w:rPr>
        <w:t>第十六条</w:t>
      </w:r>
      <w:r w:rsidR="00A45A13">
        <w:rPr>
          <w:rFonts w:ascii="宋体" w:hAnsi="宋体" w:cs="宋体" w:hint="eastAsia"/>
          <w:b/>
          <w:sz w:val="24"/>
          <w:szCs w:val="24"/>
        </w:rPr>
        <w:t xml:space="preserve"> </w:t>
      </w:r>
      <w:r>
        <w:rPr>
          <w:rFonts w:ascii="宋体" w:hAnsi="宋体" w:cs="宋体" w:hint="eastAsia"/>
          <w:kern w:val="0"/>
          <w:sz w:val="24"/>
          <w:szCs w:val="24"/>
        </w:rPr>
        <w:t>住宅标准房屋市场价格评估可采用比较法，选用的可比实例成交价格一般采用周边住宅项目或整幢住宅的平均价格；条件不具备时，可采用单套住宅价格，但须进行楼层、朝向、成新等因素修正。</w:t>
      </w:r>
    </w:p>
    <w:p w14:paraId="2856F2B9" w14:textId="6BBDDE0C"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第十七条</w:t>
      </w:r>
      <w:r w:rsidR="00A45A13">
        <w:rPr>
          <w:rFonts w:ascii="宋体" w:hAnsi="宋体" w:cs="宋体" w:hint="eastAsia"/>
          <w:b/>
          <w:sz w:val="24"/>
          <w:szCs w:val="24"/>
        </w:rPr>
        <w:t xml:space="preserve"> </w:t>
      </w:r>
      <w:r>
        <w:rPr>
          <w:rFonts w:ascii="宋体" w:hAnsi="宋体" w:cs="宋体" w:hint="eastAsia"/>
          <w:sz w:val="24"/>
          <w:szCs w:val="24"/>
        </w:rPr>
        <w:t>住宅房屋价值影响因素包括容积率、朝向、楼层及其他因素。容积率、</w:t>
      </w:r>
      <w:r>
        <w:rPr>
          <w:rFonts w:ascii="宋体" w:hAnsi="宋体" w:cs="宋体" w:hint="eastAsia"/>
          <w:sz w:val="24"/>
          <w:szCs w:val="24"/>
        </w:rPr>
        <w:lastRenderedPageBreak/>
        <w:t>朝向及楼层因素修正系数参照附表一、附表二、附表三。其他因素根据房屋实际情况确定，修正系数应优先选用房地产估价行业组织公布的数据；不选用的，应在评估报告中陈述理由。</w:t>
      </w:r>
    </w:p>
    <w:p w14:paraId="2AAA5C74" w14:textId="1B286F31" w:rsidR="00A320E6" w:rsidRDefault="00EC0B72" w:rsidP="00AE0286">
      <w:pPr>
        <w:spacing w:line="360" w:lineRule="auto"/>
        <w:ind w:firstLineChars="200" w:firstLine="482"/>
        <w:rPr>
          <w:rFonts w:ascii="宋体" w:hAnsi="宋体" w:cs="宋体"/>
          <w:b/>
          <w:sz w:val="24"/>
          <w:szCs w:val="24"/>
        </w:rPr>
      </w:pPr>
      <w:r w:rsidRPr="00EC0B72">
        <w:rPr>
          <w:rFonts w:ascii="宋体" w:hAnsi="宋体" w:cs="宋体" w:hint="eastAsia"/>
          <w:b/>
          <w:sz w:val="24"/>
          <w:szCs w:val="24"/>
        </w:rPr>
        <w:t>第十八条</w:t>
      </w:r>
      <w:r w:rsidR="00A45A13">
        <w:rPr>
          <w:rFonts w:ascii="宋体" w:hAnsi="宋体" w:cs="宋体" w:hint="eastAsia"/>
          <w:b/>
          <w:sz w:val="24"/>
          <w:szCs w:val="24"/>
        </w:rPr>
        <w:t xml:space="preserve"> </w:t>
      </w:r>
      <w:r>
        <w:rPr>
          <w:rFonts w:ascii="宋体" w:hAnsi="宋体" w:cs="宋体" w:hint="eastAsia"/>
          <w:sz w:val="24"/>
          <w:szCs w:val="24"/>
        </w:rPr>
        <w:t>住宅</w:t>
      </w:r>
      <w:r>
        <w:rPr>
          <w:rFonts w:ascii="宋体" w:hAnsi="宋体" w:cs="宋体" w:hint="eastAsia"/>
          <w:kern w:val="0"/>
          <w:sz w:val="24"/>
          <w:szCs w:val="24"/>
        </w:rPr>
        <w:t>标准房屋重置成新价、被征收住宅房屋重置成新价，根据评估对象的实际情况，可依据《北京市房屋重置成新价评估技术标准》进行测算。</w:t>
      </w:r>
    </w:p>
    <w:p w14:paraId="64A99F49" w14:textId="1FFFC348" w:rsidR="00A320E6" w:rsidRDefault="00000000" w:rsidP="00431106">
      <w:pPr>
        <w:pStyle w:val="13"/>
        <w:spacing w:before="62" w:after="62"/>
      </w:pPr>
      <w:r>
        <w:rPr>
          <w:rFonts w:hint="eastAsia"/>
        </w:rPr>
        <w:t>第四章</w:t>
      </w:r>
      <w:r w:rsidR="00431106">
        <w:rPr>
          <w:rFonts w:hint="eastAsia"/>
        </w:rPr>
        <w:t xml:space="preserve"> </w:t>
      </w:r>
      <w:r>
        <w:rPr>
          <w:rFonts w:hint="eastAsia"/>
        </w:rPr>
        <w:t>成片非住宅评估</w:t>
      </w:r>
    </w:p>
    <w:p w14:paraId="5A50A8DB" w14:textId="1016E9CE"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第十九条</w:t>
      </w:r>
      <w:r w:rsidR="00A45A13">
        <w:rPr>
          <w:rFonts w:ascii="宋体" w:hAnsi="宋体" w:cs="宋体" w:hint="eastAsia"/>
          <w:b/>
          <w:sz w:val="24"/>
          <w:szCs w:val="24"/>
        </w:rPr>
        <w:t xml:space="preserve"> </w:t>
      </w:r>
      <w:r>
        <w:rPr>
          <w:rFonts w:ascii="宋体" w:hAnsi="宋体" w:cs="宋体" w:hint="eastAsia"/>
          <w:sz w:val="24"/>
          <w:szCs w:val="24"/>
        </w:rPr>
        <w:t>对于房屋类似、分布密集的成片非住宅房屋征收项目，可采用对非住宅标准房屋市场价格进行修正的评估路径求取被征收非住宅房屋价值。公式如下：</w:t>
      </w:r>
    </w:p>
    <w:p w14:paraId="636AC4A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被征收房屋价值＝（标准房屋市场价格-标准房屋重置成新价＋被征收房屋重置成新价）×因素修正×被征收房屋建筑面积</w:t>
      </w:r>
    </w:p>
    <w:p w14:paraId="120643FC" w14:textId="7F1A8DE5"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第二十条</w:t>
      </w:r>
      <w:r w:rsidR="00A45A13">
        <w:rPr>
          <w:rFonts w:ascii="宋体" w:hAnsi="宋体" w:cs="宋体" w:hint="eastAsia"/>
          <w:b/>
          <w:sz w:val="24"/>
          <w:szCs w:val="24"/>
        </w:rPr>
        <w:t xml:space="preserve"> </w:t>
      </w:r>
      <w:r>
        <w:rPr>
          <w:rFonts w:ascii="宋体" w:hAnsi="宋体" w:cs="宋体" w:hint="eastAsia"/>
          <w:sz w:val="24"/>
          <w:szCs w:val="24"/>
        </w:rPr>
        <w:t>非住宅标准房屋是指在被征收非住宅房屋范围内具有类似代表性的房屋，按用途分为商业、办公和工业等类型。</w:t>
      </w:r>
    </w:p>
    <w:p w14:paraId="156AD8D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非住宅标准房屋选定，应在被征收房屋所在区域的环境状况下，综合考虑用途、建筑结构、临街状况、层高、容积率、建成时间等。</w:t>
      </w:r>
    </w:p>
    <w:p w14:paraId="3F0C7B3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如果征收区域范围较大或呈狭长带状分布，应将被征收房屋按房屋所在区域与用途分组，每组分别选定标准房屋。</w:t>
      </w:r>
    </w:p>
    <w:p w14:paraId="5CE04DD7" w14:textId="03D4F204" w:rsidR="00A320E6" w:rsidRDefault="00EC0B72" w:rsidP="00AE0286">
      <w:pPr>
        <w:spacing w:line="360" w:lineRule="auto"/>
        <w:ind w:firstLineChars="200" w:firstLine="482"/>
        <w:rPr>
          <w:rFonts w:ascii="宋体" w:hAnsi="宋体" w:cs="宋体"/>
          <w:kern w:val="0"/>
          <w:sz w:val="24"/>
          <w:szCs w:val="24"/>
        </w:rPr>
      </w:pPr>
      <w:r w:rsidRPr="00EC0B72">
        <w:rPr>
          <w:rFonts w:ascii="宋体" w:hAnsi="宋体" w:cs="宋体" w:hint="eastAsia"/>
          <w:b/>
          <w:sz w:val="24"/>
          <w:szCs w:val="24"/>
        </w:rPr>
        <w:t>第二十一条</w:t>
      </w:r>
      <w:r w:rsidR="00C36EF7">
        <w:rPr>
          <w:rFonts w:ascii="宋体" w:hAnsi="宋体" w:cs="宋体" w:hint="eastAsia"/>
          <w:b/>
          <w:sz w:val="24"/>
          <w:szCs w:val="24"/>
        </w:rPr>
        <w:t xml:space="preserve"> </w:t>
      </w:r>
      <w:r>
        <w:rPr>
          <w:rFonts w:ascii="宋体" w:hAnsi="宋体" w:cs="宋体" w:hint="eastAsia"/>
          <w:kern w:val="0"/>
          <w:sz w:val="24"/>
          <w:szCs w:val="24"/>
        </w:rPr>
        <w:t>非住宅标准房屋市场价格评估，可采用比较法、收益法和成本法等方法进行评估。</w:t>
      </w:r>
    </w:p>
    <w:p w14:paraId="24170EEB" w14:textId="561DD908" w:rsidR="00A320E6" w:rsidRDefault="00EC0B72" w:rsidP="00AE0286">
      <w:pPr>
        <w:spacing w:line="360" w:lineRule="auto"/>
        <w:ind w:firstLine="643"/>
        <w:rPr>
          <w:rFonts w:ascii="宋体" w:hAnsi="宋体" w:cs="宋体"/>
          <w:b/>
          <w:sz w:val="24"/>
          <w:szCs w:val="24"/>
        </w:rPr>
      </w:pPr>
      <w:r w:rsidRPr="00EC0B72">
        <w:rPr>
          <w:rFonts w:ascii="宋体" w:hAnsi="宋体" w:cs="宋体" w:hint="eastAsia"/>
          <w:b/>
          <w:sz w:val="24"/>
          <w:szCs w:val="24"/>
        </w:rPr>
        <w:t>第二十二条</w:t>
      </w:r>
      <w:r w:rsidR="00C36EF7">
        <w:rPr>
          <w:rFonts w:ascii="宋体" w:hAnsi="宋体" w:cs="宋体" w:hint="eastAsia"/>
          <w:b/>
          <w:sz w:val="24"/>
          <w:szCs w:val="24"/>
        </w:rPr>
        <w:t xml:space="preserve"> </w:t>
      </w:r>
      <w:r>
        <w:rPr>
          <w:rFonts w:ascii="宋体" w:hAnsi="宋体" w:cs="宋体" w:hint="eastAsia"/>
          <w:sz w:val="24"/>
          <w:szCs w:val="24"/>
        </w:rPr>
        <w:t>非住宅房屋价值影响因素包括容积率、楼层、临街状况及其他因素。容积率、楼层和临街状况因素修正系数参照附表四、附表五。其他因素根据房屋实际情况确定，修正系数应优先选用房地产估价行业组织公布的数据；不选用的，应在评估报告中陈述理由。</w:t>
      </w:r>
    </w:p>
    <w:p w14:paraId="23A410BC" w14:textId="5FB340EC" w:rsidR="00A320E6" w:rsidRDefault="00EC0B72" w:rsidP="00AE0286">
      <w:pPr>
        <w:spacing w:line="360" w:lineRule="auto"/>
        <w:ind w:firstLineChars="200" w:firstLine="482"/>
        <w:rPr>
          <w:rFonts w:ascii="宋体" w:hAnsi="宋体" w:cs="宋体"/>
          <w:kern w:val="0"/>
          <w:sz w:val="24"/>
          <w:szCs w:val="24"/>
        </w:rPr>
      </w:pPr>
      <w:r w:rsidRPr="00EC0B72">
        <w:rPr>
          <w:rFonts w:ascii="宋体" w:hAnsi="宋体" w:cs="宋体" w:hint="eastAsia"/>
          <w:b/>
          <w:sz w:val="24"/>
          <w:szCs w:val="24"/>
        </w:rPr>
        <w:t>第二十三条</w:t>
      </w:r>
      <w:r w:rsidR="00C36EF7">
        <w:rPr>
          <w:rFonts w:ascii="宋体" w:hAnsi="宋体" w:cs="宋体" w:hint="eastAsia"/>
          <w:b/>
          <w:sz w:val="24"/>
          <w:szCs w:val="24"/>
        </w:rPr>
        <w:t xml:space="preserve"> </w:t>
      </w:r>
      <w:r>
        <w:rPr>
          <w:rFonts w:ascii="宋体" w:hAnsi="宋体" w:cs="宋体" w:hint="eastAsia"/>
          <w:sz w:val="24"/>
          <w:szCs w:val="24"/>
        </w:rPr>
        <w:t>非住宅</w:t>
      </w:r>
      <w:r>
        <w:rPr>
          <w:rFonts w:ascii="宋体" w:hAnsi="宋体" w:cs="宋体" w:hint="eastAsia"/>
          <w:kern w:val="0"/>
          <w:sz w:val="24"/>
          <w:szCs w:val="24"/>
        </w:rPr>
        <w:t>标准房屋重置成新价、被征收非住宅房屋重置成新价，根据评估对象的实际情况，可依据《北京市房屋重置成新价评估技术标准》进行测算。</w:t>
      </w:r>
    </w:p>
    <w:p w14:paraId="6822BB16" w14:textId="1574A3CC" w:rsidR="00A320E6" w:rsidRDefault="00000000" w:rsidP="00431106">
      <w:pPr>
        <w:pStyle w:val="13"/>
        <w:spacing w:before="62" w:after="62"/>
      </w:pPr>
      <w:r>
        <w:rPr>
          <w:rFonts w:hint="eastAsia"/>
        </w:rPr>
        <w:t>第五章</w:t>
      </w:r>
      <w:r w:rsidR="00431106">
        <w:rPr>
          <w:rFonts w:hint="eastAsia"/>
        </w:rPr>
        <w:t xml:space="preserve"> </w:t>
      </w:r>
      <w:r>
        <w:rPr>
          <w:rFonts w:hint="eastAsia"/>
        </w:rPr>
        <w:t>其他价值评估</w:t>
      </w:r>
    </w:p>
    <w:p w14:paraId="17701D13" w14:textId="2D628EA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第二十四条</w:t>
      </w:r>
      <w:r w:rsidR="00A45A13">
        <w:rPr>
          <w:rFonts w:ascii="宋体" w:hAnsi="宋体" w:cs="宋体" w:hint="eastAsia"/>
          <w:b/>
          <w:sz w:val="24"/>
          <w:szCs w:val="24"/>
        </w:rPr>
        <w:t xml:space="preserve"> </w:t>
      </w:r>
      <w:r>
        <w:rPr>
          <w:rFonts w:ascii="宋体" w:hAnsi="宋体" w:cs="宋体" w:hint="eastAsia"/>
          <w:sz w:val="24"/>
          <w:szCs w:val="24"/>
        </w:rPr>
        <w:t>用于产权调换房屋价值评估，参照被征收房屋价值评估规定执行。</w:t>
      </w:r>
    </w:p>
    <w:p w14:paraId="431832D3" w14:textId="4779041E"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第二十五条</w:t>
      </w:r>
      <w:r w:rsidR="00A45A13">
        <w:rPr>
          <w:rFonts w:ascii="宋体" w:hAnsi="宋体" w:cs="宋体" w:hint="eastAsia"/>
          <w:b/>
          <w:sz w:val="24"/>
          <w:szCs w:val="24"/>
        </w:rPr>
        <w:t xml:space="preserve"> </w:t>
      </w:r>
      <w:r>
        <w:rPr>
          <w:rFonts w:ascii="宋体" w:hAnsi="宋体" w:cs="宋体" w:hint="eastAsia"/>
          <w:kern w:val="0"/>
          <w:sz w:val="24"/>
          <w:szCs w:val="24"/>
        </w:rPr>
        <w:t>被征收房屋装修、设备及附属物价值评估，根据评估对象的实际情况，可依据《北京市房屋重置成新价评估技术标准》进行测算。</w:t>
      </w:r>
    </w:p>
    <w:p w14:paraId="1262A917" w14:textId="41D65730"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第二十六条</w:t>
      </w:r>
      <w:r w:rsidR="00A45A13">
        <w:rPr>
          <w:rFonts w:ascii="宋体" w:hAnsi="宋体" w:cs="宋体" w:hint="eastAsia"/>
          <w:b/>
          <w:sz w:val="24"/>
          <w:szCs w:val="24"/>
        </w:rPr>
        <w:t xml:space="preserve"> </w:t>
      </w:r>
      <w:r>
        <w:rPr>
          <w:rFonts w:ascii="宋体" w:hAnsi="宋体" w:cs="宋体" w:hint="eastAsia"/>
          <w:kern w:val="0"/>
          <w:sz w:val="24"/>
          <w:szCs w:val="24"/>
        </w:rPr>
        <w:t>可恢复使用的机器设备，评估价格包括拆卸费、包装运输、调试费</w:t>
      </w:r>
      <w:r>
        <w:rPr>
          <w:rFonts w:ascii="宋体" w:hAnsi="宋体" w:cs="宋体" w:hint="eastAsia"/>
          <w:kern w:val="0"/>
          <w:sz w:val="24"/>
          <w:szCs w:val="24"/>
        </w:rPr>
        <w:lastRenderedPageBreak/>
        <w:t>等。</w:t>
      </w:r>
      <w:r>
        <w:rPr>
          <w:rFonts w:ascii="宋体" w:hAnsi="宋体" w:cs="宋体" w:hint="eastAsia"/>
          <w:sz w:val="24"/>
          <w:szCs w:val="24"/>
        </w:rPr>
        <w:t>无法恢复使用的机器设备，根据资料并结合市场询价评估其重置成新价，重置价由评估时点的重新购置价与购置该机器设备发生的运杂费、安装调试费等组成。</w:t>
      </w:r>
    </w:p>
    <w:p w14:paraId="6DFD8210" w14:textId="176C9668" w:rsidR="00A320E6" w:rsidRDefault="00EC0B72" w:rsidP="00AE0286">
      <w:pPr>
        <w:spacing w:line="360" w:lineRule="auto"/>
        <w:ind w:firstLineChars="200" w:firstLine="482"/>
        <w:rPr>
          <w:rFonts w:ascii="宋体" w:hAnsi="宋体" w:cs="宋体"/>
          <w:kern w:val="0"/>
          <w:sz w:val="24"/>
          <w:szCs w:val="24"/>
        </w:rPr>
      </w:pPr>
      <w:r w:rsidRPr="00EC0B72">
        <w:rPr>
          <w:rFonts w:ascii="宋体" w:hAnsi="宋体" w:cs="宋体" w:hint="eastAsia"/>
          <w:b/>
          <w:sz w:val="24"/>
          <w:szCs w:val="24"/>
        </w:rPr>
        <w:t>第二十七条</w:t>
      </w:r>
      <w:r w:rsidR="00A45A13">
        <w:rPr>
          <w:rFonts w:ascii="宋体" w:hAnsi="宋体" w:cs="宋体" w:hint="eastAsia"/>
          <w:b/>
          <w:sz w:val="24"/>
          <w:szCs w:val="24"/>
        </w:rPr>
        <w:t xml:space="preserve"> </w:t>
      </w:r>
      <w:r>
        <w:rPr>
          <w:rFonts w:ascii="宋体" w:hAnsi="宋体" w:cs="宋体" w:hint="eastAsia"/>
          <w:kern w:val="0"/>
          <w:sz w:val="24"/>
          <w:szCs w:val="24"/>
        </w:rPr>
        <w:t>因征收房屋造成的停产停业损失评估，按照《北京市国有土地上房屋征收停产停业损失补偿暂行办法》进行测算。</w:t>
      </w:r>
    </w:p>
    <w:p w14:paraId="31738E2F" w14:textId="64C1662F"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第二十八条</w:t>
      </w:r>
      <w:r w:rsidR="00A45A13">
        <w:rPr>
          <w:rFonts w:ascii="宋体" w:hAnsi="宋体" w:cs="宋体" w:hint="eastAsia"/>
          <w:b/>
          <w:sz w:val="24"/>
          <w:szCs w:val="24"/>
        </w:rPr>
        <w:t xml:space="preserve"> </w:t>
      </w:r>
      <w:r>
        <w:rPr>
          <w:rFonts w:ascii="宋体" w:hAnsi="宋体" w:cs="宋体" w:hint="eastAsia"/>
          <w:sz w:val="24"/>
          <w:szCs w:val="24"/>
        </w:rPr>
        <w:t>征收整体房地产中的部分房屋和土地，评估时应将被征收部分与整体房地产综合考虑，可采用征收部分单独评估、整体分割评估、整体价值减损评估中的一种方式确定。</w:t>
      </w:r>
    </w:p>
    <w:p w14:paraId="392269FB" w14:textId="10ECCDEF" w:rsidR="00A320E6" w:rsidRDefault="00000000" w:rsidP="00431106">
      <w:pPr>
        <w:pStyle w:val="13"/>
        <w:spacing w:before="62" w:after="62"/>
      </w:pPr>
      <w:r>
        <w:rPr>
          <w:rFonts w:hint="eastAsia"/>
        </w:rPr>
        <w:t>第六章</w:t>
      </w:r>
      <w:r w:rsidR="00431106">
        <w:rPr>
          <w:rFonts w:hint="eastAsia"/>
        </w:rPr>
        <w:t xml:space="preserve"> </w:t>
      </w:r>
      <w:r>
        <w:rPr>
          <w:rFonts w:hint="eastAsia"/>
        </w:rPr>
        <w:t>评估结果及评估报告</w:t>
      </w:r>
    </w:p>
    <w:p w14:paraId="784891E7" w14:textId="306E05DE" w:rsidR="00A320E6" w:rsidRDefault="00EC0B72" w:rsidP="00AE0286">
      <w:pPr>
        <w:spacing w:line="360" w:lineRule="auto"/>
        <w:ind w:firstLineChars="200" w:firstLine="482"/>
        <w:rPr>
          <w:rFonts w:ascii="宋体" w:hAnsi="宋体" w:cs="宋体"/>
          <w:kern w:val="0"/>
          <w:sz w:val="24"/>
          <w:szCs w:val="24"/>
        </w:rPr>
      </w:pPr>
      <w:bookmarkStart w:id="103" w:name="OLE_LINK5"/>
      <w:r w:rsidRPr="00EC0B72">
        <w:rPr>
          <w:rFonts w:ascii="宋体" w:hAnsi="宋体" w:cs="宋体" w:hint="eastAsia"/>
          <w:b/>
          <w:kern w:val="0"/>
          <w:sz w:val="24"/>
          <w:szCs w:val="24"/>
        </w:rPr>
        <w:t>第二十九条</w:t>
      </w:r>
      <w:r w:rsidR="00A45A13">
        <w:rPr>
          <w:rFonts w:ascii="宋体" w:hAnsi="宋体" w:cs="宋体" w:hint="eastAsia"/>
          <w:b/>
          <w:kern w:val="0"/>
          <w:sz w:val="24"/>
          <w:szCs w:val="24"/>
        </w:rPr>
        <w:t xml:space="preserve"> </w:t>
      </w:r>
      <w:bookmarkEnd w:id="103"/>
      <w:r>
        <w:rPr>
          <w:rFonts w:ascii="宋体" w:hAnsi="宋体" w:cs="宋体" w:hint="eastAsia"/>
          <w:kern w:val="0"/>
          <w:sz w:val="24"/>
          <w:szCs w:val="24"/>
        </w:rPr>
        <w:t>标准房屋市场价格评估、被征收房屋价值评估选用两种以上评估方法的，应对各种评估方法测算结果进行校核和比较分析，确定最终评估结果。</w:t>
      </w:r>
    </w:p>
    <w:p w14:paraId="13125550" w14:textId="495A50CA" w:rsidR="00A320E6" w:rsidRDefault="00EC0B72" w:rsidP="00AE0286">
      <w:pPr>
        <w:spacing w:line="360" w:lineRule="auto"/>
        <w:ind w:firstLineChars="200" w:firstLine="482"/>
        <w:rPr>
          <w:rFonts w:ascii="宋体" w:hAnsi="宋体" w:cs="宋体"/>
          <w:b/>
          <w:kern w:val="0"/>
          <w:sz w:val="24"/>
          <w:szCs w:val="24"/>
        </w:rPr>
      </w:pPr>
      <w:r w:rsidRPr="00EC0B72">
        <w:rPr>
          <w:rFonts w:ascii="宋体" w:hAnsi="宋体" w:cs="宋体" w:hint="eastAsia"/>
          <w:b/>
          <w:kern w:val="0"/>
          <w:sz w:val="24"/>
          <w:szCs w:val="24"/>
        </w:rPr>
        <w:t>第三十条</w:t>
      </w:r>
      <w:r w:rsidR="00A45A13">
        <w:rPr>
          <w:rFonts w:ascii="宋体" w:hAnsi="宋体" w:cs="宋体" w:hint="eastAsia"/>
          <w:b/>
          <w:kern w:val="0"/>
          <w:sz w:val="24"/>
          <w:szCs w:val="24"/>
        </w:rPr>
        <w:t xml:space="preserve"> </w:t>
      </w:r>
      <w:r>
        <w:rPr>
          <w:rFonts w:ascii="宋体" w:hAnsi="宋体" w:cs="宋体" w:hint="eastAsia"/>
          <w:sz w:val="24"/>
          <w:szCs w:val="24"/>
        </w:rPr>
        <w:t>房地产价格评估机构应当按照评估委托书或者委托合同的约定，向房屋征收部门提供分户的初步评估结果。分户的初步评估结果应当包括评估对象的构成及其基本情况和评估价值。房屋征收部门应当将分户的初步评估结果在征收范围内向被征收人公示。</w:t>
      </w:r>
    </w:p>
    <w:p w14:paraId="415FA46C" w14:textId="1B798915" w:rsidR="00A320E6" w:rsidRDefault="00EC0B72" w:rsidP="00AE0286">
      <w:pPr>
        <w:spacing w:line="360" w:lineRule="auto"/>
        <w:ind w:firstLineChars="196" w:firstLine="472"/>
        <w:rPr>
          <w:rFonts w:ascii="宋体" w:hAnsi="宋体" w:cs="宋体"/>
          <w:sz w:val="24"/>
          <w:szCs w:val="24"/>
        </w:rPr>
      </w:pPr>
      <w:r w:rsidRPr="00EC0B72">
        <w:rPr>
          <w:rFonts w:ascii="宋体" w:hAnsi="宋体" w:cs="宋体" w:hint="eastAsia"/>
          <w:b/>
          <w:kern w:val="0"/>
          <w:sz w:val="24"/>
          <w:szCs w:val="24"/>
        </w:rPr>
        <w:t>第三十一条</w:t>
      </w:r>
      <w:r w:rsidR="00C36EF7">
        <w:rPr>
          <w:rFonts w:ascii="宋体" w:hAnsi="宋体" w:cs="宋体" w:hint="eastAsia"/>
          <w:b/>
          <w:kern w:val="0"/>
          <w:sz w:val="24"/>
          <w:szCs w:val="24"/>
        </w:rPr>
        <w:t xml:space="preserve"> </w:t>
      </w:r>
      <w:r>
        <w:rPr>
          <w:rFonts w:ascii="宋体" w:hAnsi="宋体" w:cs="宋体" w:hint="eastAsia"/>
          <w:kern w:val="0"/>
          <w:sz w:val="24"/>
          <w:szCs w:val="24"/>
        </w:rPr>
        <w:t>分户初步评估结果公示期满后，房地产价格评估机构应当向房屋征收部门提供委托评估范围内被征收房屋的整体评估报告和分户评估报告。房屋征收部门应当向被征收人转交分户评估报告。</w:t>
      </w:r>
    </w:p>
    <w:p w14:paraId="0D338C38"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整体评估报告和分户评估报告应当按照《房地产估价规范》规定的格式出具。</w:t>
      </w:r>
    </w:p>
    <w:p w14:paraId="0D96F0AD" w14:textId="20589F8A" w:rsidR="00A320E6" w:rsidRDefault="00EC0B72" w:rsidP="00AE0286">
      <w:pPr>
        <w:spacing w:line="360" w:lineRule="auto"/>
        <w:ind w:firstLineChars="200" w:firstLine="482"/>
        <w:rPr>
          <w:rFonts w:ascii="宋体" w:hAnsi="宋体" w:cs="宋体"/>
          <w:kern w:val="0"/>
          <w:sz w:val="24"/>
          <w:szCs w:val="24"/>
        </w:rPr>
      </w:pPr>
      <w:r w:rsidRPr="00EC0B72">
        <w:rPr>
          <w:rFonts w:ascii="宋体" w:hAnsi="宋体" w:cs="宋体" w:hint="eastAsia"/>
          <w:b/>
          <w:sz w:val="24"/>
          <w:szCs w:val="24"/>
        </w:rPr>
        <w:t>第三十二条</w:t>
      </w:r>
      <w:r w:rsidR="00C36EF7">
        <w:rPr>
          <w:rFonts w:ascii="宋体" w:hAnsi="宋体" w:cs="宋体" w:hint="eastAsia"/>
          <w:b/>
          <w:sz w:val="24"/>
          <w:szCs w:val="24"/>
        </w:rPr>
        <w:t xml:space="preserve"> </w:t>
      </w:r>
      <w:r>
        <w:rPr>
          <w:rFonts w:ascii="宋体" w:hAnsi="宋体" w:cs="宋体" w:hint="eastAsia"/>
          <w:kern w:val="0"/>
          <w:sz w:val="24"/>
          <w:szCs w:val="24"/>
        </w:rPr>
        <w:t>被征收人或者房屋征收部门对分户评估结果有异议的，应当自收到分户评估报告之日起10日内，向房地产价格评估机构申请复核评估。</w:t>
      </w:r>
    </w:p>
    <w:p w14:paraId="729BD664" w14:textId="77777777" w:rsidR="00A320E6" w:rsidRDefault="00000000" w:rsidP="00AE0286">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申请复核评估的，应当向原房地产价格评估机构提出书面复核评估申请，并指出评估报告存在的问题。</w:t>
      </w:r>
    </w:p>
    <w:p w14:paraId="5F7CA759" w14:textId="77777777" w:rsidR="00A320E6" w:rsidRDefault="00000000" w:rsidP="00AE0286">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原房地产价格评估机构应当自收到书面复核评估申请之日起10日内对评估结果进行复核。复核后，改变原评估结果的，应当重新出具评估报告；评估结果没有改变的，应当书面告知复核评估申请人。</w:t>
      </w:r>
    </w:p>
    <w:p w14:paraId="4C2CE643" w14:textId="0102BAF9" w:rsidR="00A320E6" w:rsidRDefault="00EC0B72" w:rsidP="00AE0286">
      <w:pPr>
        <w:spacing w:line="360" w:lineRule="auto"/>
        <w:ind w:firstLineChars="200" w:firstLine="482"/>
        <w:rPr>
          <w:rFonts w:ascii="宋体" w:hAnsi="宋体" w:cs="宋体"/>
          <w:sz w:val="24"/>
          <w:szCs w:val="24"/>
        </w:rPr>
      </w:pPr>
      <w:r w:rsidRPr="00EC0B72">
        <w:rPr>
          <w:rFonts w:ascii="宋体" w:hAnsi="宋体" w:cs="宋体" w:hint="eastAsia"/>
          <w:b/>
          <w:sz w:val="24"/>
          <w:szCs w:val="24"/>
        </w:rPr>
        <w:t>第三十三条</w:t>
      </w:r>
      <w:r w:rsidR="00C36EF7">
        <w:rPr>
          <w:rFonts w:ascii="宋体" w:hAnsi="宋体" w:cs="宋体" w:hint="eastAsia"/>
          <w:b/>
          <w:sz w:val="24"/>
          <w:szCs w:val="24"/>
        </w:rPr>
        <w:t xml:space="preserve"> </w:t>
      </w:r>
      <w:r>
        <w:rPr>
          <w:rFonts w:ascii="宋体" w:hAnsi="宋体" w:cs="宋体" w:hint="eastAsia"/>
          <w:kern w:val="0"/>
          <w:sz w:val="24"/>
          <w:szCs w:val="24"/>
        </w:rPr>
        <w:t>被征收人或者房屋征收部门对原房地产价格评估机构的复核结果有异议的，应当自收到复核结果之日起10日内，</w:t>
      </w:r>
      <w:r>
        <w:rPr>
          <w:rFonts w:ascii="宋体" w:hAnsi="宋体" w:cs="宋体" w:hint="eastAsia"/>
          <w:sz w:val="24"/>
          <w:szCs w:val="24"/>
        </w:rPr>
        <w:t>向本市房地产价格评估</w:t>
      </w:r>
      <w:r>
        <w:rPr>
          <w:rFonts w:ascii="宋体" w:hAnsi="宋体" w:cs="宋体" w:hint="eastAsia"/>
          <w:kern w:val="0"/>
          <w:sz w:val="24"/>
          <w:szCs w:val="24"/>
        </w:rPr>
        <w:t>专家委员会申请鉴定</w:t>
      </w:r>
      <w:r>
        <w:rPr>
          <w:rFonts w:ascii="宋体" w:hAnsi="宋体" w:cs="宋体" w:hint="eastAsia"/>
          <w:sz w:val="24"/>
          <w:szCs w:val="24"/>
        </w:rPr>
        <w:t>。</w:t>
      </w:r>
    </w:p>
    <w:p w14:paraId="718A6583"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评估专家委员会应当自收到鉴定申请之日起10日内，对申请鉴定评估报告的评</w:t>
      </w:r>
      <w:r>
        <w:rPr>
          <w:rFonts w:ascii="宋体" w:hAnsi="宋体" w:cs="宋体" w:hint="eastAsia"/>
          <w:sz w:val="24"/>
          <w:szCs w:val="24"/>
        </w:rPr>
        <w:lastRenderedPageBreak/>
        <w:t>估程序、评估依据、评估假设、评估技术路线、评估方法选用、参数选取、评估结果确定方式等评估技术问题进行审核，出具书面鉴定意见。</w:t>
      </w:r>
    </w:p>
    <w:p w14:paraId="6565563D" w14:textId="77777777" w:rsidR="00A320E6" w:rsidRDefault="00000000" w:rsidP="00AE0286">
      <w:pPr>
        <w:spacing w:line="360" w:lineRule="auto"/>
        <w:ind w:firstLineChars="200" w:firstLine="480"/>
        <w:rPr>
          <w:rFonts w:ascii="宋体" w:hAnsi="宋体" w:cs="宋体"/>
          <w:b/>
          <w:sz w:val="24"/>
          <w:szCs w:val="24"/>
        </w:rPr>
      </w:pPr>
      <w:r>
        <w:rPr>
          <w:rFonts w:ascii="宋体" w:hAnsi="宋体" w:cs="宋体" w:hint="eastAsia"/>
          <w:sz w:val="24"/>
          <w:szCs w:val="24"/>
        </w:rPr>
        <w:t>经评估专家委员会鉴定，评估报告存在技术问题的，评估专家委员会应将相关情况及时通知项目所在区房屋征收部门。</w:t>
      </w:r>
    </w:p>
    <w:p w14:paraId="7BAA418A" w14:textId="32017540" w:rsidR="00A320E6" w:rsidRDefault="00EC0B72" w:rsidP="00AE0286">
      <w:pPr>
        <w:spacing w:line="360" w:lineRule="auto"/>
        <w:ind w:firstLineChars="200" w:firstLine="482"/>
        <w:rPr>
          <w:rFonts w:ascii="宋体" w:hAnsi="宋体" w:cs="宋体"/>
          <w:kern w:val="0"/>
          <w:sz w:val="24"/>
          <w:szCs w:val="24"/>
        </w:rPr>
      </w:pPr>
      <w:bookmarkStart w:id="104" w:name="OLE_LINK4"/>
      <w:r w:rsidRPr="00EC0B72">
        <w:rPr>
          <w:rFonts w:ascii="宋体" w:hAnsi="宋体" w:cs="宋体" w:hint="eastAsia"/>
          <w:b/>
          <w:sz w:val="24"/>
          <w:szCs w:val="24"/>
        </w:rPr>
        <w:t>第三十四条</w:t>
      </w:r>
      <w:r w:rsidR="00A45A13">
        <w:rPr>
          <w:rFonts w:ascii="宋体" w:hAnsi="宋体" w:cs="宋体" w:hint="eastAsia"/>
          <w:b/>
          <w:sz w:val="24"/>
          <w:szCs w:val="24"/>
        </w:rPr>
        <w:t xml:space="preserve"> </w:t>
      </w:r>
      <w:bookmarkEnd w:id="104"/>
      <w:r>
        <w:rPr>
          <w:rFonts w:ascii="宋体" w:hAnsi="宋体" w:cs="宋体" w:hint="eastAsia"/>
          <w:kern w:val="0"/>
          <w:sz w:val="24"/>
          <w:szCs w:val="24"/>
        </w:rPr>
        <w:t>在房屋征收评估中，房地产价格评估机构可聘请除本行业外相关专业人士和机构提供专业帮助，但应在房屋征收评估报告中予以披露。</w:t>
      </w:r>
    </w:p>
    <w:p w14:paraId="4DA1541A" w14:textId="2FA1E06F" w:rsidR="00A320E6" w:rsidRDefault="00000000" w:rsidP="00431106">
      <w:pPr>
        <w:pStyle w:val="13"/>
        <w:spacing w:before="62" w:after="62"/>
      </w:pPr>
      <w:r>
        <w:rPr>
          <w:rFonts w:hint="eastAsia"/>
        </w:rPr>
        <w:t>第七章</w:t>
      </w:r>
      <w:r w:rsidR="00431106">
        <w:rPr>
          <w:rFonts w:hint="eastAsia"/>
        </w:rPr>
        <w:t xml:space="preserve"> </w:t>
      </w:r>
      <w:r>
        <w:rPr>
          <w:rFonts w:hint="eastAsia"/>
        </w:rPr>
        <w:t>附则</w:t>
      </w:r>
    </w:p>
    <w:p w14:paraId="412444C8" w14:textId="29AB50D7" w:rsidR="00A320E6" w:rsidRDefault="00EC0B72" w:rsidP="00AE0286">
      <w:pPr>
        <w:spacing w:line="360" w:lineRule="auto"/>
        <w:ind w:firstLineChars="200" w:firstLine="482"/>
        <w:rPr>
          <w:rFonts w:ascii="宋体" w:hAnsi="宋体" w:cs="宋体"/>
          <w:kern w:val="0"/>
          <w:sz w:val="24"/>
          <w:szCs w:val="24"/>
        </w:rPr>
      </w:pPr>
      <w:r w:rsidRPr="00EC0B72">
        <w:rPr>
          <w:rFonts w:ascii="宋体" w:hAnsi="宋体" w:cs="宋体" w:hint="eastAsia"/>
          <w:b/>
          <w:sz w:val="24"/>
          <w:szCs w:val="24"/>
        </w:rPr>
        <w:t>第三十五条</w:t>
      </w:r>
      <w:r w:rsidR="00A45A13">
        <w:rPr>
          <w:rFonts w:ascii="宋体" w:hAnsi="宋体" w:cs="宋体" w:hint="eastAsia"/>
          <w:b/>
          <w:sz w:val="24"/>
          <w:szCs w:val="24"/>
        </w:rPr>
        <w:t xml:space="preserve"> </w:t>
      </w:r>
      <w:r>
        <w:rPr>
          <w:rFonts w:ascii="宋体" w:hAnsi="宋体" w:cs="宋体" w:hint="eastAsia"/>
          <w:sz w:val="24"/>
          <w:szCs w:val="24"/>
        </w:rPr>
        <w:t>本办法自2017年2月15日起施行。北京市住房和城乡建设委员会《关于批转北京房地产估价师和土地估价师协会&lt;北京市城市住宅房屋拆迁市场评估技术方案&gt;的通知》（京建拆〔2009〕450号）及原北京市房屋土地管理局、北京市物价局《关于印发&lt;北京市非住宅房屋拆迁评估技术标准&gt;的通知》（京房地评字〔1999〕656号）同时废止。</w:t>
      </w:r>
    </w:p>
    <w:p w14:paraId="276F969B"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附表:1.成片住宅容积率修正系数参考表</w:t>
      </w:r>
    </w:p>
    <w:p w14:paraId="7EF18C00"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2.成片住宅朝向修正系数参考表</w:t>
      </w:r>
    </w:p>
    <w:p w14:paraId="1394D816"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3.成片住宅楼房楼层修正系数参考表</w:t>
      </w:r>
    </w:p>
    <w:p w14:paraId="50326FAD"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4.成片非住宅容积率修正系数参考表</w:t>
      </w:r>
    </w:p>
    <w:p w14:paraId="39F315B7" w14:textId="77777777" w:rsidR="00A320E6" w:rsidRDefault="00000000" w:rsidP="00AE0286">
      <w:pPr>
        <w:spacing w:line="360" w:lineRule="auto"/>
        <w:rPr>
          <w:rFonts w:ascii="宋体" w:hAnsi="宋体" w:cs="宋体"/>
          <w:sz w:val="24"/>
          <w:szCs w:val="24"/>
        </w:rPr>
      </w:pPr>
      <w:r>
        <w:rPr>
          <w:rFonts w:ascii="宋体" w:hAnsi="宋体" w:cs="宋体" w:hint="eastAsia"/>
          <w:sz w:val="24"/>
          <w:szCs w:val="24"/>
        </w:rPr>
        <w:t>5.成片非住宅楼层和临街状况修正系数参考表</w:t>
      </w:r>
    </w:p>
    <w:p w14:paraId="3D94ED77" w14:textId="77777777" w:rsidR="00A320E6" w:rsidRDefault="00000000" w:rsidP="00AE0286">
      <w:pPr>
        <w:spacing w:line="360" w:lineRule="auto"/>
        <w:rPr>
          <w:rFonts w:ascii="宋体" w:hAnsi="宋体" w:cs="宋体"/>
          <w:sz w:val="24"/>
          <w:szCs w:val="24"/>
        </w:rPr>
      </w:pPr>
      <w:r>
        <w:rPr>
          <w:rFonts w:ascii="宋体" w:hAnsi="宋体" w:cs="宋体" w:hint="eastAsia"/>
          <w:sz w:val="24"/>
          <w:szCs w:val="24"/>
        </w:rPr>
        <w:t>附表1</w:t>
      </w:r>
    </w:p>
    <w:p w14:paraId="1566BBDC" w14:textId="77777777" w:rsidR="00A320E6" w:rsidRDefault="00000000" w:rsidP="00AE0286">
      <w:pPr>
        <w:spacing w:line="360" w:lineRule="auto"/>
        <w:jc w:val="center"/>
        <w:rPr>
          <w:rFonts w:ascii="宋体" w:hAnsi="宋体" w:cs="宋体"/>
          <w:bCs/>
          <w:color w:val="000000"/>
          <w:kern w:val="0"/>
          <w:sz w:val="24"/>
          <w:szCs w:val="24"/>
        </w:rPr>
      </w:pPr>
      <w:r>
        <w:rPr>
          <w:rFonts w:ascii="宋体" w:hAnsi="宋体" w:cs="宋体" w:hint="eastAsia"/>
          <w:bCs/>
          <w:color w:val="000000"/>
          <w:kern w:val="0"/>
          <w:sz w:val="24"/>
          <w:szCs w:val="24"/>
        </w:rPr>
        <w:t>成片住宅容积率修正系数参考表</w:t>
      </w:r>
    </w:p>
    <w:tbl>
      <w:tblPr>
        <w:tblW w:w="80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417"/>
        <w:gridCol w:w="3647"/>
      </w:tblGrid>
      <w:tr w:rsidR="00A320E6" w14:paraId="32BC22E7" w14:textId="77777777">
        <w:trPr>
          <w:trHeight w:val="283"/>
          <w:tblHeader/>
          <w:jc w:val="center"/>
        </w:trPr>
        <w:tc>
          <w:tcPr>
            <w:tcW w:w="4417" w:type="dxa"/>
            <w:tcMar>
              <w:top w:w="0" w:type="dxa"/>
              <w:left w:w="108" w:type="dxa"/>
              <w:bottom w:w="0" w:type="dxa"/>
              <w:right w:w="108" w:type="dxa"/>
            </w:tcMar>
          </w:tcPr>
          <w:p w14:paraId="2141A14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容积率r</w:t>
            </w:r>
          </w:p>
        </w:tc>
        <w:tc>
          <w:tcPr>
            <w:tcW w:w="3647" w:type="dxa"/>
            <w:tcMar>
              <w:top w:w="0" w:type="dxa"/>
              <w:left w:w="108" w:type="dxa"/>
              <w:bottom w:w="0" w:type="dxa"/>
              <w:right w:w="108" w:type="dxa"/>
            </w:tcMar>
          </w:tcPr>
          <w:p w14:paraId="6DD580D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修正系数</w:t>
            </w:r>
          </w:p>
        </w:tc>
      </w:tr>
      <w:tr w:rsidR="00A320E6" w14:paraId="1ED542B8" w14:textId="77777777">
        <w:trPr>
          <w:trHeight w:val="285"/>
          <w:jc w:val="center"/>
        </w:trPr>
        <w:tc>
          <w:tcPr>
            <w:tcW w:w="4417" w:type="dxa"/>
            <w:tcMar>
              <w:top w:w="0" w:type="dxa"/>
              <w:left w:w="108" w:type="dxa"/>
              <w:bottom w:w="0" w:type="dxa"/>
              <w:right w:w="108" w:type="dxa"/>
            </w:tcMar>
          </w:tcPr>
          <w:p w14:paraId="7693C25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r&lt;0.1</w:t>
            </w:r>
          </w:p>
        </w:tc>
        <w:tc>
          <w:tcPr>
            <w:tcW w:w="3647" w:type="dxa"/>
            <w:tcMar>
              <w:top w:w="0" w:type="dxa"/>
              <w:left w:w="108" w:type="dxa"/>
              <w:bottom w:w="0" w:type="dxa"/>
              <w:right w:w="108" w:type="dxa"/>
            </w:tcMar>
          </w:tcPr>
          <w:p w14:paraId="1D92ABC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r>
      <w:tr w:rsidR="00A320E6" w14:paraId="43D1C6F4" w14:textId="77777777">
        <w:trPr>
          <w:trHeight w:val="285"/>
          <w:jc w:val="center"/>
        </w:trPr>
        <w:tc>
          <w:tcPr>
            <w:tcW w:w="4417" w:type="dxa"/>
            <w:tcMar>
              <w:top w:w="0" w:type="dxa"/>
              <w:left w:w="108" w:type="dxa"/>
              <w:bottom w:w="0" w:type="dxa"/>
              <w:right w:w="108" w:type="dxa"/>
            </w:tcMar>
          </w:tcPr>
          <w:p w14:paraId="766D5A9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0.1≤r&lt;0.2</w:t>
            </w:r>
          </w:p>
        </w:tc>
        <w:tc>
          <w:tcPr>
            <w:tcW w:w="3647" w:type="dxa"/>
            <w:tcMar>
              <w:top w:w="0" w:type="dxa"/>
              <w:left w:w="108" w:type="dxa"/>
              <w:bottom w:w="0" w:type="dxa"/>
              <w:right w:w="108" w:type="dxa"/>
            </w:tcMar>
            <w:vAlign w:val="center"/>
          </w:tcPr>
          <w:p w14:paraId="5C3A4E1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1.9</w:t>
            </w:r>
          </w:p>
        </w:tc>
      </w:tr>
      <w:tr w:rsidR="00A320E6" w14:paraId="0CFAC549" w14:textId="77777777">
        <w:trPr>
          <w:trHeight w:val="285"/>
          <w:jc w:val="center"/>
        </w:trPr>
        <w:tc>
          <w:tcPr>
            <w:tcW w:w="4417" w:type="dxa"/>
            <w:tcMar>
              <w:top w:w="0" w:type="dxa"/>
              <w:left w:w="108" w:type="dxa"/>
              <w:bottom w:w="0" w:type="dxa"/>
              <w:right w:w="108" w:type="dxa"/>
            </w:tcMar>
          </w:tcPr>
          <w:p w14:paraId="61CA643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0.2≤r&lt;0.3</w:t>
            </w:r>
          </w:p>
        </w:tc>
        <w:tc>
          <w:tcPr>
            <w:tcW w:w="3647" w:type="dxa"/>
            <w:tcMar>
              <w:top w:w="0" w:type="dxa"/>
              <w:left w:w="108" w:type="dxa"/>
              <w:bottom w:w="0" w:type="dxa"/>
              <w:right w:w="108" w:type="dxa"/>
            </w:tcMar>
            <w:vAlign w:val="center"/>
          </w:tcPr>
          <w:p w14:paraId="2C74840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1.8</w:t>
            </w:r>
          </w:p>
        </w:tc>
      </w:tr>
      <w:tr w:rsidR="00A320E6" w14:paraId="43FB3B30" w14:textId="77777777">
        <w:trPr>
          <w:trHeight w:val="285"/>
          <w:jc w:val="center"/>
        </w:trPr>
        <w:tc>
          <w:tcPr>
            <w:tcW w:w="4417" w:type="dxa"/>
            <w:tcMar>
              <w:top w:w="0" w:type="dxa"/>
              <w:left w:w="108" w:type="dxa"/>
              <w:bottom w:w="0" w:type="dxa"/>
              <w:right w:w="108" w:type="dxa"/>
            </w:tcMar>
          </w:tcPr>
          <w:p w14:paraId="0B6F3DD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0.3≤r&lt;0.4</w:t>
            </w:r>
          </w:p>
        </w:tc>
        <w:tc>
          <w:tcPr>
            <w:tcW w:w="3647" w:type="dxa"/>
            <w:tcMar>
              <w:top w:w="0" w:type="dxa"/>
              <w:left w:w="108" w:type="dxa"/>
              <w:bottom w:w="0" w:type="dxa"/>
              <w:right w:w="108" w:type="dxa"/>
            </w:tcMar>
            <w:vAlign w:val="center"/>
          </w:tcPr>
          <w:p w14:paraId="45A41D0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1.7</w:t>
            </w:r>
          </w:p>
        </w:tc>
      </w:tr>
      <w:tr w:rsidR="00A320E6" w14:paraId="41B0200A" w14:textId="77777777">
        <w:trPr>
          <w:trHeight w:val="285"/>
          <w:jc w:val="center"/>
        </w:trPr>
        <w:tc>
          <w:tcPr>
            <w:tcW w:w="4417" w:type="dxa"/>
            <w:tcMar>
              <w:top w:w="0" w:type="dxa"/>
              <w:left w:w="108" w:type="dxa"/>
              <w:bottom w:w="0" w:type="dxa"/>
              <w:right w:w="108" w:type="dxa"/>
            </w:tcMar>
          </w:tcPr>
          <w:p w14:paraId="181A748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0.4≤r&lt;0.5</w:t>
            </w:r>
          </w:p>
        </w:tc>
        <w:tc>
          <w:tcPr>
            <w:tcW w:w="3647" w:type="dxa"/>
            <w:tcMar>
              <w:top w:w="0" w:type="dxa"/>
              <w:left w:w="108" w:type="dxa"/>
              <w:bottom w:w="0" w:type="dxa"/>
              <w:right w:w="108" w:type="dxa"/>
            </w:tcMar>
            <w:vAlign w:val="center"/>
          </w:tcPr>
          <w:p w14:paraId="49F4716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1.6</w:t>
            </w:r>
          </w:p>
        </w:tc>
      </w:tr>
      <w:tr w:rsidR="00A320E6" w14:paraId="7C2B2CF0" w14:textId="77777777">
        <w:trPr>
          <w:trHeight w:val="285"/>
          <w:jc w:val="center"/>
        </w:trPr>
        <w:tc>
          <w:tcPr>
            <w:tcW w:w="4417" w:type="dxa"/>
            <w:tcMar>
              <w:top w:w="0" w:type="dxa"/>
              <w:left w:w="108" w:type="dxa"/>
              <w:bottom w:w="0" w:type="dxa"/>
              <w:right w:w="108" w:type="dxa"/>
            </w:tcMar>
          </w:tcPr>
          <w:p w14:paraId="1CC9F76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0.5≤r&lt;0.6</w:t>
            </w:r>
          </w:p>
        </w:tc>
        <w:tc>
          <w:tcPr>
            <w:tcW w:w="3647" w:type="dxa"/>
            <w:tcMar>
              <w:top w:w="0" w:type="dxa"/>
              <w:left w:w="108" w:type="dxa"/>
              <w:bottom w:w="0" w:type="dxa"/>
              <w:right w:w="108" w:type="dxa"/>
            </w:tcMar>
            <w:vAlign w:val="center"/>
          </w:tcPr>
          <w:p w14:paraId="0B23EC4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r>
      <w:tr w:rsidR="00A320E6" w14:paraId="359B74A5" w14:textId="77777777">
        <w:trPr>
          <w:trHeight w:val="285"/>
          <w:jc w:val="center"/>
        </w:trPr>
        <w:tc>
          <w:tcPr>
            <w:tcW w:w="4417" w:type="dxa"/>
            <w:tcMar>
              <w:top w:w="0" w:type="dxa"/>
              <w:left w:w="108" w:type="dxa"/>
              <w:bottom w:w="0" w:type="dxa"/>
              <w:right w:w="108" w:type="dxa"/>
            </w:tcMar>
          </w:tcPr>
          <w:p w14:paraId="1F67DD4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0.6≤r&lt;0.7</w:t>
            </w:r>
          </w:p>
        </w:tc>
        <w:tc>
          <w:tcPr>
            <w:tcW w:w="3647" w:type="dxa"/>
            <w:tcMar>
              <w:top w:w="0" w:type="dxa"/>
              <w:left w:w="108" w:type="dxa"/>
              <w:bottom w:w="0" w:type="dxa"/>
              <w:right w:w="108" w:type="dxa"/>
            </w:tcMar>
            <w:vAlign w:val="center"/>
          </w:tcPr>
          <w:p w14:paraId="6EA11B2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1.4</w:t>
            </w:r>
          </w:p>
        </w:tc>
      </w:tr>
      <w:tr w:rsidR="00A320E6" w14:paraId="080372F8" w14:textId="77777777">
        <w:trPr>
          <w:trHeight w:val="285"/>
          <w:jc w:val="center"/>
        </w:trPr>
        <w:tc>
          <w:tcPr>
            <w:tcW w:w="4417" w:type="dxa"/>
            <w:tcMar>
              <w:top w:w="0" w:type="dxa"/>
              <w:left w:w="108" w:type="dxa"/>
              <w:bottom w:w="0" w:type="dxa"/>
              <w:right w:w="108" w:type="dxa"/>
            </w:tcMar>
          </w:tcPr>
          <w:p w14:paraId="27D6B0E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0.7≤r&lt;0.8</w:t>
            </w:r>
          </w:p>
        </w:tc>
        <w:tc>
          <w:tcPr>
            <w:tcW w:w="3647" w:type="dxa"/>
            <w:tcMar>
              <w:top w:w="0" w:type="dxa"/>
              <w:left w:w="108" w:type="dxa"/>
              <w:bottom w:w="0" w:type="dxa"/>
              <w:right w:w="108" w:type="dxa"/>
            </w:tcMar>
            <w:vAlign w:val="center"/>
          </w:tcPr>
          <w:p w14:paraId="724CD13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1.3</w:t>
            </w:r>
          </w:p>
        </w:tc>
      </w:tr>
      <w:tr w:rsidR="00A320E6" w14:paraId="099157AA" w14:textId="77777777">
        <w:trPr>
          <w:trHeight w:val="285"/>
          <w:jc w:val="center"/>
        </w:trPr>
        <w:tc>
          <w:tcPr>
            <w:tcW w:w="4417" w:type="dxa"/>
            <w:tcMar>
              <w:top w:w="0" w:type="dxa"/>
              <w:left w:w="108" w:type="dxa"/>
              <w:bottom w:w="0" w:type="dxa"/>
              <w:right w:w="108" w:type="dxa"/>
            </w:tcMar>
          </w:tcPr>
          <w:p w14:paraId="075E3FE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0.8≤r&lt;0.9</w:t>
            </w:r>
          </w:p>
        </w:tc>
        <w:tc>
          <w:tcPr>
            <w:tcW w:w="3647" w:type="dxa"/>
            <w:tcMar>
              <w:top w:w="0" w:type="dxa"/>
              <w:left w:w="108" w:type="dxa"/>
              <w:bottom w:w="0" w:type="dxa"/>
              <w:right w:w="108" w:type="dxa"/>
            </w:tcMar>
            <w:vAlign w:val="center"/>
          </w:tcPr>
          <w:p w14:paraId="45C74AE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1.2</w:t>
            </w:r>
          </w:p>
        </w:tc>
      </w:tr>
      <w:tr w:rsidR="00A320E6" w14:paraId="4AB0C6B6" w14:textId="77777777">
        <w:trPr>
          <w:trHeight w:val="285"/>
          <w:jc w:val="center"/>
        </w:trPr>
        <w:tc>
          <w:tcPr>
            <w:tcW w:w="4417" w:type="dxa"/>
            <w:tcMar>
              <w:top w:w="0" w:type="dxa"/>
              <w:left w:w="108" w:type="dxa"/>
              <w:bottom w:w="0" w:type="dxa"/>
              <w:right w:w="108" w:type="dxa"/>
            </w:tcMar>
          </w:tcPr>
          <w:p w14:paraId="27DCBCC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0.9≤r&lt;1</w:t>
            </w:r>
          </w:p>
        </w:tc>
        <w:tc>
          <w:tcPr>
            <w:tcW w:w="3647" w:type="dxa"/>
            <w:tcMar>
              <w:top w:w="0" w:type="dxa"/>
              <w:left w:w="108" w:type="dxa"/>
              <w:bottom w:w="0" w:type="dxa"/>
              <w:right w:w="108" w:type="dxa"/>
            </w:tcMar>
            <w:vAlign w:val="center"/>
          </w:tcPr>
          <w:p w14:paraId="5A42AB4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1.1</w:t>
            </w:r>
          </w:p>
        </w:tc>
      </w:tr>
      <w:tr w:rsidR="00A320E6" w14:paraId="77776803" w14:textId="77777777">
        <w:trPr>
          <w:trHeight w:val="285"/>
          <w:jc w:val="center"/>
        </w:trPr>
        <w:tc>
          <w:tcPr>
            <w:tcW w:w="4417" w:type="dxa"/>
            <w:tcMar>
              <w:top w:w="0" w:type="dxa"/>
              <w:left w:w="108" w:type="dxa"/>
              <w:bottom w:w="0" w:type="dxa"/>
              <w:right w:w="108" w:type="dxa"/>
            </w:tcMar>
          </w:tcPr>
          <w:p w14:paraId="7AC415B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r≥1</w:t>
            </w:r>
          </w:p>
        </w:tc>
        <w:tc>
          <w:tcPr>
            <w:tcW w:w="3647" w:type="dxa"/>
            <w:tcMar>
              <w:top w:w="0" w:type="dxa"/>
              <w:left w:w="108" w:type="dxa"/>
              <w:bottom w:w="0" w:type="dxa"/>
              <w:right w:w="108" w:type="dxa"/>
            </w:tcMar>
            <w:vAlign w:val="center"/>
          </w:tcPr>
          <w:p w14:paraId="4F83343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w:t>
            </w:r>
          </w:p>
        </w:tc>
      </w:tr>
    </w:tbl>
    <w:p w14:paraId="3ADE3E37" w14:textId="77777777" w:rsidR="00A320E6" w:rsidRDefault="00000000" w:rsidP="00AE0286">
      <w:pPr>
        <w:spacing w:line="360" w:lineRule="auto"/>
        <w:ind w:firstLine="570"/>
        <w:rPr>
          <w:rFonts w:ascii="宋体" w:hAnsi="宋体" w:cs="宋体"/>
          <w:sz w:val="24"/>
          <w:szCs w:val="24"/>
        </w:rPr>
      </w:pPr>
      <w:r>
        <w:rPr>
          <w:rFonts w:ascii="宋体" w:hAnsi="宋体" w:cs="宋体" w:hint="eastAsia"/>
          <w:sz w:val="24"/>
          <w:szCs w:val="24"/>
        </w:rPr>
        <w:t>注：（1）被征收房屋容积率，按照房屋建筑面积除以土地面积计算；被征收房屋建筑面积和土地面积，按照房地权属证明文件标明的面积确定。</w:t>
      </w:r>
    </w:p>
    <w:p w14:paraId="7B059905" w14:textId="77777777" w:rsidR="00A320E6" w:rsidRDefault="00000000" w:rsidP="00AE0286">
      <w:pPr>
        <w:spacing w:line="360" w:lineRule="auto"/>
        <w:ind w:firstLineChars="350" w:firstLine="840"/>
        <w:rPr>
          <w:rFonts w:ascii="宋体" w:hAnsi="宋体" w:cs="宋体"/>
          <w:sz w:val="24"/>
          <w:szCs w:val="24"/>
        </w:rPr>
      </w:pPr>
      <w:r>
        <w:rPr>
          <w:rFonts w:ascii="宋体" w:hAnsi="宋体" w:cs="宋体" w:hint="eastAsia"/>
          <w:sz w:val="24"/>
          <w:szCs w:val="24"/>
        </w:rPr>
        <w:lastRenderedPageBreak/>
        <w:t>（2）房地权属证明文件没有标明土地面积的，平房的容积率修正系数按照1.3计算；成套楼房（主要指有独立的居室、厨房及卫生间）的容积率修正系数按照1.0计算；非成套楼房的容积率修正系数根据其房屋附属设施（主要指厨房、卫生间）的实际配套情况在1.0-1.3之间选取。当事人有异议的，也可以按照测绘部门实际测量的数据计算。</w:t>
      </w:r>
    </w:p>
    <w:p w14:paraId="20CC5B3D" w14:textId="77777777" w:rsidR="00A320E6" w:rsidRDefault="00000000" w:rsidP="00AE0286">
      <w:pPr>
        <w:spacing w:line="480" w:lineRule="exact"/>
        <w:rPr>
          <w:rFonts w:ascii="宋体" w:hAnsi="宋体" w:cs="宋体"/>
          <w:b/>
          <w:bCs/>
          <w:color w:val="000000"/>
          <w:kern w:val="0"/>
          <w:sz w:val="24"/>
          <w:szCs w:val="24"/>
        </w:rPr>
      </w:pPr>
      <w:r>
        <w:rPr>
          <w:rFonts w:ascii="宋体" w:hAnsi="宋体" w:cs="宋体" w:hint="eastAsia"/>
          <w:sz w:val="24"/>
          <w:szCs w:val="24"/>
        </w:rPr>
        <w:t>附表2</w:t>
      </w:r>
    </w:p>
    <w:p w14:paraId="5AD507E7" w14:textId="77777777" w:rsidR="00A320E6" w:rsidRDefault="00000000" w:rsidP="00AE0286">
      <w:pPr>
        <w:spacing w:line="440" w:lineRule="exact"/>
        <w:jc w:val="center"/>
        <w:rPr>
          <w:rFonts w:ascii="宋体" w:hAnsi="宋体" w:cs="宋体"/>
          <w:color w:val="000000"/>
          <w:kern w:val="0"/>
          <w:sz w:val="24"/>
          <w:szCs w:val="24"/>
        </w:rPr>
      </w:pPr>
      <w:r>
        <w:rPr>
          <w:rFonts w:ascii="宋体" w:hAnsi="宋体" w:cs="宋体" w:hint="eastAsia"/>
          <w:bCs/>
          <w:color w:val="000000"/>
          <w:kern w:val="0"/>
          <w:sz w:val="24"/>
          <w:szCs w:val="24"/>
        </w:rPr>
        <w:t>成片住宅朝向修正系数参考表（住宅平房）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9"/>
        <w:gridCol w:w="1723"/>
        <w:gridCol w:w="1711"/>
        <w:gridCol w:w="1841"/>
        <w:gridCol w:w="1838"/>
      </w:tblGrid>
      <w:tr w:rsidR="00A320E6" w14:paraId="34AE42BE" w14:textId="77777777">
        <w:trPr>
          <w:jc w:val="center"/>
        </w:trPr>
        <w:tc>
          <w:tcPr>
            <w:tcW w:w="1022" w:type="pct"/>
            <w:tcMar>
              <w:top w:w="0" w:type="dxa"/>
              <w:left w:w="108" w:type="dxa"/>
              <w:bottom w:w="0" w:type="dxa"/>
              <w:right w:w="108" w:type="dxa"/>
            </w:tcMar>
            <w:vAlign w:val="center"/>
          </w:tcPr>
          <w:p w14:paraId="399D137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朝向</w:t>
            </w:r>
          </w:p>
        </w:tc>
        <w:tc>
          <w:tcPr>
            <w:tcW w:w="963" w:type="pct"/>
            <w:tcMar>
              <w:top w:w="0" w:type="dxa"/>
              <w:left w:w="108" w:type="dxa"/>
              <w:bottom w:w="0" w:type="dxa"/>
              <w:right w:w="108" w:type="dxa"/>
            </w:tcMar>
            <w:vAlign w:val="center"/>
          </w:tcPr>
          <w:p w14:paraId="5A00A14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北</w:t>
            </w:r>
          </w:p>
        </w:tc>
        <w:tc>
          <w:tcPr>
            <w:tcW w:w="956" w:type="pct"/>
            <w:tcMar>
              <w:top w:w="0" w:type="dxa"/>
              <w:left w:w="108" w:type="dxa"/>
              <w:bottom w:w="0" w:type="dxa"/>
              <w:right w:w="108" w:type="dxa"/>
            </w:tcMar>
            <w:vAlign w:val="center"/>
          </w:tcPr>
          <w:p w14:paraId="65392EC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西</w:t>
            </w:r>
          </w:p>
        </w:tc>
        <w:tc>
          <w:tcPr>
            <w:tcW w:w="1029" w:type="pct"/>
            <w:tcMar>
              <w:top w:w="0" w:type="dxa"/>
              <w:left w:w="108" w:type="dxa"/>
              <w:bottom w:w="0" w:type="dxa"/>
              <w:right w:w="108" w:type="dxa"/>
            </w:tcMar>
            <w:vAlign w:val="center"/>
          </w:tcPr>
          <w:p w14:paraId="5DC5B69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东</w:t>
            </w:r>
          </w:p>
        </w:tc>
        <w:tc>
          <w:tcPr>
            <w:tcW w:w="1028" w:type="pct"/>
            <w:tcMar>
              <w:top w:w="0" w:type="dxa"/>
              <w:left w:w="108" w:type="dxa"/>
              <w:bottom w:w="0" w:type="dxa"/>
              <w:right w:w="108" w:type="dxa"/>
            </w:tcMar>
            <w:vAlign w:val="center"/>
          </w:tcPr>
          <w:p w14:paraId="04FB385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南</w:t>
            </w:r>
          </w:p>
        </w:tc>
      </w:tr>
      <w:tr w:rsidR="00A320E6" w14:paraId="461A1524" w14:textId="77777777">
        <w:trPr>
          <w:jc w:val="center"/>
        </w:trPr>
        <w:tc>
          <w:tcPr>
            <w:tcW w:w="1022" w:type="pct"/>
            <w:tcMar>
              <w:top w:w="0" w:type="dxa"/>
              <w:left w:w="108" w:type="dxa"/>
              <w:bottom w:w="0" w:type="dxa"/>
              <w:right w:w="108" w:type="dxa"/>
            </w:tcMar>
            <w:vAlign w:val="center"/>
          </w:tcPr>
          <w:p w14:paraId="1C434FA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修正系数</w:t>
            </w:r>
          </w:p>
        </w:tc>
        <w:tc>
          <w:tcPr>
            <w:tcW w:w="963" w:type="pct"/>
            <w:tcMar>
              <w:top w:w="0" w:type="dxa"/>
              <w:left w:w="108" w:type="dxa"/>
              <w:bottom w:w="0" w:type="dxa"/>
              <w:right w:w="108" w:type="dxa"/>
            </w:tcMar>
            <w:vAlign w:val="center"/>
          </w:tcPr>
          <w:p w14:paraId="5D52E72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956" w:type="pct"/>
            <w:tcMar>
              <w:top w:w="0" w:type="dxa"/>
              <w:left w:w="108" w:type="dxa"/>
              <w:bottom w:w="0" w:type="dxa"/>
              <w:right w:w="108" w:type="dxa"/>
            </w:tcMar>
            <w:vAlign w:val="center"/>
          </w:tcPr>
          <w:p w14:paraId="507B5D5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1029" w:type="pct"/>
            <w:tcMar>
              <w:top w:w="0" w:type="dxa"/>
              <w:left w:w="108" w:type="dxa"/>
              <w:bottom w:w="0" w:type="dxa"/>
              <w:right w:w="108" w:type="dxa"/>
            </w:tcMar>
            <w:vAlign w:val="center"/>
          </w:tcPr>
          <w:p w14:paraId="27B8FB6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1028" w:type="pct"/>
            <w:tcMar>
              <w:top w:w="0" w:type="dxa"/>
              <w:left w:w="108" w:type="dxa"/>
              <w:bottom w:w="0" w:type="dxa"/>
              <w:right w:w="108" w:type="dxa"/>
            </w:tcMar>
            <w:vAlign w:val="center"/>
          </w:tcPr>
          <w:p w14:paraId="7E921AC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r>
    </w:tbl>
    <w:p w14:paraId="71A9DF9D" w14:textId="77777777" w:rsidR="00A320E6" w:rsidRDefault="00000000" w:rsidP="00AE0286">
      <w:pPr>
        <w:autoSpaceDE w:val="0"/>
        <w:snapToGrid w:val="0"/>
        <w:spacing w:line="360" w:lineRule="auto"/>
        <w:ind w:firstLineChars="196" w:firstLine="470"/>
        <w:jc w:val="left"/>
        <w:rPr>
          <w:rFonts w:ascii="宋体" w:hAnsi="宋体" w:cs="宋体"/>
          <w:b/>
          <w:bCs/>
          <w:color w:val="000000"/>
          <w:kern w:val="0"/>
          <w:sz w:val="24"/>
          <w:szCs w:val="24"/>
        </w:rPr>
      </w:pPr>
      <w:r>
        <w:rPr>
          <w:rFonts w:ascii="宋体" w:hAnsi="宋体" w:cs="宋体" w:hint="eastAsia"/>
          <w:color w:val="000000"/>
          <w:kern w:val="0"/>
          <w:sz w:val="24"/>
          <w:szCs w:val="24"/>
        </w:rPr>
        <w:t>注：（1）平房朝向指房屋坐落的自然朝向（或主窗的朝向）。</w:t>
      </w:r>
    </w:p>
    <w:p w14:paraId="1CF48C90" w14:textId="77777777" w:rsidR="00A320E6" w:rsidRDefault="00000000" w:rsidP="00AE0286">
      <w:pPr>
        <w:autoSpaceDE w:val="0"/>
        <w:spacing w:line="360" w:lineRule="auto"/>
        <w:ind w:firstLineChars="400" w:firstLine="960"/>
        <w:jc w:val="left"/>
        <w:rPr>
          <w:rFonts w:ascii="宋体" w:hAnsi="宋体" w:cs="宋体"/>
          <w:color w:val="000000"/>
          <w:kern w:val="0"/>
          <w:sz w:val="24"/>
          <w:szCs w:val="24"/>
        </w:rPr>
      </w:pPr>
      <w:r>
        <w:rPr>
          <w:rFonts w:ascii="宋体" w:hAnsi="宋体" w:cs="宋体" w:hint="eastAsia"/>
          <w:color w:val="000000"/>
          <w:kern w:val="0"/>
          <w:sz w:val="24"/>
          <w:szCs w:val="24"/>
        </w:rPr>
        <w:t>（2）非成套楼房朝向按平房朝向进行修正。</w:t>
      </w:r>
    </w:p>
    <w:p w14:paraId="6CC133F8" w14:textId="77777777" w:rsidR="00A320E6" w:rsidRDefault="00000000" w:rsidP="00AE0286">
      <w:pPr>
        <w:spacing w:line="360" w:lineRule="auto"/>
        <w:ind w:firstLineChars="400" w:firstLine="960"/>
        <w:rPr>
          <w:rFonts w:ascii="宋体" w:hAnsi="宋体" w:cs="宋体"/>
          <w:color w:val="000000"/>
          <w:kern w:val="0"/>
          <w:sz w:val="24"/>
          <w:szCs w:val="24"/>
        </w:rPr>
      </w:pPr>
      <w:r>
        <w:rPr>
          <w:rFonts w:ascii="宋体" w:hAnsi="宋体" w:cs="宋体" w:hint="eastAsia"/>
          <w:color w:val="000000"/>
          <w:kern w:val="0"/>
          <w:sz w:val="24"/>
          <w:szCs w:val="24"/>
        </w:rPr>
        <w:t>（3）特殊房屋无法判断朝向时，对此房屋朝向不做修正。</w:t>
      </w:r>
    </w:p>
    <w:p w14:paraId="4AF3B21F" w14:textId="77777777" w:rsidR="00A320E6" w:rsidRDefault="00000000" w:rsidP="00AE0286">
      <w:pPr>
        <w:spacing w:line="360" w:lineRule="auto"/>
        <w:jc w:val="center"/>
        <w:rPr>
          <w:rFonts w:ascii="宋体" w:hAnsi="宋体" w:cs="宋体"/>
          <w:sz w:val="24"/>
          <w:szCs w:val="24"/>
        </w:rPr>
      </w:pPr>
      <w:r>
        <w:rPr>
          <w:rFonts w:ascii="宋体" w:hAnsi="宋体" w:cs="宋体" w:hint="eastAsia"/>
          <w:bCs/>
          <w:color w:val="000000"/>
          <w:kern w:val="0"/>
          <w:sz w:val="24"/>
          <w:szCs w:val="24"/>
        </w:rPr>
        <w:t>成片</w:t>
      </w:r>
      <w:r>
        <w:rPr>
          <w:rFonts w:ascii="宋体" w:hAnsi="宋体" w:cs="宋体" w:hint="eastAsia"/>
          <w:sz w:val="24"/>
          <w:szCs w:val="24"/>
        </w:rPr>
        <w:t>住宅朝向修正系数参考表（</w:t>
      </w:r>
      <w:r>
        <w:rPr>
          <w:rFonts w:ascii="宋体" w:hAnsi="宋体" w:cs="宋体" w:hint="eastAsia"/>
          <w:bCs/>
          <w:color w:val="000000"/>
          <w:kern w:val="0"/>
          <w:sz w:val="24"/>
          <w:szCs w:val="24"/>
        </w:rPr>
        <w:t>住宅</w:t>
      </w:r>
      <w:r>
        <w:rPr>
          <w:rFonts w:ascii="宋体" w:hAnsi="宋体" w:cs="宋体" w:hint="eastAsia"/>
          <w:sz w:val="24"/>
          <w:szCs w:val="24"/>
        </w:rPr>
        <w:t>楼房）</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55"/>
        <w:gridCol w:w="775"/>
        <w:gridCol w:w="723"/>
        <w:gridCol w:w="839"/>
        <w:gridCol w:w="787"/>
        <w:gridCol w:w="920"/>
        <w:gridCol w:w="656"/>
        <w:gridCol w:w="921"/>
        <w:gridCol w:w="790"/>
        <w:gridCol w:w="921"/>
      </w:tblGrid>
      <w:tr w:rsidR="00A320E6" w14:paraId="53B757C7" w14:textId="77777777">
        <w:tc>
          <w:tcPr>
            <w:tcW w:w="475" w:type="pct"/>
          </w:tcPr>
          <w:p w14:paraId="0205210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朝向</w:t>
            </w:r>
          </w:p>
        </w:tc>
        <w:tc>
          <w:tcPr>
            <w:tcW w:w="422" w:type="pct"/>
          </w:tcPr>
          <w:p w14:paraId="19D02A1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南北</w:t>
            </w:r>
          </w:p>
        </w:tc>
        <w:tc>
          <w:tcPr>
            <w:tcW w:w="433" w:type="pct"/>
          </w:tcPr>
          <w:p w14:paraId="61EB581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南</w:t>
            </w:r>
          </w:p>
        </w:tc>
        <w:tc>
          <w:tcPr>
            <w:tcW w:w="405" w:type="pct"/>
          </w:tcPr>
          <w:p w14:paraId="1C9F9A3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东南</w:t>
            </w:r>
          </w:p>
        </w:tc>
        <w:tc>
          <w:tcPr>
            <w:tcW w:w="469" w:type="pct"/>
          </w:tcPr>
          <w:p w14:paraId="31EBEF5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西南</w:t>
            </w:r>
          </w:p>
        </w:tc>
        <w:tc>
          <w:tcPr>
            <w:tcW w:w="440" w:type="pct"/>
          </w:tcPr>
          <w:p w14:paraId="434ADC9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东西</w:t>
            </w:r>
          </w:p>
        </w:tc>
        <w:tc>
          <w:tcPr>
            <w:tcW w:w="514" w:type="pct"/>
          </w:tcPr>
          <w:p w14:paraId="29FE495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东</w:t>
            </w:r>
          </w:p>
        </w:tc>
        <w:tc>
          <w:tcPr>
            <w:tcW w:w="367" w:type="pct"/>
          </w:tcPr>
          <w:p w14:paraId="1B50E52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西</w:t>
            </w:r>
          </w:p>
        </w:tc>
        <w:tc>
          <w:tcPr>
            <w:tcW w:w="514" w:type="pct"/>
          </w:tcPr>
          <w:p w14:paraId="0972D7E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东北</w:t>
            </w:r>
          </w:p>
        </w:tc>
        <w:tc>
          <w:tcPr>
            <w:tcW w:w="441" w:type="pct"/>
          </w:tcPr>
          <w:p w14:paraId="15D1027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西北</w:t>
            </w:r>
          </w:p>
        </w:tc>
        <w:tc>
          <w:tcPr>
            <w:tcW w:w="514" w:type="pct"/>
          </w:tcPr>
          <w:p w14:paraId="0E57A73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北</w:t>
            </w:r>
          </w:p>
        </w:tc>
      </w:tr>
      <w:tr w:rsidR="00A320E6" w14:paraId="248EAD8F" w14:textId="77777777">
        <w:trPr>
          <w:trHeight w:val="684"/>
        </w:trPr>
        <w:tc>
          <w:tcPr>
            <w:tcW w:w="475" w:type="pct"/>
          </w:tcPr>
          <w:p w14:paraId="3BAF42D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修正</w:t>
            </w:r>
          </w:p>
          <w:p w14:paraId="4DA4DC6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系数</w:t>
            </w:r>
          </w:p>
        </w:tc>
        <w:tc>
          <w:tcPr>
            <w:tcW w:w="422" w:type="pct"/>
            <w:vAlign w:val="center"/>
          </w:tcPr>
          <w:p w14:paraId="48A7ECC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433" w:type="pct"/>
            <w:vAlign w:val="center"/>
          </w:tcPr>
          <w:p w14:paraId="6D3453B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405" w:type="pct"/>
            <w:vAlign w:val="center"/>
          </w:tcPr>
          <w:p w14:paraId="0B7C1B6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469" w:type="pct"/>
            <w:vAlign w:val="center"/>
          </w:tcPr>
          <w:p w14:paraId="3334E1F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c>
          <w:tcPr>
            <w:tcW w:w="440" w:type="pct"/>
            <w:vAlign w:val="center"/>
          </w:tcPr>
          <w:p w14:paraId="0ECD918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14" w:type="pct"/>
            <w:vAlign w:val="center"/>
          </w:tcPr>
          <w:p w14:paraId="7F53D45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c>
          <w:tcPr>
            <w:tcW w:w="367" w:type="pct"/>
            <w:vAlign w:val="center"/>
          </w:tcPr>
          <w:p w14:paraId="4E06A6B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14" w:type="pct"/>
            <w:vAlign w:val="center"/>
          </w:tcPr>
          <w:p w14:paraId="703767E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441" w:type="pct"/>
            <w:vAlign w:val="center"/>
          </w:tcPr>
          <w:p w14:paraId="189A723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514" w:type="pct"/>
            <w:vAlign w:val="center"/>
          </w:tcPr>
          <w:p w14:paraId="781DA6A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-2.5%</w:t>
            </w:r>
          </w:p>
        </w:tc>
      </w:tr>
    </w:tbl>
    <w:p w14:paraId="10A5019F" w14:textId="77777777" w:rsidR="00A320E6" w:rsidRDefault="00A320E6" w:rsidP="00AE0286">
      <w:pPr>
        <w:spacing w:line="420" w:lineRule="exact"/>
        <w:jc w:val="left"/>
        <w:rPr>
          <w:rFonts w:ascii="宋体" w:hAnsi="宋体" w:cs="宋体"/>
          <w:bCs/>
          <w:sz w:val="24"/>
          <w:szCs w:val="24"/>
        </w:rPr>
      </w:pPr>
    </w:p>
    <w:p w14:paraId="253BECDB" w14:textId="77777777" w:rsidR="00A320E6" w:rsidRDefault="00000000" w:rsidP="00AE0286">
      <w:pPr>
        <w:spacing w:line="360" w:lineRule="auto"/>
        <w:jc w:val="left"/>
        <w:rPr>
          <w:rFonts w:ascii="宋体" w:hAnsi="宋体" w:cs="宋体"/>
          <w:sz w:val="24"/>
          <w:szCs w:val="24"/>
        </w:rPr>
      </w:pPr>
      <w:r>
        <w:rPr>
          <w:rFonts w:ascii="宋体" w:hAnsi="宋体" w:cs="宋体" w:hint="eastAsia"/>
          <w:bCs/>
          <w:sz w:val="24"/>
          <w:szCs w:val="24"/>
        </w:rPr>
        <w:t>附表3</w:t>
      </w:r>
    </w:p>
    <w:p w14:paraId="06FA5AF7" w14:textId="77777777" w:rsidR="00A320E6" w:rsidRDefault="00000000" w:rsidP="00AE0286">
      <w:pPr>
        <w:spacing w:line="360" w:lineRule="auto"/>
        <w:jc w:val="center"/>
        <w:rPr>
          <w:rFonts w:ascii="宋体" w:hAnsi="宋体" w:cs="宋体"/>
          <w:sz w:val="24"/>
          <w:szCs w:val="24"/>
        </w:rPr>
      </w:pPr>
      <w:r>
        <w:rPr>
          <w:rFonts w:ascii="宋体" w:hAnsi="宋体" w:cs="宋体" w:hint="eastAsia"/>
          <w:sz w:val="24"/>
          <w:szCs w:val="24"/>
        </w:rPr>
        <w:t>成片住宅楼房楼层修正系数参考表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90"/>
        <w:gridCol w:w="788"/>
        <w:gridCol w:w="790"/>
        <w:gridCol w:w="920"/>
        <w:gridCol w:w="920"/>
        <w:gridCol w:w="1051"/>
        <w:gridCol w:w="1051"/>
        <w:gridCol w:w="1051"/>
      </w:tblGrid>
      <w:tr w:rsidR="00A320E6" w14:paraId="7DD050F2" w14:textId="77777777">
        <w:tc>
          <w:tcPr>
            <w:tcW w:w="882" w:type="pct"/>
          </w:tcPr>
          <w:p w14:paraId="4D805B3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总层数</w:t>
            </w:r>
          </w:p>
          <w:p w14:paraId="5037601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层次</w:t>
            </w:r>
          </w:p>
        </w:tc>
        <w:tc>
          <w:tcPr>
            <w:tcW w:w="441" w:type="pct"/>
            <w:vAlign w:val="center"/>
          </w:tcPr>
          <w:p w14:paraId="776EEEE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一</w:t>
            </w:r>
          </w:p>
        </w:tc>
        <w:tc>
          <w:tcPr>
            <w:tcW w:w="440" w:type="pct"/>
            <w:vAlign w:val="center"/>
          </w:tcPr>
          <w:p w14:paraId="75D11BB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二</w:t>
            </w:r>
          </w:p>
        </w:tc>
        <w:tc>
          <w:tcPr>
            <w:tcW w:w="441" w:type="pct"/>
            <w:vAlign w:val="center"/>
          </w:tcPr>
          <w:p w14:paraId="7221340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三</w:t>
            </w:r>
          </w:p>
        </w:tc>
        <w:tc>
          <w:tcPr>
            <w:tcW w:w="514" w:type="pct"/>
            <w:vAlign w:val="center"/>
          </w:tcPr>
          <w:p w14:paraId="7ED6478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四</w:t>
            </w:r>
          </w:p>
        </w:tc>
        <w:tc>
          <w:tcPr>
            <w:tcW w:w="514" w:type="pct"/>
            <w:vAlign w:val="center"/>
          </w:tcPr>
          <w:p w14:paraId="7D824B5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五</w:t>
            </w:r>
          </w:p>
        </w:tc>
        <w:tc>
          <w:tcPr>
            <w:tcW w:w="588" w:type="pct"/>
            <w:vAlign w:val="center"/>
          </w:tcPr>
          <w:p w14:paraId="0A92732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六</w:t>
            </w:r>
          </w:p>
        </w:tc>
        <w:tc>
          <w:tcPr>
            <w:tcW w:w="588" w:type="pct"/>
            <w:vAlign w:val="center"/>
          </w:tcPr>
          <w:p w14:paraId="2F593BF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七</w:t>
            </w:r>
          </w:p>
        </w:tc>
        <w:tc>
          <w:tcPr>
            <w:tcW w:w="588" w:type="pct"/>
            <w:vAlign w:val="center"/>
          </w:tcPr>
          <w:p w14:paraId="0D5E82E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高层</w:t>
            </w:r>
          </w:p>
        </w:tc>
      </w:tr>
      <w:tr w:rsidR="00A320E6" w14:paraId="1B57E02B" w14:textId="77777777">
        <w:tc>
          <w:tcPr>
            <w:tcW w:w="882" w:type="pct"/>
          </w:tcPr>
          <w:p w14:paraId="3BBE583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半地下</w:t>
            </w:r>
          </w:p>
        </w:tc>
        <w:tc>
          <w:tcPr>
            <w:tcW w:w="441" w:type="pct"/>
          </w:tcPr>
          <w:p w14:paraId="104BED9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440" w:type="pct"/>
          </w:tcPr>
          <w:p w14:paraId="4BE73E2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441" w:type="pct"/>
          </w:tcPr>
          <w:p w14:paraId="01485F2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14" w:type="pct"/>
          </w:tcPr>
          <w:p w14:paraId="5075F2E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14" w:type="pct"/>
          </w:tcPr>
          <w:p w14:paraId="57F3EB5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439978F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71C1C92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324EFD4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r>
      <w:tr w:rsidR="00A320E6" w14:paraId="2ABA6973" w14:textId="77777777">
        <w:tc>
          <w:tcPr>
            <w:tcW w:w="882" w:type="pct"/>
          </w:tcPr>
          <w:p w14:paraId="153F94C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441" w:type="pct"/>
          </w:tcPr>
          <w:p w14:paraId="433AA6B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440" w:type="pct"/>
          </w:tcPr>
          <w:p w14:paraId="3C1AF5A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441" w:type="pct"/>
          </w:tcPr>
          <w:p w14:paraId="714ED77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14" w:type="pct"/>
          </w:tcPr>
          <w:p w14:paraId="78ACDB3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14" w:type="pct"/>
          </w:tcPr>
          <w:p w14:paraId="1A63289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88" w:type="pct"/>
          </w:tcPr>
          <w:p w14:paraId="6919380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88" w:type="pct"/>
          </w:tcPr>
          <w:p w14:paraId="0787DC4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88" w:type="pct"/>
          </w:tcPr>
          <w:p w14:paraId="021996C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r>
      <w:tr w:rsidR="00A320E6" w14:paraId="071136E9" w14:textId="77777777">
        <w:tc>
          <w:tcPr>
            <w:tcW w:w="882" w:type="pct"/>
          </w:tcPr>
          <w:p w14:paraId="4C6C1EB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441" w:type="pct"/>
          </w:tcPr>
          <w:p w14:paraId="6AE4582E" w14:textId="77777777" w:rsidR="00A320E6" w:rsidRDefault="00A320E6" w:rsidP="00AE0286">
            <w:pPr>
              <w:jc w:val="center"/>
              <w:rPr>
                <w:rFonts w:ascii="宋体" w:hAnsi="宋体" w:cs="宋体"/>
                <w:color w:val="000000"/>
                <w:kern w:val="0"/>
                <w:szCs w:val="21"/>
              </w:rPr>
            </w:pPr>
          </w:p>
        </w:tc>
        <w:tc>
          <w:tcPr>
            <w:tcW w:w="440" w:type="pct"/>
          </w:tcPr>
          <w:p w14:paraId="5517D1E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441" w:type="pct"/>
          </w:tcPr>
          <w:p w14:paraId="0DDC41B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514" w:type="pct"/>
          </w:tcPr>
          <w:p w14:paraId="55D0F4A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14" w:type="pct"/>
          </w:tcPr>
          <w:p w14:paraId="4C474E5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88" w:type="pct"/>
          </w:tcPr>
          <w:p w14:paraId="6696247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88" w:type="pct"/>
          </w:tcPr>
          <w:p w14:paraId="2902E66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88" w:type="pct"/>
          </w:tcPr>
          <w:p w14:paraId="6F4D646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r>
      <w:tr w:rsidR="00A320E6" w14:paraId="6E77B8E2" w14:textId="77777777">
        <w:tc>
          <w:tcPr>
            <w:tcW w:w="882" w:type="pct"/>
          </w:tcPr>
          <w:p w14:paraId="3A742F6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w:t>
            </w:r>
          </w:p>
        </w:tc>
        <w:tc>
          <w:tcPr>
            <w:tcW w:w="441" w:type="pct"/>
          </w:tcPr>
          <w:p w14:paraId="164A98EC" w14:textId="77777777" w:rsidR="00A320E6" w:rsidRDefault="00A320E6" w:rsidP="00AE0286">
            <w:pPr>
              <w:jc w:val="center"/>
              <w:rPr>
                <w:rFonts w:ascii="宋体" w:hAnsi="宋体" w:cs="宋体"/>
                <w:color w:val="000000"/>
                <w:kern w:val="0"/>
                <w:szCs w:val="21"/>
              </w:rPr>
            </w:pPr>
          </w:p>
        </w:tc>
        <w:tc>
          <w:tcPr>
            <w:tcW w:w="440" w:type="pct"/>
          </w:tcPr>
          <w:p w14:paraId="46D952CD" w14:textId="77777777" w:rsidR="00A320E6" w:rsidRDefault="00A320E6" w:rsidP="00AE0286">
            <w:pPr>
              <w:jc w:val="center"/>
              <w:rPr>
                <w:rFonts w:ascii="宋体" w:hAnsi="宋体" w:cs="宋体"/>
                <w:color w:val="000000"/>
                <w:kern w:val="0"/>
                <w:szCs w:val="21"/>
              </w:rPr>
            </w:pPr>
          </w:p>
        </w:tc>
        <w:tc>
          <w:tcPr>
            <w:tcW w:w="441" w:type="pct"/>
          </w:tcPr>
          <w:p w14:paraId="1A4A5DB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14" w:type="pct"/>
          </w:tcPr>
          <w:p w14:paraId="31FAD84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514" w:type="pct"/>
          </w:tcPr>
          <w:p w14:paraId="7F47F39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06597D0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321DD81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588" w:type="pct"/>
          </w:tcPr>
          <w:p w14:paraId="3DF8022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r>
      <w:tr w:rsidR="00A320E6" w14:paraId="529A45C8" w14:textId="77777777">
        <w:tc>
          <w:tcPr>
            <w:tcW w:w="882" w:type="pct"/>
          </w:tcPr>
          <w:p w14:paraId="01FC95B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4</w:t>
            </w:r>
          </w:p>
        </w:tc>
        <w:tc>
          <w:tcPr>
            <w:tcW w:w="441" w:type="pct"/>
          </w:tcPr>
          <w:p w14:paraId="52083844" w14:textId="77777777" w:rsidR="00A320E6" w:rsidRDefault="00A320E6" w:rsidP="00AE0286">
            <w:pPr>
              <w:jc w:val="center"/>
              <w:rPr>
                <w:rFonts w:ascii="宋体" w:hAnsi="宋体" w:cs="宋体"/>
                <w:color w:val="000000"/>
                <w:kern w:val="0"/>
                <w:szCs w:val="21"/>
              </w:rPr>
            </w:pPr>
          </w:p>
        </w:tc>
        <w:tc>
          <w:tcPr>
            <w:tcW w:w="440" w:type="pct"/>
          </w:tcPr>
          <w:p w14:paraId="206357AF" w14:textId="77777777" w:rsidR="00A320E6" w:rsidRDefault="00A320E6" w:rsidP="00AE0286">
            <w:pPr>
              <w:jc w:val="center"/>
              <w:rPr>
                <w:rFonts w:ascii="宋体" w:hAnsi="宋体" w:cs="宋体"/>
                <w:color w:val="000000"/>
                <w:kern w:val="0"/>
                <w:szCs w:val="21"/>
              </w:rPr>
            </w:pPr>
          </w:p>
        </w:tc>
        <w:tc>
          <w:tcPr>
            <w:tcW w:w="441" w:type="pct"/>
          </w:tcPr>
          <w:p w14:paraId="1E2789ED" w14:textId="77777777" w:rsidR="00A320E6" w:rsidRDefault="00A320E6" w:rsidP="00AE0286">
            <w:pPr>
              <w:jc w:val="center"/>
              <w:rPr>
                <w:rFonts w:ascii="宋体" w:hAnsi="宋体" w:cs="宋体"/>
                <w:color w:val="000000"/>
                <w:kern w:val="0"/>
                <w:szCs w:val="21"/>
              </w:rPr>
            </w:pPr>
          </w:p>
        </w:tc>
        <w:tc>
          <w:tcPr>
            <w:tcW w:w="514" w:type="pct"/>
          </w:tcPr>
          <w:p w14:paraId="6DE3092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514" w:type="pct"/>
          </w:tcPr>
          <w:p w14:paraId="39E34F5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88" w:type="pct"/>
          </w:tcPr>
          <w:p w14:paraId="6067E11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588" w:type="pct"/>
          </w:tcPr>
          <w:p w14:paraId="0C32644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88" w:type="pct"/>
          </w:tcPr>
          <w:p w14:paraId="043DD17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r>
      <w:tr w:rsidR="00A320E6" w14:paraId="590E4D05" w14:textId="77777777">
        <w:tc>
          <w:tcPr>
            <w:tcW w:w="882" w:type="pct"/>
          </w:tcPr>
          <w:p w14:paraId="0373EB4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5</w:t>
            </w:r>
          </w:p>
        </w:tc>
        <w:tc>
          <w:tcPr>
            <w:tcW w:w="441" w:type="pct"/>
          </w:tcPr>
          <w:p w14:paraId="1116435D" w14:textId="77777777" w:rsidR="00A320E6" w:rsidRDefault="00A320E6" w:rsidP="00AE0286">
            <w:pPr>
              <w:jc w:val="center"/>
              <w:rPr>
                <w:rFonts w:ascii="宋体" w:hAnsi="宋体" w:cs="宋体"/>
                <w:color w:val="000000"/>
                <w:kern w:val="0"/>
                <w:szCs w:val="21"/>
              </w:rPr>
            </w:pPr>
          </w:p>
        </w:tc>
        <w:tc>
          <w:tcPr>
            <w:tcW w:w="440" w:type="pct"/>
          </w:tcPr>
          <w:p w14:paraId="1E22F338" w14:textId="77777777" w:rsidR="00A320E6" w:rsidRDefault="00A320E6" w:rsidP="00AE0286">
            <w:pPr>
              <w:jc w:val="center"/>
              <w:rPr>
                <w:rFonts w:ascii="宋体" w:hAnsi="宋体" w:cs="宋体"/>
                <w:color w:val="000000"/>
                <w:kern w:val="0"/>
                <w:szCs w:val="21"/>
              </w:rPr>
            </w:pPr>
          </w:p>
        </w:tc>
        <w:tc>
          <w:tcPr>
            <w:tcW w:w="441" w:type="pct"/>
          </w:tcPr>
          <w:p w14:paraId="3DD97A2B" w14:textId="77777777" w:rsidR="00A320E6" w:rsidRDefault="00A320E6" w:rsidP="00AE0286">
            <w:pPr>
              <w:jc w:val="center"/>
              <w:rPr>
                <w:rFonts w:ascii="宋体" w:hAnsi="宋体" w:cs="宋体"/>
                <w:color w:val="000000"/>
                <w:kern w:val="0"/>
                <w:szCs w:val="21"/>
              </w:rPr>
            </w:pPr>
          </w:p>
        </w:tc>
        <w:tc>
          <w:tcPr>
            <w:tcW w:w="514" w:type="pct"/>
          </w:tcPr>
          <w:p w14:paraId="5B30A0C1" w14:textId="77777777" w:rsidR="00A320E6" w:rsidRDefault="00A320E6" w:rsidP="00AE0286">
            <w:pPr>
              <w:jc w:val="center"/>
              <w:rPr>
                <w:rFonts w:ascii="宋体" w:hAnsi="宋体" w:cs="宋体"/>
                <w:color w:val="000000"/>
                <w:kern w:val="0"/>
                <w:szCs w:val="21"/>
              </w:rPr>
            </w:pPr>
          </w:p>
        </w:tc>
        <w:tc>
          <w:tcPr>
            <w:tcW w:w="514" w:type="pct"/>
          </w:tcPr>
          <w:p w14:paraId="739403D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-2.5%</w:t>
            </w:r>
          </w:p>
        </w:tc>
        <w:tc>
          <w:tcPr>
            <w:tcW w:w="588" w:type="pct"/>
          </w:tcPr>
          <w:p w14:paraId="10647FB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88" w:type="pct"/>
          </w:tcPr>
          <w:p w14:paraId="7A8447E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c>
          <w:tcPr>
            <w:tcW w:w="588" w:type="pct"/>
          </w:tcPr>
          <w:p w14:paraId="3FC73A2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r>
      <w:tr w:rsidR="00A320E6" w14:paraId="0C6E57C7" w14:textId="77777777">
        <w:tc>
          <w:tcPr>
            <w:tcW w:w="882" w:type="pct"/>
          </w:tcPr>
          <w:p w14:paraId="14AD9FC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6</w:t>
            </w:r>
          </w:p>
        </w:tc>
        <w:tc>
          <w:tcPr>
            <w:tcW w:w="441" w:type="pct"/>
          </w:tcPr>
          <w:p w14:paraId="63D71212" w14:textId="77777777" w:rsidR="00A320E6" w:rsidRDefault="00A320E6" w:rsidP="00AE0286">
            <w:pPr>
              <w:jc w:val="center"/>
              <w:rPr>
                <w:rFonts w:ascii="宋体" w:hAnsi="宋体" w:cs="宋体"/>
                <w:color w:val="000000"/>
                <w:kern w:val="0"/>
                <w:szCs w:val="21"/>
              </w:rPr>
            </w:pPr>
          </w:p>
        </w:tc>
        <w:tc>
          <w:tcPr>
            <w:tcW w:w="440" w:type="pct"/>
          </w:tcPr>
          <w:p w14:paraId="4CDD1DA5" w14:textId="77777777" w:rsidR="00A320E6" w:rsidRDefault="00A320E6" w:rsidP="00AE0286">
            <w:pPr>
              <w:jc w:val="center"/>
              <w:rPr>
                <w:rFonts w:ascii="宋体" w:hAnsi="宋体" w:cs="宋体"/>
                <w:color w:val="000000"/>
                <w:kern w:val="0"/>
                <w:szCs w:val="21"/>
              </w:rPr>
            </w:pPr>
          </w:p>
        </w:tc>
        <w:tc>
          <w:tcPr>
            <w:tcW w:w="441" w:type="pct"/>
          </w:tcPr>
          <w:p w14:paraId="59C72C5D" w14:textId="77777777" w:rsidR="00A320E6" w:rsidRDefault="00A320E6" w:rsidP="00AE0286">
            <w:pPr>
              <w:jc w:val="center"/>
              <w:rPr>
                <w:rFonts w:ascii="宋体" w:hAnsi="宋体" w:cs="宋体"/>
                <w:color w:val="000000"/>
                <w:kern w:val="0"/>
                <w:szCs w:val="21"/>
              </w:rPr>
            </w:pPr>
          </w:p>
        </w:tc>
        <w:tc>
          <w:tcPr>
            <w:tcW w:w="514" w:type="pct"/>
          </w:tcPr>
          <w:p w14:paraId="48FDDB6E" w14:textId="77777777" w:rsidR="00A320E6" w:rsidRDefault="00A320E6" w:rsidP="00AE0286">
            <w:pPr>
              <w:jc w:val="center"/>
              <w:rPr>
                <w:rFonts w:ascii="宋体" w:hAnsi="宋体" w:cs="宋体"/>
                <w:color w:val="000000"/>
                <w:kern w:val="0"/>
                <w:szCs w:val="21"/>
              </w:rPr>
            </w:pPr>
          </w:p>
        </w:tc>
        <w:tc>
          <w:tcPr>
            <w:tcW w:w="514" w:type="pct"/>
          </w:tcPr>
          <w:p w14:paraId="4DD7D72A" w14:textId="77777777" w:rsidR="00A320E6" w:rsidRDefault="00A320E6" w:rsidP="00AE0286">
            <w:pPr>
              <w:jc w:val="center"/>
              <w:rPr>
                <w:rFonts w:ascii="宋体" w:hAnsi="宋体" w:cs="宋体"/>
                <w:color w:val="000000"/>
                <w:kern w:val="0"/>
                <w:szCs w:val="21"/>
              </w:rPr>
            </w:pPr>
          </w:p>
        </w:tc>
        <w:tc>
          <w:tcPr>
            <w:tcW w:w="588" w:type="pct"/>
          </w:tcPr>
          <w:p w14:paraId="6C6635A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w:t>
            </w:r>
          </w:p>
        </w:tc>
        <w:tc>
          <w:tcPr>
            <w:tcW w:w="588" w:type="pct"/>
          </w:tcPr>
          <w:p w14:paraId="282642B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c>
          <w:tcPr>
            <w:tcW w:w="588" w:type="pct"/>
          </w:tcPr>
          <w:p w14:paraId="5EDAD6C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r>
      <w:tr w:rsidR="00A320E6" w14:paraId="60A8184A" w14:textId="77777777">
        <w:tc>
          <w:tcPr>
            <w:tcW w:w="882" w:type="pct"/>
          </w:tcPr>
          <w:p w14:paraId="002A2BB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7</w:t>
            </w:r>
          </w:p>
        </w:tc>
        <w:tc>
          <w:tcPr>
            <w:tcW w:w="441" w:type="pct"/>
          </w:tcPr>
          <w:p w14:paraId="6CDBA45B" w14:textId="77777777" w:rsidR="00A320E6" w:rsidRDefault="00A320E6" w:rsidP="00AE0286">
            <w:pPr>
              <w:jc w:val="center"/>
              <w:rPr>
                <w:rFonts w:ascii="宋体" w:hAnsi="宋体" w:cs="宋体"/>
                <w:color w:val="000000"/>
                <w:kern w:val="0"/>
                <w:szCs w:val="21"/>
              </w:rPr>
            </w:pPr>
          </w:p>
        </w:tc>
        <w:tc>
          <w:tcPr>
            <w:tcW w:w="440" w:type="pct"/>
          </w:tcPr>
          <w:p w14:paraId="413D1C97" w14:textId="77777777" w:rsidR="00A320E6" w:rsidRDefault="00A320E6" w:rsidP="00AE0286">
            <w:pPr>
              <w:jc w:val="center"/>
              <w:rPr>
                <w:rFonts w:ascii="宋体" w:hAnsi="宋体" w:cs="宋体"/>
                <w:color w:val="000000"/>
                <w:kern w:val="0"/>
                <w:szCs w:val="21"/>
              </w:rPr>
            </w:pPr>
          </w:p>
        </w:tc>
        <w:tc>
          <w:tcPr>
            <w:tcW w:w="441" w:type="pct"/>
          </w:tcPr>
          <w:p w14:paraId="607E9383" w14:textId="77777777" w:rsidR="00A320E6" w:rsidRDefault="00A320E6" w:rsidP="00AE0286">
            <w:pPr>
              <w:jc w:val="center"/>
              <w:rPr>
                <w:rFonts w:ascii="宋体" w:hAnsi="宋体" w:cs="宋体"/>
                <w:color w:val="000000"/>
                <w:kern w:val="0"/>
                <w:szCs w:val="21"/>
              </w:rPr>
            </w:pPr>
          </w:p>
        </w:tc>
        <w:tc>
          <w:tcPr>
            <w:tcW w:w="514" w:type="pct"/>
          </w:tcPr>
          <w:p w14:paraId="72EDED71" w14:textId="77777777" w:rsidR="00A320E6" w:rsidRDefault="00A320E6" w:rsidP="00AE0286">
            <w:pPr>
              <w:jc w:val="center"/>
              <w:rPr>
                <w:rFonts w:ascii="宋体" w:hAnsi="宋体" w:cs="宋体"/>
                <w:color w:val="000000"/>
                <w:kern w:val="0"/>
                <w:szCs w:val="21"/>
              </w:rPr>
            </w:pPr>
          </w:p>
        </w:tc>
        <w:tc>
          <w:tcPr>
            <w:tcW w:w="514" w:type="pct"/>
          </w:tcPr>
          <w:p w14:paraId="2CBAF4A0" w14:textId="77777777" w:rsidR="00A320E6" w:rsidRDefault="00A320E6" w:rsidP="00AE0286">
            <w:pPr>
              <w:jc w:val="center"/>
              <w:rPr>
                <w:rFonts w:ascii="宋体" w:hAnsi="宋体" w:cs="宋体"/>
                <w:color w:val="000000"/>
                <w:kern w:val="0"/>
                <w:szCs w:val="21"/>
              </w:rPr>
            </w:pPr>
          </w:p>
        </w:tc>
        <w:tc>
          <w:tcPr>
            <w:tcW w:w="588" w:type="pct"/>
          </w:tcPr>
          <w:p w14:paraId="1B47593F" w14:textId="77777777" w:rsidR="00A320E6" w:rsidRDefault="00A320E6" w:rsidP="00AE0286">
            <w:pPr>
              <w:jc w:val="center"/>
              <w:rPr>
                <w:rFonts w:ascii="宋体" w:hAnsi="宋体" w:cs="宋体"/>
                <w:color w:val="000000"/>
                <w:kern w:val="0"/>
                <w:szCs w:val="21"/>
              </w:rPr>
            </w:pPr>
          </w:p>
        </w:tc>
        <w:tc>
          <w:tcPr>
            <w:tcW w:w="588" w:type="pct"/>
          </w:tcPr>
          <w:p w14:paraId="1B37856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-4%</w:t>
            </w:r>
          </w:p>
        </w:tc>
        <w:tc>
          <w:tcPr>
            <w:tcW w:w="588" w:type="pct"/>
          </w:tcPr>
          <w:p w14:paraId="3C0681A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r>
      <w:tr w:rsidR="00A320E6" w14:paraId="673EAF25" w14:textId="77777777">
        <w:tc>
          <w:tcPr>
            <w:tcW w:w="882" w:type="pct"/>
          </w:tcPr>
          <w:p w14:paraId="2BB8B31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8-11</w:t>
            </w:r>
          </w:p>
          <w:p w14:paraId="67BA410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（非顶层）</w:t>
            </w:r>
          </w:p>
        </w:tc>
        <w:tc>
          <w:tcPr>
            <w:tcW w:w="441" w:type="pct"/>
          </w:tcPr>
          <w:p w14:paraId="6F5DB009" w14:textId="77777777" w:rsidR="00A320E6" w:rsidRDefault="00A320E6" w:rsidP="00AE0286">
            <w:pPr>
              <w:jc w:val="center"/>
              <w:rPr>
                <w:rFonts w:ascii="宋体" w:hAnsi="宋体" w:cs="宋体"/>
                <w:color w:val="000000"/>
                <w:kern w:val="0"/>
                <w:szCs w:val="21"/>
              </w:rPr>
            </w:pPr>
          </w:p>
        </w:tc>
        <w:tc>
          <w:tcPr>
            <w:tcW w:w="440" w:type="pct"/>
          </w:tcPr>
          <w:p w14:paraId="78374B31" w14:textId="77777777" w:rsidR="00A320E6" w:rsidRDefault="00A320E6" w:rsidP="00AE0286">
            <w:pPr>
              <w:jc w:val="center"/>
              <w:rPr>
                <w:rFonts w:ascii="宋体" w:hAnsi="宋体" w:cs="宋体"/>
                <w:color w:val="000000"/>
                <w:kern w:val="0"/>
                <w:szCs w:val="21"/>
              </w:rPr>
            </w:pPr>
          </w:p>
        </w:tc>
        <w:tc>
          <w:tcPr>
            <w:tcW w:w="441" w:type="pct"/>
          </w:tcPr>
          <w:p w14:paraId="7C4C95CD" w14:textId="77777777" w:rsidR="00A320E6" w:rsidRDefault="00A320E6" w:rsidP="00AE0286">
            <w:pPr>
              <w:jc w:val="center"/>
              <w:rPr>
                <w:rFonts w:ascii="宋体" w:hAnsi="宋体" w:cs="宋体"/>
                <w:color w:val="000000"/>
                <w:kern w:val="0"/>
                <w:szCs w:val="21"/>
              </w:rPr>
            </w:pPr>
          </w:p>
        </w:tc>
        <w:tc>
          <w:tcPr>
            <w:tcW w:w="514" w:type="pct"/>
          </w:tcPr>
          <w:p w14:paraId="211BD52E" w14:textId="77777777" w:rsidR="00A320E6" w:rsidRDefault="00A320E6" w:rsidP="00AE0286">
            <w:pPr>
              <w:jc w:val="center"/>
              <w:rPr>
                <w:rFonts w:ascii="宋体" w:hAnsi="宋体" w:cs="宋体"/>
                <w:color w:val="000000"/>
                <w:kern w:val="0"/>
                <w:szCs w:val="21"/>
              </w:rPr>
            </w:pPr>
          </w:p>
        </w:tc>
        <w:tc>
          <w:tcPr>
            <w:tcW w:w="514" w:type="pct"/>
          </w:tcPr>
          <w:p w14:paraId="43CE1B5B" w14:textId="77777777" w:rsidR="00A320E6" w:rsidRDefault="00A320E6" w:rsidP="00AE0286">
            <w:pPr>
              <w:jc w:val="center"/>
              <w:rPr>
                <w:rFonts w:ascii="宋体" w:hAnsi="宋体" w:cs="宋体"/>
                <w:color w:val="000000"/>
                <w:kern w:val="0"/>
                <w:szCs w:val="21"/>
              </w:rPr>
            </w:pPr>
          </w:p>
        </w:tc>
        <w:tc>
          <w:tcPr>
            <w:tcW w:w="588" w:type="pct"/>
          </w:tcPr>
          <w:p w14:paraId="54FC3D23" w14:textId="77777777" w:rsidR="00A320E6" w:rsidRDefault="00A320E6" w:rsidP="00AE0286">
            <w:pPr>
              <w:jc w:val="center"/>
              <w:rPr>
                <w:rFonts w:ascii="宋体" w:hAnsi="宋体" w:cs="宋体"/>
                <w:color w:val="000000"/>
                <w:kern w:val="0"/>
                <w:szCs w:val="21"/>
              </w:rPr>
            </w:pPr>
          </w:p>
        </w:tc>
        <w:tc>
          <w:tcPr>
            <w:tcW w:w="588" w:type="pct"/>
          </w:tcPr>
          <w:p w14:paraId="6BC241B4" w14:textId="77777777" w:rsidR="00A320E6" w:rsidRDefault="00A320E6" w:rsidP="00AE0286">
            <w:pPr>
              <w:jc w:val="center"/>
              <w:rPr>
                <w:rFonts w:ascii="宋体" w:hAnsi="宋体" w:cs="宋体"/>
                <w:color w:val="000000"/>
                <w:kern w:val="0"/>
                <w:szCs w:val="21"/>
              </w:rPr>
            </w:pPr>
          </w:p>
        </w:tc>
        <w:tc>
          <w:tcPr>
            <w:tcW w:w="588" w:type="pct"/>
          </w:tcPr>
          <w:p w14:paraId="165F760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r>
      <w:tr w:rsidR="00A320E6" w14:paraId="1E511F4F" w14:textId="77777777">
        <w:trPr>
          <w:trHeight w:val="625"/>
        </w:trPr>
        <w:tc>
          <w:tcPr>
            <w:tcW w:w="882" w:type="pct"/>
          </w:tcPr>
          <w:p w14:paraId="6AD213C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12（非顶层）-（顶层-1）</w:t>
            </w:r>
          </w:p>
        </w:tc>
        <w:tc>
          <w:tcPr>
            <w:tcW w:w="441" w:type="pct"/>
          </w:tcPr>
          <w:p w14:paraId="184DA45E" w14:textId="77777777" w:rsidR="00A320E6" w:rsidRDefault="00A320E6" w:rsidP="00AE0286">
            <w:pPr>
              <w:jc w:val="center"/>
              <w:rPr>
                <w:rFonts w:ascii="宋体" w:hAnsi="宋体" w:cs="宋体"/>
                <w:color w:val="000000"/>
                <w:kern w:val="0"/>
                <w:szCs w:val="21"/>
              </w:rPr>
            </w:pPr>
          </w:p>
        </w:tc>
        <w:tc>
          <w:tcPr>
            <w:tcW w:w="440" w:type="pct"/>
          </w:tcPr>
          <w:p w14:paraId="75A7735A" w14:textId="77777777" w:rsidR="00A320E6" w:rsidRDefault="00A320E6" w:rsidP="00AE0286">
            <w:pPr>
              <w:jc w:val="center"/>
              <w:rPr>
                <w:rFonts w:ascii="宋体" w:hAnsi="宋体" w:cs="宋体"/>
                <w:color w:val="000000"/>
                <w:kern w:val="0"/>
                <w:szCs w:val="21"/>
              </w:rPr>
            </w:pPr>
          </w:p>
        </w:tc>
        <w:tc>
          <w:tcPr>
            <w:tcW w:w="441" w:type="pct"/>
          </w:tcPr>
          <w:p w14:paraId="34012F4B" w14:textId="77777777" w:rsidR="00A320E6" w:rsidRDefault="00A320E6" w:rsidP="00AE0286">
            <w:pPr>
              <w:jc w:val="center"/>
              <w:rPr>
                <w:rFonts w:ascii="宋体" w:hAnsi="宋体" w:cs="宋体"/>
                <w:color w:val="000000"/>
                <w:kern w:val="0"/>
                <w:szCs w:val="21"/>
              </w:rPr>
            </w:pPr>
          </w:p>
        </w:tc>
        <w:tc>
          <w:tcPr>
            <w:tcW w:w="514" w:type="pct"/>
          </w:tcPr>
          <w:p w14:paraId="2C8023CB" w14:textId="77777777" w:rsidR="00A320E6" w:rsidRDefault="00A320E6" w:rsidP="00AE0286">
            <w:pPr>
              <w:jc w:val="center"/>
              <w:rPr>
                <w:rFonts w:ascii="宋体" w:hAnsi="宋体" w:cs="宋体"/>
                <w:color w:val="000000"/>
                <w:kern w:val="0"/>
                <w:szCs w:val="21"/>
              </w:rPr>
            </w:pPr>
          </w:p>
        </w:tc>
        <w:tc>
          <w:tcPr>
            <w:tcW w:w="514" w:type="pct"/>
          </w:tcPr>
          <w:p w14:paraId="4AE9EA87" w14:textId="77777777" w:rsidR="00A320E6" w:rsidRDefault="00A320E6" w:rsidP="00AE0286">
            <w:pPr>
              <w:jc w:val="center"/>
              <w:rPr>
                <w:rFonts w:ascii="宋体" w:hAnsi="宋体" w:cs="宋体"/>
                <w:color w:val="000000"/>
                <w:kern w:val="0"/>
                <w:szCs w:val="21"/>
              </w:rPr>
            </w:pPr>
          </w:p>
        </w:tc>
        <w:tc>
          <w:tcPr>
            <w:tcW w:w="588" w:type="pct"/>
          </w:tcPr>
          <w:p w14:paraId="0AD71756" w14:textId="77777777" w:rsidR="00A320E6" w:rsidRDefault="00A320E6" w:rsidP="00AE0286">
            <w:pPr>
              <w:jc w:val="center"/>
              <w:rPr>
                <w:rFonts w:ascii="宋体" w:hAnsi="宋体" w:cs="宋体"/>
                <w:color w:val="000000"/>
                <w:kern w:val="0"/>
                <w:szCs w:val="21"/>
              </w:rPr>
            </w:pPr>
          </w:p>
        </w:tc>
        <w:tc>
          <w:tcPr>
            <w:tcW w:w="588" w:type="pct"/>
          </w:tcPr>
          <w:p w14:paraId="78A6ECFF" w14:textId="77777777" w:rsidR="00A320E6" w:rsidRDefault="00A320E6" w:rsidP="00AE0286">
            <w:pPr>
              <w:jc w:val="center"/>
              <w:rPr>
                <w:rFonts w:ascii="宋体" w:hAnsi="宋体" w:cs="宋体"/>
                <w:color w:val="000000"/>
                <w:kern w:val="0"/>
                <w:szCs w:val="21"/>
              </w:rPr>
            </w:pPr>
          </w:p>
        </w:tc>
        <w:tc>
          <w:tcPr>
            <w:tcW w:w="588" w:type="pct"/>
          </w:tcPr>
          <w:p w14:paraId="36DED9A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r>
      <w:tr w:rsidR="00A320E6" w14:paraId="526F0FD4" w14:textId="77777777">
        <w:tc>
          <w:tcPr>
            <w:tcW w:w="882" w:type="pct"/>
          </w:tcPr>
          <w:p w14:paraId="292AD74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顶层</w:t>
            </w:r>
          </w:p>
        </w:tc>
        <w:tc>
          <w:tcPr>
            <w:tcW w:w="441" w:type="pct"/>
          </w:tcPr>
          <w:p w14:paraId="6B92178F" w14:textId="77777777" w:rsidR="00A320E6" w:rsidRDefault="00A320E6" w:rsidP="00AE0286">
            <w:pPr>
              <w:jc w:val="center"/>
              <w:rPr>
                <w:rFonts w:ascii="宋体" w:hAnsi="宋体" w:cs="宋体"/>
                <w:color w:val="000000"/>
                <w:kern w:val="0"/>
                <w:szCs w:val="21"/>
              </w:rPr>
            </w:pPr>
          </w:p>
        </w:tc>
        <w:tc>
          <w:tcPr>
            <w:tcW w:w="440" w:type="pct"/>
          </w:tcPr>
          <w:p w14:paraId="5E9EB572" w14:textId="77777777" w:rsidR="00A320E6" w:rsidRDefault="00A320E6" w:rsidP="00AE0286">
            <w:pPr>
              <w:jc w:val="center"/>
              <w:rPr>
                <w:rFonts w:ascii="宋体" w:hAnsi="宋体" w:cs="宋体"/>
                <w:color w:val="000000"/>
                <w:kern w:val="0"/>
                <w:szCs w:val="21"/>
              </w:rPr>
            </w:pPr>
          </w:p>
        </w:tc>
        <w:tc>
          <w:tcPr>
            <w:tcW w:w="441" w:type="pct"/>
          </w:tcPr>
          <w:p w14:paraId="09A3B0DB" w14:textId="77777777" w:rsidR="00A320E6" w:rsidRDefault="00A320E6" w:rsidP="00AE0286">
            <w:pPr>
              <w:jc w:val="center"/>
              <w:rPr>
                <w:rFonts w:ascii="宋体" w:hAnsi="宋体" w:cs="宋体"/>
                <w:color w:val="000000"/>
                <w:kern w:val="0"/>
                <w:szCs w:val="21"/>
              </w:rPr>
            </w:pPr>
          </w:p>
        </w:tc>
        <w:tc>
          <w:tcPr>
            <w:tcW w:w="514" w:type="pct"/>
          </w:tcPr>
          <w:p w14:paraId="67C47E40" w14:textId="77777777" w:rsidR="00A320E6" w:rsidRDefault="00A320E6" w:rsidP="00AE0286">
            <w:pPr>
              <w:jc w:val="center"/>
              <w:rPr>
                <w:rFonts w:ascii="宋体" w:hAnsi="宋体" w:cs="宋体"/>
                <w:color w:val="000000"/>
                <w:kern w:val="0"/>
                <w:szCs w:val="21"/>
              </w:rPr>
            </w:pPr>
          </w:p>
        </w:tc>
        <w:tc>
          <w:tcPr>
            <w:tcW w:w="514" w:type="pct"/>
          </w:tcPr>
          <w:p w14:paraId="782C3C08" w14:textId="77777777" w:rsidR="00A320E6" w:rsidRDefault="00A320E6" w:rsidP="00AE0286">
            <w:pPr>
              <w:jc w:val="center"/>
              <w:rPr>
                <w:rFonts w:ascii="宋体" w:hAnsi="宋体" w:cs="宋体"/>
                <w:color w:val="000000"/>
                <w:kern w:val="0"/>
                <w:szCs w:val="21"/>
              </w:rPr>
            </w:pPr>
          </w:p>
        </w:tc>
        <w:tc>
          <w:tcPr>
            <w:tcW w:w="588" w:type="pct"/>
          </w:tcPr>
          <w:p w14:paraId="5407F67E" w14:textId="77777777" w:rsidR="00A320E6" w:rsidRDefault="00A320E6" w:rsidP="00AE0286">
            <w:pPr>
              <w:jc w:val="center"/>
              <w:rPr>
                <w:rFonts w:ascii="宋体" w:hAnsi="宋体" w:cs="宋体"/>
                <w:color w:val="000000"/>
                <w:kern w:val="0"/>
                <w:szCs w:val="21"/>
              </w:rPr>
            </w:pPr>
          </w:p>
        </w:tc>
        <w:tc>
          <w:tcPr>
            <w:tcW w:w="588" w:type="pct"/>
          </w:tcPr>
          <w:p w14:paraId="508815B7" w14:textId="77777777" w:rsidR="00A320E6" w:rsidRDefault="00A320E6" w:rsidP="00AE0286">
            <w:pPr>
              <w:jc w:val="center"/>
              <w:rPr>
                <w:rFonts w:ascii="宋体" w:hAnsi="宋体" w:cs="宋体"/>
                <w:color w:val="000000"/>
                <w:kern w:val="0"/>
                <w:szCs w:val="21"/>
              </w:rPr>
            </w:pPr>
          </w:p>
        </w:tc>
        <w:tc>
          <w:tcPr>
            <w:tcW w:w="588" w:type="pct"/>
          </w:tcPr>
          <w:p w14:paraId="0FB5F46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r>
    </w:tbl>
    <w:p w14:paraId="09BF1920" w14:textId="77777777" w:rsidR="00A320E6" w:rsidRDefault="00000000" w:rsidP="00AE0286">
      <w:pPr>
        <w:spacing w:line="400" w:lineRule="exact"/>
        <w:ind w:left="960" w:hangingChars="400" w:hanging="960"/>
        <w:rPr>
          <w:rFonts w:ascii="宋体" w:hAnsi="宋体" w:cs="宋体"/>
          <w:sz w:val="24"/>
          <w:szCs w:val="24"/>
        </w:rPr>
      </w:pPr>
      <w:r>
        <w:rPr>
          <w:rFonts w:ascii="宋体" w:hAnsi="宋体" w:cs="宋体" w:hint="eastAsia"/>
          <w:sz w:val="24"/>
          <w:szCs w:val="24"/>
        </w:rPr>
        <w:t>注：（1）全地下房屋修正系数为-30%。</w:t>
      </w:r>
    </w:p>
    <w:p w14:paraId="0333A3B1" w14:textId="77777777" w:rsidR="00A320E6" w:rsidRDefault="00000000" w:rsidP="00AE0286">
      <w:pPr>
        <w:spacing w:line="400" w:lineRule="exact"/>
        <w:ind w:firstLineChars="200" w:firstLine="480"/>
        <w:rPr>
          <w:rFonts w:ascii="宋体" w:hAnsi="宋体" w:cs="宋体"/>
          <w:sz w:val="24"/>
          <w:szCs w:val="24"/>
        </w:rPr>
      </w:pPr>
      <w:r>
        <w:rPr>
          <w:rFonts w:ascii="宋体" w:hAnsi="宋体" w:cs="宋体" w:hint="eastAsia"/>
          <w:sz w:val="24"/>
          <w:szCs w:val="24"/>
        </w:rPr>
        <w:t>（2）非成套楼房不进行楼层修正。</w:t>
      </w:r>
    </w:p>
    <w:p w14:paraId="6F1B6037" w14:textId="77777777" w:rsidR="00A320E6" w:rsidRDefault="00000000" w:rsidP="00AE0286">
      <w:pPr>
        <w:spacing w:line="480" w:lineRule="exact"/>
        <w:rPr>
          <w:rFonts w:ascii="宋体" w:hAnsi="宋体" w:cs="宋体"/>
          <w:bCs/>
          <w:color w:val="000000"/>
          <w:sz w:val="24"/>
          <w:szCs w:val="24"/>
        </w:rPr>
      </w:pPr>
      <w:r>
        <w:rPr>
          <w:rFonts w:ascii="宋体" w:hAnsi="宋体" w:cs="宋体" w:hint="eastAsia"/>
          <w:bCs/>
          <w:color w:val="000000"/>
          <w:sz w:val="24"/>
          <w:szCs w:val="24"/>
        </w:rPr>
        <w:lastRenderedPageBreak/>
        <w:t>附表4</w:t>
      </w:r>
    </w:p>
    <w:p w14:paraId="0847108D" w14:textId="77777777" w:rsidR="00A320E6" w:rsidRDefault="00000000" w:rsidP="00AE0286">
      <w:pPr>
        <w:spacing w:line="480" w:lineRule="exact"/>
        <w:jc w:val="center"/>
        <w:rPr>
          <w:rFonts w:ascii="宋体" w:hAnsi="宋体" w:cs="宋体"/>
          <w:color w:val="000000"/>
          <w:sz w:val="24"/>
          <w:szCs w:val="24"/>
        </w:rPr>
      </w:pPr>
      <w:r>
        <w:rPr>
          <w:rFonts w:ascii="宋体" w:hAnsi="宋体" w:cs="宋体" w:hint="eastAsia"/>
          <w:color w:val="000000"/>
          <w:sz w:val="24"/>
          <w:szCs w:val="24"/>
        </w:rPr>
        <w:t>成片非住宅容积率修正系数参考表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812"/>
        <w:gridCol w:w="772"/>
        <w:gridCol w:w="772"/>
        <w:gridCol w:w="772"/>
        <w:gridCol w:w="772"/>
        <w:gridCol w:w="913"/>
        <w:gridCol w:w="772"/>
        <w:gridCol w:w="843"/>
        <w:gridCol w:w="772"/>
        <w:gridCol w:w="772"/>
      </w:tblGrid>
      <w:tr w:rsidR="00A320E6" w14:paraId="0ADA53CE" w14:textId="77777777">
        <w:tc>
          <w:tcPr>
            <w:tcW w:w="542" w:type="pct"/>
          </w:tcPr>
          <w:p w14:paraId="2952B14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容积率</w:t>
            </w:r>
          </w:p>
        </w:tc>
        <w:tc>
          <w:tcPr>
            <w:tcW w:w="454" w:type="pct"/>
            <w:vAlign w:val="center"/>
          </w:tcPr>
          <w:p w14:paraId="646822F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&lt;0.1</w:t>
            </w:r>
          </w:p>
        </w:tc>
        <w:tc>
          <w:tcPr>
            <w:tcW w:w="431" w:type="pct"/>
            <w:vAlign w:val="center"/>
          </w:tcPr>
          <w:p w14:paraId="0A12820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0.1</w:t>
            </w:r>
          </w:p>
        </w:tc>
        <w:tc>
          <w:tcPr>
            <w:tcW w:w="431" w:type="pct"/>
            <w:vAlign w:val="center"/>
          </w:tcPr>
          <w:p w14:paraId="0313ED2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0.2</w:t>
            </w:r>
          </w:p>
        </w:tc>
        <w:tc>
          <w:tcPr>
            <w:tcW w:w="431" w:type="pct"/>
            <w:vAlign w:val="center"/>
          </w:tcPr>
          <w:p w14:paraId="2E7E1FD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0.3</w:t>
            </w:r>
          </w:p>
        </w:tc>
        <w:tc>
          <w:tcPr>
            <w:tcW w:w="431" w:type="pct"/>
            <w:vAlign w:val="center"/>
          </w:tcPr>
          <w:p w14:paraId="3797CB0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0.4</w:t>
            </w:r>
          </w:p>
        </w:tc>
        <w:tc>
          <w:tcPr>
            <w:tcW w:w="510" w:type="pct"/>
            <w:vAlign w:val="center"/>
          </w:tcPr>
          <w:p w14:paraId="5553BEA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0.5</w:t>
            </w:r>
          </w:p>
        </w:tc>
        <w:tc>
          <w:tcPr>
            <w:tcW w:w="431" w:type="pct"/>
            <w:vAlign w:val="center"/>
          </w:tcPr>
          <w:p w14:paraId="08C6E07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0.6</w:t>
            </w:r>
          </w:p>
        </w:tc>
        <w:tc>
          <w:tcPr>
            <w:tcW w:w="471" w:type="pct"/>
            <w:vAlign w:val="center"/>
          </w:tcPr>
          <w:p w14:paraId="509E2B7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0.7</w:t>
            </w:r>
          </w:p>
        </w:tc>
        <w:tc>
          <w:tcPr>
            <w:tcW w:w="431" w:type="pct"/>
            <w:vAlign w:val="center"/>
          </w:tcPr>
          <w:p w14:paraId="5EF6663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0.8</w:t>
            </w:r>
          </w:p>
        </w:tc>
        <w:tc>
          <w:tcPr>
            <w:tcW w:w="431" w:type="pct"/>
            <w:vAlign w:val="center"/>
          </w:tcPr>
          <w:p w14:paraId="2DBB709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0.9</w:t>
            </w:r>
          </w:p>
        </w:tc>
      </w:tr>
      <w:tr w:rsidR="00A320E6" w14:paraId="4C643535" w14:textId="77777777">
        <w:tc>
          <w:tcPr>
            <w:tcW w:w="542" w:type="pct"/>
          </w:tcPr>
          <w:p w14:paraId="74CDB33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系数</w:t>
            </w:r>
          </w:p>
        </w:tc>
        <w:tc>
          <w:tcPr>
            <w:tcW w:w="454" w:type="pct"/>
          </w:tcPr>
          <w:p w14:paraId="12622E3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6.00</w:t>
            </w:r>
          </w:p>
        </w:tc>
        <w:tc>
          <w:tcPr>
            <w:tcW w:w="431" w:type="pct"/>
          </w:tcPr>
          <w:p w14:paraId="5B939B9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6.00</w:t>
            </w:r>
          </w:p>
        </w:tc>
        <w:tc>
          <w:tcPr>
            <w:tcW w:w="431" w:type="pct"/>
          </w:tcPr>
          <w:p w14:paraId="48C5D99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3.22</w:t>
            </w:r>
          </w:p>
        </w:tc>
        <w:tc>
          <w:tcPr>
            <w:tcW w:w="431" w:type="pct"/>
          </w:tcPr>
          <w:p w14:paraId="693A0E0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2.30</w:t>
            </w:r>
          </w:p>
        </w:tc>
        <w:tc>
          <w:tcPr>
            <w:tcW w:w="431" w:type="pct"/>
          </w:tcPr>
          <w:p w14:paraId="733868D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1.83</w:t>
            </w:r>
          </w:p>
        </w:tc>
        <w:tc>
          <w:tcPr>
            <w:tcW w:w="510" w:type="pct"/>
          </w:tcPr>
          <w:p w14:paraId="561B2BE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1.56</w:t>
            </w:r>
          </w:p>
        </w:tc>
        <w:tc>
          <w:tcPr>
            <w:tcW w:w="431" w:type="pct"/>
          </w:tcPr>
          <w:p w14:paraId="6B709D2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1.37</w:t>
            </w:r>
          </w:p>
        </w:tc>
        <w:tc>
          <w:tcPr>
            <w:tcW w:w="471" w:type="pct"/>
          </w:tcPr>
          <w:p w14:paraId="5A4ABA2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1.24</w:t>
            </w:r>
          </w:p>
        </w:tc>
        <w:tc>
          <w:tcPr>
            <w:tcW w:w="431" w:type="pct"/>
          </w:tcPr>
          <w:p w14:paraId="7FD3B50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1.14</w:t>
            </w:r>
          </w:p>
        </w:tc>
        <w:tc>
          <w:tcPr>
            <w:tcW w:w="431" w:type="pct"/>
          </w:tcPr>
          <w:p w14:paraId="77D5492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1.06</w:t>
            </w:r>
          </w:p>
        </w:tc>
      </w:tr>
      <w:tr w:rsidR="00A320E6" w14:paraId="6F5C93FC" w14:textId="77777777">
        <w:trPr>
          <w:trHeight w:val="527"/>
        </w:trPr>
        <w:tc>
          <w:tcPr>
            <w:tcW w:w="542" w:type="pct"/>
          </w:tcPr>
          <w:p w14:paraId="3B5A1C9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容积率</w:t>
            </w:r>
          </w:p>
        </w:tc>
        <w:tc>
          <w:tcPr>
            <w:tcW w:w="454" w:type="pct"/>
            <w:vAlign w:val="center"/>
          </w:tcPr>
          <w:p w14:paraId="0B0729F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w:t>
            </w:r>
          </w:p>
        </w:tc>
        <w:tc>
          <w:tcPr>
            <w:tcW w:w="431" w:type="pct"/>
            <w:vAlign w:val="center"/>
          </w:tcPr>
          <w:p w14:paraId="2CE0C3A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2.0</w:t>
            </w:r>
          </w:p>
        </w:tc>
        <w:tc>
          <w:tcPr>
            <w:tcW w:w="431" w:type="pct"/>
            <w:vAlign w:val="center"/>
          </w:tcPr>
          <w:p w14:paraId="45BF24A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3.0</w:t>
            </w:r>
          </w:p>
        </w:tc>
        <w:tc>
          <w:tcPr>
            <w:tcW w:w="431" w:type="pct"/>
            <w:vAlign w:val="center"/>
          </w:tcPr>
          <w:p w14:paraId="50EEEB7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4.0</w:t>
            </w:r>
          </w:p>
        </w:tc>
        <w:tc>
          <w:tcPr>
            <w:tcW w:w="431" w:type="pct"/>
            <w:vAlign w:val="center"/>
          </w:tcPr>
          <w:p w14:paraId="78CC46A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5.0</w:t>
            </w:r>
          </w:p>
        </w:tc>
        <w:tc>
          <w:tcPr>
            <w:tcW w:w="510" w:type="pct"/>
            <w:vAlign w:val="center"/>
          </w:tcPr>
          <w:p w14:paraId="4FBED89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6.0</w:t>
            </w:r>
          </w:p>
        </w:tc>
        <w:tc>
          <w:tcPr>
            <w:tcW w:w="431" w:type="pct"/>
            <w:vAlign w:val="center"/>
          </w:tcPr>
          <w:p w14:paraId="67872E8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7.0</w:t>
            </w:r>
          </w:p>
        </w:tc>
        <w:tc>
          <w:tcPr>
            <w:tcW w:w="471" w:type="pct"/>
            <w:vAlign w:val="center"/>
          </w:tcPr>
          <w:p w14:paraId="4810FAE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8.0</w:t>
            </w:r>
          </w:p>
        </w:tc>
        <w:tc>
          <w:tcPr>
            <w:tcW w:w="431" w:type="pct"/>
            <w:vAlign w:val="center"/>
          </w:tcPr>
          <w:p w14:paraId="4E769EE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9.0</w:t>
            </w:r>
          </w:p>
        </w:tc>
        <w:tc>
          <w:tcPr>
            <w:tcW w:w="431" w:type="pct"/>
            <w:vAlign w:val="center"/>
          </w:tcPr>
          <w:p w14:paraId="37B9D63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10.0</w:t>
            </w:r>
          </w:p>
        </w:tc>
      </w:tr>
      <w:tr w:rsidR="00A320E6" w14:paraId="44A02F9F" w14:textId="77777777">
        <w:tc>
          <w:tcPr>
            <w:tcW w:w="542" w:type="pct"/>
          </w:tcPr>
          <w:p w14:paraId="4DA622B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系数</w:t>
            </w:r>
          </w:p>
        </w:tc>
        <w:tc>
          <w:tcPr>
            <w:tcW w:w="454" w:type="pct"/>
            <w:vAlign w:val="center"/>
          </w:tcPr>
          <w:p w14:paraId="798F474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1.00</w:t>
            </w:r>
          </w:p>
        </w:tc>
        <w:tc>
          <w:tcPr>
            <w:tcW w:w="431" w:type="pct"/>
            <w:vAlign w:val="center"/>
          </w:tcPr>
          <w:p w14:paraId="08AD9B54"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0.95</w:t>
            </w:r>
          </w:p>
        </w:tc>
        <w:tc>
          <w:tcPr>
            <w:tcW w:w="431" w:type="pct"/>
            <w:vAlign w:val="center"/>
          </w:tcPr>
          <w:p w14:paraId="072C8BC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0.91</w:t>
            </w:r>
          </w:p>
        </w:tc>
        <w:tc>
          <w:tcPr>
            <w:tcW w:w="431" w:type="pct"/>
            <w:vAlign w:val="center"/>
          </w:tcPr>
          <w:p w14:paraId="52FC30B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0.87</w:t>
            </w:r>
          </w:p>
        </w:tc>
        <w:tc>
          <w:tcPr>
            <w:tcW w:w="431" w:type="pct"/>
            <w:vAlign w:val="center"/>
          </w:tcPr>
          <w:p w14:paraId="2FE5658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0.82</w:t>
            </w:r>
          </w:p>
        </w:tc>
        <w:tc>
          <w:tcPr>
            <w:tcW w:w="510" w:type="pct"/>
            <w:vAlign w:val="center"/>
          </w:tcPr>
          <w:p w14:paraId="0E7584E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0.78</w:t>
            </w:r>
          </w:p>
        </w:tc>
        <w:tc>
          <w:tcPr>
            <w:tcW w:w="431" w:type="pct"/>
            <w:vAlign w:val="center"/>
          </w:tcPr>
          <w:p w14:paraId="4D77571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0.73</w:t>
            </w:r>
          </w:p>
        </w:tc>
        <w:tc>
          <w:tcPr>
            <w:tcW w:w="471" w:type="pct"/>
            <w:vAlign w:val="center"/>
          </w:tcPr>
          <w:p w14:paraId="7656209E"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0.69</w:t>
            </w:r>
          </w:p>
        </w:tc>
        <w:tc>
          <w:tcPr>
            <w:tcW w:w="431" w:type="pct"/>
            <w:vAlign w:val="center"/>
          </w:tcPr>
          <w:p w14:paraId="612E3DD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0.64</w:t>
            </w:r>
          </w:p>
        </w:tc>
        <w:tc>
          <w:tcPr>
            <w:tcW w:w="431" w:type="pct"/>
          </w:tcPr>
          <w:p w14:paraId="460839D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0.60</w:t>
            </w:r>
          </w:p>
        </w:tc>
      </w:tr>
    </w:tbl>
    <w:p w14:paraId="504FAEEB" w14:textId="77777777" w:rsidR="00A320E6" w:rsidRDefault="00000000" w:rsidP="00AE0286">
      <w:pPr>
        <w:spacing w:line="480" w:lineRule="exact"/>
        <w:rPr>
          <w:rFonts w:ascii="宋体" w:hAnsi="宋体" w:cs="宋体"/>
          <w:bCs/>
          <w:sz w:val="24"/>
          <w:szCs w:val="24"/>
        </w:rPr>
      </w:pPr>
      <w:r>
        <w:rPr>
          <w:rFonts w:ascii="宋体" w:hAnsi="宋体" w:cs="宋体" w:hint="eastAsia"/>
          <w:bCs/>
          <w:sz w:val="24"/>
          <w:szCs w:val="24"/>
        </w:rPr>
        <w:t>附表5</w:t>
      </w:r>
    </w:p>
    <w:p w14:paraId="1BF64424" w14:textId="77777777" w:rsidR="00A320E6" w:rsidRDefault="00000000" w:rsidP="00AE0286">
      <w:pPr>
        <w:spacing w:line="480" w:lineRule="exact"/>
        <w:jc w:val="center"/>
        <w:rPr>
          <w:rFonts w:ascii="宋体" w:hAnsi="宋体" w:cs="宋体"/>
          <w:bCs/>
          <w:sz w:val="24"/>
          <w:szCs w:val="24"/>
        </w:rPr>
      </w:pPr>
      <w:r>
        <w:rPr>
          <w:rFonts w:ascii="宋体" w:hAnsi="宋体" w:cs="宋体" w:hint="eastAsia"/>
          <w:bCs/>
          <w:sz w:val="24"/>
          <w:szCs w:val="24"/>
        </w:rPr>
        <w:t>成片非住宅楼层和临街状况修正系数参考表</w:t>
      </w:r>
    </w:p>
    <w:tbl>
      <w:tblPr>
        <w:tblpPr w:leftFromText="180" w:rightFromText="180" w:vertAnchor="text" w:horzAnchor="page" w:tblpX="1902" w:tblpY="475"/>
        <w:tblOverlap w:val="neve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272"/>
        <w:gridCol w:w="826"/>
        <w:gridCol w:w="925"/>
        <w:gridCol w:w="1581"/>
        <w:gridCol w:w="833"/>
        <w:gridCol w:w="893"/>
        <w:gridCol w:w="707"/>
      </w:tblGrid>
      <w:tr w:rsidR="00A320E6" w14:paraId="7BE7F757" w14:textId="77777777">
        <w:trPr>
          <w:trHeight w:hRule="exact" w:val="510"/>
        </w:trPr>
        <w:tc>
          <w:tcPr>
            <w:tcW w:w="2729" w:type="pct"/>
            <w:gridSpan w:val="4"/>
            <w:vAlign w:val="center"/>
          </w:tcPr>
          <w:p w14:paraId="51A0D99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楼层因素</w:t>
            </w:r>
          </w:p>
        </w:tc>
        <w:tc>
          <w:tcPr>
            <w:tcW w:w="2270" w:type="pct"/>
            <w:gridSpan w:val="4"/>
            <w:vAlign w:val="center"/>
          </w:tcPr>
          <w:p w14:paraId="22C85EC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临街状况因素</w:t>
            </w:r>
          </w:p>
        </w:tc>
      </w:tr>
      <w:tr w:rsidR="00A320E6" w14:paraId="31922CED" w14:textId="77777777">
        <w:trPr>
          <w:trHeight w:hRule="exact" w:val="510"/>
        </w:trPr>
        <w:tc>
          <w:tcPr>
            <w:tcW w:w="1020" w:type="pct"/>
            <w:vAlign w:val="center"/>
          </w:tcPr>
          <w:p w14:paraId="0D08ADA9" w14:textId="77777777" w:rsidR="00A320E6" w:rsidRDefault="00000000" w:rsidP="00AE0286">
            <w:pPr>
              <w:jc w:val="center"/>
              <w:rPr>
                <w:rFonts w:ascii="宋体" w:hAnsi="宋体" w:cs="宋体"/>
                <w:color w:val="000000"/>
                <w:kern w:val="0"/>
                <w:szCs w:val="21"/>
              </w:rPr>
            </w:pPr>
            <w:bookmarkStart w:id="105" w:name="OLE_LINK1"/>
            <w:r>
              <w:rPr>
                <w:rFonts w:ascii="宋体" w:hAnsi="宋体" w:cs="宋体" w:hint="eastAsia"/>
                <w:color w:val="000000"/>
                <w:kern w:val="0"/>
                <w:szCs w:val="21"/>
              </w:rPr>
              <w:t>楼层</w:t>
            </w:r>
          </w:p>
        </w:tc>
        <w:tc>
          <w:tcPr>
            <w:tcW w:w="719" w:type="pct"/>
            <w:vAlign w:val="center"/>
          </w:tcPr>
          <w:p w14:paraId="20FAD2F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商业</w:t>
            </w:r>
          </w:p>
        </w:tc>
        <w:tc>
          <w:tcPr>
            <w:tcW w:w="467" w:type="pct"/>
            <w:vAlign w:val="center"/>
          </w:tcPr>
          <w:p w14:paraId="517CD5E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办公</w:t>
            </w:r>
          </w:p>
        </w:tc>
        <w:tc>
          <w:tcPr>
            <w:tcW w:w="521" w:type="pct"/>
            <w:vAlign w:val="center"/>
          </w:tcPr>
          <w:p w14:paraId="3D27D0C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工业</w:t>
            </w:r>
          </w:p>
        </w:tc>
        <w:tc>
          <w:tcPr>
            <w:tcW w:w="894" w:type="pct"/>
            <w:vAlign w:val="center"/>
          </w:tcPr>
          <w:p w14:paraId="3B80F01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临街状况</w:t>
            </w:r>
          </w:p>
        </w:tc>
        <w:tc>
          <w:tcPr>
            <w:tcW w:w="471" w:type="pct"/>
            <w:vAlign w:val="center"/>
          </w:tcPr>
          <w:p w14:paraId="5C87194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商业</w:t>
            </w:r>
          </w:p>
        </w:tc>
        <w:tc>
          <w:tcPr>
            <w:tcW w:w="505" w:type="pct"/>
            <w:vAlign w:val="center"/>
          </w:tcPr>
          <w:p w14:paraId="45E2068C"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办公</w:t>
            </w:r>
          </w:p>
        </w:tc>
        <w:tc>
          <w:tcPr>
            <w:tcW w:w="398" w:type="pct"/>
            <w:vAlign w:val="center"/>
          </w:tcPr>
          <w:p w14:paraId="0B21FA7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工业</w:t>
            </w:r>
          </w:p>
        </w:tc>
      </w:tr>
      <w:tr w:rsidR="00A320E6" w14:paraId="6D5E1094" w14:textId="77777777">
        <w:trPr>
          <w:trHeight w:hRule="exact" w:val="510"/>
        </w:trPr>
        <w:tc>
          <w:tcPr>
            <w:tcW w:w="1020" w:type="pct"/>
            <w:vAlign w:val="center"/>
          </w:tcPr>
          <w:p w14:paraId="4FD2527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地下</w:t>
            </w:r>
          </w:p>
        </w:tc>
        <w:tc>
          <w:tcPr>
            <w:tcW w:w="719" w:type="pct"/>
            <w:vAlign w:val="center"/>
          </w:tcPr>
          <w:p w14:paraId="52B1AAC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-30%</w:t>
            </w:r>
          </w:p>
        </w:tc>
        <w:tc>
          <w:tcPr>
            <w:tcW w:w="467" w:type="pct"/>
            <w:vAlign w:val="center"/>
          </w:tcPr>
          <w:p w14:paraId="04F1FD4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-30%</w:t>
            </w:r>
          </w:p>
        </w:tc>
        <w:tc>
          <w:tcPr>
            <w:tcW w:w="521" w:type="pct"/>
            <w:vAlign w:val="center"/>
          </w:tcPr>
          <w:p w14:paraId="528D290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w:t>
            </w:r>
          </w:p>
        </w:tc>
        <w:tc>
          <w:tcPr>
            <w:tcW w:w="894" w:type="pct"/>
            <w:vAlign w:val="center"/>
          </w:tcPr>
          <w:p w14:paraId="0C6B2AB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临主路</w:t>
            </w:r>
          </w:p>
        </w:tc>
        <w:tc>
          <w:tcPr>
            <w:tcW w:w="471" w:type="pct"/>
            <w:vAlign w:val="center"/>
          </w:tcPr>
          <w:p w14:paraId="0653558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05" w:type="pct"/>
            <w:vAlign w:val="center"/>
          </w:tcPr>
          <w:p w14:paraId="4605C13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398" w:type="pct"/>
            <w:vAlign w:val="center"/>
          </w:tcPr>
          <w:p w14:paraId="65D311C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r>
      <w:tr w:rsidR="00A320E6" w14:paraId="5C1A79BD" w14:textId="77777777">
        <w:trPr>
          <w:trHeight w:hRule="exact" w:val="485"/>
        </w:trPr>
        <w:tc>
          <w:tcPr>
            <w:tcW w:w="1020" w:type="pct"/>
            <w:vAlign w:val="center"/>
          </w:tcPr>
          <w:p w14:paraId="4CAEDF5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半地下</w:t>
            </w:r>
          </w:p>
        </w:tc>
        <w:tc>
          <w:tcPr>
            <w:tcW w:w="719" w:type="pct"/>
            <w:vAlign w:val="center"/>
          </w:tcPr>
          <w:p w14:paraId="6BBA39C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-20%</w:t>
            </w:r>
          </w:p>
        </w:tc>
        <w:tc>
          <w:tcPr>
            <w:tcW w:w="467" w:type="pct"/>
            <w:vAlign w:val="center"/>
          </w:tcPr>
          <w:p w14:paraId="62489F0D"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521" w:type="pct"/>
            <w:vAlign w:val="center"/>
          </w:tcPr>
          <w:p w14:paraId="170AA27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w:t>
            </w:r>
          </w:p>
        </w:tc>
        <w:tc>
          <w:tcPr>
            <w:tcW w:w="894" w:type="pct"/>
            <w:vAlign w:val="center"/>
          </w:tcPr>
          <w:p w14:paraId="0E06B866"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临支路</w:t>
            </w:r>
          </w:p>
        </w:tc>
        <w:tc>
          <w:tcPr>
            <w:tcW w:w="471" w:type="pct"/>
            <w:vAlign w:val="center"/>
          </w:tcPr>
          <w:p w14:paraId="32DCD16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-20%</w:t>
            </w:r>
          </w:p>
        </w:tc>
        <w:tc>
          <w:tcPr>
            <w:tcW w:w="505" w:type="pct"/>
            <w:vAlign w:val="center"/>
          </w:tcPr>
          <w:p w14:paraId="5C597C8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-5%</w:t>
            </w:r>
          </w:p>
        </w:tc>
        <w:tc>
          <w:tcPr>
            <w:tcW w:w="398" w:type="pct"/>
            <w:vAlign w:val="center"/>
          </w:tcPr>
          <w:p w14:paraId="700A743F"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w:t>
            </w:r>
          </w:p>
        </w:tc>
      </w:tr>
      <w:tr w:rsidR="00A320E6" w14:paraId="51A8DB7D" w14:textId="77777777">
        <w:trPr>
          <w:trHeight w:hRule="exact" w:val="510"/>
        </w:trPr>
        <w:tc>
          <w:tcPr>
            <w:tcW w:w="1020" w:type="pct"/>
            <w:vAlign w:val="center"/>
          </w:tcPr>
          <w:p w14:paraId="7EBD3461"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w:t>
            </w:r>
          </w:p>
        </w:tc>
        <w:tc>
          <w:tcPr>
            <w:tcW w:w="719" w:type="pct"/>
            <w:vAlign w:val="center"/>
          </w:tcPr>
          <w:p w14:paraId="3B8F5C95"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467" w:type="pct"/>
            <w:vAlign w:val="center"/>
          </w:tcPr>
          <w:p w14:paraId="05DF96FA"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21" w:type="pct"/>
            <w:vAlign w:val="center"/>
          </w:tcPr>
          <w:p w14:paraId="6DAF95F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894" w:type="pct"/>
            <w:vAlign w:val="center"/>
          </w:tcPr>
          <w:p w14:paraId="0417FCF8"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不临街</w:t>
            </w:r>
          </w:p>
        </w:tc>
        <w:tc>
          <w:tcPr>
            <w:tcW w:w="471" w:type="pct"/>
            <w:vAlign w:val="center"/>
          </w:tcPr>
          <w:p w14:paraId="2750756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-30%</w:t>
            </w:r>
          </w:p>
        </w:tc>
        <w:tc>
          <w:tcPr>
            <w:tcW w:w="505" w:type="pct"/>
            <w:vAlign w:val="center"/>
          </w:tcPr>
          <w:p w14:paraId="54B5034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-10%</w:t>
            </w:r>
          </w:p>
        </w:tc>
        <w:tc>
          <w:tcPr>
            <w:tcW w:w="398" w:type="pct"/>
            <w:vAlign w:val="center"/>
          </w:tcPr>
          <w:p w14:paraId="3F4B953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-6%</w:t>
            </w:r>
          </w:p>
        </w:tc>
      </w:tr>
      <w:bookmarkEnd w:id="105"/>
      <w:tr w:rsidR="00A320E6" w14:paraId="51C2D622" w14:textId="77777777">
        <w:trPr>
          <w:trHeight w:hRule="exact" w:val="510"/>
        </w:trPr>
        <w:tc>
          <w:tcPr>
            <w:tcW w:w="1020" w:type="pct"/>
            <w:vAlign w:val="center"/>
          </w:tcPr>
          <w:p w14:paraId="55F92932"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w:t>
            </w:r>
          </w:p>
        </w:tc>
        <w:tc>
          <w:tcPr>
            <w:tcW w:w="719" w:type="pct"/>
            <w:vAlign w:val="center"/>
          </w:tcPr>
          <w:p w14:paraId="52AE3463"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-15%</w:t>
            </w:r>
          </w:p>
        </w:tc>
        <w:tc>
          <w:tcPr>
            <w:tcW w:w="467" w:type="pct"/>
            <w:vAlign w:val="center"/>
          </w:tcPr>
          <w:p w14:paraId="001C8FE9"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21" w:type="pct"/>
            <w:vAlign w:val="center"/>
          </w:tcPr>
          <w:p w14:paraId="62C99E3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894" w:type="pct"/>
            <w:vAlign w:val="center"/>
          </w:tcPr>
          <w:p w14:paraId="6BC82D4D" w14:textId="77777777" w:rsidR="00A320E6" w:rsidRDefault="00A320E6" w:rsidP="00AE0286">
            <w:pPr>
              <w:jc w:val="center"/>
              <w:rPr>
                <w:rFonts w:ascii="宋体" w:hAnsi="宋体" w:cs="宋体"/>
                <w:color w:val="000000"/>
                <w:kern w:val="0"/>
                <w:szCs w:val="21"/>
              </w:rPr>
            </w:pPr>
          </w:p>
        </w:tc>
        <w:tc>
          <w:tcPr>
            <w:tcW w:w="471" w:type="pct"/>
            <w:vAlign w:val="center"/>
          </w:tcPr>
          <w:p w14:paraId="797ED276" w14:textId="77777777" w:rsidR="00A320E6" w:rsidRDefault="00A320E6" w:rsidP="00AE0286">
            <w:pPr>
              <w:jc w:val="center"/>
              <w:rPr>
                <w:rFonts w:ascii="宋体" w:hAnsi="宋体" w:cs="宋体"/>
                <w:color w:val="000000"/>
                <w:kern w:val="0"/>
                <w:szCs w:val="21"/>
              </w:rPr>
            </w:pPr>
          </w:p>
        </w:tc>
        <w:tc>
          <w:tcPr>
            <w:tcW w:w="505" w:type="pct"/>
            <w:vAlign w:val="center"/>
          </w:tcPr>
          <w:p w14:paraId="115D03DD" w14:textId="77777777" w:rsidR="00A320E6" w:rsidRDefault="00A320E6" w:rsidP="00AE0286">
            <w:pPr>
              <w:jc w:val="center"/>
              <w:rPr>
                <w:rFonts w:ascii="宋体" w:hAnsi="宋体" w:cs="宋体"/>
                <w:color w:val="000000"/>
                <w:kern w:val="0"/>
                <w:szCs w:val="21"/>
              </w:rPr>
            </w:pPr>
          </w:p>
        </w:tc>
        <w:tc>
          <w:tcPr>
            <w:tcW w:w="398" w:type="pct"/>
            <w:vAlign w:val="center"/>
          </w:tcPr>
          <w:p w14:paraId="3869E6AA" w14:textId="77777777" w:rsidR="00A320E6" w:rsidRDefault="00A320E6" w:rsidP="00AE0286">
            <w:pPr>
              <w:jc w:val="center"/>
              <w:rPr>
                <w:rFonts w:ascii="宋体" w:hAnsi="宋体" w:cs="宋体"/>
                <w:color w:val="000000"/>
                <w:kern w:val="0"/>
                <w:szCs w:val="21"/>
              </w:rPr>
            </w:pPr>
          </w:p>
        </w:tc>
      </w:tr>
      <w:tr w:rsidR="00A320E6" w14:paraId="572F1FA5" w14:textId="77777777">
        <w:trPr>
          <w:trHeight w:hRule="exact" w:val="510"/>
        </w:trPr>
        <w:tc>
          <w:tcPr>
            <w:tcW w:w="1020" w:type="pct"/>
            <w:vAlign w:val="center"/>
          </w:tcPr>
          <w:p w14:paraId="3A9DB00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3及以上</w:t>
            </w:r>
          </w:p>
        </w:tc>
        <w:tc>
          <w:tcPr>
            <w:tcW w:w="719" w:type="pct"/>
            <w:vAlign w:val="center"/>
          </w:tcPr>
          <w:p w14:paraId="4E7759BB"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-20%</w:t>
            </w:r>
          </w:p>
        </w:tc>
        <w:tc>
          <w:tcPr>
            <w:tcW w:w="467" w:type="pct"/>
            <w:vAlign w:val="center"/>
          </w:tcPr>
          <w:p w14:paraId="53BA3C90"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521" w:type="pct"/>
            <w:vAlign w:val="center"/>
          </w:tcPr>
          <w:p w14:paraId="2AB25427" w14:textId="77777777" w:rsidR="00A320E6" w:rsidRDefault="00000000" w:rsidP="00AE0286">
            <w:pPr>
              <w:jc w:val="center"/>
              <w:rPr>
                <w:rFonts w:ascii="宋体" w:hAnsi="宋体" w:cs="宋体"/>
                <w:color w:val="000000"/>
                <w:kern w:val="0"/>
                <w:szCs w:val="21"/>
              </w:rPr>
            </w:pPr>
            <w:r>
              <w:rPr>
                <w:rFonts w:ascii="宋体" w:hAnsi="宋体" w:cs="宋体" w:hint="eastAsia"/>
                <w:color w:val="000000"/>
                <w:kern w:val="0"/>
                <w:szCs w:val="21"/>
              </w:rPr>
              <w:t>0%</w:t>
            </w:r>
          </w:p>
        </w:tc>
        <w:tc>
          <w:tcPr>
            <w:tcW w:w="894" w:type="pct"/>
            <w:vAlign w:val="center"/>
          </w:tcPr>
          <w:p w14:paraId="16532EF7" w14:textId="77777777" w:rsidR="00A320E6" w:rsidRDefault="00A320E6" w:rsidP="00AE0286">
            <w:pPr>
              <w:jc w:val="center"/>
              <w:rPr>
                <w:rFonts w:ascii="宋体" w:hAnsi="宋体" w:cs="宋体"/>
                <w:color w:val="000000"/>
                <w:kern w:val="0"/>
                <w:szCs w:val="21"/>
              </w:rPr>
            </w:pPr>
          </w:p>
        </w:tc>
        <w:tc>
          <w:tcPr>
            <w:tcW w:w="471" w:type="pct"/>
            <w:vAlign w:val="center"/>
          </w:tcPr>
          <w:p w14:paraId="103D888F" w14:textId="77777777" w:rsidR="00A320E6" w:rsidRDefault="00A320E6" w:rsidP="00AE0286">
            <w:pPr>
              <w:jc w:val="center"/>
              <w:rPr>
                <w:rFonts w:ascii="宋体" w:hAnsi="宋体" w:cs="宋体"/>
                <w:color w:val="000000"/>
                <w:kern w:val="0"/>
                <w:szCs w:val="21"/>
              </w:rPr>
            </w:pPr>
          </w:p>
        </w:tc>
        <w:tc>
          <w:tcPr>
            <w:tcW w:w="505" w:type="pct"/>
            <w:vAlign w:val="center"/>
          </w:tcPr>
          <w:p w14:paraId="23AC8CB9" w14:textId="77777777" w:rsidR="00A320E6" w:rsidRDefault="00A320E6" w:rsidP="00AE0286">
            <w:pPr>
              <w:jc w:val="center"/>
              <w:rPr>
                <w:rFonts w:ascii="宋体" w:hAnsi="宋体" w:cs="宋体"/>
                <w:color w:val="000000"/>
                <w:kern w:val="0"/>
                <w:szCs w:val="21"/>
              </w:rPr>
            </w:pPr>
          </w:p>
        </w:tc>
        <w:tc>
          <w:tcPr>
            <w:tcW w:w="398" w:type="pct"/>
            <w:vAlign w:val="center"/>
          </w:tcPr>
          <w:p w14:paraId="2D9F6695" w14:textId="77777777" w:rsidR="00A320E6" w:rsidRDefault="00A320E6" w:rsidP="00AE0286">
            <w:pPr>
              <w:jc w:val="center"/>
              <w:rPr>
                <w:rFonts w:ascii="宋体" w:hAnsi="宋体" w:cs="宋体"/>
                <w:color w:val="000000"/>
                <w:kern w:val="0"/>
                <w:szCs w:val="21"/>
              </w:rPr>
            </w:pPr>
          </w:p>
        </w:tc>
      </w:tr>
    </w:tbl>
    <w:p w14:paraId="45DDDBA7" w14:textId="77777777" w:rsidR="00A320E6" w:rsidRDefault="00A320E6" w:rsidP="00AE0286">
      <w:pPr>
        <w:spacing w:line="460" w:lineRule="exact"/>
        <w:rPr>
          <w:rFonts w:ascii="宋体" w:hAnsi="宋体" w:cs="宋体"/>
          <w:sz w:val="24"/>
          <w:szCs w:val="24"/>
        </w:rPr>
      </w:pPr>
    </w:p>
    <w:p w14:paraId="6B405FEB" w14:textId="77777777" w:rsidR="00A320E6" w:rsidRDefault="00000000" w:rsidP="00AE0286">
      <w:pPr>
        <w:spacing w:line="460" w:lineRule="exact"/>
        <w:rPr>
          <w:rFonts w:ascii="宋体" w:hAnsi="宋体" w:cs="宋体"/>
          <w:sz w:val="24"/>
          <w:szCs w:val="24"/>
        </w:rPr>
      </w:pPr>
      <w:r>
        <w:rPr>
          <w:rFonts w:ascii="宋体" w:hAnsi="宋体" w:cs="宋体" w:hint="eastAsia"/>
          <w:sz w:val="24"/>
          <w:szCs w:val="24"/>
        </w:rPr>
        <w:t>注：（1）非住宅房屋双面（及以上）临街，以临街等级高者为准，并向上浮动2%。</w:t>
      </w:r>
    </w:p>
    <w:p w14:paraId="1FACBACD" w14:textId="77777777" w:rsidR="00A320E6" w:rsidRDefault="00000000" w:rsidP="00AE0286">
      <w:pPr>
        <w:pStyle w:val="a5"/>
        <w:spacing w:line="360" w:lineRule="auto"/>
        <w:ind w:left="0" w:firstLineChars="200" w:firstLine="480"/>
        <w:rPr>
          <w:lang w:val="en-US" w:eastAsia="zh-Hans"/>
        </w:rPr>
      </w:pPr>
      <w:r>
        <w:rPr>
          <w:rFonts w:hint="eastAsia"/>
        </w:rPr>
        <w:t>（2）非住宅房屋不考虑朝向因素。</w:t>
      </w:r>
    </w:p>
    <w:p w14:paraId="40870AD6" w14:textId="77777777" w:rsidR="00A320E6" w:rsidRDefault="00000000" w:rsidP="00EC761E">
      <w:pPr>
        <w:pStyle w:val="27"/>
        <w:rPr>
          <w:lang w:eastAsia="zh-Hans"/>
        </w:rPr>
      </w:pPr>
      <w:bookmarkStart w:id="106" w:name="_Toc112227409"/>
      <w:r>
        <w:rPr>
          <w:rFonts w:hint="eastAsia"/>
          <w:lang w:eastAsia="zh-Hans"/>
        </w:rPr>
        <w:t>上海市规范</w:t>
      </w:r>
      <w:bookmarkEnd w:id="106"/>
    </w:p>
    <w:p w14:paraId="17B78EB5" w14:textId="77777777" w:rsidR="00A320E6" w:rsidRPr="00F67407"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07" w:name="_Toc112227410"/>
      <w:r w:rsidRPr="00F67407">
        <w:rPr>
          <w:rFonts w:ascii="宋体" w:hAnsi="宋体" w:cs="宋体" w:hint="eastAsia"/>
          <w:b/>
          <w:bCs/>
          <w:sz w:val="24"/>
          <w:lang w:eastAsia="zh-Hans"/>
        </w:rPr>
        <w:t>上海市国有土地上房屋征收评估管理规定</w:t>
      </w:r>
      <w:bookmarkEnd w:id="107"/>
    </w:p>
    <w:p w14:paraId="77EA7CDC" w14:textId="547CBD3C" w:rsidR="00A320E6" w:rsidRDefault="00000000" w:rsidP="00431106">
      <w:pPr>
        <w:pStyle w:val="13"/>
        <w:spacing w:before="62" w:after="62"/>
        <w:rPr>
          <w:lang w:eastAsia="zh-Hans"/>
        </w:rPr>
      </w:pPr>
      <w:r>
        <w:rPr>
          <w:rFonts w:hint="eastAsia"/>
          <w:lang w:eastAsia="zh-Hans"/>
        </w:rPr>
        <w:t>第一章</w:t>
      </w:r>
      <w:r w:rsidR="00431106">
        <w:rPr>
          <w:rFonts w:hint="eastAsia"/>
        </w:rPr>
        <w:t xml:space="preserve"> </w:t>
      </w:r>
      <w:r>
        <w:rPr>
          <w:rFonts w:hint="eastAsia"/>
          <w:lang w:eastAsia="zh-Hans"/>
        </w:rPr>
        <w:t>总则</w:t>
      </w:r>
    </w:p>
    <w:p w14:paraId="79C4EC38" w14:textId="6C892DC0" w:rsidR="00A320E6" w:rsidRDefault="00A45A13" w:rsidP="00AE0286">
      <w:pPr>
        <w:pStyle w:val="a5"/>
        <w:spacing w:line="360" w:lineRule="auto"/>
        <w:ind w:left="0" w:firstLineChars="200" w:firstLine="482"/>
        <w:rPr>
          <w:lang w:val="en-US" w:eastAsia="zh-Hans"/>
        </w:rPr>
      </w:pPr>
      <w:r w:rsidRPr="00A45A13">
        <w:rPr>
          <w:rFonts w:hint="eastAsia"/>
          <w:b/>
          <w:lang w:val="en-US" w:eastAsia="zh-Hans"/>
        </w:rPr>
        <w:t>第一条</w:t>
      </w:r>
      <w:r w:rsidR="00C36EF7">
        <w:rPr>
          <w:rFonts w:hint="eastAsia"/>
          <w:lang w:val="en-US" w:eastAsia="zh-Hans"/>
        </w:rPr>
        <w:t xml:space="preserve"> </w:t>
      </w:r>
      <w:r>
        <w:rPr>
          <w:rFonts w:hint="eastAsia"/>
          <w:lang w:val="en-US" w:eastAsia="zh-Hans"/>
        </w:rPr>
        <w:t>（制定依据）</w:t>
      </w:r>
    </w:p>
    <w:p w14:paraId="12A71A8E"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为规范本市国有土地上房屋征收评估活动，维护房屋征收当事人的合法权益，保证房屋征收评估结果客观公平，根据《国有土地上房屋征收与补偿条例》、《国有土地上房屋征收评估办法》、《上海市国有土地上房屋征收与补偿实施细则》的有关规定，结合本市实际情况，制定本规定。</w:t>
      </w:r>
    </w:p>
    <w:p w14:paraId="2FB276F4" w14:textId="119283D9" w:rsidR="00A320E6" w:rsidRDefault="00A45A13" w:rsidP="00AE0286">
      <w:pPr>
        <w:pStyle w:val="a5"/>
        <w:spacing w:line="360" w:lineRule="auto"/>
        <w:ind w:left="0" w:firstLineChars="200" w:firstLine="482"/>
        <w:rPr>
          <w:lang w:val="en-US" w:eastAsia="zh-Hans"/>
        </w:rPr>
      </w:pPr>
      <w:r w:rsidRPr="00A45A13">
        <w:rPr>
          <w:rFonts w:hint="eastAsia"/>
          <w:b/>
          <w:lang w:val="en-US" w:eastAsia="zh-Hans"/>
        </w:rPr>
        <w:t>第二条</w:t>
      </w:r>
      <w:r w:rsidR="00C36EF7">
        <w:rPr>
          <w:rFonts w:hint="eastAsia"/>
          <w:lang w:val="en-US" w:eastAsia="zh-Hans"/>
        </w:rPr>
        <w:t xml:space="preserve"> </w:t>
      </w:r>
      <w:r>
        <w:rPr>
          <w:rFonts w:hint="eastAsia"/>
          <w:lang w:val="en-US" w:eastAsia="zh-Hans"/>
        </w:rPr>
        <w:t>（适用范围）</w:t>
      </w:r>
    </w:p>
    <w:p w14:paraId="6C8A3F6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在本市行政区域范围内国有土地上进行房屋征收评估活动，以及对相关评估结果进行复核评估和鉴定，适用本规定。</w:t>
      </w:r>
    </w:p>
    <w:p w14:paraId="0EAF9802" w14:textId="43EA866C" w:rsidR="00A320E6" w:rsidRDefault="00A45A13" w:rsidP="00AE0286">
      <w:pPr>
        <w:pStyle w:val="a5"/>
        <w:spacing w:line="360" w:lineRule="auto"/>
        <w:ind w:left="0" w:firstLineChars="200" w:firstLine="482"/>
        <w:rPr>
          <w:lang w:val="en-US" w:eastAsia="zh-Hans"/>
        </w:rPr>
      </w:pPr>
      <w:r w:rsidRPr="00A45A13">
        <w:rPr>
          <w:rFonts w:hint="eastAsia"/>
          <w:b/>
          <w:lang w:val="en-US" w:eastAsia="zh-Hans"/>
        </w:rPr>
        <w:lastRenderedPageBreak/>
        <w:t>第三条</w:t>
      </w:r>
      <w:r w:rsidR="00C36EF7">
        <w:rPr>
          <w:rFonts w:hint="eastAsia"/>
          <w:lang w:val="en-US" w:eastAsia="zh-Hans"/>
        </w:rPr>
        <w:t xml:space="preserve"> </w:t>
      </w:r>
      <w:r>
        <w:rPr>
          <w:rFonts w:hint="eastAsia"/>
          <w:lang w:val="en-US" w:eastAsia="zh-Hans"/>
        </w:rPr>
        <w:t>（原则）</w:t>
      </w:r>
    </w:p>
    <w:p w14:paraId="016737C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地产价格评估机构（以下简称估价机构）、注册房地产估价师、房地产价格评估专家委员会（以下简称估价专家委员会）成员应当独立、客观、公正地开展房屋征收评估、鉴定工作，并对出具的评估、鉴定意见负责。</w:t>
      </w:r>
    </w:p>
    <w:p w14:paraId="6FD2B556"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任何单位和个人不得干预房屋征收评估、鉴定活动。与房屋征收当事人有利害关系的，应当回避。</w:t>
      </w:r>
    </w:p>
    <w:p w14:paraId="0183965D" w14:textId="2B2F8BE3" w:rsidR="00A320E6" w:rsidRDefault="00A45A13" w:rsidP="00AE0286">
      <w:pPr>
        <w:pStyle w:val="a5"/>
        <w:spacing w:line="360" w:lineRule="auto"/>
        <w:ind w:left="0" w:firstLineChars="200" w:firstLine="482"/>
        <w:rPr>
          <w:lang w:val="en-US" w:eastAsia="zh-Hans"/>
        </w:rPr>
      </w:pPr>
      <w:r w:rsidRPr="00A45A13">
        <w:rPr>
          <w:rFonts w:hint="eastAsia"/>
          <w:b/>
          <w:lang w:val="en-US" w:eastAsia="zh-Hans"/>
        </w:rPr>
        <w:t>第四条</w:t>
      </w:r>
      <w:r>
        <w:rPr>
          <w:rFonts w:hint="eastAsia"/>
          <w:lang w:val="en-US" w:eastAsia="zh-Hans"/>
        </w:rPr>
        <w:t xml:space="preserve"> （管理部门）</w:t>
      </w:r>
    </w:p>
    <w:p w14:paraId="302C1F04"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上海市房屋管理局（以下简称市房管局）负责本市国有土地上房屋征收评估活动的监督管理。区住房保障和房屋管理局（以下简称区住房保障房屋管理局）负责所辖区域范围内国有土地上房屋征收评估活动的监督管理。</w:t>
      </w:r>
    </w:p>
    <w:p w14:paraId="27AE9CE5" w14:textId="78E2FA65"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第五条</w:t>
      </w:r>
      <w:r w:rsidR="00A45A13">
        <w:rPr>
          <w:rFonts w:hint="eastAsia"/>
          <w:lang w:val="en-US" w:eastAsia="zh-Hans"/>
        </w:rPr>
        <w:t xml:space="preserve"> </w:t>
      </w:r>
      <w:r>
        <w:rPr>
          <w:rFonts w:hint="eastAsia"/>
          <w:lang w:val="en-US" w:eastAsia="zh-Hans"/>
        </w:rPr>
        <w:t>（估价专家委员会）</w:t>
      </w:r>
    </w:p>
    <w:p w14:paraId="70C5C44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上海市房地产估价师协会（以下简称市估价师协会）组建估价专家委员会。估价专家委员会由房地产估价师以及价格、房地产、土地、城市规划、法律、造价等方面的专家组成，负责评估技术指导，对专家队伍进行管理，对房地产评估报告组织专家组进行鉴定。</w:t>
      </w:r>
    </w:p>
    <w:p w14:paraId="6E070FF9" w14:textId="478C93EE"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第六条</w:t>
      </w:r>
      <w:r w:rsidR="00A45A13">
        <w:rPr>
          <w:rFonts w:hint="eastAsia"/>
          <w:lang w:val="en-US" w:eastAsia="zh-Hans"/>
        </w:rPr>
        <w:t xml:space="preserve"> </w:t>
      </w:r>
      <w:r>
        <w:rPr>
          <w:rFonts w:hint="eastAsia"/>
          <w:lang w:val="en-US" w:eastAsia="zh-Hans"/>
        </w:rPr>
        <w:t>（资格条件）</w:t>
      </w:r>
    </w:p>
    <w:p w14:paraId="1FFCAC95"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从事房屋征收评估的估价机构，应当具有估价机构一级、二级、三级备案等级，但三级备案在暂定期内的除外。</w:t>
      </w:r>
    </w:p>
    <w:p w14:paraId="3B75A3F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估价机构应当具有与房屋征收评估项目工作量相适应的足够数量的注册房地产估价师和辅助人员。</w:t>
      </w:r>
    </w:p>
    <w:p w14:paraId="2B206B1D" w14:textId="40366033"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第七条</w:t>
      </w:r>
      <w:r w:rsidR="00A45A13">
        <w:rPr>
          <w:rFonts w:hint="eastAsia"/>
          <w:lang w:val="en-US" w:eastAsia="zh-Hans"/>
        </w:rPr>
        <w:t xml:space="preserve"> </w:t>
      </w:r>
      <w:r>
        <w:rPr>
          <w:rFonts w:hint="eastAsia"/>
          <w:lang w:val="en-US" w:eastAsia="zh-Hans"/>
        </w:rPr>
        <w:t>（估价机构数量）</w:t>
      </w:r>
    </w:p>
    <w:p w14:paraId="15BA015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同一征收项目的房屋征收评估工作，原则上由一家估价机构承担。房屋征收范围较大的，可以由两家或者两家以上估价机构共同承担。</w:t>
      </w:r>
    </w:p>
    <w:p w14:paraId="6B838CA5" w14:textId="232C7FB9" w:rsidR="00A320E6" w:rsidRDefault="00000000" w:rsidP="00431106">
      <w:pPr>
        <w:pStyle w:val="13"/>
        <w:spacing w:before="62" w:after="62"/>
        <w:rPr>
          <w:lang w:eastAsia="zh-Hans"/>
        </w:rPr>
      </w:pPr>
      <w:r>
        <w:rPr>
          <w:rFonts w:hint="eastAsia"/>
          <w:lang w:eastAsia="zh-Hans"/>
        </w:rPr>
        <w:t>第二章</w:t>
      </w:r>
      <w:r w:rsidR="00431106">
        <w:rPr>
          <w:lang w:eastAsia="zh-Hans"/>
        </w:rPr>
        <w:t xml:space="preserve"> </w:t>
      </w:r>
      <w:r>
        <w:rPr>
          <w:rFonts w:hint="eastAsia"/>
          <w:lang w:eastAsia="zh-Hans"/>
        </w:rPr>
        <w:t>估价机构的确定</w:t>
      </w:r>
    </w:p>
    <w:p w14:paraId="30B78716" w14:textId="6CF7A86E"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第八条</w:t>
      </w:r>
      <w:r w:rsidR="00A45A13">
        <w:rPr>
          <w:rFonts w:hint="eastAsia"/>
          <w:lang w:val="en-US" w:eastAsia="zh-Hans"/>
        </w:rPr>
        <w:t xml:space="preserve"> </w:t>
      </w:r>
      <w:r>
        <w:rPr>
          <w:rFonts w:hint="eastAsia"/>
          <w:lang w:val="en-US" w:eastAsia="zh-Hans"/>
        </w:rPr>
        <w:t>（项目发布）</w:t>
      </w:r>
    </w:p>
    <w:p w14:paraId="0BC61543" w14:textId="045D6515" w:rsidR="00A320E6" w:rsidRDefault="00000000" w:rsidP="00AE0286">
      <w:pPr>
        <w:pStyle w:val="a5"/>
        <w:spacing w:line="360" w:lineRule="auto"/>
        <w:ind w:left="0" w:firstLineChars="200" w:firstLine="480"/>
        <w:rPr>
          <w:lang w:val="en-US" w:eastAsia="zh-Hans"/>
        </w:rPr>
      </w:pPr>
      <w:r>
        <w:rPr>
          <w:rFonts w:hint="eastAsia"/>
          <w:lang w:val="en-US" w:eastAsia="zh-Hans"/>
        </w:rPr>
        <w:t>房屋征收决定公告公布后或者旧城区改建房屋征收范围内的被征收人、公有房屋承租人的改建意愿的同意比例达到90%以上的，房屋征收部门应当将房屋征收评估项目在市估价师协会网站上发布。发布内容应当包含房屋征收评估项目名称、四至范围、征收房屋大致户数及建筑面积，完成评估时限、需要估价机构数量、估价机</w:t>
      </w:r>
      <w:r>
        <w:rPr>
          <w:rFonts w:hint="eastAsia"/>
          <w:lang w:val="en-US" w:eastAsia="zh-Hans"/>
        </w:rPr>
        <w:lastRenderedPageBreak/>
        <w:t>构拥有注册房地产估价师数量，以及估价机构报名的起止时间、地点、联系方式和应当提交的资料等，报名起止时间应当不少于3个工作日。</w:t>
      </w:r>
    </w:p>
    <w:p w14:paraId="492A5CA4" w14:textId="0DFB8683"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第九条</w:t>
      </w:r>
      <w:r w:rsidR="00A45A13">
        <w:rPr>
          <w:rFonts w:hint="eastAsia"/>
          <w:lang w:val="en-US" w:eastAsia="zh-Hans"/>
        </w:rPr>
        <w:t xml:space="preserve"> </w:t>
      </w:r>
      <w:r>
        <w:rPr>
          <w:rFonts w:hint="eastAsia"/>
          <w:lang w:val="en-US" w:eastAsia="zh-Hans"/>
        </w:rPr>
        <w:t>（估价机构报名）</w:t>
      </w:r>
    </w:p>
    <w:p w14:paraId="7930ED58" w14:textId="056405B1" w:rsidR="00A320E6" w:rsidRDefault="00000000" w:rsidP="00AE0286">
      <w:pPr>
        <w:pStyle w:val="a5"/>
        <w:spacing w:line="360" w:lineRule="auto"/>
        <w:ind w:left="0" w:firstLineChars="200" w:firstLine="480"/>
        <w:rPr>
          <w:lang w:val="en-US" w:eastAsia="zh-Hans"/>
        </w:rPr>
      </w:pPr>
      <w:r>
        <w:rPr>
          <w:rFonts w:hint="eastAsia"/>
          <w:lang w:val="en-US" w:eastAsia="zh-Hans"/>
        </w:rPr>
        <w:t>房屋征收部门应当向自愿报名的估价机构出具回执，并将经审核符合条件的估价机构名单在房屋征收范围内张贴公示。对于经审核不符合条件的估价机构，应当书面知并说明原因。</w:t>
      </w:r>
    </w:p>
    <w:p w14:paraId="650E4D24" w14:textId="693B1052"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第十条</w:t>
      </w:r>
      <w:r w:rsidR="00A45A13">
        <w:rPr>
          <w:rFonts w:hint="eastAsia"/>
          <w:lang w:val="en-US" w:eastAsia="zh-Hans"/>
        </w:rPr>
        <w:t xml:space="preserve"> </w:t>
      </w:r>
      <w:r>
        <w:rPr>
          <w:rFonts w:hint="eastAsia"/>
          <w:lang w:val="en-US" w:eastAsia="zh-Hans"/>
        </w:rPr>
        <w:t>（估价机构确定）</w:t>
      </w:r>
    </w:p>
    <w:p w14:paraId="70B247CD" w14:textId="19EDFC66" w:rsidR="00A320E6" w:rsidRDefault="00000000" w:rsidP="00AE0286">
      <w:pPr>
        <w:pStyle w:val="a5"/>
        <w:spacing w:line="360" w:lineRule="auto"/>
        <w:ind w:left="0" w:firstLineChars="200" w:firstLine="480"/>
        <w:rPr>
          <w:lang w:val="en-US" w:eastAsia="zh-Hans"/>
        </w:rPr>
      </w:pPr>
      <w:r>
        <w:rPr>
          <w:rFonts w:hint="eastAsia"/>
          <w:lang w:val="en-US" w:eastAsia="zh-Hans"/>
        </w:rPr>
        <w:t>房屋征收部门组织被征收人、公有房屋承租人在5个工作日内，在张贴公示的估价机构名单中协商选定估价机构。</w:t>
      </w:r>
    </w:p>
    <w:p w14:paraId="027968A1" w14:textId="59F88A07" w:rsidR="00A320E6" w:rsidRDefault="00000000" w:rsidP="00AE0286">
      <w:pPr>
        <w:pStyle w:val="a5"/>
        <w:spacing w:line="360" w:lineRule="auto"/>
        <w:ind w:left="0" w:firstLineChars="200" w:firstLine="480"/>
        <w:rPr>
          <w:lang w:val="en-US" w:eastAsia="zh-Hans"/>
        </w:rPr>
      </w:pPr>
      <w:r>
        <w:rPr>
          <w:rFonts w:hint="eastAsia"/>
          <w:lang w:val="en-US" w:eastAsia="zh-Hans"/>
        </w:rPr>
        <w:t>协商不成的，房屋征收部门应当组织被征收人、公有房屋承租人在张贴公示的估价机构名单中进行投票，按照简单多数的原则，以得票数多少的顺位确定估价机构，也可以采取摇号、抽签等随机方式确定估价机构。</w:t>
      </w:r>
    </w:p>
    <w:p w14:paraId="06AFA45C"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房屋征收部门应当将确定的估价机构名单在房屋征收范围内和市估价师协会网站上予以公告。</w:t>
      </w:r>
    </w:p>
    <w:p w14:paraId="1B4115EC"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估价机构的确定，房屋征收部门可以邀请公证机关对估价机构的确定过程和结果进行公证。</w:t>
      </w:r>
    </w:p>
    <w:p w14:paraId="2AF2C78F"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区住房保障房屋管理局在估价机构确定过程中，可以邀请区监察部门、街道办事处等共同监督。</w:t>
      </w:r>
    </w:p>
    <w:p w14:paraId="3EDE7275" w14:textId="3A5060B8"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第十一条</w:t>
      </w:r>
      <w:r w:rsidR="00C36EF7">
        <w:rPr>
          <w:rFonts w:hint="eastAsia"/>
          <w:lang w:val="en-US" w:eastAsia="zh-Hans"/>
        </w:rPr>
        <w:t xml:space="preserve"> </w:t>
      </w:r>
      <w:r>
        <w:rPr>
          <w:rFonts w:hint="eastAsia"/>
          <w:lang w:val="en-US" w:eastAsia="zh-Hans"/>
        </w:rPr>
        <w:t>（禁止行为）</w:t>
      </w:r>
    </w:p>
    <w:p w14:paraId="76D9C8DB"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估价机构不得采取迎合征收当事人不当要求、虚假宣传、恶意低收费等不正当手段承揽房屋征收评估业务。</w:t>
      </w:r>
    </w:p>
    <w:p w14:paraId="1BFB73B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估价机构不得转让或者变相转让受托的房屋征收评估业务。</w:t>
      </w:r>
    </w:p>
    <w:p w14:paraId="3A675C94" w14:textId="2CBB511C" w:rsidR="00A320E6" w:rsidRDefault="00000000" w:rsidP="00431106">
      <w:pPr>
        <w:pStyle w:val="13"/>
        <w:spacing w:before="62" w:after="62"/>
        <w:rPr>
          <w:lang w:eastAsia="zh-Hans"/>
        </w:rPr>
      </w:pPr>
      <w:r>
        <w:rPr>
          <w:rFonts w:hint="eastAsia"/>
          <w:lang w:eastAsia="zh-Hans"/>
        </w:rPr>
        <w:t>第三章</w:t>
      </w:r>
      <w:r w:rsidR="00431106">
        <w:rPr>
          <w:lang w:eastAsia="zh-Hans"/>
        </w:rPr>
        <w:t xml:space="preserve"> </w:t>
      </w:r>
      <w:r>
        <w:rPr>
          <w:rFonts w:hint="eastAsia"/>
          <w:lang w:eastAsia="zh-Hans"/>
        </w:rPr>
        <w:t>评估工作的开展</w:t>
      </w:r>
    </w:p>
    <w:p w14:paraId="2A5767C5" w14:textId="017536C0" w:rsidR="00A320E6" w:rsidRDefault="00977BD5" w:rsidP="00AE0286">
      <w:pPr>
        <w:pStyle w:val="a5"/>
        <w:spacing w:line="360" w:lineRule="auto"/>
        <w:ind w:left="0" w:firstLineChars="200" w:firstLine="482"/>
        <w:rPr>
          <w:lang w:val="en-US" w:eastAsia="zh-Hans"/>
        </w:rPr>
      </w:pPr>
      <w:r w:rsidRPr="00977BD5">
        <w:rPr>
          <w:rFonts w:hint="eastAsia"/>
          <w:b/>
          <w:lang w:val="en-US" w:eastAsia="zh-Hans"/>
        </w:rPr>
        <w:t>第十二条</w:t>
      </w:r>
      <w:r w:rsidR="00C36EF7">
        <w:rPr>
          <w:rFonts w:hint="eastAsia"/>
          <w:lang w:val="en-US" w:eastAsia="zh-Hans"/>
        </w:rPr>
        <w:t xml:space="preserve"> </w:t>
      </w:r>
      <w:r>
        <w:rPr>
          <w:rFonts w:hint="eastAsia"/>
          <w:lang w:val="en-US" w:eastAsia="zh-Hans"/>
        </w:rPr>
        <w:t>（评估委托）</w:t>
      </w:r>
    </w:p>
    <w:p w14:paraId="7634A76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估价机构确定后，由房屋征收部门作为委托人，向估价机构出具房屋征收评估委托书，并与其签订房屋征收评估委托合同。</w:t>
      </w:r>
    </w:p>
    <w:p w14:paraId="5D0765D9" w14:textId="08C22671"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房屋征收评估委托书应当载明委托人的名称、受托估价机构的名称、评估目的、评估对象范围、评估要求以及委托日期等内容。</w:t>
      </w:r>
    </w:p>
    <w:p w14:paraId="7FDB15A9" w14:textId="1B49637E"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房屋征收评估委托合同应当载明下列事项：</w:t>
      </w:r>
    </w:p>
    <w:p w14:paraId="12DB00D0" w14:textId="697A9EB7" w:rsidR="00A320E6" w:rsidRDefault="00000000" w:rsidP="00AE0286">
      <w:pPr>
        <w:pStyle w:val="a5"/>
        <w:spacing w:line="360" w:lineRule="auto"/>
        <w:ind w:left="0" w:firstLineChars="200" w:firstLine="480"/>
        <w:rPr>
          <w:lang w:val="en-US" w:eastAsia="zh-Hans"/>
        </w:rPr>
      </w:pPr>
      <w:r>
        <w:rPr>
          <w:rFonts w:hint="eastAsia"/>
          <w:lang w:val="en-US" w:eastAsia="zh-Hans"/>
        </w:rPr>
        <w:lastRenderedPageBreak/>
        <w:t>（一）委托人和估价机构的基本情况；</w:t>
      </w:r>
    </w:p>
    <w:p w14:paraId="76BAEE52" w14:textId="2027D50C" w:rsidR="00A320E6" w:rsidRDefault="00000000" w:rsidP="00AE0286">
      <w:pPr>
        <w:pStyle w:val="a5"/>
        <w:spacing w:line="360" w:lineRule="auto"/>
        <w:ind w:left="0" w:firstLineChars="200" w:firstLine="480"/>
        <w:rPr>
          <w:lang w:val="en-US" w:eastAsia="zh-Hans"/>
        </w:rPr>
      </w:pPr>
      <w:r>
        <w:rPr>
          <w:rFonts w:hint="eastAsia"/>
          <w:lang w:val="en-US" w:eastAsia="zh-Hans"/>
        </w:rPr>
        <w:t>（二）负责本评估项目的注册房地产估价师；</w:t>
      </w:r>
    </w:p>
    <w:p w14:paraId="7C55B9EB" w14:textId="3324E136" w:rsidR="00A320E6" w:rsidRDefault="00000000" w:rsidP="00AE0286">
      <w:pPr>
        <w:pStyle w:val="a5"/>
        <w:spacing w:line="360" w:lineRule="auto"/>
        <w:ind w:left="0" w:firstLineChars="200" w:firstLine="480"/>
        <w:rPr>
          <w:lang w:val="en-US" w:eastAsia="zh-Hans"/>
        </w:rPr>
      </w:pPr>
      <w:r>
        <w:rPr>
          <w:rFonts w:hint="eastAsia"/>
          <w:lang w:val="en-US" w:eastAsia="zh-Hans"/>
        </w:rPr>
        <w:t>（三）评估目的、评估对象、评估时点等评估基本事项；</w:t>
      </w:r>
    </w:p>
    <w:p w14:paraId="7FCA6F91" w14:textId="28E0A2C5" w:rsidR="00A320E6" w:rsidRDefault="00000000" w:rsidP="00AE0286">
      <w:pPr>
        <w:pStyle w:val="a5"/>
        <w:spacing w:line="360" w:lineRule="auto"/>
        <w:ind w:left="0" w:firstLineChars="200" w:firstLine="480"/>
        <w:rPr>
          <w:lang w:val="en-US" w:eastAsia="zh-Hans"/>
        </w:rPr>
      </w:pPr>
      <w:r>
        <w:rPr>
          <w:rFonts w:hint="eastAsia"/>
          <w:lang w:val="en-US" w:eastAsia="zh-Hans"/>
        </w:rPr>
        <w:t>（四）委托人应当提供的评估所需资料；</w:t>
      </w:r>
    </w:p>
    <w:p w14:paraId="14270FFB" w14:textId="4CD1245A" w:rsidR="00A320E6" w:rsidRDefault="00000000" w:rsidP="00AE0286">
      <w:pPr>
        <w:pStyle w:val="a5"/>
        <w:spacing w:line="360" w:lineRule="auto"/>
        <w:ind w:left="0" w:firstLineChars="200" w:firstLine="480"/>
        <w:rPr>
          <w:lang w:val="en-US" w:eastAsia="zh-Hans"/>
        </w:rPr>
      </w:pPr>
      <w:r>
        <w:rPr>
          <w:rFonts w:hint="eastAsia"/>
          <w:lang w:val="en-US" w:eastAsia="zh-Hans"/>
        </w:rPr>
        <w:t>（五）评估过程中双方的权利和义务；</w:t>
      </w:r>
    </w:p>
    <w:p w14:paraId="399CBEDD" w14:textId="0E6C60CC" w:rsidR="00A320E6" w:rsidRDefault="00000000" w:rsidP="00AE0286">
      <w:pPr>
        <w:pStyle w:val="a5"/>
        <w:spacing w:line="360" w:lineRule="auto"/>
        <w:ind w:left="0" w:firstLineChars="200" w:firstLine="480"/>
        <w:rPr>
          <w:lang w:val="en-US" w:eastAsia="zh-Hans"/>
        </w:rPr>
      </w:pPr>
      <w:r>
        <w:rPr>
          <w:rFonts w:hint="eastAsia"/>
          <w:lang w:val="en-US" w:eastAsia="zh-Hans"/>
        </w:rPr>
        <w:t>（六）评估费用及收取方式；</w:t>
      </w:r>
    </w:p>
    <w:p w14:paraId="4D530458" w14:textId="6ECA2C40" w:rsidR="00A320E6" w:rsidRDefault="00000000" w:rsidP="00AE0286">
      <w:pPr>
        <w:pStyle w:val="a5"/>
        <w:spacing w:line="360" w:lineRule="auto"/>
        <w:ind w:left="0" w:firstLineChars="200" w:firstLine="480"/>
        <w:rPr>
          <w:lang w:val="en-US" w:eastAsia="zh-Hans"/>
        </w:rPr>
      </w:pPr>
      <w:r>
        <w:rPr>
          <w:rFonts w:hint="eastAsia"/>
          <w:lang w:val="en-US" w:eastAsia="zh-Hans"/>
        </w:rPr>
        <w:t>（七）评估报告交付时间、方式；</w:t>
      </w:r>
    </w:p>
    <w:p w14:paraId="04DA7891" w14:textId="5D1091A7" w:rsidR="00A320E6" w:rsidRDefault="00000000" w:rsidP="00AE0286">
      <w:pPr>
        <w:pStyle w:val="a5"/>
        <w:spacing w:line="360" w:lineRule="auto"/>
        <w:ind w:left="0" w:firstLineChars="200" w:firstLine="480"/>
        <w:rPr>
          <w:lang w:val="en-US" w:eastAsia="zh-Hans"/>
        </w:rPr>
      </w:pPr>
      <w:r>
        <w:rPr>
          <w:rFonts w:hint="eastAsia"/>
          <w:lang w:val="en-US" w:eastAsia="zh-Hans"/>
        </w:rPr>
        <w:t>（八）违约责任；</w:t>
      </w:r>
    </w:p>
    <w:p w14:paraId="4C5008EC" w14:textId="5FB09DFD" w:rsidR="00A320E6" w:rsidRDefault="00000000" w:rsidP="00AE0286">
      <w:pPr>
        <w:pStyle w:val="a5"/>
        <w:spacing w:line="360" w:lineRule="auto"/>
        <w:ind w:left="0" w:firstLineChars="200" w:firstLine="480"/>
        <w:rPr>
          <w:lang w:val="en-US" w:eastAsia="zh-Hans"/>
        </w:rPr>
      </w:pPr>
      <w:r>
        <w:rPr>
          <w:rFonts w:hint="eastAsia"/>
          <w:lang w:val="en-US" w:eastAsia="zh-Hans"/>
        </w:rPr>
        <w:t>（九）解决争议的方法；</w:t>
      </w:r>
    </w:p>
    <w:p w14:paraId="3573330E" w14:textId="15A9E973" w:rsidR="00A320E6" w:rsidRDefault="00000000" w:rsidP="00AE0286">
      <w:pPr>
        <w:pStyle w:val="a5"/>
        <w:spacing w:line="360" w:lineRule="auto"/>
        <w:ind w:left="0" w:firstLineChars="200" w:firstLine="480"/>
        <w:rPr>
          <w:lang w:val="en-US" w:eastAsia="zh-Hans"/>
        </w:rPr>
      </w:pPr>
      <w:r>
        <w:rPr>
          <w:rFonts w:hint="eastAsia"/>
          <w:lang w:val="en-US" w:eastAsia="zh-Hans"/>
        </w:rPr>
        <w:t>（十）其他需要载明的事项。</w:t>
      </w:r>
    </w:p>
    <w:p w14:paraId="1F7A7A74" w14:textId="326DA1E4"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第十三条</w:t>
      </w:r>
      <w:r w:rsidR="00C36EF7">
        <w:rPr>
          <w:rFonts w:hint="eastAsia"/>
          <w:lang w:val="en-US" w:eastAsia="zh-Hans"/>
        </w:rPr>
        <w:t xml:space="preserve"> </w:t>
      </w:r>
      <w:r>
        <w:rPr>
          <w:rFonts w:hint="eastAsia"/>
          <w:lang w:val="en-US" w:eastAsia="zh-Hans"/>
        </w:rPr>
        <w:t>（房屋调查结果的提供）</w:t>
      </w:r>
    </w:p>
    <w:p w14:paraId="38B869DD"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前，房屋征收部门应当对房屋征收范围内房屋的权属、区位、用途、建筑面积等情况组织调查登记，明确评估对象。评估对象的设定应当全面、客观，准确、真实。调查结果应当在房屋征收范围内向被征收人、公有房屋承租人公布。</w:t>
      </w:r>
    </w:p>
    <w:p w14:paraId="15C2263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房屋征收部门应当向受托的估价机构提供征收范围内经公布的房屋调查结果，包括已经登记的房屋情况和未经登记建筑物、构筑物的认定、处理结果情况。</w:t>
      </w:r>
    </w:p>
    <w:p w14:paraId="543FF6A6" w14:textId="32E87BC0"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第十四条</w:t>
      </w:r>
      <w:r w:rsidR="00A45A13">
        <w:rPr>
          <w:rFonts w:hint="eastAsia"/>
          <w:lang w:val="en-US" w:eastAsia="zh-Hans"/>
        </w:rPr>
        <w:t xml:space="preserve"> </w:t>
      </w:r>
      <w:r>
        <w:rPr>
          <w:rFonts w:hint="eastAsia"/>
          <w:lang w:val="en-US" w:eastAsia="zh-Hans"/>
        </w:rPr>
        <w:t>（房屋性质、用途和建筑面积认定原则）</w:t>
      </w:r>
    </w:p>
    <w:p w14:paraId="34E617C5" w14:textId="1BE03903" w:rsidR="00A320E6" w:rsidRDefault="00000000" w:rsidP="00AE0286">
      <w:pPr>
        <w:pStyle w:val="a5"/>
        <w:spacing w:line="360" w:lineRule="auto"/>
        <w:ind w:left="0" w:firstLineChars="200" w:firstLine="480"/>
        <w:rPr>
          <w:lang w:val="en-US" w:eastAsia="zh-Hans"/>
        </w:rPr>
      </w:pPr>
      <w:r>
        <w:rPr>
          <w:rFonts w:hint="eastAsia"/>
          <w:lang w:val="en-US" w:eastAsia="zh-Hans"/>
        </w:rPr>
        <w:t>对于已经登记的房屋，其性质、用途和建筑面积，一般以房地产权证书和房地产登记簿的记载为准；房地产权证书与房地产登记簿的记载不一致的，除有证据证明房地产登记簿确有错误外，以房地产登记簿为准。</w:t>
      </w:r>
    </w:p>
    <w:p w14:paraId="7A2AB5C2" w14:textId="03F7EDC7" w:rsidR="00A320E6" w:rsidRDefault="00000000" w:rsidP="00AE0286">
      <w:pPr>
        <w:pStyle w:val="a5"/>
        <w:spacing w:line="360" w:lineRule="auto"/>
        <w:ind w:left="0" w:firstLineChars="200" w:firstLine="480"/>
        <w:rPr>
          <w:lang w:val="en-US" w:eastAsia="zh-Hans"/>
        </w:rPr>
      </w:pPr>
      <w:r>
        <w:rPr>
          <w:rFonts w:hint="eastAsia"/>
          <w:lang w:val="en-US" w:eastAsia="zh-Hans"/>
        </w:rPr>
        <w:t>对于未经登记的建筑物和构筑物，由区人民政府组织有关部门进行调查、认定和处理。</w:t>
      </w:r>
    </w:p>
    <w:p w14:paraId="538BC178" w14:textId="59699BEC" w:rsidR="00A320E6" w:rsidRDefault="00000000" w:rsidP="00AE0286">
      <w:pPr>
        <w:pStyle w:val="a5"/>
        <w:spacing w:line="360" w:lineRule="auto"/>
        <w:ind w:left="0" w:firstLineChars="200" w:firstLine="480"/>
        <w:rPr>
          <w:lang w:val="en-US" w:eastAsia="zh-Hans"/>
        </w:rPr>
      </w:pPr>
      <w:r>
        <w:rPr>
          <w:rFonts w:hint="eastAsia"/>
          <w:lang w:val="en-US" w:eastAsia="zh-Hans"/>
        </w:rPr>
        <w:t>对于落政房屋、公有住房、代管房产等房屋的性质、用途、建筑面积的认定，按照相关规定处理。</w:t>
      </w:r>
    </w:p>
    <w:p w14:paraId="338A0B4F" w14:textId="345255BE"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第十五条</w:t>
      </w:r>
      <w:r w:rsidR="00A45A13">
        <w:rPr>
          <w:rFonts w:hint="eastAsia"/>
          <w:lang w:val="en-US" w:eastAsia="zh-Hans"/>
        </w:rPr>
        <w:t xml:space="preserve"> </w:t>
      </w:r>
      <w:r>
        <w:rPr>
          <w:rFonts w:hint="eastAsia"/>
          <w:lang w:val="en-US" w:eastAsia="zh-Hans"/>
        </w:rPr>
        <w:t>（制定评估工作方案与协调）</w:t>
      </w:r>
    </w:p>
    <w:p w14:paraId="51E0B30F" w14:textId="55B038A8"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房屋征收评估委托合同签订后，估价机构应当制定评估工作方案，并送房屋征收部门备案。</w:t>
      </w:r>
    </w:p>
    <w:p w14:paraId="34422CBA" w14:textId="647A6EAE" w:rsidR="00A320E6" w:rsidRDefault="00000000" w:rsidP="00AE0286">
      <w:pPr>
        <w:pStyle w:val="a5"/>
        <w:spacing w:line="360" w:lineRule="auto"/>
        <w:ind w:left="0" w:firstLineChars="200" w:firstLine="480"/>
        <w:rPr>
          <w:lang w:val="en-US" w:eastAsia="zh-Hans"/>
        </w:rPr>
      </w:pPr>
      <w:r>
        <w:rPr>
          <w:rFonts w:hint="eastAsia"/>
          <w:lang w:val="en-US" w:eastAsia="zh-Hans"/>
        </w:rPr>
        <w:t>同一征收项目由两家或者两家以上估价机构承担的，应当共同协商确定一家估</w:t>
      </w:r>
      <w:r>
        <w:rPr>
          <w:rFonts w:hint="eastAsia"/>
          <w:lang w:val="en-US" w:eastAsia="zh-Hans"/>
        </w:rPr>
        <w:lastRenderedPageBreak/>
        <w:t>价机构为牵头单位；协商不成的，由房屋征收部门指定。牵头单位确定后应当在市估价师协会网站上公告。牵头单位应当组织相关估价机构就评估对象、评估时点、价值内涵、评估依据、评估假设、评估原则、评估技术路线、评估方法、重要参数选取、评估结果确定方式等进行沟通，统一评估标准和评估工作方案。相关估价机构应当按照统一的评估标准和评估工作方案开展评估。</w:t>
      </w:r>
    </w:p>
    <w:p w14:paraId="69BAB316" w14:textId="47F4E765"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第十六条</w:t>
      </w:r>
      <w:r w:rsidR="00A45A13">
        <w:rPr>
          <w:rFonts w:hint="eastAsia"/>
          <w:lang w:val="en-US" w:eastAsia="zh-Hans"/>
        </w:rPr>
        <w:t xml:space="preserve"> </w:t>
      </w:r>
      <w:r>
        <w:rPr>
          <w:rFonts w:hint="eastAsia"/>
          <w:lang w:val="en-US" w:eastAsia="zh-Hans"/>
        </w:rPr>
        <w:t>（现场查勘）</w:t>
      </w:r>
    </w:p>
    <w:p w14:paraId="3A7532D3"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指派与评估项目工作量相适应的足够数量的注册房地产估价师和辅助人员对被征收房屋进行实地查勘，调查被征收房屋状况，拍摄反映被征收房屋内外部状况的照片等影像资料，做好实地查勘记录，并妥善保管。房屋征收部门、被征收人、公有房屋承租人和注册房地产估价师应当在实地查勘记录上签字或者盖章确认。</w:t>
      </w:r>
    </w:p>
    <w:p w14:paraId="3D2BAEB5"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在房屋征收决定公告公布前，对旧城区改建房屋征收范围内同意改建的被征收人、公有房屋承租人，按照前款规定进行实地查勘。</w:t>
      </w:r>
    </w:p>
    <w:p w14:paraId="4FDA185D"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被征收人、公有房屋承租人应当协助注册房地产估价师对被征收房屋进行实地查勘，提供或者协助搜集被征收房屋价值评估所必需的情况和资料。</w:t>
      </w:r>
    </w:p>
    <w:p w14:paraId="7CE593FA"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估价机构应当将指派的注册房地产估价师及辅助人员的名单报市估价师协会备案。</w:t>
      </w:r>
    </w:p>
    <w:p w14:paraId="0E6AE91E" w14:textId="195DF3E5"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第十七条</w:t>
      </w:r>
      <w:r w:rsidR="00A45A13">
        <w:rPr>
          <w:rFonts w:hint="eastAsia"/>
          <w:lang w:val="en-US" w:eastAsia="zh-Hans"/>
        </w:rPr>
        <w:t xml:space="preserve"> </w:t>
      </w:r>
      <w:r>
        <w:rPr>
          <w:rFonts w:hint="eastAsia"/>
          <w:lang w:val="en-US" w:eastAsia="zh-Hans"/>
        </w:rPr>
        <w:t>（不配合评估的处理）</w:t>
      </w:r>
    </w:p>
    <w:p w14:paraId="367DCACA" w14:textId="446268BD"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被征收人、公有房屋承租人拒绝在实地查勘记录上签字或者盖章的，房屋征收部门应当请无利害关系的第三人见证，估价机构应当在评估报告中说明有关情况。</w:t>
      </w:r>
    </w:p>
    <w:p w14:paraId="12D96547"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在房屋征收评估过程中，房屋征收部门或者被征收人、公有房屋承租人不配合、不提供相关资料的，估价机构应当在评估报告中说明有关情况。</w:t>
      </w:r>
    </w:p>
    <w:p w14:paraId="390F099E"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被征收人、公有房屋承租人不提供资料、拒绝估价人员实地查勘，致使房屋评估无法进行的，估价机构可参照被征收房屋同区域、同建筑类型的房屋进行评估。</w:t>
      </w:r>
    </w:p>
    <w:p w14:paraId="10F0CE6A" w14:textId="0E58FE9E"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第十八条</w:t>
      </w:r>
      <w:r w:rsidR="00A45A13">
        <w:rPr>
          <w:rFonts w:hint="eastAsia"/>
          <w:lang w:val="en-US" w:eastAsia="zh-Hans"/>
        </w:rPr>
        <w:t xml:space="preserve"> </w:t>
      </w:r>
      <w:r>
        <w:rPr>
          <w:rFonts w:hint="eastAsia"/>
          <w:lang w:val="en-US" w:eastAsia="zh-Hans"/>
        </w:rPr>
        <w:t>（评估目的）</w:t>
      </w:r>
    </w:p>
    <w:p w14:paraId="012B6E16" w14:textId="072CB2B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被征收房屋价值评估目的应当表述为“为房屋征收部门与被征收人、公有房屋承租人确定被征收房屋价值的补偿提供依据，评估被征收房屋的价值”。</w:t>
      </w:r>
    </w:p>
    <w:p w14:paraId="7A2AF098" w14:textId="58D0DC9D" w:rsidR="00A320E6" w:rsidRDefault="00000000" w:rsidP="00AE0286">
      <w:pPr>
        <w:pStyle w:val="a5"/>
        <w:spacing w:line="360" w:lineRule="auto"/>
        <w:ind w:left="0" w:firstLineChars="200" w:firstLine="480"/>
        <w:rPr>
          <w:lang w:val="en-US" w:eastAsia="zh-Hans"/>
        </w:rPr>
      </w:pPr>
      <w:r>
        <w:rPr>
          <w:rFonts w:hint="eastAsia"/>
          <w:lang w:val="en-US" w:eastAsia="zh-Hans"/>
        </w:rPr>
        <w:t>用于产权调换房屋价值评估目的应当表述为“为房屋征收部门与被征收人、公有房屋承租人计算被征收房屋价值与用于产权调换房屋价值的差价提供依据，评估</w:t>
      </w:r>
      <w:r>
        <w:rPr>
          <w:rFonts w:hint="eastAsia"/>
          <w:lang w:val="en-US" w:eastAsia="zh-Hans"/>
        </w:rPr>
        <w:lastRenderedPageBreak/>
        <w:t>用于产权调换房屋的价值”。</w:t>
      </w:r>
    </w:p>
    <w:p w14:paraId="5C5CF6AC" w14:textId="5FAC4D79"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第十九条</w:t>
      </w:r>
      <w:r w:rsidR="00A45A13">
        <w:rPr>
          <w:rFonts w:hint="eastAsia"/>
          <w:lang w:val="en-US" w:eastAsia="zh-Hans"/>
        </w:rPr>
        <w:t xml:space="preserve"> </w:t>
      </w:r>
      <w:r>
        <w:rPr>
          <w:rFonts w:hint="eastAsia"/>
          <w:lang w:val="en-US" w:eastAsia="zh-Hans"/>
        </w:rPr>
        <w:t>（评估时点）</w:t>
      </w:r>
    </w:p>
    <w:p w14:paraId="757008CF"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被征收房屋价值和用于产权调换房屋价值评估时点为房屋征收决定公告之日。</w:t>
      </w:r>
    </w:p>
    <w:p w14:paraId="660EF5B7" w14:textId="18F6A571"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第二十条</w:t>
      </w:r>
      <w:r w:rsidR="00A45A13">
        <w:rPr>
          <w:rFonts w:hint="eastAsia"/>
          <w:lang w:val="en-US" w:eastAsia="zh-Hans"/>
        </w:rPr>
        <w:t xml:space="preserve"> </w:t>
      </w:r>
      <w:r>
        <w:rPr>
          <w:rFonts w:hint="eastAsia"/>
          <w:lang w:val="en-US" w:eastAsia="zh-Hans"/>
        </w:rPr>
        <w:t>（价值定义）</w:t>
      </w:r>
    </w:p>
    <w:p w14:paraId="66F56BE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被征收房屋价值是指被征收房屋及其占用范围内的土地使用权在正常交易情况下，由熟悉情况的交易双方以公平交易方式在评估时点自愿进行交易的金额，但不考虑被征收房屋租赁、抵押、查封等因素的影响。</w:t>
      </w:r>
    </w:p>
    <w:p w14:paraId="7038A75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前款不考虑租赁因素的影响，是指评估被征收房屋无租约限制的价值；不考虑抵押、查封因素的影响，是指评估价值中不扣除被征收房屋已抵押担保的债权数额、拖欠的建设工程价款和其他法定优先受偿款。</w:t>
      </w:r>
    </w:p>
    <w:p w14:paraId="4878F0E6" w14:textId="2F03BBD1"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第二十一条</w:t>
      </w:r>
      <w:r w:rsidR="00C36EF7">
        <w:rPr>
          <w:rFonts w:hint="eastAsia"/>
          <w:lang w:val="en-US" w:eastAsia="zh-Hans"/>
        </w:rPr>
        <w:t xml:space="preserve"> </w:t>
      </w:r>
      <w:r>
        <w:rPr>
          <w:rFonts w:hint="eastAsia"/>
          <w:lang w:val="en-US" w:eastAsia="zh-Hans"/>
        </w:rPr>
        <w:t>（产权调换房屋价格确定）</w:t>
      </w:r>
    </w:p>
    <w:p w14:paraId="62BE933A" w14:textId="7024FE02" w:rsidR="00A320E6" w:rsidRPr="00431106" w:rsidRDefault="00000000" w:rsidP="00AE0286">
      <w:pPr>
        <w:pStyle w:val="a5"/>
        <w:spacing w:line="360" w:lineRule="auto"/>
        <w:ind w:left="0" w:firstLineChars="200" w:firstLine="480"/>
        <w:rPr>
          <w:lang w:val="en-US" w:eastAsia="zh-Hans"/>
        </w:rPr>
      </w:pPr>
      <w:r>
        <w:rPr>
          <w:rFonts w:hint="eastAsia"/>
          <w:lang w:val="en-US" w:eastAsia="zh-Hans"/>
        </w:rPr>
        <w:t>除本市对用于产权调换房屋价格有特别规定外，应当由按照本规</w:t>
      </w:r>
      <w:r w:rsidRPr="00431106">
        <w:rPr>
          <w:rFonts w:hint="eastAsia"/>
          <w:lang w:val="en-US" w:eastAsia="zh-Hans"/>
        </w:rPr>
        <w:t>定</w:t>
      </w:r>
      <w:r w:rsidR="00977BD5" w:rsidRPr="00431106">
        <w:rPr>
          <w:rFonts w:hint="eastAsia"/>
          <w:lang w:val="en-US" w:eastAsia="zh-Hans"/>
        </w:rPr>
        <w:t>第十条</w:t>
      </w:r>
      <w:r w:rsidRPr="00431106">
        <w:rPr>
          <w:rFonts w:hint="eastAsia"/>
          <w:lang w:val="en-US" w:eastAsia="zh-Hans"/>
        </w:rPr>
        <w:t>规定已确定的估价机构评估确定用于产权调换房屋的市场价值。</w:t>
      </w:r>
    </w:p>
    <w:p w14:paraId="4422F295" w14:textId="12BE8D6A"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第二十二条</w:t>
      </w:r>
      <w:r w:rsidR="00C36EF7">
        <w:rPr>
          <w:rFonts w:hint="eastAsia"/>
          <w:lang w:val="en-US" w:eastAsia="zh-Hans"/>
        </w:rPr>
        <w:t xml:space="preserve"> </w:t>
      </w:r>
      <w:r>
        <w:rPr>
          <w:rFonts w:hint="eastAsia"/>
          <w:lang w:val="en-US" w:eastAsia="zh-Hans"/>
        </w:rPr>
        <w:t>（评估方法）</w:t>
      </w:r>
    </w:p>
    <w:p w14:paraId="0BC1282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注册房地产估价师应当根据评估对象和当地房地产市场状况，对市场法、收益法、成本法、假设开发法等评估方法进行适用性分析后，选用其中一种或者多种方法对被征收房屋价值进行评估。</w:t>
      </w:r>
    </w:p>
    <w:p w14:paraId="0C2E3AD6"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被征收房屋的类似房地产有交易的，应当选用市场法评估；被征收房屋或者其类似房地产有经济收益的，应当选用收益法评估；被征收房屋是在建工程的，应当选用假设开发法评估。</w:t>
      </w:r>
    </w:p>
    <w:p w14:paraId="6493CEF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前款被征收房屋的类似房地产是指与被征收房屋的区位、用途、权利性质、档次、新旧程度、规模、建筑结构、占地面积等相同或者相似的房地产。</w:t>
      </w:r>
    </w:p>
    <w:p w14:paraId="15781F3F" w14:textId="563197E0" w:rsidR="00A320E6" w:rsidRDefault="00000000" w:rsidP="00AE0286">
      <w:pPr>
        <w:pStyle w:val="a5"/>
        <w:spacing w:line="360" w:lineRule="auto"/>
        <w:ind w:left="0" w:firstLineChars="200" w:firstLine="480"/>
        <w:rPr>
          <w:lang w:val="en-US" w:eastAsia="zh-Hans"/>
        </w:rPr>
      </w:pPr>
      <w:r>
        <w:rPr>
          <w:rFonts w:hint="eastAsia"/>
          <w:lang w:val="en-US" w:eastAsia="zh-Hans"/>
        </w:rPr>
        <w:t>被征收房屋类似房地产的市场价格是指被征收房屋的类似房地产在评估时点的平均交易价格。确定被征收房屋类似房地产的市场价格，应当剔除偶然的和不正常的因素。</w:t>
      </w:r>
    </w:p>
    <w:p w14:paraId="3C535FDF" w14:textId="479C3DAC" w:rsidR="00A320E6" w:rsidRDefault="00000000" w:rsidP="00AE0286">
      <w:pPr>
        <w:pStyle w:val="a5"/>
        <w:spacing w:line="360" w:lineRule="auto"/>
        <w:ind w:left="0" w:firstLineChars="200" w:firstLine="480"/>
        <w:rPr>
          <w:lang w:val="en-US" w:eastAsia="zh-Hans"/>
        </w:rPr>
      </w:pPr>
      <w:r>
        <w:rPr>
          <w:rFonts w:hint="eastAsia"/>
          <w:lang w:val="en-US" w:eastAsia="zh-Hans"/>
        </w:rPr>
        <w:t>有条件同时选用两种以上评估方法评估的，应当选用两种以上评估方法评估，并对各种评估方法的测算结果进行校核和比较分析后，合理确定评估结果。</w:t>
      </w:r>
    </w:p>
    <w:p w14:paraId="6591B963" w14:textId="61E464FF"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第二十三条</w:t>
      </w:r>
      <w:r w:rsidR="00C36EF7">
        <w:rPr>
          <w:rFonts w:hint="eastAsia"/>
          <w:lang w:val="en-US" w:eastAsia="zh-Hans"/>
        </w:rPr>
        <w:t xml:space="preserve"> </w:t>
      </w:r>
      <w:r>
        <w:rPr>
          <w:rFonts w:hint="eastAsia"/>
          <w:lang w:val="en-US" w:eastAsia="zh-Hans"/>
        </w:rPr>
        <w:t>（评估考虑因素）</w:t>
      </w:r>
    </w:p>
    <w:p w14:paraId="228200D4"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被征收房屋价值评估应当考虑被征收房屋的区位、用途、建筑结构、新旧程度、建筑面积以及占地面积、土地使用权等影响被征收房屋价值的因素。</w:t>
      </w:r>
    </w:p>
    <w:p w14:paraId="70669423" w14:textId="1B04E871"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第二十四条</w:t>
      </w:r>
      <w:r w:rsidR="00A45A13">
        <w:rPr>
          <w:rFonts w:hint="eastAsia"/>
          <w:lang w:val="en-US" w:eastAsia="zh-Hans"/>
        </w:rPr>
        <w:t xml:space="preserve"> </w:t>
      </w:r>
      <w:r>
        <w:rPr>
          <w:rFonts w:hint="eastAsia"/>
          <w:lang w:val="en-US" w:eastAsia="zh-Hans"/>
        </w:rPr>
        <w:t>（其他补偿的评估）</w:t>
      </w:r>
    </w:p>
    <w:p w14:paraId="2A4DFBBA"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房屋室内装饰装修价值，以及机器设备、物资等搬迁和安装费用等的补偿，由征收当事人协商确定；协商不成的，可以委托估价机构通过评估确定。无法恢复使用设备价值的补偿，以及被征收人、公有房屋承租人认为其停产停业损失补偿超过被征收房屋评估价值10%的，应当委托估价机构通过评估确定。</w:t>
      </w:r>
    </w:p>
    <w:p w14:paraId="0CBECF8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前款需要委托估价机构通过评估确定的，房屋征收部门应当与估价机构签订委托合同。</w:t>
      </w:r>
    </w:p>
    <w:p w14:paraId="0F2C80C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按照本条第二款评估的，估价机构可以出具分项的评估报告，分项评估报告的结果应当纳入评估报告。</w:t>
      </w:r>
    </w:p>
    <w:p w14:paraId="3954389E" w14:textId="4FF6CC65"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第二十五条</w:t>
      </w:r>
      <w:r w:rsidR="00A45A13">
        <w:rPr>
          <w:rFonts w:hint="eastAsia"/>
          <w:lang w:val="en-US" w:eastAsia="zh-Hans"/>
        </w:rPr>
        <w:t xml:space="preserve"> </w:t>
      </w:r>
      <w:r>
        <w:rPr>
          <w:rFonts w:hint="eastAsia"/>
          <w:lang w:val="en-US" w:eastAsia="zh-Hans"/>
        </w:rPr>
        <w:t>（评估结果计价单位）</w:t>
      </w:r>
    </w:p>
    <w:p w14:paraId="6F0CCA54" w14:textId="4A0C2186"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房屋征收评估价值应当以人民币为计价的货币单位，精确到元。</w:t>
      </w:r>
    </w:p>
    <w:p w14:paraId="58BAFCEA" w14:textId="4E6EDB8F"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第二十六条</w:t>
      </w:r>
      <w:r w:rsidR="00A45A13">
        <w:rPr>
          <w:rFonts w:hint="eastAsia"/>
          <w:lang w:val="en-US" w:eastAsia="zh-Hans"/>
        </w:rPr>
        <w:t xml:space="preserve"> </w:t>
      </w:r>
      <w:r>
        <w:rPr>
          <w:rFonts w:hint="eastAsia"/>
          <w:lang w:val="en-US" w:eastAsia="zh-Hans"/>
        </w:rPr>
        <w:t>（评估技术标准）</w:t>
      </w:r>
    </w:p>
    <w:p w14:paraId="1885755A" w14:textId="0DE9DA8A"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估价机构应当按照《房地产估价规范》及本市国有土地上房屋征收评估技术规范的有关规定，进行房屋征收评估。</w:t>
      </w:r>
    </w:p>
    <w:p w14:paraId="52F3B717" w14:textId="5F718E96"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第二十七条</w:t>
      </w:r>
      <w:r w:rsidR="00A45A13">
        <w:rPr>
          <w:rFonts w:hint="eastAsia"/>
          <w:lang w:val="en-US" w:eastAsia="zh-Hans"/>
        </w:rPr>
        <w:t xml:space="preserve"> </w:t>
      </w:r>
      <w:r>
        <w:rPr>
          <w:rFonts w:hint="eastAsia"/>
          <w:lang w:val="en-US" w:eastAsia="zh-Hans"/>
        </w:rPr>
        <w:t>（评估成果用途）</w:t>
      </w:r>
    </w:p>
    <w:p w14:paraId="6AC3CC70"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房屋征收评估报告只作为房屋征收补偿的依据，不得用作其他用途。</w:t>
      </w:r>
    </w:p>
    <w:p w14:paraId="7486D1C8" w14:textId="63B074CD" w:rsidR="00A320E6" w:rsidRDefault="00000000" w:rsidP="00431106">
      <w:pPr>
        <w:pStyle w:val="13"/>
        <w:spacing w:before="62" w:after="62"/>
        <w:rPr>
          <w:lang w:eastAsia="zh-Hans"/>
        </w:rPr>
      </w:pPr>
      <w:r>
        <w:rPr>
          <w:rFonts w:hint="eastAsia"/>
          <w:lang w:eastAsia="zh-Hans"/>
        </w:rPr>
        <w:t>第四章</w:t>
      </w:r>
      <w:r w:rsidR="00431106">
        <w:rPr>
          <w:lang w:eastAsia="zh-Hans"/>
        </w:rPr>
        <w:t xml:space="preserve"> </w:t>
      </w:r>
      <w:r>
        <w:rPr>
          <w:rFonts w:hint="eastAsia"/>
          <w:lang w:eastAsia="zh-Hans"/>
        </w:rPr>
        <w:t>评估报告和异议处理</w:t>
      </w:r>
    </w:p>
    <w:p w14:paraId="732AD17A" w14:textId="22780203"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第二十八条</w:t>
      </w:r>
      <w:r w:rsidR="00A45A13">
        <w:rPr>
          <w:rFonts w:hint="eastAsia"/>
          <w:lang w:val="en-US" w:eastAsia="zh-Hans"/>
        </w:rPr>
        <w:t xml:space="preserve"> </w:t>
      </w:r>
      <w:r>
        <w:rPr>
          <w:rFonts w:hint="eastAsia"/>
          <w:lang w:val="en-US" w:eastAsia="zh-Hans"/>
        </w:rPr>
        <w:t>（公示及咨询）</w:t>
      </w:r>
    </w:p>
    <w:p w14:paraId="4CB31DD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按照委托合同的约定，向房屋征收部门提供分户的初步评估结果。分户的初步评估结果应当包括评估对象的构成及其基本情况和评估价值。房屋征收部门应当将分户的初步评估结果在征收范围内向被征收人、公有房屋承租人公示，公示时间不少于7日。</w:t>
      </w:r>
    </w:p>
    <w:p w14:paraId="0E8CD04C"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公示期间，估价机构应当安排注册房地产估价师对分户的初步评估结果现场解释。存在错误的，估价机构应当修正。</w:t>
      </w:r>
    </w:p>
    <w:p w14:paraId="4B1FAB81" w14:textId="63D93768"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第二十九条</w:t>
      </w:r>
      <w:r w:rsidR="00A45A13">
        <w:rPr>
          <w:rFonts w:hint="eastAsia"/>
          <w:lang w:val="en-US" w:eastAsia="zh-Hans"/>
        </w:rPr>
        <w:t xml:space="preserve"> </w:t>
      </w:r>
      <w:r>
        <w:rPr>
          <w:rFonts w:hint="eastAsia"/>
          <w:lang w:val="en-US" w:eastAsia="zh-Hans"/>
        </w:rPr>
        <w:t>（评估报告）</w:t>
      </w:r>
    </w:p>
    <w:p w14:paraId="1903610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分户初步评估结果公示期满后，估价机构应当向房屋征收部门提供委托评估范围内被征收房屋的整体评估报告和分户评估报告。房屋征收部门应当向被征收人、公有房屋承租人转交分户评估报告。</w:t>
      </w:r>
    </w:p>
    <w:p w14:paraId="31AE62B3"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分户的初步评估结果、整体评估报告和分户评估报告应当由负责房屋征收评估项目的两名以上注册房地产估价师签字，并加盖估价机构公章。不得以印章代替签字。</w:t>
      </w:r>
    </w:p>
    <w:p w14:paraId="0A0D2AFF"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被征收人、公有房屋承租人或者房屋征收部门对评估报告有疑问的，出具评估报告的估价机构应当向其作出解释和说明。</w:t>
      </w:r>
    </w:p>
    <w:p w14:paraId="3637346E" w14:textId="1F2F8991"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第三十条</w:t>
      </w:r>
      <w:r w:rsidR="00A45A13">
        <w:rPr>
          <w:rFonts w:hint="eastAsia"/>
          <w:lang w:val="en-US" w:eastAsia="zh-Hans"/>
        </w:rPr>
        <w:t xml:space="preserve"> </w:t>
      </w:r>
      <w:r>
        <w:rPr>
          <w:rFonts w:hint="eastAsia"/>
          <w:lang w:val="en-US" w:eastAsia="zh-Hans"/>
        </w:rPr>
        <w:t>（报告备案与资料归档）</w:t>
      </w:r>
    </w:p>
    <w:p w14:paraId="7EE337D9" w14:textId="7DBD5205" w:rsidR="00A320E6" w:rsidRDefault="00000000" w:rsidP="00AE0286">
      <w:pPr>
        <w:pStyle w:val="a5"/>
        <w:spacing w:line="360" w:lineRule="auto"/>
        <w:ind w:left="0" w:firstLineChars="200" w:firstLine="480"/>
        <w:rPr>
          <w:lang w:val="en-US" w:eastAsia="zh-Hans"/>
        </w:rPr>
      </w:pPr>
      <w:r>
        <w:rPr>
          <w:rFonts w:hint="eastAsia"/>
          <w:lang w:val="en-US" w:eastAsia="zh-Hans"/>
        </w:rPr>
        <w:t>本市逐步实行评估报告网上备案，并纳入房地产市场信息系统。评估报告备案管理办法另行制定。</w:t>
      </w:r>
    </w:p>
    <w:p w14:paraId="6DE28281"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房屋征收评估业务完成后，估价机构应当将评估报告及相关资料立卷、归档保管。</w:t>
      </w:r>
    </w:p>
    <w:p w14:paraId="25B586AD" w14:textId="63007B8E"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第三十一条</w:t>
      </w:r>
      <w:r w:rsidR="00C36EF7">
        <w:rPr>
          <w:rFonts w:hint="eastAsia"/>
          <w:lang w:val="en-US" w:eastAsia="zh-Hans"/>
        </w:rPr>
        <w:t xml:space="preserve"> </w:t>
      </w:r>
      <w:r>
        <w:rPr>
          <w:rFonts w:hint="eastAsia"/>
          <w:lang w:val="en-US" w:eastAsia="zh-Hans"/>
        </w:rPr>
        <w:t>（复核评估与鉴定申请）</w:t>
      </w:r>
    </w:p>
    <w:p w14:paraId="3FFC5F68" w14:textId="2490EC9A"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被征收人、公有房屋承租人或者房屋征收部门对评估结果有异议的，应当自收到评估报告之日起10日内，向出具评估报告的估价机构提出书面复核评估申请，并指出评估报告存在的问题。</w:t>
      </w:r>
    </w:p>
    <w:p w14:paraId="4FE4FA56" w14:textId="66D186A4" w:rsidR="00A320E6" w:rsidRDefault="00000000" w:rsidP="00AE0286">
      <w:pPr>
        <w:pStyle w:val="a5"/>
        <w:spacing w:line="360" w:lineRule="auto"/>
        <w:ind w:left="0" w:firstLineChars="200" w:firstLine="480"/>
        <w:rPr>
          <w:lang w:val="en-US" w:eastAsia="zh-Hans"/>
        </w:rPr>
      </w:pPr>
      <w:r>
        <w:rPr>
          <w:rFonts w:hint="eastAsia"/>
          <w:lang w:val="en-US" w:eastAsia="zh-Hans"/>
        </w:rPr>
        <w:t>估价机构应当自收到书面复核评估申请之日起10日内对评估结果进行复核。复核后，改变原评估结果的，应当收回原评估报告，重新出具评估报告；评估结果没有改变的，应当书面告知复核评估申请人。</w:t>
      </w:r>
    </w:p>
    <w:p w14:paraId="1E64A21E"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被征收人、公有房屋承租人或者房屋征收部门对估价机构的复核结果有异议的，应当自收到复核结果之日起10日内，向估价专家委员会申请鉴定。</w:t>
      </w:r>
    </w:p>
    <w:p w14:paraId="15AC0974"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部门在报请区人民政府作出补偿决定前，应当征询被征收人、公有房屋承租人对评估报告或者复核结果是否有异议；有异议的，房屋征收部门应当向估价专家委员会申请鉴定，并将鉴定结果作为报请的材料。</w:t>
      </w:r>
    </w:p>
    <w:p w14:paraId="03F3759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区人民政府在申请人民法院强制执行前，评估报告或者复核结果未经估价专家委员会鉴定的，房屋征收部门应当向估价专家委员会申请鉴定，并将鉴定结果作为申请的依据。</w:t>
      </w:r>
    </w:p>
    <w:p w14:paraId="2DF30284" w14:textId="6259BB89"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第三十二条</w:t>
      </w:r>
      <w:r w:rsidR="00C36EF7">
        <w:rPr>
          <w:rFonts w:hint="eastAsia"/>
          <w:lang w:val="en-US" w:eastAsia="zh-Hans"/>
        </w:rPr>
        <w:t xml:space="preserve"> </w:t>
      </w:r>
      <w:r>
        <w:rPr>
          <w:rFonts w:hint="eastAsia"/>
          <w:lang w:val="en-US" w:eastAsia="zh-Hans"/>
        </w:rPr>
        <w:t>（专家鉴定）</w:t>
      </w:r>
    </w:p>
    <w:p w14:paraId="5EB44191"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估价专家委员会应当选派专家组成专家组进行鉴定。专家组成员为3人以上单数，其中房地产估价师不得少于二分之一。</w:t>
      </w:r>
    </w:p>
    <w:p w14:paraId="444439AF"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专家委员会应当自收到鉴定申请之日起10日内，对申请鉴定评估报告的评估程序、评估依据、评估假设、评估技术路线、评估方法选用、参数选取、评估结果确定方式等评估技术问题进行审核，出具书面鉴定意见。</w:t>
      </w:r>
    </w:p>
    <w:p w14:paraId="0865B888" w14:textId="0F273259" w:rsidR="00A320E6" w:rsidRDefault="00000000" w:rsidP="00AE0286">
      <w:pPr>
        <w:pStyle w:val="a5"/>
        <w:spacing w:line="360" w:lineRule="auto"/>
        <w:ind w:left="0" w:firstLineChars="200" w:firstLine="480"/>
        <w:rPr>
          <w:lang w:val="en-US" w:eastAsia="zh-Hans"/>
        </w:rPr>
      </w:pPr>
      <w:r>
        <w:rPr>
          <w:rFonts w:hint="eastAsia"/>
          <w:lang w:val="en-US" w:eastAsia="zh-Hans"/>
        </w:rPr>
        <w:t>经估价专家委员会鉴定，评估报告合法、规范、合理的，应当维持评估报告；评估报告存在不合法或者不规范或者不合理的，出具评估报告的估价机构应当改正，重新出具评估报告。</w:t>
      </w:r>
    </w:p>
    <w:p w14:paraId="4164F799" w14:textId="6DC341F7"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第三十三条</w:t>
      </w:r>
      <w:r w:rsidR="00C36EF7">
        <w:rPr>
          <w:rFonts w:hint="eastAsia"/>
          <w:lang w:val="en-US" w:eastAsia="zh-Hans"/>
        </w:rPr>
        <w:t xml:space="preserve"> </w:t>
      </w:r>
      <w:r>
        <w:rPr>
          <w:rFonts w:hint="eastAsia"/>
          <w:lang w:val="en-US" w:eastAsia="zh-Hans"/>
        </w:rPr>
        <w:t>（协助鉴定）</w:t>
      </w:r>
    </w:p>
    <w:p w14:paraId="597B7947"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房屋征收评估鉴定过程中，估价机构应当按照估价专家委员会要求，及时提交评估报告及相关材料，并就鉴定涉及的评估相关事宜进行说明。需要对被征收房屋进行实地查勘和调查的，有关单位和个人应当协助。</w:t>
      </w:r>
    </w:p>
    <w:p w14:paraId="70E88AAE" w14:textId="76C6A56D"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第三十四条</w:t>
      </w:r>
      <w:r w:rsidR="00A45A13">
        <w:rPr>
          <w:rFonts w:hint="eastAsia"/>
          <w:lang w:val="en-US" w:eastAsia="zh-Hans"/>
        </w:rPr>
        <w:t xml:space="preserve"> </w:t>
      </w:r>
      <w:r>
        <w:rPr>
          <w:rFonts w:hint="eastAsia"/>
          <w:lang w:val="en-US" w:eastAsia="zh-Hans"/>
        </w:rPr>
        <w:t>（评估和鉴定收费）</w:t>
      </w:r>
    </w:p>
    <w:p w14:paraId="241D3903" w14:textId="3DC53AD0"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房屋征收评估费用由委托人承担。复核评估不收费。</w:t>
      </w:r>
    </w:p>
    <w:p w14:paraId="1020EF0D" w14:textId="526E0CE9" w:rsidR="00A320E6" w:rsidRDefault="00000000" w:rsidP="00AE0286">
      <w:pPr>
        <w:pStyle w:val="a5"/>
        <w:spacing w:line="360" w:lineRule="auto"/>
        <w:ind w:left="0" w:firstLineChars="200" w:firstLine="480"/>
        <w:rPr>
          <w:lang w:val="en-US" w:eastAsia="zh-Hans"/>
        </w:rPr>
      </w:pPr>
      <w:r>
        <w:rPr>
          <w:rFonts w:hint="eastAsia"/>
          <w:lang w:val="en-US" w:eastAsia="zh-Hans"/>
        </w:rPr>
        <w:t>鉴定费用由申请人承担。但鉴定改变原评估结果的，鉴定费用由估价机构承担。</w:t>
      </w:r>
    </w:p>
    <w:p w14:paraId="5A7F79B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评估、鉴定费用；房屋室内装饰装修价值，机器设备、物资等搬迁与安装费用，无法恢复使用设备价值，停产停业损失等补偿的评估费用，以及房屋征收预评估、其他目的评估与咨询等评估费用或者咨询费用，由委托人与估价机构协商确定。</w:t>
      </w:r>
    </w:p>
    <w:p w14:paraId="676D8A4B"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对征收决定终止执行的项目，应当按照评估委托合同，费用按实结算。</w:t>
      </w:r>
    </w:p>
    <w:p w14:paraId="705F4226" w14:textId="7FE30F0C" w:rsidR="00A320E6" w:rsidRDefault="00000000" w:rsidP="00431106">
      <w:pPr>
        <w:pStyle w:val="13"/>
        <w:spacing w:before="62" w:after="62"/>
        <w:rPr>
          <w:lang w:eastAsia="zh-Hans"/>
        </w:rPr>
      </w:pPr>
      <w:r>
        <w:rPr>
          <w:rFonts w:hint="eastAsia"/>
          <w:lang w:eastAsia="zh-Hans"/>
        </w:rPr>
        <w:t>第五章</w:t>
      </w:r>
      <w:r w:rsidR="00431106">
        <w:rPr>
          <w:rFonts w:hint="eastAsia"/>
        </w:rPr>
        <w:t xml:space="preserve"> </w:t>
      </w:r>
      <w:r>
        <w:rPr>
          <w:rFonts w:hint="eastAsia"/>
          <w:lang w:eastAsia="zh-Hans"/>
        </w:rPr>
        <w:t>其他目的的评估和咨询</w:t>
      </w:r>
    </w:p>
    <w:p w14:paraId="1179A305" w14:textId="62F22E32"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第三十五条</w:t>
      </w:r>
      <w:r w:rsidR="00A45A13">
        <w:rPr>
          <w:rFonts w:hint="eastAsia"/>
          <w:lang w:val="en-US" w:eastAsia="zh-Hans"/>
        </w:rPr>
        <w:t xml:space="preserve"> </w:t>
      </w:r>
      <w:r>
        <w:rPr>
          <w:rFonts w:hint="eastAsia"/>
          <w:lang w:val="en-US" w:eastAsia="zh-Hans"/>
        </w:rPr>
        <w:t>（房屋征收预评估）</w:t>
      </w:r>
    </w:p>
    <w:p w14:paraId="026FA9FF"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房屋征收决定作出前，相关部门可以委托估价机构开展房屋征收预评估。房屋征收预评估包括：拟征收范围内的人员及被征收房屋基本情况摸底调查，预估被征收房屋市场价值、产权调换房屋价值等。</w:t>
      </w:r>
    </w:p>
    <w:p w14:paraId="10D95170" w14:textId="78562BCF" w:rsidR="00A320E6" w:rsidRDefault="00000000" w:rsidP="00AE0286">
      <w:pPr>
        <w:pStyle w:val="a5"/>
        <w:spacing w:line="360" w:lineRule="auto"/>
        <w:ind w:left="0" w:firstLineChars="200" w:firstLine="480"/>
        <w:rPr>
          <w:lang w:val="en-US" w:eastAsia="zh-Hans"/>
        </w:rPr>
      </w:pPr>
      <w:r>
        <w:rPr>
          <w:rFonts w:hint="eastAsia"/>
          <w:lang w:val="en-US" w:eastAsia="zh-Hans"/>
        </w:rPr>
        <w:t>房屋征收预评估中的被征收房屋摸底调查不能替代本规定</w:t>
      </w:r>
      <w:r w:rsidR="00EC0B72" w:rsidRPr="00431106">
        <w:rPr>
          <w:rFonts w:hint="eastAsia"/>
          <w:bCs/>
          <w:lang w:val="en-US" w:eastAsia="zh-Hans"/>
        </w:rPr>
        <w:t>第十三条</w:t>
      </w:r>
      <w:r>
        <w:rPr>
          <w:rFonts w:hint="eastAsia"/>
          <w:lang w:val="en-US" w:eastAsia="zh-Hans"/>
        </w:rPr>
        <w:t>第一款房屋调查登记工作；预评估报告不能替代被征收房屋的分户初步评估报告、整体评估报告和分户报告。</w:t>
      </w:r>
    </w:p>
    <w:p w14:paraId="7C15F932" w14:textId="33D9E2C6" w:rsidR="00A320E6" w:rsidRDefault="00000000" w:rsidP="00AE0286">
      <w:pPr>
        <w:pStyle w:val="a5"/>
        <w:spacing w:line="360" w:lineRule="auto"/>
        <w:ind w:left="0" w:firstLineChars="200" w:firstLine="480"/>
        <w:rPr>
          <w:lang w:val="en-US" w:eastAsia="zh-Hans"/>
        </w:rPr>
      </w:pPr>
      <w:r>
        <w:rPr>
          <w:rFonts w:hint="eastAsia"/>
          <w:lang w:val="en-US" w:eastAsia="zh-Hans"/>
        </w:rPr>
        <w:t> </w:t>
      </w:r>
      <w:r w:rsidR="00EC0B72" w:rsidRPr="00EC0B72">
        <w:rPr>
          <w:rFonts w:hint="eastAsia"/>
          <w:b/>
          <w:lang w:val="en-US" w:eastAsia="zh-Hans"/>
        </w:rPr>
        <w:t>第三十六条</w:t>
      </w:r>
      <w:r w:rsidR="00A45A13">
        <w:rPr>
          <w:rFonts w:hint="eastAsia"/>
          <w:lang w:val="en-US" w:eastAsia="zh-Hans"/>
        </w:rPr>
        <w:t xml:space="preserve"> </w:t>
      </w:r>
      <w:r>
        <w:rPr>
          <w:rFonts w:hint="eastAsia"/>
          <w:lang w:val="en-US" w:eastAsia="zh-Hans"/>
        </w:rPr>
        <w:t>（其他目的评估与咨询）</w:t>
      </w:r>
    </w:p>
    <w:p w14:paraId="7205FD41"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估价机构可以接受房屋征收部门和其他相关部门的委托，进行房屋调查登记、开展区片类似房地产市场价格评估、参与社会稳定风险评估以及房屋征收核实等工作。</w:t>
      </w:r>
    </w:p>
    <w:p w14:paraId="6AD19DD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估价机构可运用计算机信息系统，结合评估项目实际，使用批量评估技术进行区片类似房地产市场价格评估和房产税税基评估。 </w:t>
      </w:r>
    </w:p>
    <w:p w14:paraId="06A08132"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第六章法律责任</w:t>
      </w:r>
    </w:p>
    <w:p w14:paraId="56891109" w14:textId="1CDB9E56"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第三十七条</w:t>
      </w:r>
      <w:r w:rsidR="00A45A13">
        <w:rPr>
          <w:rFonts w:hint="eastAsia"/>
          <w:lang w:val="en-US" w:eastAsia="zh-Hans"/>
        </w:rPr>
        <w:t xml:space="preserve"> </w:t>
      </w:r>
      <w:r>
        <w:rPr>
          <w:rFonts w:hint="eastAsia"/>
          <w:lang w:val="en-US" w:eastAsia="zh-Hans"/>
        </w:rPr>
        <w:t>（估价机构的责任）</w:t>
      </w:r>
    </w:p>
    <w:p w14:paraId="635F771C"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估价机构或者注册房地产估价师出具虚假或者有重大差错的评估报告的，由发证机关责令限期改正，给予警告，对估价机构并处5万元以上20万元以下罚款，对注册房地产估价师并处1万元以上3万元以下罚款，并记入信用档案；情节严重的，吊销资质证书、注册证书；造成损失的，依法承担赔偿责任；构成犯罪的，依法追究刑事责任。</w:t>
      </w:r>
    </w:p>
    <w:p w14:paraId="60695C24" w14:textId="3055FFB7"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第三十八条</w:t>
      </w:r>
      <w:r w:rsidR="00A45A13">
        <w:rPr>
          <w:rFonts w:hint="eastAsia"/>
          <w:lang w:val="en-US" w:eastAsia="zh-Hans"/>
        </w:rPr>
        <w:t xml:space="preserve"> </w:t>
      </w:r>
      <w:r>
        <w:rPr>
          <w:rFonts w:hint="eastAsia"/>
          <w:lang w:val="en-US" w:eastAsia="zh-Hans"/>
        </w:rPr>
        <w:t>（其他违法违规行为）</w:t>
      </w:r>
    </w:p>
    <w:p w14:paraId="4500AB4B" w14:textId="6E3FEB57" w:rsidR="00A320E6" w:rsidRDefault="00000000" w:rsidP="00AE0286">
      <w:pPr>
        <w:pStyle w:val="a5"/>
        <w:spacing w:line="360" w:lineRule="auto"/>
        <w:ind w:left="0" w:firstLineChars="200" w:firstLine="480"/>
        <w:rPr>
          <w:lang w:val="en-US" w:eastAsia="zh-Hans"/>
        </w:rPr>
      </w:pPr>
      <w:r>
        <w:rPr>
          <w:rFonts w:hint="eastAsia"/>
          <w:lang w:val="en-US" w:eastAsia="zh-Hans"/>
        </w:rPr>
        <w:t>估价机构或者注册房地产估价师有下列行为之一的，按照《国有土地上房屋征收与补偿条例》、《房地产估价机构管理办法》、《注册房地产估价师管理办法》规定处罚：</w:t>
      </w:r>
    </w:p>
    <w:p w14:paraId="45B82A65" w14:textId="25345CF9" w:rsidR="00A320E6" w:rsidRDefault="00000000" w:rsidP="00AE0286">
      <w:pPr>
        <w:pStyle w:val="a5"/>
        <w:spacing w:line="360" w:lineRule="auto"/>
        <w:ind w:left="0" w:firstLineChars="200" w:firstLine="480"/>
        <w:rPr>
          <w:lang w:val="en-US" w:eastAsia="zh-Hans"/>
        </w:rPr>
      </w:pPr>
      <w:r>
        <w:rPr>
          <w:rFonts w:hint="eastAsia"/>
          <w:lang w:val="en-US" w:eastAsia="zh-Hans"/>
        </w:rPr>
        <w:t>（一）转让或者变相转让受托的房屋征收评估业务的；</w:t>
      </w:r>
    </w:p>
    <w:p w14:paraId="453F4FD7" w14:textId="64DF7361" w:rsidR="00A320E6" w:rsidRDefault="00000000" w:rsidP="00AE0286">
      <w:pPr>
        <w:pStyle w:val="a5"/>
        <w:spacing w:line="360" w:lineRule="auto"/>
        <w:ind w:left="0" w:firstLineChars="200" w:firstLine="480"/>
        <w:rPr>
          <w:lang w:val="en-US" w:eastAsia="zh-Hans"/>
        </w:rPr>
      </w:pPr>
      <w:r>
        <w:rPr>
          <w:rFonts w:hint="eastAsia"/>
          <w:lang w:val="en-US" w:eastAsia="zh-Hans"/>
        </w:rPr>
        <w:t>（二）分户的初步评估结果、整体评估报告和分户评估报告存在未经两名以上注册房地产估价师签字、未加盖估价机构公章、以印章代替签字等违反规定的；</w:t>
      </w:r>
    </w:p>
    <w:p w14:paraId="28E6BB35" w14:textId="6B5A2F8B" w:rsidR="00A320E6" w:rsidRDefault="00000000" w:rsidP="00AE0286">
      <w:pPr>
        <w:pStyle w:val="a5"/>
        <w:spacing w:line="360" w:lineRule="auto"/>
        <w:ind w:left="0" w:firstLineChars="200" w:firstLine="480"/>
        <w:rPr>
          <w:lang w:val="en-US" w:eastAsia="zh-Hans"/>
        </w:rPr>
      </w:pPr>
      <w:r>
        <w:rPr>
          <w:rFonts w:hint="eastAsia"/>
          <w:lang w:val="en-US" w:eastAsia="zh-Hans"/>
        </w:rPr>
        <w:t>（三）违反房地产估价规范的；</w:t>
      </w:r>
    </w:p>
    <w:p w14:paraId="36A89A66" w14:textId="7DDEE97E" w:rsidR="00A320E6" w:rsidRDefault="00000000" w:rsidP="00AE0286">
      <w:pPr>
        <w:pStyle w:val="a5"/>
        <w:spacing w:line="360" w:lineRule="auto"/>
        <w:ind w:left="0" w:firstLineChars="200" w:firstLine="480"/>
        <w:rPr>
          <w:lang w:val="en-US" w:eastAsia="zh-Hans"/>
        </w:rPr>
      </w:pPr>
      <w:r>
        <w:rPr>
          <w:rFonts w:hint="eastAsia"/>
          <w:lang w:val="en-US" w:eastAsia="zh-Hans"/>
        </w:rPr>
        <w:t>（四）采取迎合征收当事人不当要求、虚假宣传、恶意低收费等不正当手段承揽房屋征收评估业务的；</w:t>
      </w:r>
    </w:p>
    <w:p w14:paraId="7D381318" w14:textId="6BB08CAB" w:rsidR="00A320E6" w:rsidRDefault="00000000" w:rsidP="00AE0286">
      <w:pPr>
        <w:pStyle w:val="a5"/>
        <w:spacing w:line="360" w:lineRule="auto"/>
        <w:ind w:left="0" w:firstLineChars="200" w:firstLine="480"/>
        <w:rPr>
          <w:lang w:val="en-US" w:eastAsia="zh-Hans"/>
        </w:rPr>
      </w:pPr>
      <w:r>
        <w:rPr>
          <w:rFonts w:hint="eastAsia"/>
          <w:lang w:val="en-US" w:eastAsia="zh-Hans"/>
        </w:rPr>
        <w:t>（五）除法律、法规另有规定外，未经委托人书面同意，对外提供评估活动中获知的当事人的商业秘密和业务资料的；</w:t>
      </w:r>
    </w:p>
    <w:p w14:paraId="6B4169F7" w14:textId="6F116CBC" w:rsidR="00A320E6" w:rsidRDefault="00000000" w:rsidP="00AE0286">
      <w:pPr>
        <w:pStyle w:val="a5"/>
        <w:spacing w:line="360" w:lineRule="auto"/>
        <w:ind w:left="0" w:firstLineChars="200" w:firstLine="480"/>
        <w:rPr>
          <w:lang w:val="en-US" w:eastAsia="zh-Hans"/>
        </w:rPr>
      </w:pPr>
      <w:r>
        <w:rPr>
          <w:rFonts w:hint="eastAsia"/>
          <w:lang w:val="en-US" w:eastAsia="zh-Hans"/>
        </w:rPr>
        <w:t>（六）在房屋征收评估过程中，索贿、受贿或者谋取合同约定费用外其他利益的；</w:t>
      </w:r>
    </w:p>
    <w:p w14:paraId="478B1873" w14:textId="0A8568CD" w:rsidR="00A320E6" w:rsidRDefault="00000000" w:rsidP="00AE0286">
      <w:pPr>
        <w:pStyle w:val="a5"/>
        <w:spacing w:line="360" w:lineRule="auto"/>
        <w:ind w:left="0" w:firstLineChars="200" w:firstLine="480"/>
        <w:rPr>
          <w:lang w:val="en-US" w:eastAsia="zh-Hans"/>
        </w:rPr>
      </w:pPr>
      <w:r>
        <w:rPr>
          <w:rFonts w:hint="eastAsia"/>
          <w:lang w:val="en-US" w:eastAsia="zh-Hans"/>
        </w:rPr>
        <w:t>（七）法律、法规、规章禁止的其他行为。</w:t>
      </w:r>
    </w:p>
    <w:p w14:paraId="3E35C706" w14:textId="3B1247BB" w:rsidR="00A320E6" w:rsidRDefault="00000000" w:rsidP="00431106">
      <w:pPr>
        <w:pStyle w:val="13"/>
        <w:spacing w:before="62" w:after="62"/>
        <w:rPr>
          <w:lang w:eastAsia="zh-Hans"/>
        </w:rPr>
      </w:pPr>
      <w:r>
        <w:rPr>
          <w:rFonts w:hint="eastAsia"/>
          <w:lang w:eastAsia="zh-Hans"/>
        </w:rPr>
        <w:t>第七章</w:t>
      </w:r>
      <w:r w:rsidR="00431106">
        <w:rPr>
          <w:rFonts w:hint="eastAsia"/>
        </w:rPr>
        <w:t xml:space="preserve"> </w:t>
      </w:r>
      <w:r>
        <w:rPr>
          <w:rFonts w:hint="eastAsia"/>
          <w:lang w:eastAsia="zh-Hans"/>
        </w:rPr>
        <w:t>附则</w:t>
      </w:r>
    </w:p>
    <w:p w14:paraId="30210374" w14:textId="1D186175"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第三十九条</w:t>
      </w:r>
      <w:r w:rsidR="00A45A13">
        <w:rPr>
          <w:rFonts w:hint="eastAsia"/>
          <w:lang w:val="en-US" w:eastAsia="zh-Hans"/>
        </w:rPr>
        <w:t xml:space="preserve"> </w:t>
      </w:r>
      <w:r>
        <w:rPr>
          <w:rFonts w:hint="eastAsia"/>
          <w:lang w:val="en-US" w:eastAsia="zh-Hans"/>
        </w:rPr>
        <w:t>（交易登记资料查阅）</w:t>
      </w:r>
    </w:p>
    <w:p w14:paraId="7D8E3D8C" w14:textId="4B5F83C5" w:rsidR="00A320E6" w:rsidRDefault="00000000" w:rsidP="00AE0286">
      <w:pPr>
        <w:pStyle w:val="a5"/>
        <w:spacing w:line="360" w:lineRule="auto"/>
        <w:ind w:left="0" w:firstLineChars="200" w:firstLine="480"/>
        <w:rPr>
          <w:lang w:val="en-US" w:eastAsia="zh-Hans"/>
        </w:rPr>
      </w:pPr>
      <w:r>
        <w:rPr>
          <w:rFonts w:hint="eastAsia"/>
          <w:lang w:val="en-US" w:eastAsia="zh-Hans"/>
        </w:rPr>
        <w:t>市和各区房地产交易中心应当为估价机构查阅房地产交易登记资料提供便利。</w:t>
      </w:r>
    </w:p>
    <w:p w14:paraId="54DC1DD7" w14:textId="11405CBF" w:rsidR="00A320E6" w:rsidRDefault="00EC0B72" w:rsidP="00AE0286">
      <w:pPr>
        <w:pStyle w:val="a5"/>
        <w:spacing w:line="360" w:lineRule="auto"/>
        <w:ind w:left="0" w:firstLineChars="200" w:firstLine="482"/>
        <w:rPr>
          <w:lang w:val="en-US" w:eastAsia="zh-Hans"/>
        </w:rPr>
      </w:pPr>
      <w:r w:rsidRPr="00EC0B72">
        <w:rPr>
          <w:rFonts w:hint="eastAsia"/>
          <w:b/>
          <w:lang w:val="en-US" w:eastAsia="zh-Hans"/>
        </w:rPr>
        <w:t>第四十条</w:t>
      </w:r>
      <w:r w:rsidR="00A45A13">
        <w:rPr>
          <w:rFonts w:hint="eastAsia"/>
          <w:lang w:val="en-US" w:eastAsia="zh-Hans"/>
        </w:rPr>
        <w:t xml:space="preserve"> </w:t>
      </w:r>
      <w:r>
        <w:rPr>
          <w:rFonts w:hint="eastAsia"/>
          <w:lang w:val="en-US" w:eastAsia="zh-Hans"/>
        </w:rPr>
        <w:t>（施行时间）</w:t>
      </w:r>
    </w:p>
    <w:p w14:paraId="724C35C0" w14:textId="236DF398" w:rsidR="00AE0286" w:rsidRPr="00431106" w:rsidRDefault="00000000" w:rsidP="00431106">
      <w:pPr>
        <w:pStyle w:val="a5"/>
        <w:spacing w:line="360" w:lineRule="auto"/>
        <w:ind w:left="0" w:firstLineChars="200" w:firstLine="480"/>
        <w:rPr>
          <w:lang w:val="en-US" w:eastAsia="zh-Hans"/>
        </w:rPr>
      </w:pPr>
      <w:r>
        <w:rPr>
          <w:rFonts w:hint="eastAsia"/>
          <w:lang w:val="en-US" w:eastAsia="zh-Hans"/>
        </w:rPr>
        <w:t>本规定自印发之日起施行，有效期至2022年12月31日止。</w:t>
      </w:r>
      <w:r w:rsidR="00AE0286">
        <w:rPr>
          <w:lang w:eastAsia="zh-Hans"/>
        </w:rPr>
        <w:br w:type="page"/>
      </w:r>
    </w:p>
    <w:p w14:paraId="74685882" w14:textId="77777777" w:rsidR="00A320E6" w:rsidRDefault="00000000" w:rsidP="00AE0286">
      <w:pPr>
        <w:numPr>
          <w:ilvl w:val="0"/>
          <w:numId w:val="1"/>
        </w:numPr>
        <w:jc w:val="left"/>
        <w:outlineLvl w:val="0"/>
        <w:rPr>
          <w:rFonts w:ascii="黑体" w:eastAsia="黑体" w:hAnsi="宋体" w:cs="黑体"/>
          <w:color w:val="000000"/>
          <w:kern w:val="0"/>
          <w:sz w:val="31"/>
          <w:szCs w:val="31"/>
          <w:lang w:eastAsia="zh-Hans" w:bidi="ar"/>
        </w:rPr>
      </w:pPr>
      <w:bookmarkStart w:id="108" w:name="_Toc112227411"/>
      <w:r>
        <w:rPr>
          <w:rFonts w:ascii="黑体" w:eastAsia="黑体" w:hAnsi="宋体" w:cs="黑体" w:hint="eastAsia"/>
          <w:color w:val="000000"/>
          <w:kern w:val="0"/>
          <w:sz w:val="31"/>
          <w:szCs w:val="31"/>
          <w:lang w:eastAsia="zh-Hans" w:bidi="ar"/>
        </w:rPr>
        <w:t>土地估价规范</w:t>
      </w:r>
      <w:bookmarkEnd w:id="108"/>
    </w:p>
    <w:p w14:paraId="62186F15" w14:textId="77777777" w:rsidR="00A320E6" w:rsidRDefault="00000000" w:rsidP="00EC761E">
      <w:pPr>
        <w:pStyle w:val="27"/>
        <w:rPr>
          <w:lang w:eastAsia="zh-Hans"/>
        </w:rPr>
      </w:pPr>
      <w:bookmarkStart w:id="109" w:name="_Toc112227412"/>
      <w:r>
        <w:rPr>
          <w:rFonts w:hint="eastAsia"/>
          <w:lang w:eastAsia="zh-Hans"/>
        </w:rPr>
        <w:t>山东省规范</w:t>
      </w:r>
      <w:bookmarkEnd w:id="109"/>
    </w:p>
    <w:p w14:paraId="5E6A5C35"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10" w:name="_Toc112227413"/>
      <w:r>
        <w:rPr>
          <w:rFonts w:ascii="宋体" w:hAnsi="宋体" w:cs="宋体" w:hint="eastAsia"/>
          <w:b/>
          <w:bCs/>
          <w:sz w:val="24"/>
          <w:lang w:eastAsia="zh-Hans"/>
        </w:rPr>
        <w:t>关于泰安市征地地上附着物和青苗补偿标准的批复</w:t>
      </w:r>
      <w:bookmarkEnd w:id="110"/>
    </w:p>
    <w:p w14:paraId="31604674" w14:textId="77777777" w:rsidR="00A320E6" w:rsidRDefault="00000000" w:rsidP="00AE0286">
      <w:pPr>
        <w:pStyle w:val="10"/>
        <w:ind w:firstLineChars="0" w:firstLine="0"/>
        <w:rPr>
          <w:rFonts w:ascii="宋体" w:hAnsi="宋体" w:cs="宋体"/>
          <w:lang w:eastAsia="zh-Hans"/>
        </w:rPr>
      </w:pPr>
      <w:r>
        <w:rPr>
          <w:rFonts w:ascii="宋体" w:hAnsi="宋体" w:cs="宋体" w:hint="eastAsia"/>
          <w:lang w:eastAsia="zh-Hans"/>
        </w:rPr>
        <w:t>泰安市自然资源和规划局、财政局：</w:t>
      </w:r>
    </w:p>
    <w:p w14:paraId="557BAAE1"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你市《关于审批泰安市地上附着物和青苗补偿标准的请示》（泰自资规呈〔2021〕169号）收悉。经研究，同意你市制定的征地地上附着物和青苗补偿标准（详见附件）。</w:t>
      </w:r>
    </w:p>
    <w:p w14:paraId="0457524F"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标准自批复之日起执行。</w:t>
      </w:r>
    </w:p>
    <w:p w14:paraId="24FD48A3"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附件：泰安市征地地上附着物和青苗补偿标准</w:t>
      </w:r>
    </w:p>
    <w:p w14:paraId="23D867F0" w14:textId="77777777" w:rsidR="00A320E6" w:rsidRDefault="00000000" w:rsidP="00AE0286">
      <w:pPr>
        <w:pStyle w:val="10"/>
        <w:ind w:firstLine="480"/>
        <w:jc w:val="right"/>
        <w:rPr>
          <w:rFonts w:ascii="宋体" w:hAnsi="宋体" w:cs="宋体"/>
          <w:lang w:eastAsia="zh-Hans"/>
        </w:rPr>
      </w:pPr>
      <w:r>
        <w:rPr>
          <w:rFonts w:ascii="宋体" w:hAnsi="宋体" w:cs="宋体" w:hint="eastAsia"/>
          <w:lang w:eastAsia="zh-Hans"/>
        </w:rPr>
        <w:t>山东省自然资源厅山东省财政厅</w:t>
      </w:r>
    </w:p>
    <w:p w14:paraId="7A11C940" w14:textId="188109AA" w:rsidR="00A320E6" w:rsidRDefault="00000000" w:rsidP="00AA2FAF">
      <w:pPr>
        <w:jc w:val="right"/>
        <w:rPr>
          <w:rFonts w:ascii="宋体" w:hAnsi="宋体" w:cs="宋体"/>
          <w:lang w:eastAsia="zh-Hans"/>
        </w:rPr>
      </w:pPr>
      <w:r>
        <w:rPr>
          <w:rFonts w:ascii="宋体" w:hAnsi="宋体" w:cs="宋体" w:hint="eastAsia"/>
          <w:lang w:eastAsia="zh-Hans"/>
        </w:rPr>
        <w:t>                              2021年12月9日</w:t>
      </w:r>
    </w:p>
    <w:p w14:paraId="295C7AA1" w14:textId="5BD92AFC" w:rsidR="00AA2FAF" w:rsidRPr="00AA2FAF" w:rsidRDefault="00AA2FAF" w:rsidP="00AA2FAF">
      <w:pPr>
        <w:pStyle w:val="2"/>
        <w:jc w:val="center"/>
        <w:rPr>
          <w:lang w:eastAsia="zh-Hans"/>
        </w:rPr>
      </w:pPr>
      <w:r>
        <w:rPr>
          <w:rFonts w:hint="eastAsia"/>
          <w:szCs w:val="21"/>
          <w:lang w:eastAsia="zh-Hans"/>
        </w:rPr>
        <w:t>泰安市征地地上附着物和青苗补偿标准</w:t>
      </w:r>
    </w:p>
    <w:tbl>
      <w:tblPr>
        <w:tblW w:w="5000" w:type="pct"/>
        <w:tblCellMar>
          <w:top w:w="15" w:type="dxa"/>
          <w:left w:w="15" w:type="dxa"/>
          <w:bottom w:w="15" w:type="dxa"/>
          <w:right w:w="15" w:type="dxa"/>
        </w:tblCellMar>
        <w:tblLook w:val="04A0" w:firstRow="1" w:lastRow="0" w:firstColumn="1" w:lastColumn="0" w:noHBand="0" w:noVBand="1"/>
      </w:tblPr>
      <w:tblGrid>
        <w:gridCol w:w="708"/>
        <w:gridCol w:w="1109"/>
        <w:gridCol w:w="2398"/>
        <w:gridCol w:w="1647"/>
        <w:gridCol w:w="2898"/>
      </w:tblGrid>
      <w:tr w:rsidR="00A320E6" w14:paraId="6329F127" w14:textId="77777777" w:rsidTr="00AA2FAF">
        <w:trPr>
          <w:trHeight w:val="450"/>
          <w:tblHeader/>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A5BD5" w14:textId="77777777" w:rsidR="00A320E6" w:rsidRDefault="00000000" w:rsidP="00EC50E9">
            <w:pPr>
              <w:pStyle w:val="a3"/>
              <w:ind w:firstLineChars="0" w:firstLine="0"/>
              <w:jc w:val="center"/>
              <w:rPr>
                <w:szCs w:val="21"/>
                <w:lang w:eastAsia="zh-Hans"/>
              </w:rPr>
            </w:pPr>
            <w:r>
              <w:rPr>
                <w:rFonts w:hint="eastAsia"/>
                <w:szCs w:val="21"/>
                <w:lang w:eastAsia="zh-Hans"/>
              </w:rPr>
              <w:t>序号</w:t>
            </w:r>
          </w:p>
        </w:tc>
        <w:tc>
          <w:tcPr>
            <w:tcW w:w="20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71C011" w14:textId="77777777" w:rsidR="00A320E6" w:rsidRDefault="00000000" w:rsidP="00EC50E9">
            <w:pPr>
              <w:pStyle w:val="a3"/>
              <w:ind w:firstLineChars="0" w:firstLine="0"/>
              <w:jc w:val="center"/>
              <w:rPr>
                <w:szCs w:val="21"/>
                <w:lang w:eastAsia="zh-Hans"/>
              </w:rPr>
            </w:pPr>
            <w:r>
              <w:rPr>
                <w:rFonts w:hint="eastAsia"/>
                <w:szCs w:val="21"/>
                <w:lang w:eastAsia="zh-Hans"/>
              </w:rPr>
              <w:t>种类</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1FCCD" w14:textId="77777777" w:rsidR="00A320E6" w:rsidRDefault="00000000" w:rsidP="00EC50E9">
            <w:pPr>
              <w:pStyle w:val="a3"/>
              <w:ind w:firstLineChars="0" w:firstLine="0"/>
              <w:jc w:val="center"/>
              <w:rPr>
                <w:szCs w:val="21"/>
                <w:lang w:eastAsia="zh-Hans"/>
              </w:rPr>
            </w:pPr>
            <w:r>
              <w:rPr>
                <w:rFonts w:hint="eastAsia"/>
                <w:szCs w:val="21"/>
                <w:lang w:eastAsia="zh-Hans"/>
              </w:rPr>
              <w:t>补偿标准</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C4041" w14:textId="77777777" w:rsidR="00A320E6" w:rsidRDefault="00000000" w:rsidP="00EC50E9">
            <w:pPr>
              <w:pStyle w:val="a3"/>
              <w:ind w:firstLineChars="0" w:firstLine="0"/>
              <w:jc w:val="center"/>
              <w:rPr>
                <w:szCs w:val="21"/>
                <w:lang w:eastAsia="zh-Hans"/>
              </w:rPr>
            </w:pPr>
            <w:r>
              <w:rPr>
                <w:rFonts w:hint="eastAsia"/>
                <w:szCs w:val="21"/>
                <w:lang w:eastAsia="zh-Hans"/>
              </w:rPr>
              <w:t>备注</w:t>
            </w:r>
          </w:p>
        </w:tc>
      </w:tr>
      <w:tr w:rsidR="00A320E6" w14:paraId="2208C78E" w14:textId="77777777" w:rsidTr="00AA2FAF">
        <w:trPr>
          <w:trHeight w:val="49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54274" w14:textId="77777777" w:rsidR="00A320E6" w:rsidRDefault="00000000" w:rsidP="00EC50E9">
            <w:pPr>
              <w:pStyle w:val="a3"/>
              <w:ind w:firstLineChars="0" w:firstLine="0"/>
              <w:jc w:val="center"/>
              <w:rPr>
                <w:szCs w:val="21"/>
                <w:lang w:eastAsia="zh-Hans"/>
              </w:rPr>
            </w:pPr>
            <w:r>
              <w:rPr>
                <w:rFonts w:hint="eastAsia"/>
                <w:szCs w:val="21"/>
                <w:lang w:eastAsia="zh-Hans"/>
              </w:rPr>
              <w:t>1</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A33B73" w14:textId="77777777" w:rsidR="00A320E6" w:rsidRDefault="00000000" w:rsidP="00EC50E9">
            <w:pPr>
              <w:pStyle w:val="a3"/>
              <w:ind w:firstLineChars="0" w:firstLine="0"/>
              <w:rPr>
                <w:szCs w:val="21"/>
                <w:lang w:eastAsia="zh-Hans"/>
              </w:rPr>
            </w:pPr>
            <w:r>
              <w:rPr>
                <w:rFonts w:hint="eastAsia"/>
                <w:szCs w:val="21"/>
                <w:lang w:eastAsia="zh-Hans"/>
              </w:rPr>
              <w:t>非住宅房屋</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C866A" w14:textId="77777777" w:rsidR="00A320E6" w:rsidRDefault="00000000" w:rsidP="00EC50E9">
            <w:pPr>
              <w:pStyle w:val="a3"/>
              <w:ind w:firstLineChars="0" w:firstLine="0"/>
              <w:rPr>
                <w:szCs w:val="21"/>
                <w:lang w:eastAsia="zh-Hans"/>
              </w:rPr>
            </w:pPr>
            <w:r>
              <w:rPr>
                <w:rFonts w:hint="eastAsia"/>
                <w:szCs w:val="21"/>
                <w:lang w:eastAsia="zh-Hans"/>
              </w:rPr>
              <w:t>乱石基、砖石墙、钢筋混凝土预制或现浇平屋顶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D6FF7" w14:textId="77777777" w:rsidR="00A320E6" w:rsidRDefault="00000000" w:rsidP="00EC50E9">
            <w:pPr>
              <w:pStyle w:val="a3"/>
              <w:ind w:firstLineChars="0" w:firstLine="0"/>
              <w:rPr>
                <w:szCs w:val="21"/>
                <w:lang w:eastAsia="zh-Hans"/>
              </w:rPr>
            </w:pPr>
            <w:r>
              <w:rPr>
                <w:rFonts w:hint="eastAsia"/>
                <w:szCs w:val="21"/>
                <w:lang w:eastAsia="zh-Hans"/>
              </w:rPr>
              <w:t>650-950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2D404E" w14:textId="77777777" w:rsidR="00A320E6" w:rsidRDefault="00000000" w:rsidP="00EC50E9">
            <w:pPr>
              <w:pStyle w:val="a3"/>
              <w:ind w:firstLineChars="0" w:firstLine="0"/>
              <w:rPr>
                <w:szCs w:val="21"/>
                <w:lang w:eastAsia="zh-Hans"/>
              </w:rPr>
            </w:pPr>
            <w:r>
              <w:rPr>
                <w:rFonts w:hint="eastAsia"/>
                <w:szCs w:val="21"/>
                <w:lang w:eastAsia="zh-Hans"/>
              </w:rPr>
              <w:t>指建筑物面积；旧料归原主。</w:t>
            </w:r>
          </w:p>
        </w:tc>
      </w:tr>
      <w:tr w:rsidR="00A320E6" w14:paraId="347E113C" w14:textId="77777777" w:rsidTr="00AA2FAF">
        <w:trPr>
          <w:trHeight w:val="49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DC568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10909"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45F62" w14:textId="77777777" w:rsidR="00A320E6" w:rsidRDefault="00000000" w:rsidP="00EC50E9">
            <w:pPr>
              <w:pStyle w:val="a3"/>
              <w:ind w:firstLineChars="0" w:firstLine="0"/>
              <w:rPr>
                <w:szCs w:val="21"/>
                <w:lang w:eastAsia="zh-Hans"/>
              </w:rPr>
            </w:pPr>
            <w:r>
              <w:rPr>
                <w:rFonts w:hint="eastAsia"/>
                <w:szCs w:val="21"/>
                <w:lang w:eastAsia="zh-Hans"/>
              </w:rPr>
              <w:t>乱石基、砖石墙、木结构斜坡草或瓦屋顶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C0686" w14:textId="77777777" w:rsidR="00A320E6" w:rsidRDefault="00000000" w:rsidP="00EC50E9">
            <w:pPr>
              <w:pStyle w:val="a3"/>
              <w:ind w:firstLineChars="0" w:firstLine="0"/>
              <w:rPr>
                <w:szCs w:val="21"/>
                <w:lang w:eastAsia="zh-Hans"/>
              </w:rPr>
            </w:pPr>
            <w:r>
              <w:rPr>
                <w:rFonts w:hint="eastAsia"/>
                <w:szCs w:val="21"/>
                <w:lang w:eastAsia="zh-Hans"/>
              </w:rPr>
              <w:t>480-730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9306F0" w14:textId="77777777" w:rsidR="00A320E6" w:rsidRDefault="00A320E6" w:rsidP="00EC50E9">
            <w:pPr>
              <w:pStyle w:val="a3"/>
              <w:ind w:firstLineChars="0" w:firstLine="0"/>
              <w:rPr>
                <w:szCs w:val="21"/>
                <w:lang w:eastAsia="zh-Hans"/>
              </w:rPr>
            </w:pPr>
          </w:p>
        </w:tc>
      </w:tr>
      <w:tr w:rsidR="00A320E6" w14:paraId="12B1C535" w14:textId="77777777" w:rsidTr="00AA2FAF">
        <w:trPr>
          <w:trHeight w:val="49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801C9"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1977CE"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D002" w14:textId="77777777" w:rsidR="00A320E6" w:rsidRDefault="00000000" w:rsidP="00EC50E9">
            <w:pPr>
              <w:pStyle w:val="a3"/>
              <w:ind w:firstLineChars="0" w:firstLine="0"/>
              <w:rPr>
                <w:szCs w:val="21"/>
                <w:lang w:eastAsia="zh-Hans"/>
              </w:rPr>
            </w:pPr>
            <w:r>
              <w:rPr>
                <w:rFonts w:hint="eastAsia"/>
                <w:szCs w:val="21"/>
                <w:lang w:eastAsia="zh-Hans"/>
              </w:rPr>
              <w:t>乱石基、砖垛、土坯墙、木结构斜坡草或瓦屋顶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9C315" w14:textId="77777777" w:rsidR="00A320E6" w:rsidRDefault="00000000" w:rsidP="00EC50E9">
            <w:pPr>
              <w:pStyle w:val="a3"/>
              <w:ind w:firstLineChars="0" w:firstLine="0"/>
              <w:rPr>
                <w:szCs w:val="21"/>
                <w:lang w:eastAsia="zh-Hans"/>
              </w:rPr>
            </w:pPr>
            <w:r>
              <w:rPr>
                <w:rFonts w:hint="eastAsia"/>
                <w:szCs w:val="21"/>
                <w:lang w:eastAsia="zh-Hans"/>
              </w:rPr>
              <w:t>420-670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1DB4E6" w14:textId="77777777" w:rsidR="00A320E6" w:rsidRDefault="00A320E6" w:rsidP="00EC50E9">
            <w:pPr>
              <w:pStyle w:val="a3"/>
              <w:ind w:firstLineChars="0" w:firstLine="0"/>
              <w:rPr>
                <w:szCs w:val="21"/>
                <w:lang w:eastAsia="zh-Hans"/>
              </w:rPr>
            </w:pPr>
          </w:p>
        </w:tc>
      </w:tr>
      <w:tr w:rsidR="00A320E6" w14:paraId="0E28EF72" w14:textId="77777777" w:rsidTr="00AA2FAF">
        <w:trPr>
          <w:trHeight w:val="46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E73A13"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ABD11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1C95A" w14:textId="77777777" w:rsidR="00A320E6" w:rsidRDefault="00000000" w:rsidP="00EC50E9">
            <w:pPr>
              <w:pStyle w:val="a3"/>
              <w:ind w:firstLineChars="0" w:firstLine="0"/>
              <w:rPr>
                <w:szCs w:val="21"/>
                <w:lang w:eastAsia="zh-Hans"/>
              </w:rPr>
            </w:pPr>
            <w:r>
              <w:rPr>
                <w:rFonts w:hint="eastAsia"/>
                <w:szCs w:val="21"/>
                <w:lang w:eastAsia="zh-Hans"/>
              </w:rPr>
              <w:t>乱石基、土坯墙、木结构斜坡草或瓦屋顶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68C04" w14:textId="77777777" w:rsidR="00A320E6" w:rsidRDefault="00000000" w:rsidP="00EC50E9">
            <w:pPr>
              <w:pStyle w:val="a3"/>
              <w:ind w:firstLineChars="0" w:firstLine="0"/>
              <w:rPr>
                <w:szCs w:val="21"/>
                <w:lang w:eastAsia="zh-Hans"/>
              </w:rPr>
            </w:pPr>
            <w:r>
              <w:rPr>
                <w:rFonts w:hint="eastAsia"/>
                <w:szCs w:val="21"/>
                <w:lang w:eastAsia="zh-Hans"/>
              </w:rPr>
              <w:t>380-650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0634EB" w14:textId="77777777" w:rsidR="00A320E6" w:rsidRDefault="00A320E6" w:rsidP="00EC50E9">
            <w:pPr>
              <w:pStyle w:val="a3"/>
              <w:ind w:firstLineChars="0" w:firstLine="0"/>
              <w:rPr>
                <w:szCs w:val="21"/>
                <w:lang w:eastAsia="zh-Hans"/>
              </w:rPr>
            </w:pPr>
          </w:p>
        </w:tc>
      </w:tr>
      <w:tr w:rsidR="00A320E6" w14:paraId="3CDF0EB4" w14:textId="77777777" w:rsidTr="00AA2FAF">
        <w:trPr>
          <w:trHeight w:val="43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6943F"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218B2"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A160B" w14:textId="77777777" w:rsidR="00A320E6" w:rsidRDefault="00000000" w:rsidP="00EC50E9">
            <w:pPr>
              <w:pStyle w:val="a3"/>
              <w:ind w:firstLineChars="0" w:firstLine="0"/>
              <w:rPr>
                <w:szCs w:val="21"/>
                <w:lang w:eastAsia="zh-Hans"/>
              </w:rPr>
            </w:pPr>
            <w:r>
              <w:rPr>
                <w:rFonts w:hint="eastAsia"/>
                <w:szCs w:val="21"/>
                <w:lang w:eastAsia="zh-Hans"/>
              </w:rPr>
              <w:t>砖垛、苇箔、草顶简易平房</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C725E" w14:textId="77777777" w:rsidR="00A320E6" w:rsidRDefault="00000000" w:rsidP="00EC50E9">
            <w:pPr>
              <w:pStyle w:val="a3"/>
              <w:ind w:firstLineChars="0" w:firstLine="0"/>
              <w:rPr>
                <w:szCs w:val="21"/>
                <w:lang w:eastAsia="zh-Hans"/>
              </w:rPr>
            </w:pPr>
            <w:r>
              <w:rPr>
                <w:rFonts w:hint="eastAsia"/>
                <w:szCs w:val="21"/>
                <w:lang w:eastAsia="zh-Hans"/>
              </w:rPr>
              <w:t>260-520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4C8034" w14:textId="77777777" w:rsidR="00A320E6" w:rsidRDefault="00A320E6" w:rsidP="00EC50E9">
            <w:pPr>
              <w:pStyle w:val="a3"/>
              <w:ind w:firstLineChars="0" w:firstLine="0"/>
              <w:rPr>
                <w:szCs w:val="21"/>
                <w:lang w:eastAsia="zh-Hans"/>
              </w:rPr>
            </w:pPr>
          </w:p>
        </w:tc>
      </w:tr>
      <w:tr w:rsidR="00A320E6" w14:paraId="2AC7E119"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3D1A0"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CDD6D8"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7EFA4" w14:textId="77777777" w:rsidR="00A320E6" w:rsidRDefault="00000000" w:rsidP="00EC50E9">
            <w:pPr>
              <w:pStyle w:val="a3"/>
              <w:ind w:firstLineChars="0" w:firstLine="0"/>
              <w:rPr>
                <w:szCs w:val="21"/>
                <w:lang w:eastAsia="zh-Hans"/>
              </w:rPr>
            </w:pPr>
            <w:r>
              <w:rPr>
                <w:rFonts w:hint="eastAsia"/>
                <w:szCs w:val="21"/>
                <w:lang w:eastAsia="zh-Hans"/>
              </w:rPr>
              <w:t>钢结构房高</w:t>
            </w:r>
            <w:r>
              <w:rPr>
                <w:rFonts w:hint="eastAsia"/>
                <w:szCs w:val="21"/>
                <w:lang w:eastAsia="zh-Hans"/>
              </w:rPr>
              <w:t>2-4m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131E1" w14:textId="77777777" w:rsidR="00A320E6" w:rsidRDefault="00000000" w:rsidP="00EC50E9">
            <w:pPr>
              <w:pStyle w:val="a3"/>
              <w:ind w:firstLineChars="0" w:firstLine="0"/>
              <w:rPr>
                <w:szCs w:val="21"/>
                <w:lang w:eastAsia="zh-Hans"/>
              </w:rPr>
            </w:pPr>
            <w:r>
              <w:rPr>
                <w:rFonts w:hint="eastAsia"/>
                <w:szCs w:val="21"/>
                <w:lang w:eastAsia="zh-Hans"/>
              </w:rPr>
              <w:t>350-500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373A1" w14:textId="77777777" w:rsidR="00A320E6" w:rsidRDefault="00A320E6" w:rsidP="00EC50E9">
            <w:pPr>
              <w:pStyle w:val="a3"/>
              <w:ind w:firstLineChars="0" w:firstLine="0"/>
              <w:rPr>
                <w:szCs w:val="21"/>
                <w:lang w:eastAsia="zh-Hans"/>
              </w:rPr>
            </w:pPr>
          </w:p>
        </w:tc>
      </w:tr>
      <w:tr w:rsidR="00A320E6" w14:paraId="616E4ACF"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34E5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B1BD7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E7836" w14:textId="77777777" w:rsidR="00A320E6" w:rsidRDefault="00000000" w:rsidP="00EC50E9">
            <w:pPr>
              <w:pStyle w:val="a3"/>
              <w:ind w:firstLineChars="0" w:firstLine="0"/>
              <w:rPr>
                <w:szCs w:val="21"/>
                <w:lang w:eastAsia="zh-Hans"/>
              </w:rPr>
            </w:pPr>
            <w:r>
              <w:rPr>
                <w:rFonts w:hint="eastAsia"/>
                <w:szCs w:val="21"/>
                <w:lang w:eastAsia="zh-Hans"/>
              </w:rPr>
              <w:t>钢结构房高</w:t>
            </w:r>
            <w:r>
              <w:rPr>
                <w:rFonts w:hint="eastAsia"/>
                <w:szCs w:val="21"/>
                <w:lang w:eastAsia="zh-Hans"/>
              </w:rPr>
              <w:t>4-9m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6A4BC" w14:textId="77777777" w:rsidR="00A320E6" w:rsidRDefault="00000000" w:rsidP="00EC50E9">
            <w:pPr>
              <w:pStyle w:val="a3"/>
              <w:ind w:firstLineChars="0" w:firstLine="0"/>
              <w:rPr>
                <w:szCs w:val="21"/>
                <w:lang w:eastAsia="zh-Hans"/>
              </w:rPr>
            </w:pPr>
            <w:r>
              <w:rPr>
                <w:rFonts w:hint="eastAsia"/>
                <w:szCs w:val="21"/>
                <w:lang w:eastAsia="zh-Hans"/>
              </w:rPr>
              <w:t>500-700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BA702D" w14:textId="77777777" w:rsidR="00A320E6" w:rsidRDefault="00A320E6" w:rsidP="00EC50E9">
            <w:pPr>
              <w:pStyle w:val="a3"/>
              <w:ind w:firstLineChars="0" w:firstLine="0"/>
              <w:rPr>
                <w:szCs w:val="21"/>
                <w:lang w:eastAsia="zh-Hans"/>
              </w:rPr>
            </w:pPr>
          </w:p>
        </w:tc>
      </w:tr>
      <w:tr w:rsidR="00A320E6" w14:paraId="5F055A56"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8C695"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724BD"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91BA3" w14:textId="77777777" w:rsidR="00A320E6" w:rsidRDefault="00000000" w:rsidP="00EC50E9">
            <w:pPr>
              <w:pStyle w:val="a3"/>
              <w:ind w:firstLineChars="0" w:firstLine="0"/>
              <w:rPr>
                <w:szCs w:val="21"/>
                <w:lang w:eastAsia="zh-Hans"/>
              </w:rPr>
            </w:pPr>
            <w:r>
              <w:rPr>
                <w:rFonts w:hint="eastAsia"/>
                <w:szCs w:val="21"/>
                <w:lang w:eastAsia="zh-Hans"/>
              </w:rPr>
              <w:t>钢结构房高</w:t>
            </w:r>
            <w:r>
              <w:rPr>
                <w:rFonts w:hint="eastAsia"/>
                <w:szCs w:val="21"/>
                <w:lang w:eastAsia="zh-Hans"/>
              </w:rPr>
              <w:t>9m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5FFCE" w14:textId="77777777" w:rsidR="00A320E6" w:rsidRDefault="00000000" w:rsidP="00EC50E9">
            <w:pPr>
              <w:pStyle w:val="a3"/>
              <w:ind w:firstLineChars="0" w:firstLine="0"/>
              <w:rPr>
                <w:szCs w:val="21"/>
                <w:lang w:eastAsia="zh-Hans"/>
              </w:rPr>
            </w:pPr>
            <w:r>
              <w:rPr>
                <w:rFonts w:hint="eastAsia"/>
                <w:szCs w:val="21"/>
                <w:lang w:eastAsia="zh-Hans"/>
              </w:rPr>
              <w:t>700-1100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132F2B" w14:textId="77777777" w:rsidR="00A320E6" w:rsidRDefault="00A320E6" w:rsidP="00EC50E9">
            <w:pPr>
              <w:pStyle w:val="a3"/>
              <w:ind w:firstLineChars="0" w:firstLine="0"/>
              <w:rPr>
                <w:szCs w:val="21"/>
                <w:lang w:eastAsia="zh-Hans"/>
              </w:rPr>
            </w:pPr>
          </w:p>
        </w:tc>
      </w:tr>
      <w:tr w:rsidR="00A320E6" w14:paraId="6ED0E391" w14:textId="77777777" w:rsidTr="00AA2FAF">
        <w:trPr>
          <w:trHeight w:val="30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678DA6" w14:textId="77777777" w:rsidR="00A320E6" w:rsidRDefault="00000000" w:rsidP="00EC50E9">
            <w:pPr>
              <w:pStyle w:val="a3"/>
              <w:ind w:firstLineChars="0" w:firstLine="0"/>
              <w:jc w:val="center"/>
              <w:rPr>
                <w:szCs w:val="21"/>
                <w:lang w:eastAsia="zh-Hans"/>
              </w:rPr>
            </w:pPr>
            <w:r>
              <w:rPr>
                <w:rFonts w:hint="eastAsia"/>
                <w:szCs w:val="21"/>
                <w:lang w:eastAsia="zh-Hans"/>
              </w:rPr>
              <w:t>2</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B21588" w14:textId="77777777" w:rsidR="00A320E6" w:rsidRDefault="00000000" w:rsidP="00EC50E9">
            <w:pPr>
              <w:pStyle w:val="a3"/>
              <w:ind w:firstLineChars="0" w:firstLine="0"/>
              <w:rPr>
                <w:szCs w:val="21"/>
                <w:lang w:eastAsia="zh-Hans"/>
              </w:rPr>
            </w:pPr>
            <w:r>
              <w:rPr>
                <w:rFonts w:hint="eastAsia"/>
                <w:szCs w:val="21"/>
                <w:lang w:eastAsia="zh-Hans"/>
              </w:rPr>
              <w:t>围墙</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108E8" w14:textId="77777777" w:rsidR="00A320E6" w:rsidRDefault="00000000" w:rsidP="00EC50E9">
            <w:pPr>
              <w:pStyle w:val="a3"/>
              <w:ind w:firstLineChars="0" w:firstLine="0"/>
              <w:rPr>
                <w:szCs w:val="21"/>
                <w:lang w:eastAsia="zh-Hans"/>
              </w:rPr>
            </w:pPr>
            <w:r>
              <w:rPr>
                <w:rFonts w:hint="eastAsia"/>
                <w:szCs w:val="21"/>
                <w:lang w:eastAsia="zh-Hans"/>
              </w:rPr>
              <w:t>乱石基砖墙高</w:t>
            </w:r>
            <w:r>
              <w:rPr>
                <w:rFonts w:hint="eastAsia"/>
                <w:szCs w:val="21"/>
                <w:lang w:eastAsia="zh-Hans"/>
              </w:rPr>
              <w:t>2.5m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F618F" w14:textId="77777777" w:rsidR="00A320E6" w:rsidRDefault="00000000" w:rsidP="00EC50E9">
            <w:pPr>
              <w:pStyle w:val="a3"/>
              <w:ind w:firstLineChars="0" w:firstLine="0"/>
              <w:rPr>
                <w:szCs w:val="21"/>
                <w:lang w:eastAsia="zh-Hans"/>
              </w:rPr>
            </w:pPr>
            <w:r>
              <w:rPr>
                <w:rFonts w:hint="eastAsia"/>
                <w:szCs w:val="21"/>
                <w:lang w:eastAsia="zh-Hans"/>
              </w:rPr>
              <w:t>280-330</w:t>
            </w:r>
            <w:r>
              <w:rPr>
                <w:rFonts w:hint="eastAsia"/>
                <w:szCs w:val="21"/>
                <w:lang w:eastAsia="zh-Hans"/>
              </w:rPr>
              <w:t>元</w:t>
            </w:r>
            <w:r>
              <w:rPr>
                <w:rFonts w:hint="eastAsia"/>
                <w:szCs w:val="21"/>
                <w:lang w:eastAsia="zh-Hans"/>
              </w:rPr>
              <w:t>/m</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7E640C" w14:textId="77777777" w:rsidR="00A320E6" w:rsidRDefault="00000000" w:rsidP="00EC50E9">
            <w:pPr>
              <w:pStyle w:val="a3"/>
              <w:ind w:firstLineChars="0" w:firstLine="0"/>
              <w:rPr>
                <w:szCs w:val="21"/>
                <w:lang w:eastAsia="zh-Hans"/>
              </w:rPr>
            </w:pPr>
            <w:r>
              <w:rPr>
                <w:rFonts w:hint="eastAsia"/>
                <w:szCs w:val="21"/>
                <w:lang w:eastAsia="zh-Hans"/>
              </w:rPr>
              <w:t>旧料归原主。</w:t>
            </w:r>
          </w:p>
        </w:tc>
      </w:tr>
      <w:tr w:rsidR="00A320E6" w14:paraId="378C1874"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72F41"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CBAF0"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C595C" w14:textId="77777777" w:rsidR="00A320E6" w:rsidRDefault="00000000" w:rsidP="00EC50E9">
            <w:pPr>
              <w:pStyle w:val="a3"/>
              <w:ind w:firstLineChars="0" w:firstLine="0"/>
              <w:rPr>
                <w:szCs w:val="21"/>
                <w:lang w:eastAsia="zh-Hans"/>
              </w:rPr>
            </w:pPr>
            <w:r>
              <w:rPr>
                <w:rFonts w:hint="eastAsia"/>
                <w:szCs w:val="21"/>
                <w:lang w:eastAsia="zh-Hans"/>
              </w:rPr>
              <w:t>乱石基砖墙高</w:t>
            </w:r>
            <w:r>
              <w:rPr>
                <w:rFonts w:hint="eastAsia"/>
                <w:szCs w:val="21"/>
                <w:lang w:eastAsia="zh-Hans"/>
              </w:rPr>
              <w:t>2-2.5m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D05E7" w14:textId="77777777" w:rsidR="00A320E6" w:rsidRDefault="00000000" w:rsidP="00EC50E9">
            <w:pPr>
              <w:pStyle w:val="a3"/>
              <w:ind w:firstLineChars="0" w:firstLine="0"/>
              <w:rPr>
                <w:szCs w:val="21"/>
                <w:lang w:eastAsia="zh-Hans"/>
              </w:rPr>
            </w:pPr>
            <w:r>
              <w:rPr>
                <w:rFonts w:hint="eastAsia"/>
                <w:szCs w:val="21"/>
                <w:lang w:eastAsia="zh-Hans"/>
              </w:rPr>
              <w:t>220-280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981C8E" w14:textId="77777777" w:rsidR="00A320E6" w:rsidRDefault="00A320E6" w:rsidP="00EC50E9">
            <w:pPr>
              <w:pStyle w:val="a3"/>
              <w:ind w:firstLineChars="0" w:firstLine="0"/>
              <w:rPr>
                <w:szCs w:val="21"/>
                <w:lang w:eastAsia="zh-Hans"/>
              </w:rPr>
            </w:pPr>
          </w:p>
        </w:tc>
      </w:tr>
      <w:tr w:rsidR="00A320E6" w14:paraId="42C17AB0"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2DBB5"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035FC1"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D675F" w14:textId="77777777" w:rsidR="00A320E6" w:rsidRDefault="00000000" w:rsidP="00EC50E9">
            <w:pPr>
              <w:pStyle w:val="a3"/>
              <w:ind w:firstLineChars="0" w:firstLine="0"/>
              <w:rPr>
                <w:szCs w:val="21"/>
                <w:lang w:eastAsia="zh-Hans"/>
              </w:rPr>
            </w:pPr>
            <w:r>
              <w:rPr>
                <w:rFonts w:hint="eastAsia"/>
                <w:szCs w:val="21"/>
                <w:lang w:eastAsia="zh-Hans"/>
              </w:rPr>
              <w:t>乱石基砖墙高</w:t>
            </w:r>
            <w:r>
              <w:rPr>
                <w:rFonts w:hint="eastAsia"/>
                <w:szCs w:val="21"/>
                <w:lang w:eastAsia="zh-Hans"/>
              </w:rPr>
              <w:t>1.5-2m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395CF" w14:textId="77777777" w:rsidR="00A320E6" w:rsidRDefault="00000000" w:rsidP="00EC50E9">
            <w:pPr>
              <w:pStyle w:val="a3"/>
              <w:ind w:firstLineChars="0" w:firstLine="0"/>
              <w:rPr>
                <w:szCs w:val="21"/>
                <w:lang w:eastAsia="zh-Hans"/>
              </w:rPr>
            </w:pPr>
            <w:r>
              <w:rPr>
                <w:rFonts w:hint="eastAsia"/>
                <w:szCs w:val="21"/>
                <w:lang w:eastAsia="zh-Hans"/>
              </w:rPr>
              <w:t>160-210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C6E810" w14:textId="77777777" w:rsidR="00A320E6" w:rsidRDefault="00A320E6" w:rsidP="00EC50E9">
            <w:pPr>
              <w:pStyle w:val="a3"/>
              <w:ind w:firstLineChars="0" w:firstLine="0"/>
              <w:rPr>
                <w:szCs w:val="21"/>
                <w:lang w:eastAsia="zh-Hans"/>
              </w:rPr>
            </w:pPr>
          </w:p>
        </w:tc>
      </w:tr>
      <w:tr w:rsidR="00A320E6" w14:paraId="4FAE1CE8"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8C99B7"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F1CAE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226C9" w14:textId="77777777" w:rsidR="00A320E6" w:rsidRDefault="00000000" w:rsidP="00EC50E9">
            <w:pPr>
              <w:pStyle w:val="a3"/>
              <w:ind w:firstLineChars="0" w:firstLine="0"/>
              <w:rPr>
                <w:szCs w:val="21"/>
                <w:lang w:eastAsia="zh-Hans"/>
              </w:rPr>
            </w:pPr>
            <w:r>
              <w:rPr>
                <w:rFonts w:hint="eastAsia"/>
                <w:szCs w:val="21"/>
                <w:lang w:eastAsia="zh-Hans"/>
              </w:rPr>
              <w:t>乱石基土坯墙高</w:t>
            </w:r>
            <w:r>
              <w:rPr>
                <w:rFonts w:hint="eastAsia"/>
                <w:szCs w:val="21"/>
                <w:lang w:eastAsia="zh-Hans"/>
              </w:rPr>
              <w:t>1.5-2m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6B433" w14:textId="77777777" w:rsidR="00A320E6" w:rsidRDefault="00000000" w:rsidP="00EC50E9">
            <w:pPr>
              <w:pStyle w:val="a3"/>
              <w:ind w:firstLineChars="0" w:firstLine="0"/>
              <w:rPr>
                <w:szCs w:val="21"/>
                <w:lang w:eastAsia="zh-Hans"/>
              </w:rPr>
            </w:pPr>
            <w:r>
              <w:rPr>
                <w:rFonts w:hint="eastAsia"/>
                <w:szCs w:val="21"/>
                <w:lang w:eastAsia="zh-Hans"/>
              </w:rPr>
              <w:t>110-160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8BF7CB" w14:textId="77777777" w:rsidR="00A320E6" w:rsidRDefault="00A320E6" w:rsidP="00EC50E9">
            <w:pPr>
              <w:pStyle w:val="a3"/>
              <w:ind w:firstLineChars="0" w:firstLine="0"/>
              <w:rPr>
                <w:szCs w:val="21"/>
                <w:lang w:eastAsia="zh-Hans"/>
              </w:rPr>
            </w:pPr>
          </w:p>
        </w:tc>
      </w:tr>
      <w:tr w:rsidR="00A320E6" w14:paraId="2F42F430" w14:textId="77777777" w:rsidTr="00AA2FAF">
        <w:trPr>
          <w:trHeight w:val="300"/>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7DB5A" w14:textId="77777777" w:rsidR="00A320E6" w:rsidRDefault="00000000" w:rsidP="00EC50E9">
            <w:pPr>
              <w:pStyle w:val="a3"/>
              <w:ind w:firstLineChars="0" w:firstLine="0"/>
              <w:jc w:val="center"/>
              <w:rPr>
                <w:szCs w:val="21"/>
                <w:lang w:eastAsia="zh-Hans"/>
              </w:rPr>
            </w:pPr>
            <w:r>
              <w:rPr>
                <w:rFonts w:hint="eastAsia"/>
                <w:szCs w:val="21"/>
                <w:lang w:eastAsia="zh-Hans"/>
              </w:rPr>
              <w:t>3</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6FB31" w14:textId="77777777" w:rsidR="00A320E6" w:rsidRDefault="00000000" w:rsidP="00EC50E9">
            <w:pPr>
              <w:pStyle w:val="a3"/>
              <w:ind w:firstLineChars="0" w:firstLine="0"/>
              <w:rPr>
                <w:szCs w:val="21"/>
                <w:lang w:eastAsia="zh-Hans"/>
              </w:rPr>
            </w:pPr>
            <w:r>
              <w:rPr>
                <w:rFonts w:hint="eastAsia"/>
                <w:szCs w:val="21"/>
                <w:lang w:eastAsia="zh-Hans"/>
              </w:rPr>
              <w:t>简易棚</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F4511" w14:textId="77777777" w:rsidR="00A320E6" w:rsidRDefault="00000000" w:rsidP="00EC50E9">
            <w:pPr>
              <w:pStyle w:val="a3"/>
              <w:ind w:firstLineChars="0" w:firstLine="0"/>
              <w:rPr>
                <w:szCs w:val="21"/>
                <w:lang w:eastAsia="zh-Hans"/>
              </w:rPr>
            </w:pPr>
            <w:r>
              <w:rPr>
                <w:rFonts w:hint="eastAsia"/>
                <w:szCs w:val="21"/>
                <w:lang w:eastAsia="zh-Hans"/>
              </w:rPr>
              <w:t>前柱后墙</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974D7" w14:textId="77777777" w:rsidR="00A320E6" w:rsidRDefault="00000000" w:rsidP="00EC50E9">
            <w:pPr>
              <w:pStyle w:val="a3"/>
              <w:ind w:firstLineChars="0" w:firstLine="0"/>
              <w:rPr>
                <w:szCs w:val="21"/>
                <w:lang w:eastAsia="zh-Hans"/>
              </w:rPr>
            </w:pPr>
            <w:r>
              <w:rPr>
                <w:rFonts w:hint="eastAsia"/>
                <w:szCs w:val="21"/>
                <w:lang w:eastAsia="zh-Hans"/>
              </w:rPr>
              <w:t>65-125</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449E0" w14:textId="77777777" w:rsidR="00A320E6" w:rsidRDefault="00000000" w:rsidP="00EC50E9">
            <w:pPr>
              <w:pStyle w:val="a3"/>
              <w:ind w:firstLineChars="0" w:firstLine="0"/>
              <w:rPr>
                <w:szCs w:val="21"/>
                <w:lang w:eastAsia="zh-Hans"/>
              </w:rPr>
            </w:pPr>
            <w:r>
              <w:rPr>
                <w:rFonts w:hint="eastAsia"/>
                <w:szCs w:val="21"/>
                <w:lang w:eastAsia="zh-Hans"/>
              </w:rPr>
              <w:t>旧料归原主。</w:t>
            </w:r>
          </w:p>
        </w:tc>
      </w:tr>
      <w:tr w:rsidR="00A320E6" w14:paraId="36AE5FB2" w14:textId="77777777" w:rsidTr="00AA2FAF">
        <w:trPr>
          <w:trHeight w:val="30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E98CD" w14:textId="77777777" w:rsidR="00A320E6" w:rsidRDefault="00000000" w:rsidP="00EC50E9">
            <w:pPr>
              <w:pStyle w:val="a3"/>
              <w:ind w:firstLineChars="0" w:firstLine="0"/>
              <w:jc w:val="center"/>
              <w:rPr>
                <w:szCs w:val="21"/>
                <w:lang w:eastAsia="zh-Hans"/>
              </w:rPr>
            </w:pPr>
            <w:r>
              <w:rPr>
                <w:rFonts w:hint="eastAsia"/>
                <w:szCs w:val="21"/>
                <w:lang w:eastAsia="zh-Hans"/>
              </w:rPr>
              <w:t>4</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58AF42" w14:textId="77777777" w:rsidR="00A320E6" w:rsidRDefault="00000000" w:rsidP="00EC50E9">
            <w:pPr>
              <w:pStyle w:val="a3"/>
              <w:ind w:firstLineChars="0" w:firstLine="0"/>
              <w:rPr>
                <w:szCs w:val="21"/>
                <w:lang w:eastAsia="zh-Hans"/>
              </w:rPr>
            </w:pPr>
            <w:r>
              <w:rPr>
                <w:rFonts w:hint="eastAsia"/>
                <w:szCs w:val="21"/>
                <w:lang w:eastAsia="zh-Hans"/>
              </w:rPr>
              <w:t>厕所</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87F6C" w14:textId="77777777" w:rsidR="00A320E6" w:rsidRDefault="00000000" w:rsidP="00EC50E9">
            <w:pPr>
              <w:pStyle w:val="a3"/>
              <w:ind w:firstLineChars="0" w:firstLine="0"/>
              <w:rPr>
                <w:szCs w:val="21"/>
                <w:lang w:eastAsia="zh-Hans"/>
              </w:rPr>
            </w:pPr>
            <w:r>
              <w:rPr>
                <w:rFonts w:hint="eastAsia"/>
                <w:szCs w:val="21"/>
                <w:lang w:eastAsia="zh-Hans"/>
              </w:rPr>
              <w:t>砖（石）砌有顶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D233B" w14:textId="77777777" w:rsidR="00A320E6" w:rsidRDefault="00000000" w:rsidP="00EC50E9">
            <w:pPr>
              <w:pStyle w:val="a3"/>
              <w:ind w:firstLineChars="0" w:firstLine="0"/>
              <w:rPr>
                <w:szCs w:val="21"/>
                <w:lang w:eastAsia="zh-Hans"/>
              </w:rPr>
            </w:pPr>
            <w:r>
              <w:rPr>
                <w:rFonts w:hint="eastAsia"/>
                <w:szCs w:val="21"/>
                <w:lang w:eastAsia="zh-Hans"/>
              </w:rPr>
              <w:t>85-310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4D75D7" w14:textId="77777777" w:rsidR="00A320E6" w:rsidRDefault="00000000" w:rsidP="00EC50E9">
            <w:pPr>
              <w:pStyle w:val="a3"/>
              <w:ind w:firstLineChars="0" w:firstLine="0"/>
              <w:rPr>
                <w:szCs w:val="21"/>
                <w:lang w:eastAsia="zh-Hans"/>
              </w:rPr>
            </w:pPr>
            <w:r>
              <w:rPr>
                <w:rFonts w:hint="eastAsia"/>
                <w:szCs w:val="21"/>
                <w:lang w:eastAsia="zh-Hans"/>
              </w:rPr>
              <w:t>户外简易厕所</w:t>
            </w:r>
            <w:r>
              <w:rPr>
                <w:rFonts w:hint="eastAsia"/>
                <w:szCs w:val="21"/>
                <w:lang w:eastAsia="zh-Hans"/>
              </w:rPr>
              <w:t>120</w:t>
            </w:r>
            <w:r>
              <w:rPr>
                <w:rFonts w:hint="eastAsia"/>
                <w:szCs w:val="21"/>
                <w:lang w:eastAsia="zh-Hans"/>
              </w:rPr>
              <w:t>元</w:t>
            </w:r>
            <w:r>
              <w:rPr>
                <w:rFonts w:hint="eastAsia"/>
                <w:szCs w:val="21"/>
                <w:lang w:eastAsia="zh-Hans"/>
              </w:rPr>
              <w:t>/</w:t>
            </w:r>
            <w:r>
              <w:rPr>
                <w:rFonts w:hint="eastAsia"/>
                <w:szCs w:val="21"/>
                <w:lang w:eastAsia="zh-Hans"/>
              </w:rPr>
              <w:t>个；旧料归原主。</w:t>
            </w:r>
          </w:p>
        </w:tc>
      </w:tr>
      <w:tr w:rsidR="00A320E6" w14:paraId="2730FEF3"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99F80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CDB80D"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AC6CD" w14:textId="77777777" w:rsidR="00A320E6" w:rsidRDefault="00000000" w:rsidP="00EC50E9">
            <w:pPr>
              <w:pStyle w:val="a3"/>
              <w:ind w:firstLineChars="0" w:firstLine="0"/>
              <w:rPr>
                <w:szCs w:val="21"/>
                <w:lang w:eastAsia="zh-Hans"/>
              </w:rPr>
            </w:pPr>
            <w:r>
              <w:rPr>
                <w:rFonts w:hint="eastAsia"/>
                <w:szCs w:val="21"/>
                <w:lang w:eastAsia="zh-Hans"/>
              </w:rPr>
              <w:t>砖（石）砌无顶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99EE3" w14:textId="77777777" w:rsidR="00A320E6" w:rsidRDefault="00000000" w:rsidP="00EC50E9">
            <w:pPr>
              <w:pStyle w:val="a3"/>
              <w:ind w:firstLineChars="0" w:firstLine="0"/>
              <w:rPr>
                <w:szCs w:val="21"/>
                <w:lang w:eastAsia="zh-Hans"/>
              </w:rPr>
            </w:pPr>
            <w:r>
              <w:rPr>
                <w:rFonts w:hint="eastAsia"/>
                <w:szCs w:val="21"/>
                <w:lang w:eastAsia="zh-Hans"/>
              </w:rPr>
              <w:t>55-210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611A0C" w14:textId="77777777" w:rsidR="00A320E6" w:rsidRDefault="00A320E6" w:rsidP="00EC50E9">
            <w:pPr>
              <w:pStyle w:val="a3"/>
              <w:ind w:firstLineChars="0" w:firstLine="0"/>
              <w:rPr>
                <w:szCs w:val="21"/>
                <w:lang w:eastAsia="zh-Hans"/>
              </w:rPr>
            </w:pPr>
          </w:p>
        </w:tc>
      </w:tr>
      <w:tr w:rsidR="00A320E6" w14:paraId="137BA0EB" w14:textId="77777777" w:rsidTr="00AA2FAF">
        <w:trPr>
          <w:trHeight w:val="30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B179C9" w14:textId="77777777" w:rsidR="00A320E6" w:rsidRDefault="00000000" w:rsidP="00EC50E9">
            <w:pPr>
              <w:pStyle w:val="a3"/>
              <w:ind w:firstLineChars="0" w:firstLine="0"/>
              <w:jc w:val="center"/>
              <w:rPr>
                <w:szCs w:val="21"/>
                <w:lang w:eastAsia="zh-Hans"/>
              </w:rPr>
            </w:pPr>
            <w:r>
              <w:rPr>
                <w:rFonts w:hint="eastAsia"/>
                <w:szCs w:val="21"/>
                <w:lang w:eastAsia="zh-Hans"/>
              </w:rPr>
              <w:t>5</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99CEC4" w14:textId="77777777" w:rsidR="00A320E6" w:rsidRDefault="00000000" w:rsidP="00EC50E9">
            <w:pPr>
              <w:pStyle w:val="a3"/>
              <w:ind w:firstLineChars="0" w:firstLine="0"/>
              <w:rPr>
                <w:szCs w:val="21"/>
                <w:lang w:eastAsia="zh-Hans"/>
              </w:rPr>
            </w:pPr>
            <w:r>
              <w:rPr>
                <w:rFonts w:hint="eastAsia"/>
                <w:szCs w:val="21"/>
                <w:lang w:eastAsia="zh-Hans"/>
              </w:rPr>
              <w:t>畜禽舍</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DF843" w14:textId="77777777" w:rsidR="00A320E6" w:rsidRDefault="00000000" w:rsidP="00EC50E9">
            <w:pPr>
              <w:pStyle w:val="a3"/>
              <w:ind w:firstLineChars="0" w:firstLine="0"/>
              <w:rPr>
                <w:szCs w:val="21"/>
                <w:lang w:eastAsia="zh-Hans"/>
              </w:rPr>
            </w:pPr>
            <w:r>
              <w:rPr>
                <w:rFonts w:hint="eastAsia"/>
                <w:szCs w:val="21"/>
                <w:lang w:eastAsia="zh-Hans"/>
              </w:rPr>
              <w:t>砖混结构</w:t>
            </w:r>
            <w:r>
              <w:rPr>
                <w:rFonts w:hint="eastAsia"/>
                <w:szCs w:val="21"/>
                <w:lang w:eastAsia="zh-Hans"/>
              </w:rPr>
              <w:t>2.2m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A11FD" w14:textId="77777777" w:rsidR="00A320E6" w:rsidRDefault="00000000" w:rsidP="00EC50E9">
            <w:pPr>
              <w:pStyle w:val="a3"/>
              <w:ind w:firstLineChars="0" w:firstLine="0"/>
              <w:rPr>
                <w:szCs w:val="21"/>
                <w:lang w:eastAsia="zh-Hans"/>
              </w:rPr>
            </w:pPr>
            <w:r>
              <w:rPr>
                <w:rFonts w:hint="eastAsia"/>
                <w:szCs w:val="21"/>
                <w:lang w:eastAsia="zh-Hans"/>
              </w:rPr>
              <w:t>300-500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A0BCE6" w14:textId="77777777" w:rsidR="00A320E6" w:rsidRDefault="00000000" w:rsidP="00EC50E9">
            <w:pPr>
              <w:pStyle w:val="a3"/>
              <w:ind w:firstLineChars="0" w:firstLine="0"/>
              <w:rPr>
                <w:szCs w:val="21"/>
                <w:lang w:eastAsia="zh-Hans"/>
              </w:rPr>
            </w:pPr>
            <w:r>
              <w:rPr>
                <w:rFonts w:hint="eastAsia"/>
                <w:szCs w:val="21"/>
                <w:lang w:eastAsia="zh-Hans"/>
              </w:rPr>
              <w:t>化粪池</w:t>
            </w:r>
            <w:r>
              <w:rPr>
                <w:rFonts w:hint="eastAsia"/>
                <w:szCs w:val="21"/>
                <w:lang w:eastAsia="zh-Hans"/>
              </w:rPr>
              <w:t>240</w:t>
            </w:r>
            <w:r>
              <w:rPr>
                <w:rFonts w:hint="eastAsia"/>
                <w:szCs w:val="21"/>
                <w:lang w:eastAsia="zh-Hans"/>
              </w:rPr>
              <w:t>元</w:t>
            </w:r>
            <w:r>
              <w:rPr>
                <w:rFonts w:hint="eastAsia"/>
                <w:szCs w:val="21"/>
                <w:lang w:eastAsia="zh-Hans"/>
              </w:rPr>
              <w:t>/m</w:t>
            </w:r>
            <w:r>
              <w:rPr>
                <w:rFonts w:hint="eastAsia"/>
                <w:szCs w:val="21"/>
                <w:lang w:eastAsia="zh-Hans"/>
              </w:rPr>
              <w:t>³；旧料归原主。</w:t>
            </w:r>
          </w:p>
        </w:tc>
      </w:tr>
      <w:tr w:rsidR="00A320E6" w14:paraId="5D0FBE5E"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D9174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F230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FF01A" w14:textId="77777777" w:rsidR="00A320E6" w:rsidRDefault="00000000" w:rsidP="00EC50E9">
            <w:pPr>
              <w:pStyle w:val="a3"/>
              <w:ind w:firstLineChars="0" w:firstLine="0"/>
              <w:rPr>
                <w:szCs w:val="21"/>
                <w:lang w:eastAsia="zh-Hans"/>
              </w:rPr>
            </w:pPr>
            <w:r>
              <w:rPr>
                <w:rFonts w:hint="eastAsia"/>
                <w:szCs w:val="21"/>
                <w:lang w:eastAsia="zh-Hans"/>
              </w:rPr>
              <w:t>砖混结构</w:t>
            </w:r>
            <w:r>
              <w:rPr>
                <w:rFonts w:hint="eastAsia"/>
                <w:szCs w:val="21"/>
                <w:lang w:eastAsia="zh-Hans"/>
              </w:rPr>
              <w:t>2.2m</w:t>
            </w:r>
            <w:r>
              <w:rPr>
                <w:rFonts w:hint="eastAsia"/>
                <w:szCs w:val="21"/>
                <w:lang w:eastAsia="zh-Hans"/>
              </w:rPr>
              <w:t>以下</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AFB7F" w14:textId="77777777" w:rsidR="00A320E6" w:rsidRDefault="00000000" w:rsidP="00EC50E9">
            <w:pPr>
              <w:pStyle w:val="a3"/>
              <w:ind w:firstLineChars="0" w:firstLine="0"/>
              <w:rPr>
                <w:szCs w:val="21"/>
                <w:lang w:eastAsia="zh-Hans"/>
              </w:rPr>
            </w:pPr>
            <w:r>
              <w:rPr>
                <w:rFonts w:hint="eastAsia"/>
                <w:szCs w:val="21"/>
                <w:lang w:eastAsia="zh-Hans"/>
              </w:rPr>
              <w:t>130-260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CF201D" w14:textId="77777777" w:rsidR="00A320E6" w:rsidRDefault="00A320E6" w:rsidP="00EC50E9">
            <w:pPr>
              <w:pStyle w:val="a3"/>
              <w:ind w:firstLineChars="0" w:firstLine="0"/>
              <w:rPr>
                <w:szCs w:val="21"/>
                <w:lang w:eastAsia="zh-Hans"/>
              </w:rPr>
            </w:pPr>
          </w:p>
        </w:tc>
      </w:tr>
      <w:tr w:rsidR="00A320E6" w14:paraId="0A882A62"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7011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12971"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FB155" w14:textId="77777777" w:rsidR="00A320E6" w:rsidRDefault="00000000" w:rsidP="00EC50E9">
            <w:pPr>
              <w:pStyle w:val="a3"/>
              <w:ind w:firstLineChars="0" w:firstLine="0"/>
              <w:rPr>
                <w:szCs w:val="21"/>
                <w:lang w:eastAsia="zh-Hans"/>
              </w:rPr>
            </w:pPr>
            <w:r>
              <w:rPr>
                <w:rFonts w:hint="eastAsia"/>
                <w:szCs w:val="21"/>
                <w:lang w:eastAsia="zh-Hans"/>
              </w:rPr>
              <w:t>简易结构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30F8E" w14:textId="77777777" w:rsidR="00A320E6" w:rsidRDefault="00000000" w:rsidP="00EC50E9">
            <w:pPr>
              <w:pStyle w:val="a3"/>
              <w:ind w:firstLineChars="0" w:firstLine="0"/>
              <w:rPr>
                <w:szCs w:val="21"/>
                <w:lang w:eastAsia="zh-Hans"/>
              </w:rPr>
            </w:pPr>
            <w:r>
              <w:rPr>
                <w:rFonts w:hint="eastAsia"/>
                <w:szCs w:val="21"/>
                <w:lang w:eastAsia="zh-Hans"/>
              </w:rPr>
              <w:t>65-130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86FDB" w14:textId="77777777" w:rsidR="00A320E6" w:rsidRDefault="00A320E6" w:rsidP="00EC50E9">
            <w:pPr>
              <w:pStyle w:val="a3"/>
              <w:ind w:firstLineChars="0" w:firstLine="0"/>
              <w:rPr>
                <w:szCs w:val="21"/>
                <w:lang w:eastAsia="zh-Hans"/>
              </w:rPr>
            </w:pPr>
          </w:p>
        </w:tc>
      </w:tr>
      <w:tr w:rsidR="00A320E6" w14:paraId="6E2CE0AF" w14:textId="77777777" w:rsidTr="00AA2FAF">
        <w:trPr>
          <w:trHeight w:val="30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EB4F7" w14:textId="77777777" w:rsidR="00A320E6" w:rsidRDefault="00000000" w:rsidP="00EC50E9">
            <w:pPr>
              <w:pStyle w:val="a3"/>
              <w:ind w:firstLineChars="0" w:firstLine="0"/>
              <w:jc w:val="center"/>
              <w:rPr>
                <w:szCs w:val="21"/>
                <w:lang w:eastAsia="zh-Hans"/>
              </w:rPr>
            </w:pPr>
            <w:r>
              <w:rPr>
                <w:rFonts w:hint="eastAsia"/>
                <w:szCs w:val="21"/>
                <w:lang w:eastAsia="zh-Hans"/>
              </w:rPr>
              <w:t>6</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012686" w14:textId="77777777" w:rsidR="00A320E6" w:rsidRDefault="00000000" w:rsidP="00EC50E9">
            <w:pPr>
              <w:pStyle w:val="a3"/>
              <w:ind w:firstLineChars="0" w:firstLine="0"/>
              <w:rPr>
                <w:szCs w:val="21"/>
                <w:lang w:eastAsia="zh-Hans"/>
              </w:rPr>
            </w:pPr>
            <w:r>
              <w:rPr>
                <w:rFonts w:hint="eastAsia"/>
                <w:szCs w:val="21"/>
                <w:lang w:eastAsia="zh-Hans"/>
              </w:rPr>
              <w:t>水井</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F9E66" w14:textId="77777777" w:rsidR="00A320E6" w:rsidRDefault="00000000" w:rsidP="00EC50E9">
            <w:pPr>
              <w:pStyle w:val="a3"/>
              <w:ind w:firstLineChars="0" w:firstLine="0"/>
              <w:rPr>
                <w:szCs w:val="21"/>
                <w:lang w:eastAsia="zh-Hans"/>
              </w:rPr>
            </w:pPr>
            <w:r>
              <w:rPr>
                <w:rFonts w:hint="eastAsia"/>
                <w:szCs w:val="21"/>
                <w:lang w:eastAsia="zh-Hans"/>
              </w:rPr>
              <w:t>手压井</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C7FFA" w14:textId="77777777" w:rsidR="00A320E6" w:rsidRDefault="00000000" w:rsidP="00EC50E9">
            <w:pPr>
              <w:pStyle w:val="a3"/>
              <w:ind w:firstLineChars="0" w:firstLine="0"/>
              <w:rPr>
                <w:szCs w:val="21"/>
                <w:lang w:eastAsia="zh-Hans"/>
              </w:rPr>
            </w:pPr>
            <w:r>
              <w:rPr>
                <w:rFonts w:hint="eastAsia"/>
                <w:szCs w:val="21"/>
                <w:lang w:eastAsia="zh-Hans"/>
              </w:rPr>
              <w:t>20-35</w:t>
            </w:r>
            <w:r>
              <w:rPr>
                <w:rFonts w:hint="eastAsia"/>
                <w:szCs w:val="21"/>
                <w:lang w:eastAsia="zh-Hans"/>
              </w:rPr>
              <w:t>元</w:t>
            </w:r>
            <w:r>
              <w:rPr>
                <w:rFonts w:hint="eastAsia"/>
                <w:szCs w:val="21"/>
                <w:lang w:eastAsia="zh-Hans"/>
              </w:rPr>
              <w:t>/m</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67A40" w14:textId="77777777" w:rsidR="00A320E6" w:rsidRDefault="00000000" w:rsidP="00EC50E9">
            <w:pPr>
              <w:pStyle w:val="a3"/>
              <w:ind w:firstLineChars="0" w:firstLine="0"/>
              <w:rPr>
                <w:szCs w:val="21"/>
                <w:lang w:eastAsia="zh-Hans"/>
              </w:rPr>
            </w:pPr>
            <w:r>
              <w:rPr>
                <w:rFonts w:hint="eastAsia"/>
                <w:szCs w:val="21"/>
                <w:lang w:eastAsia="zh-Hans"/>
              </w:rPr>
              <w:t>水井补偿包括开凿工程、用料及用工等费用；废、枯井按同类井补偿标准的</w:t>
            </w:r>
            <w:r>
              <w:rPr>
                <w:rFonts w:hint="eastAsia"/>
                <w:szCs w:val="21"/>
                <w:lang w:eastAsia="zh-Hans"/>
              </w:rPr>
              <w:t>30</w:t>
            </w:r>
            <w:r>
              <w:rPr>
                <w:rFonts w:hint="eastAsia"/>
                <w:szCs w:val="21"/>
                <w:lang w:eastAsia="zh-Hans"/>
              </w:rPr>
              <w:t>－</w:t>
            </w:r>
            <w:r>
              <w:rPr>
                <w:rFonts w:hint="eastAsia"/>
                <w:szCs w:val="21"/>
                <w:lang w:eastAsia="zh-Hans"/>
              </w:rPr>
              <w:t>50%</w:t>
            </w:r>
            <w:r>
              <w:rPr>
                <w:rFonts w:hint="eastAsia"/>
                <w:szCs w:val="21"/>
                <w:lang w:eastAsia="zh-Hans"/>
              </w:rPr>
              <w:t>补偿；机井按井深分段计算补偿；旧料归原主。</w:t>
            </w:r>
          </w:p>
        </w:tc>
      </w:tr>
      <w:tr w:rsidR="00A320E6" w14:paraId="6B4FF9BD"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487F1"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017D3"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EA303" w14:textId="77777777" w:rsidR="00A320E6" w:rsidRDefault="00000000" w:rsidP="00EC50E9">
            <w:pPr>
              <w:pStyle w:val="a3"/>
              <w:ind w:firstLineChars="0" w:firstLine="0"/>
              <w:rPr>
                <w:szCs w:val="21"/>
                <w:lang w:eastAsia="zh-Hans"/>
              </w:rPr>
            </w:pPr>
            <w:r>
              <w:rPr>
                <w:rFonts w:hint="eastAsia"/>
                <w:szCs w:val="21"/>
                <w:lang w:eastAsia="zh-Hans"/>
              </w:rPr>
              <w:t>土井：直径</w:t>
            </w:r>
            <w:r>
              <w:rPr>
                <w:rFonts w:hint="eastAsia"/>
                <w:szCs w:val="21"/>
                <w:lang w:eastAsia="zh-Hans"/>
              </w:rPr>
              <w:t>1.2m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08E1E" w14:textId="77777777" w:rsidR="00A320E6" w:rsidRDefault="00000000" w:rsidP="00EC50E9">
            <w:pPr>
              <w:pStyle w:val="a3"/>
              <w:ind w:firstLineChars="0" w:firstLine="0"/>
              <w:rPr>
                <w:szCs w:val="21"/>
                <w:lang w:eastAsia="zh-Hans"/>
              </w:rPr>
            </w:pPr>
            <w:r>
              <w:rPr>
                <w:rFonts w:hint="eastAsia"/>
                <w:szCs w:val="21"/>
                <w:lang w:eastAsia="zh-Hans"/>
              </w:rPr>
              <w:t>120-170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9019E" w14:textId="77777777" w:rsidR="00A320E6" w:rsidRDefault="00A320E6" w:rsidP="00EC50E9">
            <w:pPr>
              <w:pStyle w:val="a3"/>
              <w:ind w:firstLineChars="0" w:firstLine="0"/>
              <w:rPr>
                <w:szCs w:val="21"/>
                <w:lang w:eastAsia="zh-Hans"/>
              </w:rPr>
            </w:pPr>
          </w:p>
        </w:tc>
      </w:tr>
      <w:tr w:rsidR="00A320E6" w14:paraId="45F3761A" w14:textId="77777777" w:rsidTr="00AA2FAF">
        <w:trPr>
          <w:trHeight w:val="45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CC4B6"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83807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422EF" w14:textId="77777777" w:rsidR="00A320E6" w:rsidRDefault="00000000" w:rsidP="00EC50E9">
            <w:pPr>
              <w:pStyle w:val="a3"/>
              <w:ind w:firstLineChars="0" w:firstLine="0"/>
              <w:rPr>
                <w:szCs w:val="21"/>
                <w:lang w:eastAsia="zh-Hans"/>
              </w:rPr>
            </w:pPr>
            <w:r>
              <w:rPr>
                <w:rFonts w:hint="eastAsia"/>
                <w:szCs w:val="21"/>
                <w:lang w:eastAsia="zh-Hans"/>
              </w:rPr>
              <w:t>砖井（包括乱石井）</w:t>
            </w:r>
            <w:r>
              <w:rPr>
                <w:rFonts w:hint="eastAsia"/>
                <w:szCs w:val="21"/>
                <w:lang w:eastAsia="zh-Hans"/>
              </w:rPr>
              <w:br/>
            </w:r>
            <w:r>
              <w:rPr>
                <w:rFonts w:hint="eastAsia"/>
                <w:szCs w:val="21"/>
                <w:lang w:eastAsia="zh-Hans"/>
              </w:rPr>
              <w:t>深</w:t>
            </w:r>
            <w:r>
              <w:rPr>
                <w:rFonts w:hint="eastAsia"/>
                <w:szCs w:val="21"/>
                <w:lang w:eastAsia="zh-Hans"/>
              </w:rPr>
              <w:t>5-10m</w:t>
            </w:r>
            <w:r>
              <w:rPr>
                <w:rFonts w:hint="eastAsia"/>
                <w:szCs w:val="21"/>
                <w:lang w:eastAsia="zh-Hans"/>
              </w:rPr>
              <w:t>直径</w:t>
            </w:r>
            <w:r>
              <w:rPr>
                <w:rFonts w:hint="eastAsia"/>
                <w:szCs w:val="21"/>
                <w:lang w:eastAsia="zh-Hans"/>
              </w:rPr>
              <w:t>1.5m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CEC2A" w14:textId="77777777" w:rsidR="00A320E6" w:rsidRDefault="00000000" w:rsidP="00EC50E9">
            <w:pPr>
              <w:pStyle w:val="a3"/>
              <w:ind w:firstLineChars="0" w:firstLine="0"/>
              <w:rPr>
                <w:szCs w:val="21"/>
                <w:lang w:eastAsia="zh-Hans"/>
              </w:rPr>
            </w:pPr>
            <w:r>
              <w:rPr>
                <w:rFonts w:hint="eastAsia"/>
                <w:szCs w:val="21"/>
                <w:lang w:eastAsia="zh-Hans"/>
              </w:rPr>
              <w:t>4400-6600</w:t>
            </w:r>
            <w:r>
              <w:rPr>
                <w:rFonts w:hint="eastAsia"/>
                <w:szCs w:val="21"/>
                <w:lang w:eastAsia="zh-Hans"/>
              </w:rPr>
              <w:t>元</w:t>
            </w:r>
            <w:r>
              <w:rPr>
                <w:rFonts w:hint="eastAsia"/>
                <w:szCs w:val="21"/>
                <w:lang w:eastAsia="zh-Hans"/>
              </w:rPr>
              <w:t>/</w:t>
            </w:r>
            <w:r>
              <w:rPr>
                <w:rFonts w:hint="eastAsia"/>
                <w:szCs w:val="21"/>
                <w:lang w:eastAsia="zh-Hans"/>
              </w:rPr>
              <w:t>口</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9CC9B9" w14:textId="77777777" w:rsidR="00A320E6" w:rsidRDefault="00A320E6" w:rsidP="00EC50E9">
            <w:pPr>
              <w:pStyle w:val="a3"/>
              <w:ind w:firstLineChars="0" w:firstLine="0"/>
              <w:rPr>
                <w:szCs w:val="21"/>
                <w:lang w:eastAsia="zh-Hans"/>
              </w:rPr>
            </w:pPr>
          </w:p>
        </w:tc>
      </w:tr>
      <w:tr w:rsidR="00A320E6" w14:paraId="2EAA9B73"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06B09E"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B269D4"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2A7FC" w14:textId="77777777" w:rsidR="00A320E6" w:rsidRDefault="00000000" w:rsidP="00EC50E9">
            <w:pPr>
              <w:pStyle w:val="a3"/>
              <w:ind w:firstLineChars="0" w:firstLine="0"/>
              <w:rPr>
                <w:szCs w:val="21"/>
                <w:lang w:eastAsia="zh-Hans"/>
              </w:rPr>
            </w:pPr>
            <w:r>
              <w:rPr>
                <w:rFonts w:hint="eastAsia"/>
                <w:szCs w:val="21"/>
                <w:lang w:eastAsia="zh-Hans"/>
              </w:rPr>
              <w:t>深</w:t>
            </w:r>
            <w:r>
              <w:rPr>
                <w:rFonts w:hint="eastAsia"/>
                <w:szCs w:val="21"/>
                <w:lang w:eastAsia="zh-Hans"/>
              </w:rPr>
              <w:t>10-20m</w:t>
            </w:r>
            <w:r>
              <w:rPr>
                <w:rFonts w:hint="eastAsia"/>
                <w:szCs w:val="21"/>
                <w:lang w:eastAsia="zh-Hans"/>
              </w:rPr>
              <w:t>直径</w:t>
            </w:r>
            <w:r>
              <w:rPr>
                <w:rFonts w:hint="eastAsia"/>
                <w:szCs w:val="21"/>
                <w:lang w:eastAsia="zh-Hans"/>
              </w:rPr>
              <w:t>2.5m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32A57" w14:textId="77777777" w:rsidR="00A320E6" w:rsidRDefault="00000000" w:rsidP="00EC50E9">
            <w:pPr>
              <w:pStyle w:val="a3"/>
              <w:ind w:firstLineChars="0" w:firstLine="0"/>
              <w:rPr>
                <w:szCs w:val="21"/>
                <w:lang w:eastAsia="zh-Hans"/>
              </w:rPr>
            </w:pPr>
            <w:r>
              <w:rPr>
                <w:rFonts w:hint="eastAsia"/>
                <w:szCs w:val="21"/>
                <w:lang w:eastAsia="zh-Hans"/>
              </w:rPr>
              <w:t>6600-8800</w:t>
            </w:r>
            <w:r>
              <w:rPr>
                <w:rFonts w:hint="eastAsia"/>
                <w:szCs w:val="21"/>
                <w:lang w:eastAsia="zh-Hans"/>
              </w:rPr>
              <w:t>元</w:t>
            </w:r>
            <w:r>
              <w:rPr>
                <w:rFonts w:hint="eastAsia"/>
                <w:szCs w:val="21"/>
                <w:lang w:eastAsia="zh-Hans"/>
              </w:rPr>
              <w:t>/</w:t>
            </w:r>
            <w:r>
              <w:rPr>
                <w:rFonts w:hint="eastAsia"/>
                <w:szCs w:val="21"/>
                <w:lang w:eastAsia="zh-Hans"/>
              </w:rPr>
              <w:t>口</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C237F" w14:textId="77777777" w:rsidR="00A320E6" w:rsidRDefault="00A320E6" w:rsidP="00EC50E9">
            <w:pPr>
              <w:pStyle w:val="a3"/>
              <w:ind w:firstLineChars="0" w:firstLine="0"/>
              <w:rPr>
                <w:szCs w:val="21"/>
                <w:lang w:eastAsia="zh-Hans"/>
              </w:rPr>
            </w:pPr>
          </w:p>
        </w:tc>
      </w:tr>
      <w:tr w:rsidR="00A320E6" w14:paraId="6655DDC1"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1A5C39"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50E18E"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9DF2D" w14:textId="77777777" w:rsidR="00A320E6" w:rsidRDefault="00000000" w:rsidP="00EC50E9">
            <w:pPr>
              <w:pStyle w:val="a3"/>
              <w:ind w:firstLineChars="0" w:firstLine="0"/>
              <w:rPr>
                <w:szCs w:val="21"/>
                <w:lang w:eastAsia="zh-Hans"/>
              </w:rPr>
            </w:pPr>
            <w:r>
              <w:rPr>
                <w:rFonts w:hint="eastAsia"/>
                <w:szCs w:val="21"/>
                <w:lang w:eastAsia="zh-Hans"/>
              </w:rPr>
              <w:t>机井：直径</w:t>
            </w:r>
            <w:r>
              <w:rPr>
                <w:rFonts w:hint="eastAsia"/>
                <w:szCs w:val="21"/>
                <w:lang w:eastAsia="zh-Hans"/>
              </w:rPr>
              <w:t>15cm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38BFA" w14:textId="77777777" w:rsidR="00A320E6" w:rsidRDefault="00000000" w:rsidP="00EC50E9">
            <w:pPr>
              <w:pStyle w:val="a3"/>
              <w:ind w:firstLineChars="0" w:firstLine="0"/>
              <w:rPr>
                <w:szCs w:val="21"/>
                <w:lang w:eastAsia="zh-Hans"/>
              </w:rPr>
            </w:pPr>
            <w:r>
              <w:rPr>
                <w:rFonts w:hint="eastAsia"/>
                <w:szCs w:val="21"/>
                <w:lang w:eastAsia="zh-Hans"/>
              </w:rPr>
              <w:t>55-90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BDCC5D" w14:textId="77777777" w:rsidR="00A320E6" w:rsidRDefault="00A320E6" w:rsidP="00EC50E9">
            <w:pPr>
              <w:pStyle w:val="a3"/>
              <w:ind w:firstLineChars="0" w:firstLine="0"/>
              <w:rPr>
                <w:szCs w:val="21"/>
                <w:lang w:eastAsia="zh-Hans"/>
              </w:rPr>
            </w:pPr>
          </w:p>
        </w:tc>
      </w:tr>
      <w:tr w:rsidR="00A320E6" w14:paraId="4565A4A7" w14:textId="77777777" w:rsidTr="00AA2FAF">
        <w:trPr>
          <w:trHeight w:val="45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92A61"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B88F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2D26F" w14:textId="77777777" w:rsidR="00A320E6" w:rsidRDefault="00000000" w:rsidP="00EC50E9">
            <w:pPr>
              <w:pStyle w:val="a3"/>
              <w:ind w:firstLineChars="0" w:firstLine="0"/>
              <w:rPr>
                <w:szCs w:val="21"/>
                <w:lang w:eastAsia="zh-Hans"/>
              </w:rPr>
            </w:pPr>
            <w:r>
              <w:rPr>
                <w:rFonts w:hint="eastAsia"/>
                <w:szCs w:val="21"/>
                <w:lang w:eastAsia="zh-Hans"/>
              </w:rPr>
              <w:t>机井：</w:t>
            </w:r>
            <w:r>
              <w:rPr>
                <w:rFonts w:hint="eastAsia"/>
                <w:szCs w:val="21"/>
                <w:lang w:eastAsia="zh-Hans"/>
              </w:rPr>
              <w:br/>
            </w:r>
            <w:r>
              <w:rPr>
                <w:rFonts w:hint="eastAsia"/>
                <w:szCs w:val="21"/>
                <w:lang w:eastAsia="zh-Hans"/>
              </w:rPr>
              <w:t>直径</w:t>
            </w:r>
            <w:r>
              <w:rPr>
                <w:rFonts w:hint="eastAsia"/>
                <w:szCs w:val="21"/>
                <w:lang w:eastAsia="zh-Hans"/>
              </w:rPr>
              <w:t>32.5cm</w:t>
            </w:r>
            <w:r>
              <w:rPr>
                <w:rFonts w:hint="eastAsia"/>
                <w:szCs w:val="21"/>
                <w:lang w:eastAsia="zh-Hans"/>
              </w:rPr>
              <w:t>以上深</w:t>
            </w:r>
            <w:r>
              <w:rPr>
                <w:rFonts w:hint="eastAsia"/>
                <w:szCs w:val="21"/>
                <w:lang w:eastAsia="zh-Hans"/>
              </w:rPr>
              <w:t>20-50m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D095" w14:textId="77777777" w:rsidR="00A320E6" w:rsidRDefault="00000000" w:rsidP="00EC50E9">
            <w:pPr>
              <w:pStyle w:val="a3"/>
              <w:ind w:firstLineChars="0" w:firstLine="0"/>
              <w:rPr>
                <w:szCs w:val="21"/>
                <w:lang w:eastAsia="zh-Hans"/>
              </w:rPr>
            </w:pPr>
            <w:r>
              <w:rPr>
                <w:rFonts w:hint="eastAsia"/>
                <w:szCs w:val="21"/>
                <w:lang w:eastAsia="zh-Hans"/>
              </w:rPr>
              <w:t>240-300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5198F4" w14:textId="77777777" w:rsidR="00A320E6" w:rsidRDefault="00A320E6" w:rsidP="00EC50E9">
            <w:pPr>
              <w:pStyle w:val="a3"/>
              <w:ind w:firstLineChars="0" w:firstLine="0"/>
              <w:rPr>
                <w:szCs w:val="21"/>
                <w:lang w:eastAsia="zh-Hans"/>
              </w:rPr>
            </w:pPr>
          </w:p>
        </w:tc>
      </w:tr>
      <w:tr w:rsidR="00A320E6" w14:paraId="544B04A1"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6A769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54ED46"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95E2" w14:textId="77777777" w:rsidR="00A320E6" w:rsidRDefault="00000000" w:rsidP="00EC50E9">
            <w:pPr>
              <w:pStyle w:val="a3"/>
              <w:ind w:firstLineChars="0" w:firstLine="0"/>
              <w:rPr>
                <w:szCs w:val="21"/>
                <w:lang w:eastAsia="zh-Hans"/>
              </w:rPr>
            </w:pPr>
            <w:r>
              <w:rPr>
                <w:rFonts w:hint="eastAsia"/>
                <w:szCs w:val="21"/>
                <w:lang w:eastAsia="zh-Hans"/>
              </w:rPr>
              <w:t>深</w:t>
            </w:r>
            <w:r>
              <w:rPr>
                <w:rFonts w:hint="eastAsia"/>
                <w:szCs w:val="21"/>
                <w:lang w:eastAsia="zh-Hans"/>
              </w:rPr>
              <w:t>50-100m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5D7E5" w14:textId="77777777" w:rsidR="00A320E6" w:rsidRDefault="00000000" w:rsidP="00EC50E9">
            <w:pPr>
              <w:pStyle w:val="a3"/>
              <w:ind w:firstLineChars="0" w:firstLine="0"/>
              <w:rPr>
                <w:szCs w:val="21"/>
                <w:lang w:eastAsia="zh-Hans"/>
              </w:rPr>
            </w:pPr>
            <w:r>
              <w:rPr>
                <w:rFonts w:hint="eastAsia"/>
                <w:szCs w:val="21"/>
                <w:lang w:eastAsia="zh-Hans"/>
              </w:rPr>
              <w:t>300-390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F82909" w14:textId="77777777" w:rsidR="00A320E6" w:rsidRDefault="00A320E6" w:rsidP="00EC50E9">
            <w:pPr>
              <w:pStyle w:val="a3"/>
              <w:ind w:firstLineChars="0" w:firstLine="0"/>
              <w:rPr>
                <w:szCs w:val="21"/>
                <w:lang w:eastAsia="zh-Hans"/>
              </w:rPr>
            </w:pPr>
          </w:p>
        </w:tc>
      </w:tr>
      <w:tr w:rsidR="00A320E6" w14:paraId="164CAF66"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FD7478"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6A1396"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E1BDD" w14:textId="77777777" w:rsidR="00A320E6" w:rsidRDefault="00000000" w:rsidP="00EC50E9">
            <w:pPr>
              <w:pStyle w:val="a3"/>
              <w:ind w:firstLineChars="0" w:firstLine="0"/>
              <w:rPr>
                <w:szCs w:val="21"/>
                <w:lang w:eastAsia="zh-Hans"/>
              </w:rPr>
            </w:pPr>
            <w:r>
              <w:rPr>
                <w:rFonts w:hint="eastAsia"/>
                <w:szCs w:val="21"/>
                <w:lang w:eastAsia="zh-Hans"/>
              </w:rPr>
              <w:t>深</w:t>
            </w:r>
            <w:r>
              <w:rPr>
                <w:rFonts w:hint="eastAsia"/>
                <w:szCs w:val="21"/>
                <w:lang w:eastAsia="zh-Hans"/>
              </w:rPr>
              <w:t>100-250m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FB3DF" w14:textId="77777777" w:rsidR="00A320E6" w:rsidRDefault="00000000" w:rsidP="00EC50E9">
            <w:pPr>
              <w:pStyle w:val="a3"/>
              <w:ind w:firstLineChars="0" w:firstLine="0"/>
              <w:rPr>
                <w:szCs w:val="21"/>
                <w:lang w:eastAsia="zh-Hans"/>
              </w:rPr>
            </w:pPr>
            <w:r>
              <w:rPr>
                <w:rFonts w:hint="eastAsia"/>
                <w:szCs w:val="21"/>
                <w:lang w:eastAsia="zh-Hans"/>
              </w:rPr>
              <w:t>390-460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44089" w14:textId="77777777" w:rsidR="00A320E6" w:rsidRDefault="00A320E6" w:rsidP="00EC50E9">
            <w:pPr>
              <w:pStyle w:val="a3"/>
              <w:ind w:firstLineChars="0" w:firstLine="0"/>
              <w:rPr>
                <w:szCs w:val="21"/>
                <w:lang w:eastAsia="zh-Hans"/>
              </w:rPr>
            </w:pPr>
          </w:p>
        </w:tc>
      </w:tr>
      <w:tr w:rsidR="00A320E6" w14:paraId="21F9EFCF" w14:textId="77777777" w:rsidTr="00AA2FAF">
        <w:trPr>
          <w:trHeight w:val="30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F197A0"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52981C"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252D8" w14:textId="77777777" w:rsidR="00A320E6" w:rsidRDefault="00000000" w:rsidP="00EC50E9">
            <w:pPr>
              <w:pStyle w:val="a3"/>
              <w:ind w:firstLineChars="0" w:firstLine="0"/>
              <w:rPr>
                <w:szCs w:val="21"/>
                <w:lang w:eastAsia="zh-Hans"/>
              </w:rPr>
            </w:pPr>
            <w:r>
              <w:rPr>
                <w:rFonts w:hint="eastAsia"/>
                <w:szCs w:val="21"/>
                <w:lang w:eastAsia="zh-Hans"/>
              </w:rPr>
              <w:t>深</w:t>
            </w:r>
            <w:r>
              <w:rPr>
                <w:rFonts w:hint="eastAsia"/>
                <w:szCs w:val="21"/>
                <w:lang w:eastAsia="zh-Hans"/>
              </w:rPr>
              <w:t>250m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1F29" w14:textId="77777777" w:rsidR="00A320E6" w:rsidRDefault="00000000" w:rsidP="00EC50E9">
            <w:pPr>
              <w:pStyle w:val="a3"/>
              <w:ind w:firstLineChars="0" w:firstLine="0"/>
              <w:rPr>
                <w:szCs w:val="21"/>
                <w:lang w:eastAsia="zh-Hans"/>
              </w:rPr>
            </w:pPr>
            <w:r>
              <w:rPr>
                <w:rFonts w:hint="eastAsia"/>
                <w:szCs w:val="21"/>
                <w:lang w:eastAsia="zh-Hans"/>
              </w:rPr>
              <w:t>460-640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251095" w14:textId="77777777" w:rsidR="00A320E6" w:rsidRDefault="00A320E6" w:rsidP="00EC50E9">
            <w:pPr>
              <w:pStyle w:val="a3"/>
              <w:ind w:firstLineChars="0" w:firstLine="0"/>
              <w:rPr>
                <w:szCs w:val="21"/>
                <w:lang w:eastAsia="zh-Hans"/>
              </w:rPr>
            </w:pPr>
          </w:p>
        </w:tc>
      </w:tr>
      <w:tr w:rsidR="00A320E6" w14:paraId="3D62E22A"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719D36" w14:textId="77777777" w:rsidR="00A320E6" w:rsidRDefault="00000000" w:rsidP="00EC50E9">
            <w:pPr>
              <w:pStyle w:val="a3"/>
              <w:ind w:firstLineChars="0" w:firstLine="0"/>
              <w:jc w:val="center"/>
              <w:rPr>
                <w:szCs w:val="21"/>
                <w:lang w:eastAsia="zh-Hans"/>
              </w:rPr>
            </w:pPr>
            <w:r>
              <w:rPr>
                <w:rFonts w:hint="eastAsia"/>
                <w:szCs w:val="21"/>
                <w:lang w:eastAsia="zh-Hans"/>
              </w:rPr>
              <w:t>7</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A8DF41" w14:textId="77777777" w:rsidR="00A320E6" w:rsidRDefault="00000000" w:rsidP="00EC50E9">
            <w:pPr>
              <w:pStyle w:val="a3"/>
              <w:ind w:firstLineChars="0" w:firstLine="0"/>
              <w:rPr>
                <w:szCs w:val="21"/>
                <w:lang w:eastAsia="zh-Hans"/>
              </w:rPr>
            </w:pPr>
            <w:r>
              <w:rPr>
                <w:rFonts w:hint="eastAsia"/>
                <w:szCs w:val="21"/>
                <w:lang w:eastAsia="zh-Hans"/>
              </w:rPr>
              <w:t>温室大棚</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9BB1F" w14:textId="77777777" w:rsidR="00A320E6" w:rsidRDefault="00000000" w:rsidP="00EC50E9">
            <w:pPr>
              <w:pStyle w:val="a3"/>
              <w:ind w:firstLineChars="0" w:firstLine="0"/>
              <w:rPr>
                <w:szCs w:val="21"/>
                <w:lang w:eastAsia="zh-Hans"/>
              </w:rPr>
            </w:pPr>
            <w:r>
              <w:rPr>
                <w:rFonts w:hint="eastAsia"/>
                <w:szCs w:val="21"/>
                <w:lang w:eastAsia="zh-Hans"/>
              </w:rPr>
              <w:t>砖墙、钢砼骨架玻璃顶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C6D81" w14:textId="77777777" w:rsidR="00A320E6" w:rsidRDefault="00000000" w:rsidP="00EC50E9">
            <w:pPr>
              <w:pStyle w:val="a3"/>
              <w:ind w:firstLineChars="0" w:firstLine="0"/>
              <w:rPr>
                <w:szCs w:val="21"/>
                <w:lang w:eastAsia="zh-Hans"/>
              </w:rPr>
            </w:pPr>
            <w:r>
              <w:rPr>
                <w:rFonts w:hint="eastAsia"/>
                <w:szCs w:val="21"/>
                <w:lang w:eastAsia="zh-Hans"/>
              </w:rPr>
              <w:t>170-220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1AE28" w14:textId="77777777" w:rsidR="00A320E6" w:rsidRDefault="00000000" w:rsidP="00EC50E9">
            <w:pPr>
              <w:pStyle w:val="a3"/>
              <w:ind w:firstLineChars="0" w:firstLine="0"/>
              <w:rPr>
                <w:szCs w:val="21"/>
                <w:lang w:eastAsia="zh-Hans"/>
              </w:rPr>
            </w:pPr>
            <w:r>
              <w:rPr>
                <w:rFonts w:hint="eastAsia"/>
                <w:szCs w:val="21"/>
                <w:lang w:eastAsia="zh-Hans"/>
              </w:rPr>
              <w:t>旧料归原主。</w:t>
            </w:r>
          </w:p>
        </w:tc>
      </w:tr>
      <w:tr w:rsidR="00A320E6" w14:paraId="27B4C465"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B307D"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FECF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2E3D3" w14:textId="77777777" w:rsidR="00A320E6" w:rsidRDefault="00000000" w:rsidP="00EC50E9">
            <w:pPr>
              <w:pStyle w:val="a3"/>
              <w:ind w:firstLineChars="0" w:firstLine="0"/>
              <w:rPr>
                <w:szCs w:val="21"/>
                <w:lang w:eastAsia="zh-Hans"/>
              </w:rPr>
            </w:pPr>
            <w:r>
              <w:rPr>
                <w:rFonts w:hint="eastAsia"/>
                <w:szCs w:val="21"/>
                <w:lang w:eastAsia="zh-Hans"/>
              </w:rPr>
              <w:t>砖墙、钢砼骨架塑料薄膜顶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AE78D" w14:textId="77777777" w:rsidR="00A320E6" w:rsidRDefault="00000000" w:rsidP="00EC50E9">
            <w:pPr>
              <w:pStyle w:val="a3"/>
              <w:ind w:firstLineChars="0" w:firstLine="0"/>
              <w:rPr>
                <w:szCs w:val="21"/>
                <w:lang w:eastAsia="zh-Hans"/>
              </w:rPr>
            </w:pPr>
            <w:r>
              <w:rPr>
                <w:rFonts w:hint="eastAsia"/>
                <w:szCs w:val="21"/>
                <w:lang w:eastAsia="zh-Hans"/>
              </w:rPr>
              <w:t>130-170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1D427" w14:textId="77777777" w:rsidR="00A320E6" w:rsidRDefault="00A320E6" w:rsidP="00EC50E9">
            <w:pPr>
              <w:pStyle w:val="a3"/>
              <w:ind w:firstLineChars="0" w:firstLine="0"/>
              <w:rPr>
                <w:szCs w:val="21"/>
                <w:lang w:eastAsia="zh-Hans"/>
              </w:rPr>
            </w:pPr>
          </w:p>
        </w:tc>
      </w:tr>
      <w:tr w:rsidR="00A320E6" w14:paraId="0DA138E6"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DF23A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73952"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EEA76" w14:textId="77777777" w:rsidR="00A320E6" w:rsidRDefault="00000000" w:rsidP="00EC50E9">
            <w:pPr>
              <w:pStyle w:val="a3"/>
              <w:ind w:firstLineChars="0" w:firstLine="0"/>
              <w:rPr>
                <w:szCs w:val="21"/>
                <w:lang w:eastAsia="zh-Hans"/>
              </w:rPr>
            </w:pPr>
            <w:r>
              <w:rPr>
                <w:rFonts w:hint="eastAsia"/>
                <w:szCs w:val="21"/>
                <w:lang w:eastAsia="zh-Hans"/>
              </w:rPr>
              <w:t>简易塑料薄膜顶</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58B75" w14:textId="77777777" w:rsidR="00A320E6" w:rsidRDefault="00000000" w:rsidP="00EC50E9">
            <w:pPr>
              <w:pStyle w:val="a3"/>
              <w:ind w:firstLineChars="0" w:firstLine="0"/>
              <w:rPr>
                <w:szCs w:val="21"/>
                <w:lang w:eastAsia="zh-Hans"/>
              </w:rPr>
            </w:pPr>
            <w:r>
              <w:rPr>
                <w:rFonts w:hint="eastAsia"/>
                <w:szCs w:val="21"/>
                <w:lang w:eastAsia="zh-Hans"/>
              </w:rPr>
              <w:t>22-45</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3D221" w14:textId="77777777" w:rsidR="00A320E6" w:rsidRDefault="00A320E6" w:rsidP="00EC50E9">
            <w:pPr>
              <w:pStyle w:val="a3"/>
              <w:ind w:firstLineChars="0" w:firstLine="0"/>
              <w:rPr>
                <w:szCs w:val="21"/>
                <w:lang w:eastAsia="zh-Hans"/>
              </w:rPr>
            </w:pPr>
          </w:p>
        </w:tc>
      </w:tr>
      <w:tr w:rsidR="00A320E6" w14:paraId="1CF06C55" w14:textId="77777777" w:rsidTr="00AA2FAF">
        <w:trPr>
          <w:trHeight w:val="34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07B29" w14:textId="77777777" w:rsidR="00A320E6" w:rsidRDefault="00000000" w:rsidP="00EC50E9">
            <w:pPr>
              <w:pStyle w:val="a3"/>
              <w:ind w:firstLineChars="0" w:firstLine="0"/>
              <w:jc w:val="center"/>
              <w:rPr>
                <w:szCs w:val="21"/>
                <w:lang w:eastAsia="zh-Hans"/>
              </w:rPr>
            </w:pPr>
            <w:r>
              <w:rPr>
                <w:rFonts w:hint="eastAsia"/>
                <w:szCs w:val="21"/>
                <w:lang w:eastAsia="zh-Hans"/>
              </w:rPr>
              <w:t>8</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1C927" w14:textId="77777777" w:rsidR="00A320E6" w:rsidRDefault="00000000" w:rsidP="00EC50E9">
            <w:pPr>
              <w:pStyle w:val="a3"/>
              <w:ind w:firstLineChars="0" w:firstLine="0"/>
              <w:rPr>
                <w:szCs w:val="21"/>
                <w:lang w:eastAsia="zh-Hans"/>
              </w:rPr>
            </w:pPr>
            <w:r>
              <w:rPr>
                <w:rFonts w:hint="eastAsia"/>
                <w:szCs w:val="21"/>
                <w:lang w:eastAsia="zh-Hans"/>
              </w:rPr>
              <w:t>地窖</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EE7B5" w14:textId="77777777" w:rsidR="00A320E6" w:rsidRDefault="00000000" w:rsidP="00EC50E9">
            <w:pPr>
              <w:pStyle w:val="a3"/>
              <w:ind w:firstLineChars="0" w:firstLine="0"/>
              <w:rPr>
                <w:szCs w:val="21"/>
                <w:lang w:eastAsia="zh-Hans"/>
              </w:rPr>
            </w:pPr>
            <w:r>
              <w:rPr>
                <w:rFonts w:hint="eastAsia"/>
                <w:szCs w:val="21"/>
                <w:lang w:eastAsia="zh-Hans"/>
              </w:rPr>
              <w:t>地窖</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C056A" w14:textId="77777777" w:rsidR="00A320E6" w:rsidRDefault="00000000" w:rsidP="00EC50E9">
            <w:pPr>
              <w:pStyle w:val="a3"/>
              <w:ind w:firstLineChars="0" w:firstLine="0"/>
              <w:rPr>
                <w:szCs w:val="21"/>
                <w:lang w:eastAsia="zh-Hans"/>
              </w:rPr>
            </w:pPr>
            <w:r>
              <w:rPr>
                <w:rFonts w:hint="eastAsia"/>
                <w:szCs w:val="21"/>
                <w:lang w:eastAsia="zh-Hans"/>
              </w:rPr>
              <w:t>65</w:t>
            </w:r>
            <w:r>
              <w:rPr>
                <w:rFonts w:hint="eastAsia"/>
                <w:szCs w:val="21"/>
                <w:lang w:eastAsia="zh-Hans"/>
              </w:rPr>
              <w:t>元</w:t>
            </w:r>
            <w:r>
              <w:rPr>
                <w:rFonts w:hint="eastAsia"/>
                <w:szCs w:val="21"/>
                <w:lang w:eastAsia="zh-Hans"/>
              </w:rPr>
              <w:t>/m</w:t>
            </w:r>
            <w:r>
              <w:rPr>
                <w:rFonts w:hint="eastAsia"/>
                <w:szCs w:val="21"/>
                <w:lang w:eastAsia="zh-Hans"/>
              </w:rPr>
              <w:t>³</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743F" w14:textId="77777777" w:rsidR="00A320E6" w:rsidRDefault="00A320E6" w:rsidP="00EC50E9">
            <w:pPr>
              <w:pStyle w:val="a3"/>
              <w:ind w:firstLineChars="0" w:firstLine="0"/>
              <w:rPr>
                <w:szCs w:val="21"/>
                <w:lang w:eastAsia="zh-Hans"/>
              </w:rPr>
            </w:pPr>
          </w:p>
        </w:tc>
      </w:tr>
      <w:tr w:rsidR="00A320E6" w14:paraId="354EF378" w14:textId="77777777" w:rsidTr="00AA2FAF">
        <w:trPr>
          <w:trHeight w:val="34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8AB61" w14:textId="77777777" w:rsidR="00A320E6" w:rsidRDefault="00000000" w:rsidP="00EC50E9">
            <w:pPr>
              <w:pStyle w:val="a3"/>
              <w:ind w:firstLineChars="0" w:firstLine="0"/>
              <w:jc w:val="center"/>
              <w:rPr>
                <w:szCs w:val="21"/>
                <w:lang w:eastAsia="zh-Hans"/>
              </w:rPr>
            </w:pPr>
            <w:r>
              <w:rPr>
                <w:rFonts w:hint="eastAsia"/>
                <w:szCs w:val="21"/>
                <w:lang w:eastAsia="zh-Hans"/>
              </w:rPr>
              <w:t>9</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3926A" w14:textId="77777777" w:rsidR="00A320E6" w:rsidRDefault="00000000" w:rsidP="00EC50E9">
            <w:pPr>
              <w:pStyle w:val="a3"/>
              <w:ind w:firstLineChars="0" w:firstLine="0"/>
              <w:rPr>
                <w:szCs w:val="21"/>
                <w:lang w:eastAsia="zh-Hans"/>
              </w:rPr>
            </w:pPr>
            <w:r>
              <w:rPr>
                <w:rFonts w:hint="eastAsia"/>
                <w:szCs w:val="21"/>
                <w:lang w:eastAsia="zh-Hans"/>
              </w:rPr>
              <w:t>迁坟</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4AEBE" w14:textId="77777777" w:rsidR="00A320E6" w:rsidRDefault="00000000" w:rsidP="00EC50E9">
            <w:pPr>
              <w:pStyle w:val="a3"/>
              <w:ind w:firstLineChars="0" w:firstLine="0"/>
              <w:rPr>
                <w:szCs w:val="21"/>
                <w:lang w:eastAsia="zh-Hans"/>
              </w:rPr>
            </w:pPr>
            <w:r>
              <w:rPr>
                <w:rFonts w:hint="eastAsia"/>
                <w:szCs w:val="21"/>
                <w:lang w:eastAsia="zh-Hans"/>
              </w:rPr>
              <w:t>棺木、拾骨、骨灰盒</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09EBE" w14:textId="77777777" w:rsidR="00A320E6" w:rsidRDefault="00000000" w:rsidP="00EC50E9">
            <w:pPr>
              <w:pStyle w:val="a3"/>
              <w:ind w:firstLineChars="0" w:firstLine="0"/>
              <w:rPr>
                <w:szCs w:val="21"/>
                <w:lang w:eastAsia="zh-Hans"/>
              </w:rPr>
            </w:pPr>
            <w:r>
              <w:rPr>
                <w:rFonts w:hint="eastAsia"/>
                <w:szCs w:val="21"/>
                <w:lang w:eastAsia="zh-Hans"/>
              </w:rPr>
              <w:t>1100-1800</w:t>
            </w:r>
            <w:r>
              <w:rPr>
                <w:rFonts w:hint="eastAsia"/>
                <w:szCs w:val="21"/>
                <w:lang w:eastAsia="zh-Hans"/>
              </w:rPr>
              <w:t>元</w:t>
            </w:r>
            <w:r>
              <w:rPr>
                <w:rFonts w:hint="eastAsia"/>
                <w:szCs w:val="21"/>
                <w:lang w:eastAsia="zh-Hans"/>
              </w:rPr>
              <w:t>/</w:t>
            </w:r>
            <w:r>
              <w:rPr>
                <w:rFonts w:hint="eastAsia"/>
                <w:szCs w:val="21"/>
                <w:lang w:eastAsia="zh-Hans"/>
              </w:rPr>
              <w:t>座</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6B232" w14:textId="77777777" w:rsidR="00A320E6" w:rsidRDefault="00A320E6" w:rsidP="00EC50E9">
            <w:pPr>
              <w:pStyle w:val="a3"/>
              <w:ind w:firstLineChars="0" w:firstLine="0"/>
              <w:rPr>
                <w:szCs w:val="21"/>
                <w:lang w:eastAsia="zh-Hans"/>
              </w:rPr>
            </w:pPr>
          </w:p>
        </w:tc>
      </w:tr>
      <w:tr w:rsidR="00A320E6" w14:paraId="7F834028" w14:textId="77777777" w:rsidTr="00AA2FAF">
        <w:trPr>
          <w:trHeight w:val="34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F0B20" w14:textId="77777777" w:rsidR="00A320E6" w:rsidRDefault="00000000" w:rsidP="00EC50E9">
            <w:pPr>
              <w:pStyle w:val="a3"/>
              <w:ind w:firstLineChars="0" w:firstLine="0"/>
              <w:jc w:val="center"/>
              <w:rPr>
                <w:szCs w:val="21"/>
                <w:lang w:eastAsia="zh-Hans"/>
              </w:rPr>
            </w:pPr>
            <w:r>
              <w:rPr>
                <w:rFonts w:hint="eastAsia"/>
                <w:szCs w:val="21"/>
                <w:lang w:eastAsia="zh-Hans"/>
              </w:rPr>
              <w:t>10</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A9DDE" w14:textId="77777777" w:rsidR="00A320E6" w:rsidRDefault="00000000" w:rsidP="00EC50E9">
            <w:pPr>
              <w:pStyle w:val="a3"/>
              <w:ind w:firstLineChars="0" w:firstLine="0"/>
              <w:rPr>
                <w:szCs w:val="21"/>
                <w:lang w:eastAsia="zh-Hans"/>
              </w:rPr>
            </w:pPr>
            <w:r>
              <w:rPr>
                <w:rFonts w:hint="eastAsia"/>
                <w:szCs w:val="21"/>
                <w:lang w:eastAsia="zh-Hans"/>
              </w:rPr>
              <w:t>地瓜育秧池</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74648" w14:textId="77777777" w:rsidR="00A320E6" w:rsidRDefault="00A320E6" w:rsidP="00EC50E9">
            <w:pPr>
              <w:pStyle w:val="a3"/>
              <w:ind w:firstLineChars="0" w:firstLine="0"/>
              <w:rPr>
                <w:szCs w:val="21"/>
                <w:lang w:eastAsia="zh-Han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02314" w14:textId="77777777" w:rsidR="00A320E6" w:rsidRDefault="00000000" w:rsidP="00EC50E9">
            <w:pPr>
              <w:pStyle w:val="a3"/>
              <w:ind w:firstLineChars="0" w:firstLine="0"/>
              <w:rPr>
                <w:szCs w:val="21"/>
                <w:lang w:eastAsia="zh-Hans"/>
              </w:rPr>
            </w:pPr>
            <w:r>
              <w:rPr>
                <w:rFonts w:hint="eastAsia"/>
                <w:szCs w:val="21"/>
                <w:lang w:eastAsia="zh-Hans"/>
              </w:rPr>
              <w:t>22</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E97D2" w14:textId="77777777" w:rsidR="00A320E6" w:rsidRDefault="00A320E6" w:rsidP="00EC50E9">
            <w:pPr>
              <w:pStyle w:val="a3"/>
              <w:ind w:firstLineChars="0" w:firstLine="0"/>
              <w:rPr>
                <w:szCs w:val="21"/>
                <w:lang w:eastAsia="zh-Hans"/>
              </w:rPr>
            </w:pPr>
          </w:p>
        </w:tc>
      </w:tr>
      <w:tr w:rsidR="00A320E6" w14:paraId="601001F9" w14:textId="77777777" w:rsidTr="00AA2FAF">
        <w:trPr>
          <w:trHeight w:val="34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413BE2" w14:textId="77777777" w:rsidR="00A320E6" w:rsidRDefault="00000000" w:rsidP="00EC50E9">
            <w:pPr>
              <w:pStyle w:val="a3"/>
              <w:ind w:firstLineChars="0" w:firstLine="0"/>
              <w:jc w:val="center"/>
              <w:rPr>
                <w:szCs w:val="21"/>
                <w:lang w:eastAsia="zh-Hans"/>
              </w:rPr>
            </w:pPr>
            <w:r>
              <w:rPr>
                <w:rFonts w:hint="eastAsia"/>
                <w:szCs w:val="21"/>
                <w:lang w:eastAsia="zh-Hans"/>
              </w:rPr>
              <w:t>11</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A348F6" w14:textId="77777777" w:rsidR="00A320E6" w:rsidRDefault="00000000" w:rsidP="00EC50E9">
            <w:pPr>
              <w:pStyle w:val="a3"/>
              <w:ind w:firstLineChars="0" w:firstLine="0"/>
              <w:rPr>
                <w:szCs w:val="21"/>
                <w:lang w:eastAsia="zh-Hans"/>
              </w:rPr>
            </w:pPr>
            <w:r>
              <w:rPr>
                <w:rFonts w:hint="eastAsia"/>
                <w:szCs w:val="21"/>
                <w:lang w:eastAsia="zh-Hans"/>
              </w:rPr>
              <w:t>地面</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2C282" w14:textId="77777777" w:rsidR="00A320E6" w:rsidRDefault="00000000" w:rsidP="00EC50E9">
            <w:pPr>
              <w:pStyle w:val="a3"/>
              <w:ind w:firstLineChars="0" w:firstLine="0"/>
              <w:rPr>
                <w:szCs w:val="21"/>
                <w:lang w:eastAsia="zh-Hans"/>
              </w:rPr>
            </w:pPr>
            <w:r>
              <w:rPr>
                <w:rFonts w:hint="eastAsia"/>
                <w:szCs w:val="21"/>
                <w:lang w:eastAsia="zh-Hans"/>
              </w:rPr>
              <w:t>水泥地面</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CD775" w14:textId="77777777" w:rsidR="00A320E6" w:rsidRDefault="00000000" w:rsidP="00EC50E9">
            <w:pPr>
              <w:pStyle w:val="a3"/>
              <w:ind w:firstLineChars="0" w:firstLine="0"/>
              <w:rPr>
                <w:szCs w:val="21"/>
                <w:lang w:eastAsia="zh-Hans"/>
              </w:rPr>
            </w:pPr>
            <w:r>
              <w:rPr>
                <w:rFonts w:hint="eastAsia"/>
                <w:szCs w:val="21"/>
                <w:lang w:eastAsia="zh-Hans"/>
              </w:rPr>
              <w:t>22-32</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C2825D" w14:textId="77777777" w:rsidR="00A320E6" w:rsidRDefault="00A320E6" w:rsidP="00EC50E9">
            <w:pPr>
              <w:pStyle w:val="a3"/>
              <w:ind w:firstLineChars="0" w:firstLine="0"/>
              <w:rPr>
                <w:szCs w:val="21"/>
                <w:lang w:eastAsia="zh-Hans"/>
              </w:rPr>
            </w:pPr>
          </w:p>
        </w:tc>
      </w:tr>
      <w:tr w:rsidR="00A320E6" w14:paraId="3B3C9320"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8A5A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676BE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36943" w14:textId="77777777" w:rsidR="00A320E6" w:rsidRDefault="00000000" w:rsidP="00EC50E9">
            <w:pPr>
              <w:pStyle w:val="a3"/>
              <w:ind w:firstLineChars="0" w:firstLine="0"/>
              <w:rPr>
                <w:szCs w:val="21"/>
                <w:lang w:eastAsia="zh-Hans"/>
              </w:rPr>
            </w:pPr>
            <w:r>
              <w:rPr>
                <w:rFonts w:hint="eastAsia"/>
                <w:szCs w:val="21"/>
                <w:lang w:eastAsia="zh-Hans"/>
              </w:rPr>
              <w:t>花砖</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A225B" w14:textId="77777777" w:rsidR="00A320E6" w:rsidRDefault="00000000" w:rsidP="00EC50E9">
            <w:pPr>
              <w:pStyle w:val="a3"/>
              <w:ind w:firstLineChars="0" w:firstLine="0"/>
              <w:rPr>
                <w:szCs w:val="21"/>
                <w:lang w:eastAsia="zh-Hans"/>
              </w:rPr>
            </w:pPr>
            <w:r>
              <w:rPr>
                <w:rFonts w:hint="eastAsia"/>
                <w:szCs w:val="21"/>
                <w:lang w:eastAsia="zh-Hans"/>
              </w:rPr>
              <w:t>27-38</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D4D000" w14:textId="77777777" w:rsidR="00A320E6" w:rsidRDefault="00A320E6" w:rsidP="00EC50E9">
            <w:pPr>
              <w:pStyle w:val="a3"/>
              <w:ind w:firstLineChars="0" w:firstLine="0"/>
              <w:rPr>
                <w:szCs w:val="21"/>
                <w:lang w:eastAsia="zh-Hans"/>
              </w:rPr>
            </w:pPr>
          </w:p>
        </w:tc>
      </w:tr>
      <w:tr w:rsidR="00A320E6" w14:paraId="442A72EC" w14:textId="77777777" w:rsidTr="00AA2FAF">
        <w:trPr>
          <w:trHeight w:val="34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E507AC" w14:textId="77777777" w:rsidR="00A320E6" w:rsidRDefault="00000000" w:rsidP="00EC50E9">
            <w:pPr>
              <w:pStyle w:val="a3"/>
              <w:ind w:firstLineChars="0" w:firstLine="0"/>
              <w:jc w:val="center"/>
              <w:rPr>
                <w:szCs w:val="21"/>
                <w:lang w:eastAsia="zh-Hans"/>
              </w:rPr>
            </w:pPr>
            <w:r>
              <w:rPr>
                <w:rFonts w:hint="eastAsia"/>
                <w:szCs w:val="21"/>
                <w:lang w:eastAsia="zh-Hans"/>
              </w:rPr>
              <w:t>12</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640B2D" w14:textId="77777777" w:rsidR="00A320E6" w:rsidRDefault="00000000" w:rsidP="00EC50E9">
            <w:pPr>
              <w:pStyle w:val="a3"/>
              <w:ind w:firstLineChars="0" w:firstLine="0"/>
              <w:rPr>
                <w:szCs w:val="21"/>
                <w:lang w:eastAsia="zh-Hans"/>
              </w:rPr>
            </w:pPr>
            <w:r>
              <w:rPr>
                <w:rFonts w:hint="eastAsia"/>
                <w:szCs w:val="21"/>
                <w:lang w:eastAsia="zh-Hans"/>
              </w:rPr>
              <w:t>石堰</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DB84D" w14:textId="77777777" w:rsidR="00A320E6" w:rsidRDefault="00000000" w:rsidP="00EC50E9">
            <w:pPr>
              <w:pStyle w:val="a3"/>
              <w:ind w:firstLineChars="0" w:firstLine="0"/>
              <w:rPr>
                <w:szCs w:val="21"/>
                <w:lang w:eastAsia="zh-Hans"/>
              </w:rPr>
            </w:pPr>
            <w:r>
              <w:rPr>
                <w:rFonts w:hint="eastAsia"/>
                <w:szCs w:val="21"/>
                <w:lang w:eastAsia="zh-Hans"/>
              </w:rPr>
              <w:t>浆砌石堰</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46505" w14:textId="77777777" w:rsidR="00A320E6" w:rsidRDefault="00000000" w:rsidP="00EC50E9">
            <w:pPr>
              <w:pStyle w:val="a3"/>
              <w:ind w:firstLineChars="0" w:firstLine="0"/>
              <w:rPr>
                <w:szCs w:val="21"/>
                <w:lang w:eastAsia="zh-Hans"/>
              </w:rPr>
            </w:pPr>
            <w:r>
              <w:rPr>
                <w:rFonts w:hint="eastAsia"/>
                <w:szCs w:val="21"/>
                <w:lang w:eastAsia="zh-Hans"/>
              </w:rPr>
              <w:t>110-160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4652D" w14:textId="77777777" w:rsidR="00A320E6" w:rsidRDefault="00A320E6" w:rsidP="00EC50E9">
            <w:pPr>
              <w:pStyle w:val="a3"/>
              <w:ind w:firstLineChars="0" w:firstLine="0"/>
              <w:rPr>
                <w:szCs w:val="21"/>
                <w:lang w:eastAsia="zh-Hans"/>
              </w:rPr>
            </w:pPr>
          </w:p>
        </w:tc>
      </w:tr>
      <w:tr w:rsidR="00A320E6" w14:paraId="4181440A"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7A01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14D8A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8AA7A" w14:textId="77777777" w:rsidR="00A320E6" w:rsidRDefault="00000000" w:rsidP="00EC50E9">
            <w:pPr>
              <w:pStyle w:val="a3"/>
              <w:ind w:firstLineChars="0" w:firstLine="0"/>
              <w:rPr>
                <w:szCs w:val="21"/>
                <w:lang w:eastAsia="zh-Hans"/>
              </w:rPr>
            </w:pPr>
            <w:r>
              <w:rPr>
                <w:rFonts w:hint="eastAsia"/>
                <w:szCs w:val="21"/>
                <w:lang w:eastAsia="zh-Hans"/>
              </w:rPr>
              <w:t>简易石堰</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0F76A" w14:textId="77777777" w:rsidR="00A320E6" w:rsidRDefault="00000000" w:rsidP="00EC50E9">
            <w:pPr>
              <w:pStyle w:val="a3"/>
              <w:ind w:firstLineChars="0" w:firstLine="0"/>
              <w:rPr>
                <w:szCs w:val="21"/>
                <w:lang w:eastAsia="zh-Hans"/>
              </w:rPr>
            </w:pPr>
            <w:r>
              <w:rPr>
                <w:rFonts w:hint="eastAsia"/>
                <w:szCs w:val="21"/>
                <w:lang w:eastAsia="zh-Hans"/>
              </w:rPr>
              <w:t>6</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08954" w14:textId="77777777" w:rsidR="00A320E6" w:rsidRDefault="00A320E6" w:rsidP="00EC50E9">
            <w:pPr>
              <w:pStyle w:val="a3"/>
              <w:ind w:firstLineChars="0" w:firstLine="0"/>
              <w:rPr>
                <w:szCs w:val="21"/>
                <w:lang w:eastAsia="zh-Hans"/>
              </w:rPr>
            </w:pPr>
          </w:p>
        </w:tc>
      </w:tr>
      <w:tr w:rsidR="00A320E6" w14:paraId="4D5B8F50" w14:textId="77777777" w:rsidTr="00AA2FAF">
        <w:trPr>
          <w:trHeight w:val="34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1C1C76" w14:textId="77777777" w:rsidR="00A320E6" w:rsidRDefault="00000000" w:rsidP="00EC50E9">
            <w:pPr>
              <w:pStyle w:val="a3"/>
              <w:ind w:firstLineChars="0" w:firstLine="0"/>
              <w:jc w:val="center"/>
              <w:rPr>
                <w:szCs w:val="21"/>
                <w:lang w:eastAsia="zh-Hans"/>
              </w:rPr>
            </w:pPr>
            <w:r>
              <w:rPr>
                <w:rFonts w:hint="eastAsia"/>
                <w:szCs w:val="21"/>
                <w:lang w:eastAsia="zh-Hans"/>
              </w:rPr>
              <w:t>13</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7C92C4" w14:textId="77777777" w:rsidR="00A320E6" w:rsidRDefault="00000000" w:rsidP="00EC50E9">
            <w:pPr>
              <w:pStyle w:val="a3"/>
              <w:ind w:firstLineChars="0" w:firstLine="0"/>
              <w:rPr>
                <w:szCs w:val="21"/>
                <w:lang w:eastAsia="zh-Hans"/>
              </w:rPr>
            </w:pPr>
            <w:r>
              <w:rPr>
                <w:rFonts w:hint="eastAsia"/>
                <w:szCs w:val="21"/>
                <w:lang w:eastAsia="zh-Hans"/>
              </w:rPr>
              <w:t>水渠水池</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73003" w14:textId="77777777" w:rsidR="00A320E6" w:rsidRDefault="00000000" w:rsidP="00EC50E9">
            <w:pPr>
              <w:pStyle w:val="a3"/>
              <w:ind w:firstLineChars="0" w:firstLine="0"/>
              <w:rPr>
                <w:szCs w:val="21"/>
                <w:lang w:eastAsia="zh-Hans"/>
              </w:rPr>
            </w:pPr>
            <w:r>
              <w:rPr>
                <w:rFonts w:hint="eastAsia"/>
                <w:szCs w:val="21"/>
                <w:lang w:eastAsia="zh-Hans"/>
              </w:rPr>
              <w:t>土筑水渠、水池</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9AF85" w14:textId="77777777" w:rsidR="00A320E6" w:rsidRDefault="00000000" w:rsidP="00EC50E9">
            <w:pPr>
              <w:pStyle w:val="a3"/>
              <w:ind w:firstLineChars="0" w:firstLine="0"/>
              <w:rPr>
                <w:szCs w:val="21"/>
                <w:lang w:eastAsia="zh-Hans"/>
              </w:rPr>
            </w:pPr>
            <w:r>
              <w:rPr>
                <w:rFonts w:hint="eastAsia"/>
                <w:szCs w:val="21"/>
                <w:lang w:eastAsia="zh-Hans"/>
              </w:rPr>
              <w:t>17-28</w:t>
            </w:r>
            <w:r>
              <w:rPr>
                <w:rFonts w:hint="eastAsia"/>
                <w:szCs w:val="21"/>
                <w:lang w:eastAsia="zh-Hans"/>
              </w:rPr>
              <w:t>元</w:t>
            </w:r>
            <w:r>
              <w:rPr>
                <w:rFonts w:hint="eastAsia"/>
                <w:szCs w:val="21"/>
                <w:lang w:eastAsia="zh-Hans"/>
              </w:rPr>
              <w:t>/m</w:t>
            </w:r>
            <w:r>
              <w:rPr>
                <w:rFonts w:hint="eastAsia"/>
                <w:szCs w:val="21"/>
                <w:lang w:eastAsia="zh-Hans"/>
              </w:rPr>
              <w:t>³</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EF3F48" w14:textId="77777777" w:rsidR="00A320E6" w:rsidRDefault="00000000" w:rsidP="00EC50E9">
            <w:pPr>
              <w:pStyle w:val="a3"/>
              <w:ind w:firstLineChars="0" w:firstLine="0"/>
              <w:rPr>
                <w:szCs w:val="21"/>
                <w:lang w:eastAsia="zh-Hans"/>
              </w:rPr>
            </w:pPr>
            <w:r>
              <w:rPr>
                <w:rFonts w:hint="eastAsia"/>
                <w:szCs w:val="21"/>
                <w:lang w:eastAsia="zh-Hans"/>
              </w:rPr>
              <w:t>按挖方体积计算，不挖方的按照建筑造价计算。</w:t>
            </w:r>
          </w:p>
        </w:tc>
      </w:tr>
      <w:tr w:rsidR="00A320E6" w14:paraId="4BECC3C2"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95C7F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24B7F4"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1DD18" w14:textId="77777777" w:rsidR="00A320E6" w:rsidRDefault="00000000" w:rsidP="00EC50E9">
            <w:pPr>
              <w:pStyle w:val="a3"/>
              <w:ind w:firstLineChars="0" w:firstLine="0"/>
              <w:rPr>
                <w:szCs w:val="21"/>
                <w:lang w:eastAsia="zh-Hans"/>
              </w:rPr>
            </w:pPr>
            <w:r>
              <w:rPr>
                <w:rFonts w:hint="eastAsia"/>
                <w:szCs w:val="21"/>
                <w:lang w:eastAsia="zh-Hans"/>
              </w:rPr>
              <w:t>石砌水渠、水池</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7FD7" w14:textId="77777777" w:rsidR="00A320E6" w:rsidRDefault="00000000" w:rsidP="00EC50E9">
            <w:pPr>
              <w:pStyle w:val="a3"/>
              <w:ind w:firstLineChars="0" w:firstLine="0"/>
              <w:rPr>
                <w:szCs w:val="21"/>
                <w:lang w:eastAsia="zh-Hans"/>
              </w:rPr>
            </w:pPr>
            <w:r>
              <w:rPr>
                <w:rFonts w:hint="eastAsia"/>
                <w:szCs w:val="21"/>
                <w:lang w:eastAsia="zh-Hans"/>
              </w:rPr>
              <w:t>65-130</w:t>
            </w:r>
            <w:r>
              <w:rPr>
                <w:rFonts w:hint="eastAsia"/>
                <w:szCs w:val="21"/>
                <w:lang w:eastAsia="zh-Hans"/>
              </w:rPr>
              <w:t>元</w:t>
            </w:r>
            <w:r>
              <w:rPr>
                <w:rFonts w:hint="eastAsia"/>
                <w:szCs w:val="21"/>
                <w:lang w:eastAsia="zh-Hans"/>
              </w:rPr>
              <w:t>/m</w:t>
            </w:r>
            <w:r>
              <w:rPr>
                <w:rFonts w:hint="eastAsia"/>
                <w:szCs w:val="21"/>
                <w:lang w:eastAsia="zh-Hans"/>
              </w:rPr>
              <w:t>³</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E435B3" w14:textId="77777777" w:rsidR="00A320E6" w:rsidRDefault="00A320E6" w:rsidP="00EC50E9">
            <w:pPr>
              <w:pStyle w:val="a3"/>
              <w:ind w:firstLineChars="0" w:firstLine="0"/>
              <w:rPr>
                <w:szCs w:val="21"/>
                <w:lang w:eastAsia="zh-Hans"/>
              </w:rPr>
            </w:pPr>
          </w:p>
        </w:tc>
      </w:tr>
      <w:tr w:rsidR="00A320E6" w14:paraId="6002CC1E"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EB800"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85BFA1"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53EFC" w14:textId="77777777" w:rsidR="00A320E6" w:rsidRDefault="00000000" w:rsidP="00EC50E9">
            <w:pPr>
              <w:pStyle w:val="a3"/>
              <w:ind w:firstLineChars="0" w:firstLine="0"/>
              <w:rPr>
                <w:szCs w:val="21"/>
                <w:lang w:eastAsia="zh-Hans"/>
              </w:rPr>
            </w:pPr>
            <w:r>
              <w:rPr>
                <w:rFonts w:hint="eastAsia"/>
                <w:szCs w:val="21"/>
                <w:lang w:eastAsia="zh-Hans"/>
              </w:rPr>
              <w:t>砖砌水渠、水池</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E0590" w14:textId="77777777" w:rsidR="00A320E6" w:rsidRDefault="00000000" w:rsidP="00EC50E9">
            <w:pPr>
              <w:pStyle w:val="a3"/>
              <w:ind w:firstLineChars="0" w:firstLine="0"/>
              <w:rPr>
                <w:szCs w:val="21"/>
                <w:lang w:eastAsia="zh-Hans"/>
              </w:rPr>
            </w:pPr>
            <w:r>
              <w:rPr>
                <w:rFonts w:hint="eastAsia"/>
                <w:szCs w:val="21"/>
                <w:lang w:eastAsia="zh-Hans"/>
              </w:rPr>
              <w:t>85-160</w:t>
            </w:r>
            <w:r>
              <w:rPr>
                <w:rFonts w:hint="eastAsia"/>
                <w:szCs w:val="21"/>
                <w:lang w:eastAsia="zh-Hans"/>
              </w:rPr>
              <w:t>元</w:t>
            </w:r>
            <w:r>
              <w:rPr>
                <w:rFonts w:hint="eastAsia"/>
                <w:szCs w:val="21"/>
                <w:lang w:eastAsia="zh-Hans"/>
              </w:rPr>
              <w:t>/m</w:t>
            </w:r>
            <w:r>
              <w:rPr>
                <w:rFonts w:hint="eastAsia"/>
                <w:szCs w:val="21"/>
                <w:lang w:eastAsia="zh-Hans"/>
              </w:rPr>
              <w:t>³</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C8521C" w14:textId="77777777" w:rsidR="00A320E6" w:rsidRDefault="00A320E6" w:rsidP="00EC50E9">
            <w:pPr>
              <w:pStyle w:val="a3"/>
              <w:ind w:firstLineChars="0" w:firstLine="0"/>
              <w:rPr>
                <w:szCs w:val="21"/>
                <w:lang w:eastAsia="zh-Hans"/>
              </w:rPr>
            </w:pPr>
          </w:p>
        </w:tc>
      </w:tr>
      <w:tr w:rsidR="00A320E6" w14:paraId="76D84A26" w14:textId="77777777" w:rsidTr="00AA2FAF">
        <w:trPr>
          <w:trHeight w:val="48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5D93D5" w14:textId="77777777" w:rsidR="00A320E6" w:rsidRDefault="00000000" w:rsidP="00EC50E9">
            <w:pPr>
              <w:pStyle w:val="a3"/>
              <w:ind w:firstLineChars="0" w:firstLine="0"/>
              <w:jc w:val="center"/>
              <w:rPr>
                <w:szCs w:val="21"/>
                <w:lang w:eastAsia="zh-Hans"/>
              </w:rPr>
            </w:pPr>
            <w:r>
              <w:rPr>
                <w:rFonts w:hint="eastAsia"/>
                <w:szCs w:val="21"/>
                <w:lang w:eastAsia="zh-Hans"/>
              </w:rPr>
              <w:t>14</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FD32AA" w14:textId="77777777" w:rsidR="00A320E6" w:rsidRDefault="00000000" w:rsidP="00EC50E9">
            <w:pPr>
              <w:pStyle w:val="a3"/>
              <w:ind w:firstLineChars="0" w:firstLine="0"/>
              <w:rPr>
                <w:szCs w:val="21"/>
                <w:lang w:eastAsia="zh-Hans"/>
              </w:rPr>
            </w:pPr>
            <w:r>
              <w:rPr>
                <w:rFonts w:hint="eastAsia"/>
                <w:szCs w:val="21"/>
                <w:lang w:eastAsia="zh-Hans"/>
              </w:rPr>
              <w:t>电杆</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D66E5" w14:textId="77777777" w:rsidR="00A320E6" w:rsidRDefault="00000000" w:rsidP="00EC50E9">
            <w:pPr>
              <w:pStyle w:val="a3"/>
              <w:ind w:firstLineChars="0" w:firstLine="0"/>
              <w:rPr>
                <w:szCs w:val="21"/>
                <w:lang w:eastAsia="zh-Hans"/>
              </w:rPr>
            </w:pPr>
            <w:r>
              <w:rPr>
                <w:rFonts w:hint="eastAsia"/>
                <w:szCs w:val="21"/>
                <w:lang w:eastAsia="zh-Hans"/>
              </w:rPr>
              <w:t>低压、通讯广播线路水泥杆</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12F71" w14:textId="77777777" w:rsidR="00A320E6" w:rsidRDefault="00000000" w:rsidP="00EC50E9">
            <w:pPr>
              <w:pStyle w:val="a3"/>
              <w:ind w:firstLineChars="0" w:firstLine="0"/>
              <w:rPr>
                <w:szCs w:val="21"/>
                <w:lang w:eastAsia="zh-Hans"/>
              </w:rPr>
            </w:pPr>
            <w:r>
              <w:rPr>
                <w:rFonts w:hint="eastAsia"/>
                <w:szCs w:val="21"/>
                <w:lang w:eastAsia="zh-Hans"/>
              </w:rPr>
              <w:t>1300-1600</w:t>
            </w:r>
            <w:r>
              <w:rPr>
                <w:rFonts w:hint="eastAsia"/>
                <w:szCs w:val="21"/>
                <w:lang w:eastAsia="zh-Hans"/>
              </w:rPr>
              <w:t>元</w:t>
            </w:r>
            <w:r>
              <w:rPr>
                <w:rFonts w:hint="eastAsia"/>
                <w:szCs w:val="21"/>
                <w:lang w:eastAsia="zh-Hans"/>
              </w:rPr>
              <w:t>/</w:t>
            </w:r>
            <w:r>
              <w:rPr>
                <w:rFonts w:hint="eastAsia"/>
                <w:szCs w:val="21"/>
                <w:lang w:eastAsia="zh-Hans"/>
              </w:rPr>
              <w:t>根</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75CA22" w14:textId="77777777" w:rsidR="00A320E6" w:rsidRDefault="00A320E6" w:rsidP="00EC50E9">
            <w:pPr>
              <w:pStyle w:val="a3"/>
              <w:ind w:firstLineChars="0" w:firstLine="0"/>
              <w:rPr>
                <w:szCs w:val="21"/>
                <w:lang w:eastAsia="zh-Hans"/>
              </w:rPr>
            </w:pPr>
          </w:p>
        </w:tc>
      </w:tr>
      <w:tr w:rsidR="00A320E6" w14:paraId="67F37C55" w14:textId="77777777" w:rsidTr="00AA2FAF">
        <w:trPr>
          <w:trHeight w:val="38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17ECD"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A66FF" w14:textId="77777777" w:rsidR="00A320E6" w:rsidRDefault="00A320E6" w:rsidP="00EC50E9">
            <w:pPr>
              <w:pStyle w:val="a3"/>
              <w:ind w:firstLineChars="0" w:firstLine="0"/>
              <w:rPr>
                <w:szCs w:val="21"/>
                <w:lang w:eastAsia="zh-Hans"/>
              </w:rPr>
            </w:pPr>
          </w:p>
        </w:tc>
        <w:tc>
          <w:tcPr>
            <w:tcW w:w="13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9E2D64" w14:textId="77777777" w:rsidR="00A320E6" w:rsidRDefault="00000000" w:rsidP="00EC50E9">
            <w:pPr>
              <w:pStyle w:val="a3"/>
              <w:ind w:firstLineChars="0" w:firstLine="0"/>
              <w:rPr>
                <w:szCs w:val="21"/>
                <w:lang w:eastAsia="zh-Hans"/>
              </w:rPr>
            </w:pPr>
            <w:r>
              <w:rPr>
                <w:rFonts w:hint="eastAsia"/>
                <w:szCs w:val="21"/>
                <w:lang w:eastAsia="zh-Hans"/>
              </w:rPr>
              <w:t>简易电杆</w:t>
            </w:r>
          </w:p>
        </w:tc>
        <w:tc>
          <w:tcPr>
            <w:tcW w:w="9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400641" w14:textId="77777777" w:rsidR="00A320E6" w:rsidRDefault="00000000" w:rsidP="00EC50E9">
            <w:pPr>
              <w:pStyle w:val="a3"/>
              <w:ind w:firstLineChars="0" w:firstLine="0"/>
              <w:rPr>
                <w:szCs w:val="21"/>
                <w:lang w:eastAsia="zh-Hans"/>
              </w:rPr>
            </w:pPr>
            <w:r>
              <w:rPr>
                <w:rFonts w:hint="eastAsia"/>
                <w:szCs w:val="21"/>
                <w:lang w:eastAsia="zh-Hans"/>
              </w:rPr>
              <w:t>32-92</w:t>
            </w:r>
            <w:r>
              <w:rPr>
                <w:rFonts w:hint="eastAsia"/>
                <w:szCs w:val="21"/>
                <w:lang w:eastAsia="zh-Hans"/>
              </w:rPr>
              <w:t>元</w:t>
            </w:r>
            <w:r>
              <w:rPr>
                <w:rFonts w:hint="eastAsia"/>
                <w:szCs w:val="21"/>
                <w:lang w:eastAsia="zh-Hans"/>
              </w:rPr>
              <w:t>/</w:t>
            </w:r>
            <w:r>
              <w:rPr>
                <w:rFonts w:hint="eastAsia"/>
                <w:szCs w:val="21"/>
                <w:lang w:eastAsia="zh-Hans"/>
              </w:rPr>
              <w:t>根</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CDCE9" w14:textId="77777777" w:rsidR="00A320E6" w:rsidRDefault="00A320E6" w:rsidP="00EC50E9">
            <w:pPr>
              <w:pStyle w:val="a3"/>
              <w:ind w:firstLineChars="0" w:firstLine="0"/>
              <w:rPr>
                <w:szCs w:val="21"/>
                <w:lang w:eastAsia="zh-Hans"/>
              </w:rPr>
            </w:pPr>
          </w:p>
        </w:tc>
      </w:tr>
      <w:tr w:rsidR="00A320E6" w14:paraId="7076955C" w14:textId="77777777" w:rsidTr="00AA2FAF">
        <w:trPr>
          <w:trHeight w:val="312"/>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5B0B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9C655" w14:textId="77777777" w:rsidR="00A320E6" w:rsidRDefault="00A320E6" w:rsidP="00EC50E9">
            <w:pPr>
              <w:pStyle w:val="a3"/>
              <w:ind w:firstLineChars="0" w:firstLine="0"/>
              <w:rPr>
                <w:szCs w:val="21"/>
                <w:lang w:eastAsia="zh-Hans"/>
              </w:rPr>
            </w:pPr>
          </w:p>
        </w:tc>
        <w:tc>
          <w:tcPr>
            <w:tcW w:w="13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8A80E7" w14:textId="77777777" w:rsidR="00A320E6" w:rsidRDefault="00A320E6" w:rsidP="00EC50E9">
            <w:pPr>
              <w:pStyle w:val="a3"/>
              <w:ind w:firstLineChars="0" w:firstLine="0"/>
              <w:rPr>
                <w:szCs w:val="21"/>
                <w:lang w:eastAsia="zh-Hans"/>
              </w:rPr>
            </w:pPr>
          </w:p>
        </w:tc>
        <w:tc>
          <w:tcPr>
            <w:tcW w:w="9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7FD61D" w14:textId="77777777" w:rsidR="00A320E6" w:rsidRDefault="00A320E6" w:rsidP="00EC50E9">
            <w:pPr>
              <w:pStyle w:val="a3"/>
              <w:ind w:firstLineChars="0" w:firstLine="0"/>
              <w:rPr>
                <w:szCs w:val="21"/>
                <w:lang w:eastAsia="zh-Hans"/>
              </w:rPr>
            </w:pP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45F938" w14:textId="77777777" w:rsidR="00A320E6" w:rsidRDefault="00A320E6" w:rsidP="00EC50E9">
            <w:pPr>
              <w:pStyle w:val="a3"/>
              <w:ind w:firstLineChars="0" w:firstLine="0"/>
              <w:rPr>
                <w:szCs w:val="21"/>
                <w:lang w:eastAsia="zh-Hans"/>
              </w:rPr>
            </w:pPr>
          </w:p>
        </w:tc>
      </w:tr>
      <w:tr w:rsidR="00A320E6" w14:paraId="26B5CE25"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4CD739"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E94F4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3C2D2" w14:textId="77777777" w:rsidR="00A320E6" w:rsidRDefault="00000000" w:rsidP="00EC50E9">
            <w:pPr>
              <w:pStyle w:val="a3"/>
              <w:ind w:firstLineChars="0" w:firstLine="0"/>
              <w:rPr>
                <w:szCs w:val="21"/>
                <w:lang w:eastAsia="zh-Hans"/>
              </w:rPr>
            </w:pPr>
            <w:r>
              <w:rPr>
                <w:rFonts w:hint="eastAsia"/>
                <w:szCs w:val="21"/>
                <w:lang w:eastAsia="zh-Hans"/>
              </w:rPr>
              <w:t>路灯杆</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5AC5C" w14:textId="77777777" w:rsidR="00A320E6" w:rsidRDefault="00000000" w:rsidP="00EC50E9">
            <w:pPr>
              <w:pStyle w:val="a3"/>
              <w:ind w:firstLineChars="0" w:firstLine="0"/>
              <w:rPr>
                <w:szCs w:val="21"/>
                <w:lang w:eastAsia="zh-Hans"/>
              </w:rPr>
            </w:pPr>
            <w:r>
              <w:rPr>
                <w:rFonts w:hint="eastAsia"/>
                <w:szCs w:val="21"/>
                <w:lang w:eastAsia="zh-Hans"/>
              </w:rPr>
              <w:t>100</w:t>
            </w:r>
            <w:r>
              <w:rPr>
                <w:rFonts w:hint="eastAsia"/>
                <w:szCs w:val="21"/>
                <w:lang w:eastAsia="zh-Hans"/>
              </w:rPr>
              <w:t>元</w:t>
            </w:r>
            <w:r>
              <w:rPr>
                <w:rFonts w:hint="eastAsia"/>
                <w:szCs w:val="21"/>
                <w:lang w:eastAsia="zh-Hans"/>
              </w:rPr>
              <w:t>/m</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2167E" w14:textId="77777777" w:rsidR="00A320E6" w:rsidRDefault="00000000" w:rsidP="00EC50E9">
            <w:pPr>
              <w:pStyle w:val="a3"/>
              <w:ind w:firstLineChars="0" w:firstLine="0"/>
              <w:rPr>
                <w:szCs w:val="21"/>
                <w:lang w:eastAsia="zh-Hans"/>
              </w:rPr>
            </w:pPr>
            <w:r>
              <w:rPr>
                <w:rFonts w:hint="eastAsia"/>
                <w:szCs w:val="21"/>
                <w:lang w:eastAsia="zh-Hans"/>
              </w:rPr>
              <w:t>按高度计算。</w:t>
            </w:r>
          </w:p>
        </w:tc>
      </w:tr>
      <w:tr w:rsidR="00A320E6" w14:paraId="3DB8168D" w14:textId="77777777" w:rsidTr="00AA2FAF">
        <w:trPr>
          <w:trHeight w:val="38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22A46" w14:textId="77777777" w:rsidR="00A320E6" w:rsidRDefault="00000000" w:rsidP="00EC50E9">
            <w:pPr>
              <w:pStyle w:val="a3"/>
              <w:ind w:firstLineChars="0" w:firstLine="0"/>
              <w:jc w:val="center"/>
              <w:rPr>
                <w:szCs w:val="21"/>
                <w:lang w:eastAsia="zh-Hans"/>
              </w:rPr>
            </w:pPr>
            <w:r>
              <w:rPr>
                <w:rFonts w:hint="eastAsia"/>
                <w:szCs w:val="21"/>
                <w:lang w:eastAsia="zh-Hans"/>
              </w:rPr>
              <w:t>15</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0C882F" w14:textId="77777777" w:rsidR="00A320E6" w:rsidRDefault="00000000" w:rsidP="00EC50E9">
            <w:pPr>
              <w:pStyle w:val="a3"/>
              <w:ind w:firstLineChars="0" w:firstLine="0"/>
              <w:rPr>
                <w:szCs w:val="21"/>
                <w:lang w:eastAsia="zh-Hans"/>
              </w:rPr>
            </w:pPr>
            <w:r>
              <w:rPr>
                <w:rFonts w:hint="eastAsia"/>
                <w:szCs w:val="21"/>
                <w:lang w:eastAsia="zh-Hans"/>
              </w:rPr>
              <w:t>乔木</w:t>
            </w:r>
          </w:p>
        </w:tc>
        <w:tc>
          <w:tcPr>
            <w:tcW w:w="13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D15B39"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5</w:t>
            </w:r>
            <w:r>
              <w:rPr>
                <w:rFonts w:hint="eastAsia"/>
                <w:szCs w:val="21"/>
                <w:lang w:eastAsia="zh-Hans"/>
              </w:rPr>
              <w:t>㎝以下（松柏树</w:t>
            </w:r>
            <w:r>
              <w:rPr>
                <w:rFonts w:hint="eastAsia"/>
                <w:szCs w:val="21"/>
                <w:lang w:eastAsia="zh-Hans"/>
              </w:rPr>
              <w:t>3</w:t>
            </w:r>
            <w:r>
              <w:rPr>
                <w:rFonts w:hint="eastAsia"/>
                <w:szCs w:val="21"/>
                <w:lang w:eastAsia="zh-Hans"/>
              </w:rPr>
              <w:t>㎝以下）</w:t>
            </w:r>
          </w:p>
        </w:tc>
        <w:tc>
          <w:tcPr>
            <w:tcW w:w="9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A58621" w14:textId="77777777" w:rsidR="00A320E6" w:rsidRDefault="00000000" w:rsidP="00EC50E9">
            <w:pPr>
              <w:pStyle w:val="a3"/>
              <w:ind w:firstLineChars="0" w:firstLine="0"/>
              <w:rPr>
                <w:szCs w:val="21"/>
                <w:lang w:eastAsia="zh-Hans"/>
              </w:rPr>
            </w:pPr>
            <w:r>
              <w:rPr>
                <w:rFonts w:hint="eastAsia"/>
                <w:szCs w:val="21"/>
                <w:lang w:eastAsia="zh-Hans"/>
              </w:rPr>
              <w:t>6-33</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177389" w14:textId="77777777" w:rsidR="00A320E6" w:rsidRDefault="00000000" w:rsidP="00EC50E9">
            <w:pPr>
              <w:pStyle w:val="a3"/>
              <w:ind w:firstLineChars="0" w:firstLine="0"/>
              <w:rPr>
                <w:szCs w:val="21"/>
                <w:lang w:eastAsia="zh-Hans"/>
              </w:rPr>
            </w:pPr>
            <w:r>
              <w:rPr>
                <w:rFonts w:hint="eastAsia"/>
                <w:szCs w:val="21"/>
                <w:lang w:eastAsia="zh-Hans"/>
              </w:rPr>
              <w:t>乔木系指用材林种，一般栽植密度为</w:t>
            </w:r>
            <w:r>
              <w:rPr>
                <w:rFonts w:hint="eastAsia"/>
                <w:szCs w:val="21"/>
                <w:lang w:eastAsia="zh-Hans"/>
              </w:rPr>
              <w:t>55</w:t>
            </w:r>
            <w:r>
              <w:rPr>
                <w:rFonts w:hint="eastAsia"/>
                <w:szCs w:val="21"/>
                <w:lang w:eastAsia="zh-Hans"/>
              </w:rPr>
              <w:t>－</w:t>
            </w:r>
            <w:r>
              <w:rPr>
                <w:rFonts w:hint="eastAsia"/>
                <w:szCs w:val="21"/>
                <w:lang w:eastAsia="zh-Hans"/>
              </w:rPr>
              <w:t>110</w:t>
            </w:r>
            <w:r>
              <w:rPr>
                <w:rFonts w:hint="eastAsia"/>
                <w:szCs w:val="21"/>
                <w:lang w:eastAsia="zh-Hans"/>
              </w:rPr>
              <w:t>棵</w:t>
            </w:r>
            <w:r>
              <w:rPr>
                <w:rFonts w:hint="eastAsia"/>
                <w:szCs w:val="21"/>
                <w:lang w:eastAsia="zh-Hans"/>
              </w:rPr>
              <w:t>/</w:t>
            </w:r>
            <w:r>
              <w:rPr>
                <w:rFonts w:hint="eastAsia"/>
                <w:szCs w:val="21"/>
                <w:lang w:eastAsia="zh-Hans"/>
              </w:rPr>
              <w:t>亩，超过的按照苗圃补偿；观赏树、景观树（不含盆景）以及特种用途树木价格另议；树归原主。</w:t>
            </w:r>
          </w:p>
        </w:tc>
      </w:tr>
      <w:tr w:rsidR="00A320E6" w14:paraId="5E50DA41" w14:textId="77777777" w:rsidTr="00AA2FAF">
        <w:trPr>
          <w:trHeight w:val="44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5F983"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1EBB5" w14:textId="77777777" w:rsidR="00A320E6" w:rsidRDefault="00A320E6" w:rsidP="00EC50E9">
            <w:pPr>
              <w:pStyle w:val="a3"/>
              <w:ind w:firstLineChars="0" w:firstLine="0"/>
              <w:rPr>
                <w:szCs w:val="21"/>
                <w:lang w:eastAsia="zh-Hans"/>
              </w:rPr>
            </w:pPr>
          </w:p>
        </w:tc>
        <w:tc>
          <w:tcPr>
            <w:tcW w:w="13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C65C8" w14:textId="77777777" w:rsidR="00A320E6" w:rsidRDefault="00A320E6" w:rsidP="00EC50E9">
            <w:pPr>
              <w:pStyle w:val="a3"/>
              <w:ind w:firstLineChars="0" w:firstLine="0"/>
              <w:rPr>
                <w:szCs w:val="21"/>
                <w:lang w:eastAsia="zh-Hans"/>
              </w:rPr>
            </w:pPr>
          </w:p>
        </w:tc>
        <w:tc>
          <w:tcPr>
            <w:tcW w:w="9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197A21" w14:textId="77777777" w:rsidR="00A320E6" w:rsidRDefault="00A320E6" w:rsidP="00EC50E9">
            <w:pPr>
              <w:pStyle w:val="a3"/>
              <w:ind w:firstLineChars="0" w:firstLine="0"/>
              <w:rPr>
                <w:szCs w:val="21"/>
                <w:lang w:eastAsia="zh-Hans"/>
              </w:rPr>
            </w:pP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6F20F9" w14:textId="77777777" w:rsidR="00A320E6" w:rsidRDefault="00A320E6" w:rsidP="00EC50E9">
            <w:pPr>
              <w:pStyle w:val="a3"/>
              <w:ind w:firstLineChars="0" w:firstLine="0"/>
              <w:rPr>
                <w:szCs w:val="21"/>
                <w:lang w:eastAsia="zh-Hans"/>
              </w:rPr>
            </w:pPr>
          </w:p>
        </w:tc>
      </w:tr>
      <w:tr w:rsidR="00A320E6" w14:paraId="17D46A92" w14:textId="77777777" w:rsidTr="00AA2FAF">
        <w:trPr>
          <w:trHeight w:val="51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D1DBB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79942"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F4A46"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5-10</w:t>
            </w:r>
            <w:r>
              <w:rPr>
                <w:rFonts w:hint="eastAsia"/>
                <w:szCs w:val="21"/>
                <w:lang w:eastAsia="zh-Hans"/>
              </w:rPr>
              <w:t>㎝（松柏树</w:t>
            </w:r>
            <w:r>
              <w:rPr>
                <w:rFonts w:hint="eastAsia"/>
                <w:szCs w:val="21"/>
                <w:lang w:eastAsia="zh-Hans"/>
              </w:rPr>
              <w:t>3-6</w:t>
            </w:r>
            <w:r>
              <w:rPr>
                <w:rFonts w:hint="eastAsia"/>
                <w:szCs w:val="21"/>
                <w:lang w:eastAsia="zh-Hans"/>
              </w:rPr>
              <w:t>㎝）</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13C57" w14:textId="77777777" w:rsidR="00A320E6" w:rsidRDefault="00000000" w:rsidP="00EC50E9">
            <w:pPr>
              <w:pStyle w:val="a3"/>
              <w:ind w:firstLineChars="0" w:firstLine="0"/>
              <w:rPr>
                <w:szCs w:val="21"/>
                <w:lang w:eastAsia="zh-Hans"/>
              </w:rPr>
            </w:pPr>
            <w:r>
              <w:rPr>
                <w:rFonts w:hint="eastAsia"/>
                <w:szCs w:val="21"/>
                <w:lang w:eastAsia="zh-Hans"/>
              </w:rPr>
              <w:t>55-90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4B870" w14:textId="77777777" w:rsidR="00A320E6" w:rsidRDefault="00A320E6" w:rsidP="00EC50E9">
            <w:pPr>
              <w:pStyle w:val="a3"/>
              <w:ind w:firstLineChars="0" w:firstLine="0"/>
              <w:rPr>
                <w:szCs w:val="21"/>
                <w:lang w:eastAsia="zh-Hans"/>
              </w:rPr>
            </w:pPr>
          </w:p>
        </w:tc>
      </w:tr>
      <w:tr w:rsidR="00A320E6" w14:paraId="76FFCE87" w14:textId="77777777" w:rsidTr="00AA2FAF">
        <w:trPr>
          <w:trHeight w:val="51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91A43"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415129"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35D0C"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10-20</w:t>
            </w:r>
            <w:r>
              <w:rPr>
                <w:rFonts w:hint="eastAsia"/>
                <w:szCs w:val="21"/>
                <w:lang w:eastAsia="zh-Hans"/>
              </w:rPr>
              <w:t>㎝（松柏树</w:t>
            </w:r>
            <w:r>
              <w:rPr>
                <w:rFonts w:hint="eastAsia"/>
                <w:szCs w:val="21"/>
                <w:lang w:eastAsia="zh-Hans"/>
              </w:rPr>
              <w:t>6-10</w:t>
            </w:r>
            <w:r>
              <w:rPr>
                <w:rFonts w:hint="eastAsia"/>
                <w:szCs w:val="21"/>
                <w:lang w:eastAsia="zh-Hans"/>
              </w:rPr>
              <w:t>㎝）</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57651" w14:textId="77777777" w:rsidR="00A320E6" w:rsidRDefault="00000000" w:rsidP="00EC50E9">
            <w:pPr>
              <w:pStyle w:val="a3"/>
              <w:ind w:firstLineChars="0" w:firstLine="0"/>
              <w:rPr>
                <w:szCs w:val="21"/>
                <w:lang w:eastAsia="zh-Hans"/>
              </w:rPr>
            </w:pPr>
            <w:r>
              <w:rPr>
                <w:rFonts w:hint="eastAsia"/>
                <w:szCs w:val="21"/>
                <w:lang w:eastAsia="zh-Hans"/>
              </w:rPr>
              <w:t>65-140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8DCEA" w14:textId="77777777" w:rsidR="00A320E6" w:rsidRDefault="00A320E6" w:rsidP="00EC50E9">
            <w:pPr>
              <w:pStyle w:val="a3"/>
              <w:ind w:firstLineChars="0" w:firstLine="0"/>
              <w:rPr>
                <w:szCs w:val="21"/>
                <w:lang w:eastAsia="zh-Hans"/>
              </w:rPr>
            </w:pPr>
          </w:p>
        </w:tc>
      </w:tr>
      <w:tr w:rsidR="00A320E6" w14:paraId="5CBDD9A9" w14:textId="77777777" w:rsidTr="00AA2FAF">
        <w:trPr>
          <w:trHeight w:val="51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302D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18876"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D0F33" w14:textId="77777777" w:rsidR="00A320E6" w:rsidRDefault="00000000" w:rsidP="00EC50E9">
            <w:pPr>
              <w:pStyle w:val="a3"/>
              <w:ind w:firstLineChars="0" w:firstLine="0"/>
              <w:rPr>
                <w:szCs w:val="21"/>
                <w:lang w:eastAsia="zh-Hans"/>
              </w:rPr>
            </w:pPr>
            <w:r>
              <w:rPr>
                <w:rFonts w:hint="eastAsia"/>
                <w:szCs w:val="21"/>
                <w:lang w:eastAsia="zh-Hans"/>
              </w:rPr>
              <w:t>胸径大于</w:t>
            </w:r>
            <w:r>
              <w:rPr>
                <w:rFonts w:hint="eastAsia"/>
                <w:szCs w:val="21"/>
                <w:lang w:eastAsia="zh-Hans"/>
              </w:rPr>
              <w:t>20</w:t>
            </w:r>
            <w:r>
              <w:rPr>
                <w:rFonts w:hint="eastAsia"/>
                <w:szCs w:val="21"/>
                <w:lang w:eastAsia="zh-Hans"/>
              </w:rPr>
              <w:t>㎝（松柏树</w:t>
            </w:r>
            <w:r>
              <w:rPr>
                <w:rFonts w:hint="eastAsia"/>
                <w:szCs w:val="21"/>
                <w:lang w:eastAsia="zh-Hans"/>
              </w:rPr>
              <w:t>10</w:t>
            </w:r>
            <w:r>
              <w:rPr>
                <w:rFonts w:hint="eastAsia"/>
                <w:szCs w:val="21"/>
                <w:lang w:eastAsia="zh-Hans"/>
              </w:rPr>
              <w:t>㎝）以上成材树</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D0CCA" w14:textId="77777777" w:rsidR="00A320E6" w:rsidRDefault="00000000" w:rsidP="00EC50E9">
            <w:pPr>
              <w:pStyle w:val="a3"/>
              <w:ind w:firstLineChars="0" w:firstLine="0"/>
              <w:rPr>
                <w:szCs w:val="21"/>
                <w:lang w:eastAsia="zh-Hans"/>
              </w:rPr>
            </w:pPr>
            <w:r>
              <w:rPr>
                <w:rFonts w:hint="eastAsia"/>
                <w:szCs w:val="21"/>
                <w:lang w:eastAsia="zh-Hans"/>
              </w:rPr>
              <w:t>75-150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0857D" w14:textId="77777777" w:rsidR="00A320E6" w:rsidRDefault="00A320E6" w:rsidP="00EC50E9">
            <w:pPr>
              <w:pStyle w:val="a3"/>
              <w:ind w:firstLineChars="0" w:firstLine="0"/>
              <w:rPr>
                <w:szCs w:val="21"/>
                <w:lang w:eastAsia="zh-Hans"/>
              </w:rPr>
            </w:pPr>
          </w:p>
        </w:tc>
      </w:tr>
      <w:tr w:rsidR="00A320E6" w14:paraId="6260BABF"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540CA5" w14:textId="77777777" w:rsidR="00A320E6" w:rsidRDefault="00000000" w:rsidP="00EC50E9">
            <w:pPr>
              <w:pStyle w:val="a3"/>
              <w:ind w:firstLineChars="0" w:firstLine="0"/>
              <w:jc w:val="center"/>
              <w:rPr>
                <w:szCs w:val="21"/>
                <w:lang w:eastAsia="zh-Hans"/>
              </w:rPr>
            </w:pPr>
            <w:r>
              <w:rPr>
                <w:rFonts w:hint="eastAsia"/>
                <w:szCs w:val="21"/>
                <w:lang w:eastAsia="zh-Hans"/>
              </w:rPr>
              <w:t>16</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76177F" w14:textId="77777777" w:rsidR="00A320E6" w:rsidRDefault="00000000" w:rsidP="00EC50E9">
            <w:pPr>
              <w:pStyle w:val="a3"/>
              <w:ind w:firstLineChars="0" w:firstLine="0"/>
              <w:rPr>
                <w:szCs w:val="21"/>
                <w:lang w:eastAsia="zh-Hans"/>
              </w:rPr>
            </w:pPr>
            <w:r>
              <w:rPr>
                <w:rFonts w:hint="eastAsia"/>
                <w:szCs w:val="21"/>
                <w:lang w:eastAsia="zh-Hans"/>
              </w:rPr>
              <w:t>果树</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018DD" w14:textId="77777777" w:rsidR="00A320E6" w:rsidRDefault="00000000" w:rsidP="00EC50E9">
            <w:pPr>
              <w:pStyle w:val="a3"/>
              <w:ind w:firstLineChars="0" w:firstLine="0"/>
              <w:rPr>
                <w:szCs w:val="21"/>
                <w:lang w:eastAsia="zh-Hans"/>
              </w:rPr>
            </w:pPr>
            <w:r>
              <w:rPr>
                <w:rFonts w:hint="eastAsia"/>
                <w:szCs w:val="21"/>
                <w:lang w:eastAsia="zh-Hans"/>
              </w:rPr>
              <w:t>苗木（胸径</w:t>
            </w:r>
            <w:r>
              <w:rPr>
                <w:rFonts w:hint="eastAsia"/>
                <w:szCs w:val="21"/>
                <w:lang w:eastAsia="zh-Hans"/>
              </w:rPr>
              <w:t>3cm</w:t>
            </w:r>
            <w:r>
              <w:rPr>
                <w:rFonts w:hint="eastAsia"/>
                <w:szCs w:val="21"/>
                <w:lang w:eastAsia="zh-Hans"/>
              </w:rPr>
              <w:t>以下）</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692D4" w14:textId="77777777" w:rsidR="00A320E6" w:rsidRDefault="00000000" w:rsidP="00EC50E9">
            <w:pPr>
              <w:pStyle w:val="a3"/>
              <w:ind w:firstLineChars="0" w:firstLine="0"/>
              <w:rPr>
                <w:szCs w:val="21"/>
                <w:lang w:eastAsia="zh-Hans"/>
              </w:rPr>
            </w:pPr>
            <w:r>
              <w:rPr>
                <w:rFonts w:hint="eastAsia"/>
                <w:szCs w:val="21"/>
                <w:lang w:eastAsia="zh-Hans"/>
              </w:rPr>
              <w:t>10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EB9FDD" w14:textId="77777777" w:rsidR="00A320E6" w:rsidRDefault="00000000" w:rsidP="00EC50E9">
            <w:pPr>
              <w:pStyle w:val="a3"/>
              <w:ind w:firstLineChars="0" w:firstLine="0"/>
              <w:rPr>
                <w:szCs w:val="21"/>
                <w:lang w:eastAsia="zh-Hans"/>
              </w:rPr>
            </w:pPr>
            <w:r>
              <w:rPr>
                <w:rFonts w:hint="eastAsia"/>
                <w:szCs w:val="21"/>
                <w:lang w:eastAsia="zh-Hans"/>
              </w:rPr>
              <w:t>包括苹果、杏、桃、梨、枣、樱桃、山楂、板栗、柿子、核桃等，特种用途树木价格另议；果树根据科学合理栽植每亩不超过</w:t>
            </w:r>
            <w:r>
              <w:rPr>
                <w:rFonts w:hint="eastAsia"/>
                <w:szCs w:val="21"/>
                <w:lang w:eastAsia="zh-Hans"/>
              </w:rPr>
              <w:t>110</w:t>
            </w:r>
            <w:r>
              <w:rPr>
                <w:rFonts w:hint="eastAsia"/>
                <w:szCs w:val="21"/>
                <w:lang w:eastAsia="zh-Hans"/>
              </w:rPr>
              <w:t>棵，超过的按照苗圃补偿；对于特殊类果树板栗，胸径</w:t>
            </w:r>
            <w:r>
              <w:rPr>
                <w:rFonts w:hint="eastAsia"/>
                <w:szCs w:val="21"/>
                <w:lang w:eastAsia="zh-Hans"/>
              </w:rPr>
              <w:t>30-50cm</w:t>
            </w:r>
            <w:r>
              <w:rPr>
                <w:rFonts w:hint="eastAsia"/>
                <w:szCs w:val="21"/>
                <w:lang w:eastAsia="zh-Hans"/>
              </w:rPr>
              <w:t>，补偿价格按</w:t>
            </w:r>
            <w:r>
              <w:rPr>
                <w:rFonts w:hint="eastAsia"/>
                <w:szCs w:val="21"/>
                <w:lang w:eastAsia="zh-Hans"/>
              </w:rPr>
              <w:t>800-1000</w:t>
            </w:r>
            <w:r>
              <w:rPr>
                <w:rFonts w:hint="eastAsia"/>
                <w:szCs w:val="21"/>
                <w:lang w:eastAsia="zh-Hans"/>
              </w:rPr>
              <w:t>元</w:t>
            </w:r>
            <w:r>
              <w:rPr>
                <w:rFonts w:hint="eastAsia"/>
                <w:szCs w:val="21"/>
                <w:lang w:eastAsia="zh-Hans"/>
              </w:rPr>
              <w:t>/</w:t>
            </w:r>
            <w:r>
              <w:rPr>
                <w:rFonts w:hint="eastAsia"/>
                <w:szCs w:val="21"/>
                <w:lang w:eastAsia="zh-Hans"/>
              </w:rPr>
              <w:t>棵计算；胸径</w:t>
            </w:r>
            <w:r>
              <w:rPr>
                <w:rFonts w:hint="eastAsia"/>
                <w:szCs w:val="21"/>
                <w:lang w:eastAsia="zh-Hans"/>
              </w:rPr>
              <w:t>50cm</w:t>
            </w:r>
            <w:r>
              <w:rPr>
                <w:rFonts w:hint="eastAsia"/>
                <w:szCs w:val="21"/>
                <w:lang w:eastAsia="zh-Hans"/>
              </w:rPr>
              <w:t>以上，补偿价格按</w:t>
            </w:r>
            <w:r>
              <w:rPr>
                <w:rFonts w:hint="eastAsia"/>
                <w:szCs w:val="21"/>
                <w:lang w:eastAsia="zh-Hans"/>
              </w:rPr>
              <w:t>1000-1500</w:t>
            </w:r>
            <w:r>
              <w:rPr>
                <w:rFonts w:hint="eastAsia"/>
                <w:szCs w:val="21"/>
                <w:lang w:eastAsia="zh-Hans"/>
              </w:rPr>
              <w:t>元</w:t>
            </w:r>
            <w:r>
              <w:rPr>
                <w:rFonts w:hint="eastAsia"/>
                <w:szCs w:val="21"/>
                <w:lang w:eastAsia="zh-Hans"/>
              </w:rPr>
              <w:t>/</w:t>
            </w:r>
            <w:r>
              <w:rPr>
                <w:rFonts w:hint="eastAsia"/>
                <w:szCs w:val="21"/>
                <w:lang w:eastAsia="zh-Hans"/>
              </w:rPr>
              <w:t>棵计算；树归原主。</w:t>
            </w:r>
          </w:p>
        </w:tc>
      </w:tr>
      <w:tr w:rsidR="00A320E6" w14:paraId="2F8D4D57" w14:textId="77777777" w:rsidTr="00AA2FAF">
        <w:trPr>
          <w:trHeight w:val="48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92CF2"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E078C"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45235" w14:textId="77777777" w:rsidR="00A320E6" w:rsidRDefault="00000000" w:rsidP="00EC50E9">
            <w:pPr>
              <w:pStyle w:val="a3"/>
              <w:ind w:firstLineChars="0" w:firstLine="0"/>
              <w:rPr>
                <w:szCs w:val="21"/>
                <w:lang w:eastAsia="zh-Hans"/>
              </w:rPr>
            </w:pPr>
            <w:r>
              <w:rPr>
                <w:rFonts w:hint="eastAsia"/>
                <w:szCs w:val="21"/>
                <w:lang w:eastAsia="zh-Hans"/>
              </w:rPr>
              <w:t>幼龄期（区分树种）（胸径</w:t>
            </w:r>
            <w:r>
              <w:rPr>
                <w:rFonts w:hint="eastAsia"/>
                <w:szCs w:val="21"/>
                <w:lang w:eastAsia="zh-Hans"/>
              </w:rPr>
              <w:t>3</w:t>
            </w:r>
            <w:r>
              <w:rPr>
                <w:rFonts w:hint="eastAsia"/>
                <w:szCs w:val="21"/>
                <w:lang w:eastAsia="zh-Hans"/>
              </w:rPr>
              <w:t>－</w:t>
            </w:r>
            <w:r>
              <w:rPr>
                <w:rFonts w:hint="eastAsia"/>
                <w:szCs w:val="21"/>
                <w:lang w:eastAsia="zh-Hans"/>
              </w:rPr>
              <w:t>5cm</w:t>
            </w:r>
            <w:r>
              <w:rPr>
                <w:rFonts w:hint="eastAsia"/>
                <w:szCs w:val="21"/>
                <w:lang w:eastAsia="zh-Hans"/>
              </w:rPr>
              <w:t>）</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2BEFB" w14:textId="77777777" w:rsidR="00A320E6" w:rsidRDefault="00000000" w:rsidP="00EC50E9">
            <w:pPr>
              <w:pStyle w:val="a3"/>
              <w:ind w:firstLineChars="0" w:firstLine="0"/>
              <w:rPr>
                <w:szCs w:val="21"/>
                <w:lang w:eastAsia="zh-Hans"/>
              </w:rPr>
            </w:pPr>
            <w:r>
              <w:rPr>
                <w:rFonts w:hint="eastAsia"/>
                <w:szCs w:val="21"/>
                <w:lang w:eastAsia="zh-Hans"/>
              </w:rPr>
              <w:t>42-75</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15633F" w14:textId="77777777" w:rsidR="00A320E6" w:rsidRDefault="00A320E6" w:rsidP="00EC50E9">
            <w:pPr>
              <w:pStyle w:val="a3"/>
              <w:ind w:firstLineChars="0" w:firstLine="0"/>
              <w:rPr>
                <w:szCs w:val="21"/>
                <w:lang w:eastAsia="zh-Hans"/>
              </w:rPr>
            </w:pPr>
          </w:p>
        </w:tc>
      </w:tr>
      <w:tr w:rsidR="00A320E6" w14:paraId="7938025A" w14:textId="77777777" w:rsidTr="00AA2FAF">
        <w:trPr>
          <w:trHeight w:val="48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DCDA32"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B96F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B63AA" w14:textId="77777777" w:rsidR="00A320E6" w:rsidRDefault="00000000" w:rsidP="00EC50E9">
            <w:pPr>
              <w:pStyle w:val="a3"/>
              <w:ind w:firstLineChars="0" w:firstLine="0"/>
              <w:rPr>
                <w:szCs w:val="21"/>
                <w:lang w:eastAsia="zh-Hans"/>
              </w:rPr>
            </w:pPr>
            <w:r>
              <w:rPr>
                <w:rFonts w:hint="eastAsia"/>
                <w:szCs w:val="21"/>
                <w:lang w:eastAsia="zh-Hans"/>
              </w:rPr>
              <w:t>初果期（区分树种）（胸径</w:t>
            </w:r>
            <w:r>
              <w:rPr>
                <w:rFonts w:hint="eastAsia"/>
                <w:szCs w:val="21"/>
                <w:lang w:eastAsia="zh-Hans"/>
              </w:rPr>
              <w:t>5</w:t>
            </w:r>
            <w:r>
              <w:rPr>
                <w:rFonts w:hint="eastAsia"/>
                <w:szCs w:val="21"/>
                <w:lang w:eastAsia="zh-Hans"/>
              </w:rPr>
              <w:t>－</w:t>
            </w:r>
            <w:r>
              <w:rPr>
                <w:rFonts w:hint="eastAsia"/>
                <w:szCs w:val="21"/>
                <w:lang w:eastAsia="zh-Hans"/>
              </w:rPr>
              <w:t>10cm</w:t>
            </w:r>
            <w:r>
              <w:rPr>
                <w:rFonts w:hint="eastAsia"/>
                <w:szCs w:val="21"/>
                <w:lang w:eastAsia="zh-Hans"/>
              </w:rPr>
              <w:t>）</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B33BE" w14:textId="77777777" w:rsidR="00A320E6" w:rsidRDefault="00000000" w:rsidP="00EC50E9">
            <w:pPr>
              <w:pStyle w:val="a3"/>
              <w:ind w:firstLineChars="0" w:firstLine="0"/>
              <w:rPr>
                <w:szCs w:val="21"/>
                <w:lang w:eastAsia="zh-Hans"/>
              </w:rPr>
            </w:pPr>
            <w:r>
              <w:rPr>
                <w:rFonts w:hint="eastAsia"/>
                <w:szCs w:val="21"/>
                <w:lang w:eastAsia="zh-Hans"/>
              </w:rPr>
              <w:t>280-380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CE8B3" w14:textId="77777777" w:rsidR="00A320E6" w:rsidRDefault="00A320E6" w:rsidP="00EC50E9">
            <w:pPr>
              <w:pStyle w:val="a3"/>
              <w:ind w:firstLineChars="0" w:firstLine="0"/>
              <w:rPr>
                <w:szCs w:val="21"/>
                <w:lang w:eastAsia="zh-Hans"/>
              </w:rPr>
            </w:pPr>
          </w:p>
        </w:tc>
      </w:tr>
      <w:tr w:rsidR="00A320E6" w14:paraId="33BF2C7C" w14:textId="77777777" w:rsidTr="00AA2FAF">
        <w:trPr>
          <w:trHeight w:val="48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BF230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029A5"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A983F" w14:textId="77777777" w:rsidR="00A320E6" w:rsidRDefault="00000000" w:rsidP="00EC50E9">
            <w:pPr>
              <w:pStyle w:val="a3"/>
              <w:ind w:firstLineChars="0" w:firstLine="0"/>
              <w:rPr>
                <w:szCs w:val="21"/>
                <w:lang w:eastAsia="zh-Hans"/>
              </w:rPr>
            </w:pPr>
            <w:r>
              <w:rPr>
                <w:rFonts w:hint="eastAsia"/>
                <w:szCs w:val="21"/>
                <w:lang w:eastAsia="zh-Hans"/>
              </w:rPr>
              <w:t>盛果期（区分树种）（胸径</w:t>
            </w:r>
            <w:r>
              <w:rPr>
                <w:rFonts w:hint="eastAsia"/>
                <w:szCs w:val="21"/>
                <w:lang w:eastAsia="zh-Hans"/>
              </w:rPr>
              <w:t>10cm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FAC02" w14:textId="77777777" w:rsidR="00A320E6" w:rsidRDefault="00000000" w:rsidP="00EC50E9">
            <w:pPr>
              <w:pStyle w:val="a3"/>
              <w:ind w:firstLineChars="0" w:firstLine="0"/>
              <w:rPr>
                <w:szCs w:val="21"/>
                <w:lang w:eastAsia="zh-Hans"/>
              </w:rPr>
            </w:pPr>
            <w:r>
              <w:rPr>
                <w:rFonts w:hint="eastAsia"/>
                <w:szCs w:val="21"/>
                <w:lang w:eastAsia="zh-Hans"/>
              </w:rPr>
              <w:t>440-650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A6C422" w14:textId="77777777" w:rsidR="00A320E6" w:rsidRDefault="00A320E6" w:rsidP="00EC50E9">
            <w:pPr>
              <w:pStyle w:val="a3"/>
              <w:ind w:firstLineChars="0" w:firstLine="0"/>
              <w:rPr>
                <w:szCs w:val="21"/>
                <w:lang w:eastAsia="zh-Hans"/>
              </w:rPr>
            </w:pPr>
          </w:p>
        </w:tc>
      </w:tr>
      <w:tr w:rsidR="00A320E6" w14:paraId="4EC9A028" w14:textId="77777777" w:rsidTr="00AA2FAF">
        <w:trPr>
          <w:trHeight w:val="36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1A6C9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5752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C9398" w14:textId="77777777" w:rsidR="00A320E6" w:rsidRDefault="00000000" w:rsidP="00EC50E9">
            <w:pPr>
              <w:pStyle w:val="a3"/>
              <w:ind w:firstLineChars="0" w:firstLine="0"/>
              <w:rPr>
                <w:szCs w:val="21"/>
                <w:lang w:eastAsia="zh-Hans"/>
              </w:rPr>
            </w:pPr>
            <w:r>
              <w:rPr>
                <w:rFonts w:hint="eastAsia"/>
                <w:szCs w:val="21"/>
                <w:lang w:eastAsia="zh-Hans"/>
              </w:rPr>
              <w:t>衰老期（区分树种）</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6DEB2" w14:textId="77777777" w:rsidR="00A320E6" w:rsidRDefault="00000000" w:rsidP="00EC50E9">
            <w:pPr>
              <w:pStyle w:val="a3"/>
              <w:ind w:firstLineChars="0" w:firstLine="0"/>
              <w:rPr>
                <w:szCs w:val="21"/>
                <w:lang w:eastAsia="zh-Hans"/>
              </w:rPr>
            </w:pPr>
            <w:r>
              <w:rPr>
                <w:rFonts w:hint="eastAsia"/>
                <w:szCs w:val="21"/>
                <w:lang w:eastAsia="zh-Hans"/>
              </w:rPr>
              <w:t>120-300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3A4082" w14:textId="77777777" w:rsidR="00A320E6" w:rsidRDefault="00A320E6" w:rsidP="00EC50E9">
            <w:pPr>
              <w:pStyle w:val="a3"/>
              <w:ind w:firstLineChars="0" w:firstLine="0"/>
              <w:rPr>
                <w:szCs w:val="21"/>
                <w:lang w:eastAsia="zh-Hans"/>
              </w:rPr>
            </w:pPr>
          </w:p>
        </w:tc>
      </w:tr>
      <w:tr w:rsidR="00A320E6" w14:paraId="4C775DA3"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11EBB6" w14:textId="77777777" w:rsidR="00A320E6" w:rsidRDefault="00000000" w:rsidP="00EC50E9">
            <w:pPr>
              <w:pStyle w:val="a3"/>
              <w:ind w:firstLineChars="0" w:firstLine="0"/>
              <w:jc w:val="center"/>
              <w:rPr>
                <w:szCs w:val="21"/>
                <w:lang w:eastAsia="zh-Hans"/>
              </w:rPr>
            </w:pPr>
            <w:r>
              <w:rPr>
                <w:rFonts w:hint="eastAsia"/>
                <w:szCs w:val="21"/>
                <w:lang w:eastAsia="zh-Hans"/>
              </w:rPr>
              <w:t>17</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8C5C0A" w14:textId="77777777" w:rsidR="00A320E6" w:rsidRDefault="00000000" w:rsidP="00EC50E9">
            <w:pPr>
              <w:pStyle w:val="a3"/>
              <w:ind w:firstLineChars="0" w:firstLine="0"/>
              <w:rPr>
                <w:szCs w:val="21"/>
                <w:lang w:eastAsia="zh-Hans"/>
              </w:rPr>
            </w:pPr>
            <w:r>
              <w:rPr>
                <w:rFonts w:hint="eastAsia"/>
                <w:szCs w:val="21"/>
                <w:lang w:eastAsia="zh-Hans"/>
              </w:rPr>
              <w:t>香椿树</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3CAF0"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5cm</w:t>
            </w:r>
            <w:r>
              <w:rPr>
                <w:rFonts w:hint="eastAsia"/>
                <w:szCs w:val="21"/>
                <w:lang w:eastAsia="zh-Hans"/>
              </w:rPr>
              <w:t>以下</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D5B31" w14:textId="77777777" w:rsidR="00A320E6" w:rsidRDefault="00000000" w:rsidP="00EC50E9">
            <w:pPr>
              <w:pStyle w:val="a3"/>
              <w:ind w:firstLineChars="0" w:firstLine="0"/>
              <w:rPr>
                <w:szCs w:val="21"/>
                <w:lang w:eastAsia="zh-Hans"/>
              </w:rPr>
            </w:pPr>
            <w:r>
              <w:rPr>
                <w:rFonts w:hint="eastAsia"/>
                <w:szCs w:val="21"/>
                <w:lang w:eastAsia="zh-Hans"/>
              </w:rPr>
              <w:t>6</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201FF8" w14:textId="77777777" w:rsidR="00A320E6" w:rsidRDefault="00000000" w:rsidP="00EC50E9">
            <w:pPr>
              <w:pStyle w:val="a3"/>
              <w:ind w:firstLineChars="0" w:firstLine="0"/>
              <w:rPr>
                <w:szCs w:val="21"/>
                <w:lang w:eastAsia="zh-Hans"/>
              </w:rPr>
            </w:pPr>
            <w:r>
              <w:rPr>
                <w:rFonts w:hint="eastAsia"/>
                <w:szCs w:val="21"/>
                <w:lang w:eastAsia="zh-Hans"/>
              </w:rPr>
              <w:t>每亩超过</w:t>
            </w:r>
            <w:r>
              <w:rPr>
                <w:rFonts w:hint="eastAsia"/>
                <w:szCs w:val="21"/>
                <w:lang w:eastAsia="zh-Hans"/>
              </w:rPr>
              <w:t>330</w:t>
            </w:r>
            <w:r>
              <w:rPr>
                <w:rFonts w:hint="eastAsia"/>
                <w:szCs w:val="21"/>
                <w:lang w:eastAsia="zh-Hans"/>
              </w:rPr>
              <w:t>棵的按照苗圃补偿；树归原主。</w:t>
            </w:r>
          </w:p>
        </w:tc>
      </w:tr>
      <w:tr w:rsidR="00A320E6" w14:paraId="08D59464" w14:textId="77777777" w:rsidTr="00AA2FAF">
        <w:trPr>
          <w:trHeight w:val="31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00950"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2066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C43B6"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5-10cm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E49A0" w14:textId="77777777" w:rsidR="00A320E6" w:rsidRDefault="00000000" w:rsidP="00EC50E9">
            <w:pPr>
              <w:pStyle w:val="a3"/>
              <w:ind w:firstLineChars="0" w:firstLine="0"/>
              <w:rPr>
                <w:szCs w:val="21"/>
                <w:lang w:eastAsia="zh-Hans"/>
              </w:rPr>
            </w:pPr>
            <w:r>
              <w:rPr>
                <w:rFonts w:hint="eastAsia"/>
                <w:szCs w:val="21"/>
                <w:lang w:eastAsia="zh-Hans"/>
              </w:rPr>
              <w:t>32-80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5B54EB" w14:textId="77777777" w:rsidR="00A320E6" w:rsidRDefault="00A320E6" w:rsidP="00EC50E9">
            <w:pPr>
              <w:pStyle w:val="a3"/>
              <w:ind w:firstLineChars="0" w:firstLine="0"/>
              <w:rPr>
                <w:szCs w:val="21"/>
                <w:lang w:eastAsia="zh-Hans"/>
              </w:rPr>
            </w:pPr>
          </w:p>
        </w:tc>
      </w:tr>
      <w:tr w:rsidR="00A320E6" w14:paraId="551438D2" w14:textId="77777777" w:rsidTr="00AA2FAF">
        <w:trPr>
          <w:trHeight w:val="31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AA6BB7"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057A"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5E36D" w14:textId="77777777" w:rsidR="00A320E6" w:rsidRDefault="00000000" w:rsidP="00EC50E9">
            <w:pPr>
              <w:pStyle w:val="a3"/>
              <w:ind w:firstLineChars="0" w:firstLine="0"/>
              <w:rPr>
                <w:szCs w:val="21"/>
                <w:lang w:eastAsia="zh-Hans"/>
              </w:rPr>
            </w:pPr>
            <w:r>
              <w:rPr>
                <w:rFonts w:hint="eastAsia"/>
                <w:szCs w:val="21"/>
                <w:lang w:eastAsia="zh-Hans"/>
              </w:rPr>
              <w:t>胸径</w:t>
            </w:r>
            <w:r>
              <w:rPr>
                <w:rFonts w:hint="eastAsia"/>
                <w:szCs w:val="21"/>
                <w:lang w:eastAsia="zh-Hans"/>
              </w:rPr>
              <w:t>10cm</w:t>
            </w:r>
            <w:r>
              <w:rPr>
                <w:rFonts w:hint="eastAsia"/>
                <w:szCs w:val="21"/>
                <w:lang w:eastAsia="zh-Hans"/>
              </w:rPr>
              <w:t>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298B9" w14:textId="77777777" w:rsidR="00A320E6" w:rsidRDefault="00000000" w:rsidP="00EC50E9">
            <w:pPr>
              <w:pStyle w:val="a3"/>
              <w:ind w:firstLineChars="0" w:firstLine="0"/>
              <w:rPr>
                <w:szCs w:val="21"/>
                <w:lang w:eastAsia="zh-Hans"/>
              </w:rPr>
            </w:pPr>
            <w:r>
              <w:rPr>
                <w:rFonts w:hint="eastAsia"/>
                <w:szCs w:val="21"/>
                <w:lang w:eastAsia="zh-Hans"/>
              </w:rPr>
              <w:t>90-180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9E006" w14:textId="77777777" w:rsidR="00A320E6" w:rsidRDefault="00A320E6" w:rsidP="00EC50E9">
            <w:pPr>
              <w:pStyle w:val="a3"/>
              <w:ind w:firstLineChars="0" w:firstLine="0"/>
              <w:rPr>
                <w:szCs w:val="21"/>
                <w:lang w:eastAsia="zh-Hans"/>
              </w:rPr>
            </w:pPr>
          </w:p>
        </w:tc>
      </w:tr>
      <w:tr w:rsidR="00A320E6" w14:paraId="173BABDD"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D4A6AF" w14:textId="77777777" w:rsidR="00A320E6" w:rsidRDefault="00000000" w:rsidP="00EC50E9">
            <w:pPr>
              <w:pStyle w:val="a3"/>
              <w:ind w:firstLineChars="0" w:firstLine="0"/>
              <w:jc w:val="center"/>
              <w:rPr>
                <w:szCs w:val="21"/>
                <w:lang w:eastAsia="zh-Hans"/>
              </w:rPr>
            </w:pPr>
            <w:r>
              <w:rPr>
                <w:rFonts w:hint="eastAsia"/>
                <w:szCs w:val="21"/>
                <w:lang w:eastAsia="zh-Hans"/>
              </w:rPr>
              <w:t>18</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0B4B9D" w14:textId="77777777" w:rsidR="00A320E6" w:rsidRDefault="00000000" w:rsidP="00EC50E9">
            <w:pPr>
              <w:pStyle w:val="a3"/>
              <w:ind w:firstLineChars="0" w:firstLine="0"/>
              <w:rPr>
                <w:szCs w:val="21"/>
                <w:lang w:eastAsia="zh-Hans"/>
              </w:rPr>
            </w:pPr>
            <w:r>
              <w:rPr>
                <w:rFonts w:hint="eastAsia"/>
                <w:szCs w:val="21"/>
                <w:lang w:eastAsia="zh-Hans"/>
              </w:rPr>
              <w:t>灌木</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076D1" w14:textId="77777777" w:rsidR="00A320E6" w:rsidRDefault="00000000" w:rsidP="00EC50E9">
            <w:pPr>
              <w:pStyle w:val="a3"/>
              <w:ind w:firstLineChars="0" w:firstLine="0"/>
              <w:rPr>
                <w:szCs w:val="21"/>
                <w:lang w:eastAsia="zh-Hans"/>
              </w:rPr>
            </w:pPr>
            <w:r>
              <w:rPr>
                <w:rFonts w:hint="eastAsia"/>
                <w:szCs w:val="21"/>
                <w:lang w:eastAsia="zh-Hans"/>
              </w:rPr>
              <w:t>一年生以内</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AECEB" w14:textId="77777777" w:rsidR="00A320E6" w:rsidRDefault="00000000" w:rsidP="00EC50E9">
            <w:pPr>
              <w:pStyle w:val="a3"/>
              <w:ind w:firstLineChars="0" w:firstLine="0"/>
              <w:rPr>
                <w:szCs w:val="21"/>
                <w:lang w:eastAsia="zh-Hans"/>
              </w:rPr>
            </w:pPr>
            <w:r>
              <w:rPr>
                <w:rFonts w:hint="eastAsia"/>
                <w:szCs w:val="21"/>
                <w:lang w:eastAsia="zh-Hans"/>
              </w:rPr>
              <w:t>5-13</w:t>
            </w:r>
            <w:r>
              <w:rPr>
                <w:rFonts w:hint="eastAsia"/>
                <w:szCs w:val="21"/>
                <w:lang w:eastAsia="zh-Hans"/>
              </w:rPr>
              <w:t>元</w:t>
            </w:r>
            <w:r>
              <w:rPr>
                <w:rFonts w:hint="eastAsia"/>
                <w:szCs w:val="21"/>
                <w:lang w:eastAsia="zh-Hans"/>
              </w:rPr>
              <w:t>/</w:t>
            </w:r>
            <w:r>
              <w:rPr>
                <w:rFonts w:hint="eastAsia"/>
                <w:szCs w:val="21"/>
                <w:lang w:eastAsia="zh-Hans"/>
              </w:rPr>
              <w:t>墩</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1FC7AB" w14:textId="77777777" w:rsidR="00A320E6" w:rsidRDefault="00000000" w:rsidP="00EC50E9">
            <w:pPr>
              <w:pStyle w:val="a3"/>
              <w:ind w:firstLineChars="0" w:firstLine="0"/>
              <w:rPr>
                <w:szCs w:val="21"/>
                <w:lang w:eastAsia="zh-Hans"/>
              </w:rPr>
            </w:pPr>
            <w:r>
              <w:rPr>
                <w:rFonts w:hint="eastAsia"/>
                <w:szCs w:val="21"/>
                <w:lang w:eastAsia="zh-Hans"/>
              </w:rPr>
              <w:t>每墩出条按</w:t>
            </w:r>
            <w:r>
              <w:rPr>
                <w:rFonts w:hint="eastAsia"/>
                <w:szCs w:val="21"/>
                <w:lang w:eastAsia="zh-Hans"/>
              </w:rPr>
              <w:t>10-20</w:t>
            </w:r>
            <w:r>
              <w:rPr>
                <w:rFonts w:hint="eastAsia"/>
                <w:szCs w:val="21"/>
                <w:lang w:eastAsia="zh-Hans"/>
              </w:rPr>
              <w:t>根计算；树归原主。</w:t>
            </w:r>
          </w:p>
        </w:tc>
      </w:tr>
      <w:tr w:rsidR="00A320E6" w14:paraId="4C57B087" w14:textId="77777777" w:rsidTr="00AA2FAF">
        <w:trPr>
          <w:trHeight w:val="31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3CEE5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13EA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D507B" w14:textId="77777777" w:rsidR="00A320E6" w:rsidRDefault="00000000" w:rsidP="00EC50E9">
            <w:pPr>
              <w:pStyle w:val="a3"/>
              <w:ind w:firstLineChars="0" w:firstLine="0"/>
              <w:rPr>
                <w:szCs w:val="21"/>
                <w:lang w:eastAsia="zh-Hans"/>
              </w:rPr>
            </w:pPr>
            <w:r>
              <w:rPr>
                <w:rFonts w:hint="eastAsia"/>
                <w:szCs w:val="21"/>
                <w:lang w:eastAsia="zh-Hans"/>
              </w:rPr>
              <w:t>一年生以上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540EC" w14:textId="77777777" w:rsidR="00A320E6" w:rsidRDefault="00000000" w:rsidP="00EC50E9">
            <w:pPr>
              <w:pStyle w:val="a3"/>
              <w:ind w:firstLineChars="0" w:firstLine="0"/>
              <w:rPr>
                <w:szCs w:val="21"/>
                <w:lang w:eastAsia="zh-Hans"/>
              </w:rPr>
            </w:pPr>
            <w:r>
              <w:rPr>
                <w:rFonts w:hint="eastAsia"/>
                <w:szCs w:val="21"/>
                <w:lang w:eastAsia="zh-Hans"/>
              </w:rPr>
              <w:t>7-14</w:t>
            </w:r>
            <w:r>
              <w:rPr>
                <w:rFonts w:hint="eastAsia"/>
                <w:szCs w:val="21"/>
                <w:lang w:eastAsia="zh-Hans"/>
              </w:rPr>
              <w:t>元</w:t>
            </w:r>
            <w:r>
              <w:rPr>
                <w:rFonts w:hint="eastAsia"/>
                <w:szCs w:val="21"/>
                <w:lang w:eastAsia="zh-Hans"/>
              </w:rPr>
              <w:t>/</w:t>
            </w:r>
            <w:r>
              <w:rPr>
                <w:rFonts w:hint="eastAsia"/>
                <w:szCs w:val="21"/>
                <w:lang w:eastAsia="zh-Hans"/>
              </w:rPr>
              <w:t>墩</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86716" w14:textId="77777777" w:rsidR="00A320E6" w:rsidRDefault="00A320E6" w:rsidP="00EC50E9">
            <w:pPr>
              <w:pStyle w:val="a3"/>
              <w:ind w:firstLineChars="0" w:firstLine="0"/>
              <w:rPr>
                <w:szCs w:val="21"/>
                <w:lang w:eastAsia="zh-Hans"/>
              </w:rPr>
            </w:pPr>
          </w:p>
        </w:tc>
      </w:tr>
      <w:tr w:rsidR="00A320E6" w14:paraId="1FFFBE62"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BF658" w14:textId="77777777" w:rsidR="00A320E6" w:rsidRDefault="00000000" w:rsidP="00EC50E9">
            <w:pPr>
              <w:pStyle w:val="a3"/>
              <w:ind w:firstLineChars="0" w:firstLine="0"/>
              <w:jc w:val="center"/>
              <w:rPr>
                <w:szCs w:val="21"/>
                <w:lang w:eastAsia="zh-Hans"/>
              </w:rPr>
            </w:pPr>
            <w:r>
              <w:rPr>
                <w:rFonts w:hint="eastAsia"/>
                <w:szCs w:val="21"/>
                <w:lang w:eastAsia="zh-Hans"/>
              </w:rPr>
              <w:t>19</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C67CDC" w14:textId="77777777" w:rsidR="00A320E6" w:rsidRDefault="00000000" w:rsidP="00EC50E9">
            <w:pPr>
              <w:pStyle w:val="a3"/>
              <w:ind w:firstLineChars="0" w:firstLine="0"/>
              <w:rPr>
                <w:szCs w:val="21"/>
                <w:lang w:eastAsia="zh-Hans"/>
              </w:rPr>
            </w:pPr>
            <w:r>
              <w:rPr>
                <w:rFonts w:hint="eastAsia"/>
                <w:szCs w:val="21"/>
                <w:lang w:eastAsia="zh-Hans"/>
              </w:rPr>
              <w:t>桑园</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0FD89" w14:textId="77777777" w:rsidR="00A320E6" w:rsidRDefault="00000000" w:rsidP="00EC50E9">
            <w:pPr>
              <w:pStyle w:val="a3"/>
              <w:ind w:firstLineChars="0" w:firstLine="0"/>
              <w:rPr>
                <w:szCs w:val="21"/>
                <w:lang w:eastAsia="zh-Hans"/>
              </w:rPr>
            </w:pPr>
            <w:r>
              <w:rPr>
                <w:rFonts w:hint="eastAsia"/>
                <w:szCs w:val="21"/>
                <w:lang w:eastAsia="zh-Hans"/>
              </w:rPr>
              <w:t>两年生以内</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B1CAE" w14:textId="77777777" w:rsidR="00A320E6" w:rsidRDefault="00000000" w:rsidP="00EC50E9">
            <w:pPr>
              <w:pStyle w:val="a3"/>
              <w:ind w:firstLineChars="0" w:firstLine="0"/>
              <w:rPr>
                <w:szCs w:val="21"/>
                <w:lang w:eastAsia="zh-Hans"/>
              </w:rPr>
            </w:pPr>
            <w:r>
              <w:rPr>
                <w:rFonts w:hint="eastAsia"/>
                <w:szCs w:val="21"/>
                <w:lang w:eastAsia="zh-Hans"/>
              </w:rPr>
              <w:t>3800-4500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88039E" w14:textId="77777777" w:rsidR="00A320E6" w:rsidRDefault="00000000" w:rsidP="00EC50E9">
            <w:pPr>
              <w:pStyle w:val="a3"/>
              <w:ind w:firstLineChars="0" w:firstLine="0"/>
              <w:rPr>
                <w:szCs w:val="21"/>
                <w:lang w:eastAsia="zh-Hans"/>
              </w:rPr>
            </w:pPr>
            <w:r>
              <w:rPr>
                <w:rFonts w:hint="eastAsia"/>
                <w:szCs w:val="21"/>
                <w:lang w:eastAsia="zh-Hans"/>
              </w:rPr>
              <w:t>大田种养植蚕用桑；树归原主。</w:t>
            </w:r>
          </w:p>
        </w:tc>
      </w:tr>
      <w:tr w:rsidR="00A320E6" w14:paraId="0FD20E78" w14:textId="77777777" w:rsidTr="00AA2FAF">
        <w:trPr>
          <w:trHeight w:val="31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7845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DD46DD"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461C6" w14:textId="77777777" w:rsidR="00A320E6" w:rsidRDefault="00000000" w:rsidP="00EC50E9">
            <w:pPr>
              <w:pStyle w:val="a3"/>
              <w:ind w:firstLineChars="0" w:firstLine="0"/>
              <w:rPr>
                <w:szCs w:val="21"/>
                <w:lang w:eastAsia="zh-Hans"/>
              </w:rPr>
            </w:pPr>
            <w:r>
              <w:rPr>
                <w:rFonts w:hint="eastAsia"/>
                <w:szCs w:val="21"/>
                <w:lang w:eastAsia="zh-Hans"/>
              </w:rPr>
              <w:t>两年生以上三年生以内</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7F2CC" w14:textId="77777777" w:rsidR="00A320E6" w:rsidRDefault="00000000" w:rsidP="00EC50E9">
            <w:pPr>
              <w:pStyle w:val="a3"/>
              <w:ind w:firstLineChars="0" w:firstLine="0"/>
              <w:rPr>
                <w:szCs w:val="21"/>
                <w:lang w:eastAsia="zh-Hans"/>
              </w:rPr>
            </w:pPr>
            <w:r>
              <w:rPr>
                <w:rFonts w:hint="eastAsia"/>
                <w:szCs w:val="21"/>
                <w:lang w:eastAsia="zh-Hans"/>
              </w:rPr>
              <w:t>4800-5600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A5E58" w14:textId="77777777" w:rsidR="00A320E6" w:rsidRDefault="00A320E6" w:rsidP="00EC50E9">
            <w:pPr>
              <w:pStyle w:val="a3"/>
              <w:ind w:firstLineChars="0" w:firstLine="0"/>
              <w:rPr>
                <w:szCs w:val="21"/>
                <w:lang w:eastAsia="zh-Hans"/>
              </w:rPr>
            </w:pPr>
          </w:p>
        </w:tc>
      </w:tr>
      <w:tr w:rsidR="00A320E6" w14:paraId="43F1489E" w14:textId="77777777" w:rsidTr="00AA2FAF">
        <w:trPr>
          <w:trHeight w:val="31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1C36D"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32D80E"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7786A" w14:textId="77777777" w:rsidR="00A320E6" w:rsidRDefault="00000000" w:rsidP="00EC50E9">
            <w:pPr>
              <w:pStyle w:val="a3"/>
              <w:ind w:firstLineChars="0" w:firstLine="0"/>
              <w:rPr>
                <w:szCs w:val="21"/>
                <w:lang w:eastAsia="zh-Hans"/>
              </w:rPr>
            </w:pPr>
            <w:r>
              <w:rPr>
                <w:rFonts w:hint="eastAsia"/>
                <w:szCs w:val="21"/>
                <w:lang w:eastAsia="zh-Hans"/>
              </w:rPr>
              <w:t>三年生以上</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34090" w14:textId="77777777" w:rsidR="00A320E6" w:rsidRDefault="00000000" w:rsidP="00EC50E9">
            <w:pPr>
              <w:pStyle w:val="a3"/>
              <w:ind w:firstLineChars="0" w:firstLine="0"/>
              <w:rPr>
                <w:szCs w:val="21"/>
                <w:lang w:eastAsia="zh-Hans"/>
              </w:rPr>
            </w:pPr>
            <w:r>
              <w:rPr>
                <w:rFonts w:hint="eastAsia"/>
                <w:szCs w:val="21"/>
                <w:lang w:eastAsia="zh-Hans"/>
              </w:rPr>
              <w:t>6200-7500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00CE26" w14:textId="77777777" w:rsidR="00A320E6" w:rsidRDefault="00A320E6" w:rsidP="00EC50E9">
            <w:pPr>
              <w:pStyle w:val="a3"/>
              <w:ind w:firstLineChars="0" w:firstLine="0"/>
              <w:rPr>
                <w:szCs w:val="21"/>
                <w:lang w:eastAsia="zh-Hans"/>
              </w:rPr>
            </w:pPr>
          </w:p>
        </w:tc>
      </w:tr>
      <w:tr w:rsidR="00A320E6" w14:paraId="0F61EDC6" w14:textId="77777777" w:rsidTr="00AA2FAF">
        <w:trPr>
          <w:trHeight w:val="31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7BB3D0" w14:textId="77777777" w:rsidR="00A320E6" w:rsidRDefault="00000000" w:rsidP="00EC50E9">
            <w:pPr>
              <w:pStyle w:val="a3"/>
              <w:ind w:firstLineChars="0" w:firstLine="0"/>
              <w:jc w:val="center"/>
              <w:rPr>
                <w:szCs w:val="21"/>
                <w:lang w:eastAsia="zh-Hans"/>
              </w:rPr>
            </w:pPr>
            <w:r>
              <w:rPr>
                <w:rFonts w:hint="eastAsia"/>
                <w:szCs w:val="21"/>
                <w:lang w:eastAsia="zh-Hans"/>
              </w:rPr>
              <w:t>20</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ADE0F2" w14:textId="77777777" w:rsidR="00A320E6" w:rsidRDefault="00000000" w:rsidP="00EC50E9">
            <w:pPr>
              <w:pStyle w:val="a3"/>
              <w:ind w:firstLineChars="0" w:firstLine="0"/>
              <w:rPr>
                <w:szCs w:val="21"/>
                <w:lang w:eastAsia="zh-Hans"/>
              </w:rPr>
            </w:pPr>
            <w:r>
              <w:rPr>
                <w:rFonts w:hint="eastAsia"/>
                <w:szCs w:val="21"/>
                <w:lang w:eastAsia="zh-Hans"/>
              </w:rPr>
              <w:t>藤类果树</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B681A" w14:textId="77777777" w:rsidR="00A320E6" w:rsidRDefault="00000000" w:rsidP="00EC50E9">
            <w:pPr>
              <w:pStyle w:val="a3"/>
              <w:ind w:firstLineChars="0" w:firstLine="0"/>
              <w:rPr>
                <w:szCs w:val="21"/>
                <w:lang w:eastAsia="zh-Hans"/>
              </w:rPr>
            </w:pPr>
            <w:r>
              <w:rPr>
                <w:rFonts w:hint="eastAsia"/>
                <w:szCs w:val="21"/>
                <w:lang w:eastAsia="zh-Hans"/>
              </w:rPr>
              <w:t>藤类果树苗</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56C2A" w14:textId="77777777" w:rsidR="00A320E6" w:rsidRDefault="00000000" w:rsidP="00EC50E9">
            <w:pPr>
              <w:pStyle w:val="a3"/>
              <w:ind w:firstLineChars="0" w:firstLine="0"/>
              <w:rPr>
                <w:szCs w:val="21"/>
                <w:lang w:eastAsia="zh-Hans"/>
              </w:rPr>
            </w:pPr>
            <w:r>
              <w:rPr>
                <w:rFonts w:hint="eastAsia"/>
                <w:szCs w:val="21"/>
                <w:lang w:eastAsia="zh-Hans"/>
              </w:rPr>
              <w:t>4</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33C02" w14:textId="77777777" w:rsidR="00A320E6" w:rsidRDefault="00000000" w:rsidP="00EC50E9">
            <w:pPr>
              <w:pStyle w:val="a3"/>
              <w:ind w:firstLineChars="0" w:firstLine="0"/>
              <w:rPr>
                <w:szCs w:val="21"/>
                <w:lang w:eastAsia="zh-Hans"/>
              </w:rPr>
            </w:pPr>
            <w:r>
              <w:rPr>
                <w:rFonts w:hint="eastAsia"/>
                <w:szCs w:val="21"/>
                <w:lang w:eastAsia="zh-Hans"/>
              </w:rPr>
              <w:t>藤类果树主要指葡萄和猕猴桃；每亩超过</w:t>
            </w:r>
            <w:r>
              <w:rPr>
                <w:rFonts w:hint="eastAsia"/>
                <w:szCs w:val="21"/>
                <w:lang w:eastAsia="zh-Hans"/>
              </w:rPr>
              <w:t>330</w:t>
            </w:r>
            <w:r>
              <w:rPr>
                <w:rFonts w:hint="eastAsia"/>
                <w:szCs w:val="21"/>
                <w:lang w:eastAsia="zh-Hans"/>
              </w:rPr>
              <w:t>棵的按照苗圃补偿；树归原主。</w:t>
            </w:r>
          </w:p>
        </w:tc>
      </w:tr>
      <w:tr w:rsidR="00A320E6" w14:paraId="0D9E7E86" w14:textId="77777777" w:rsidTr="00AA2FAF">
        <w:trPr>
          <w:trHeight w:val="45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EB7EA0"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594B7"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73375" w14:textId="77777777" w:rsidR="00A320E6" w:rsidRDefault="00000000" w:rsidP="00EC50E9">
            <w:pPr>
              <w:pStyle w:val="a3"/>
              <w:ind w:firstLineChars="0" w:firstLine="0"/>
              <w:rPr>
                <w:szCs w:val="21"/>
                <w:lang w:eastAsia="zh-Hans"/>
              </w:rPr>
            </w:pPr>
            <w:r>
              <w:rPr>
                <w:rFonts w:hint="eastAsia"/>
                <w:szCs w:val="21"/>
                <w:lang w:eastAsia="zh-Hans"/>
              </w:rPr>
              <w:t>地茎小于</w:t>
            </w:r>
            <w:r>
              <w:rPr>
                <w:rFonts w:hint="eastAsia"/>
                <w:szCs w:val="21"/>
                <w:lang w:eastAsia="zh-Hans"/>
              </w:rPr>
              <w:t>2</w:t>
            </w:r>
            <w:r>
              <w:rPr>
                <w:rFonts w:hint="eastAsia"/>
                <w:szCs w:val="21"/>
                <w:lang w:eastAsia="zh-Hans"/>
              </w:rPr>
              <w:t>㎝（地上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DD677" w14:textId="77777777" w:rsidR="00A320E6" w:rsidRDefault="00000000" w:rsidP="00EC50E9">
            <w:pPr>
              <w:pStyle w:val="a3"/>
              <w:ind w:firstLineChars="0" w:firstLine="0"/>
              <w:rPr>
                <w:szCs w:val="21"/>
                <w:lang w:eastAsia="zh-Hans"/>
              </w:rPr>
            </w:pPr>
            <w:r>
              <w:rPr>
                <w:rFonts w:hint="eastAsia"/>
                <w:szCs w:val="21"/>
                <w:lang w:eastAsia="zh-Hans"/>
              </w:rPr>
              <w:t>17-28</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29473C" w14:textId="77777777" w:rsidR="00A320E6" w:rsidRDefault="00A320E6" w:rsidP="00EC50E9">
            <w:pPr>
              <w:pStyle w:val="a3"/>
              <w:ind w:firstLineChars="0" w:firstLine="0"/>
              <w:rPr>
                <w:szCs w:val="21"/>
                <w:lang w:eastAsia="zh-Hans"/>
              </w:rPr>
            </w:pPr>
          </w:p>
        </w:tc>
      </w:tr>
      <w:tr w:rsidR="00A320E6" w14:paraId="0A128FB8" w14:textId="77777777" w:rsidTr="00AA2FAF">
        <w:trPr>
          <w:trHeight w:val="34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8973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E368F"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FBF0E" w14:textId="77777777" w:rsidR="00A320E6" w:rsidRDefault="00000000" w:rsidP="00EC50E9">
            <w:pPr>
              <w:pStyle w:val="a3"/>
              <w:ind w:firstLineChars="0" w:firstLine="0"/>
              <w:rPr>
                <w:szCs w:val="21"/>
                <w:lang w:eastAsia="zh-Hans"/>
              </w:rPr>
            </w:pPr>
            <w:r>
              <w:rPr>
                <w:rFonts w:hint="eastAsia"/>
                <w:szCs w:val="21"/>
                <w:lang w:eastAsia="zh-Hans"/>
              </w:rPr>
              <w:t>地茎</w:t>
            </w:r>
            <w:r>
              <w:rPr>
                <w:rFonts w:hint="eastAsia"/>
                <w:szCs w:val="21"/>
                <w:lang w:eastAsia="zh-Hans"/>
              </w:rPr>
              <w:t>2-4</w:t>
            </w:r>
            <w:r>
              <w:rPr>
                <w:rFonts w:hint="eastAsia"/>
                <w:szCs w:val="21"/>
                <w:lang w:eastAsia="zh-Hans"/>
              </w:rPr>
              <w:t>㎝（地上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12AEC" w14:textId="77777777" w:rsidR="00A320E6" w:rsidRDefault="00000000" w:rsidP="00EC50E9">
            <w:pPr>
              <w:pStyle w:val="a3"/>
              <w:ind w:firstLineChars="0" w:firstLine="0"/>
              <w:rPr>
                <w:szCs w:val="21"/>
                <w:lang w:eastAsia="zh-Hans"/>
              </w:rPr>
            </w:pPr>
            <w:r>
              <w:rPr>
                <w:rFonts w:hint="eastAsia"/>
                <w:szCs w:val="21"/>
                <w:lang w:eastAsia="zh-Hans"/>
              </w:rPr>
              <w:t>28-50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84101" w14:textId="77777777" w:rsidR="00A320E6" w:rsidRDefault="00A320E6" w:rsidP="00EC50E9">
            <w:pPr>
              <w:pStyle w:val="a3"/>
              <w:ind w:firstLineChars="0" w:firstLine="0"/>
              <w:rPr>
                <w:szCs w:val="21"/>
                <w:lang w:eastAsia="zh-Hans"/>
              </w:rPr>
            </w:pPr>
          </w:p>
        </w:tc>
      </w:tr>
      <w:tr w:rsidR="00A320E6" w14:paraId="58CB8685" w14:textId="77777777" w:rsidTr="00AA2FAF">
        <w:trPr>
          <w:trHeight w:val="49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203CD8"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CAEA62"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E891E" w14:textId="77777777" w:rsidR="00A320E6" w:rsidRDefault="00000000" w:rsidP="00EC50E9">
            <w:pPr>
              <w:pStyle w:val="a3"/>
              <w:ind w:firstLineChars="0" w:firstLine="0"/>
              <w:rPr>
                <w:szCs w:val="21"/>
                <w:lang w:eastAsia="zh-Hans"/>
              </w:rPr>
            </w:pPr>
            <w:r>
              <w:rPr>
                <w:rFonts w:hint="eastAsia"/>
                <w:szCs w:val="21"/>
                <w:lang w:eastAsia="zh-Hans"/>
              </w:rPr>
              <w:t>地茎</w:t>
            </w:r>
            <w:r>
              <w:rPr>
                <w:rFonts w:hint="eastAsia"/>
                <w:szCs w:val="21"/>
                <w:lang w:eastAsia="zh-Hans"/>
              </w:rPr>
              <w:t>4</w:t>
            </w:r>
            <w:r>
              <w:rPr>
                <w:rFonts w:hint="eastAsia"/>
                <w:szCs w:val="21"/>
                <w:lang w:eastAsia="zh-Hans"/>
              </w:rPr>
              <w:t>㎝以上（地上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F23BB" w14:textId="77777777" w:rsidR="00A320E6" w:rsidRDefault="00000000" w:rsidP="00EC50E9">
            <w:pPr>
              <w:pStyle w:val="a3"/>
              <w:ind w:firstLineChars="0" w:firstLine="0"/>
              <w:rPr>
                <w:szCs w:val="21"/>
                <w:lang w:eastAsia="zh-Hans"/>
              </w:rPr>
            </w:pPr>
            <w:r>
              <w:rPr>
                <w:rFonts w:hint="eastAsia"/>
                <w:szCs w:val="21"/>
                <w:lang w:eastAsia="zh-Hans"/>
              </w:rPr>
              <w:t>55-75</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AA2FD" w14:textId="77777777" w:rsidR="00A320E6" w:rsidRDefault="00A320E6" w:rsidP="00EC50E9">
            <w:pPr>
              <w:pStyle w:val="a3"/>
              <w:ind w:firstLineChars="0" w:firstLine="0"/>
              <w:rPr>
                <w:szCs w:val="21"/>
                <w:lang w:eastAsia="zh-Hans"/>
              </w:rPr>
            </w:pPr>
          </w:p>
        </w:tc>
      </w:tr>
      <w:tr w:rsidR="00A320E6" w14:paraId="27A17792" w14:textId="77777777" w:rsidTr="00AA2FAF">
        <w:trPr>
          <w:trHeight w:val="330"/>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F48884" w14:textId="77777777" w:rsidR="00A320E6" w:rsidRDefault="00000000" w:rsidP="00EC50E9">
            <w:pPr>
              <w:pStyle w:val="a3"/>
              <w:ind w:firstLineChars="0" w:firstLine="0"/>
              <w:jc w:val="center"/>
              <w:rPr>
                <w:szCs w:val="21"/>
                <w:lang w:eastAsia="zh-Hans"/>
              </w:rPr>
            </w:pPr>
            <w:r>
              <w:rPr>
                <w:rFonts w:hint="eastAsia"/>
                <w:szCs w:val="21"/>
                <w:lang w:eastAsia="zh-Hans"/>
              </w:rPr>
              <w:t>21</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25F9FB" w14:textId="77777777" w:rsidR="00A320E6" w:rsidRDefault="00000000" w:rsidP="00EC50E9">
            <w:pPr>
              <w:pStyle w:val="a3"/>
              <w:ind w:firstLineChars="0" w:firstLine="0"/>
              <w:rPr>
                <w:szCs w:val="21"/>
                <w:lang w:eastAsia="zh-Hans"/>
              </w:rPr>
            </w:pPr>
            <w:r>
              <w:rPr>
                <w:rFonts w:hint="eastAsia"/>
                <w:szCs w:val="21"/>
                <w:lang w:eastAsia="zh-Hans"/>
              </w:rPr>
              <w:t>花椒树</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3FDB5" w14:textId="77777777" w:rsidR="00A320E6" w:rsidRDefault="00000000" w:rsidP="00EC50E9">
            <w:pPr>
              <w:pStyle w:val="a3"/>
              <w:ind w:firstLineChars="0" w:firstLine="0"/>
              <w:rPr>
                <w:szCs w:val="21"/>
                <w:lang w:eastAsia="zh-Hans"/>
              </w:rPr>
            </w:pPr>
            <w:r>
              <w:rPr>
                <w:rFonts w:hint="eastAsia"/>
                <w:szCs w:val="21"/>
                <w:lang w:eastAsia="zh-Hans"/>
              </w:rPr>
              <w:t>花椒树苗</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8D556" w14:textId="77777777" w:rsidR="00A320E6" w:rsidRDefault="00000000" w:rsidP="00EC50E9">
            <w:pPr>
              <w:pStyle w:val="a3"/>
              <w:ind w:firstLineChars="0" w:firstLine="0"/>
              <w:rPr>
                <w:szCs w:val="21"/>
                <w:lang w:eastAsia="zh-Hans"/>
              </w:rPr>
            </w:pPr>
            <w:r>
              <w:rPr>
                <w:rFonts w:hint="eastAsia"/>
                <w:szCs w:val="21"/>
                <w:lang w:eastAsia="zh-Hans"/>
              </w:rPr>
              <w:t>6</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FCE9C8" w14:textId="77777777" w:rsidR="00A320E6" w:rsidRDefault="00000000" w:rsidP="00EC50E9">
            <w:pPr>
              <w:pStyle w:val="a3"/>
              <w:ind w:firstLineChars="0" w:firstLine="0"/>
              <w:rPr>
                <w:szCs w:val="21"/>
                <w:lang w:eastAsia="zh-Hans"/>
              </w:rPr>
            </w:pPr>
            <w:r>
              <w:rPr>
                <w:rFonts w:hint="eastAsia"/>
                <w:szCs w:val="21"/>
                <w:lang w:eastAsia="zh-Hans"/>
              </w:rPr>
              <w:t>每亩超过</w:t>
            </w:r>
            <w:r>
              <w:rPr>
                <w:rFonts w:hint="eastAsia"/>
                <w:szCs w:val="21"/>
                <w:lang w:eastAsia="zh-Hans"/>
              </w:rPr>
              <w:t>220</w:t>
            </w:r>
            <w:r>
              <w:rPr>
                <w:rFonts w:hint="eastAsia"/>
                <w:szCs w:val="21"/>
                <w:lang w:eastAsia="zh-Hans"/>
              </w:rPr>
              <w:t>棵的按照苗圃补偿；树归原主。</w:t>
            </w:r>
          </w:p>
        </w:tc>
      </w:tr>
      <w:tr w:rsidR="00A320E6" w14:paraId="06574436" w14:textId="77777777" w:rsidTr="00AA2FAF">
        <w:trPr>
          <w:trHeight w:val="43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74F4AD"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DB8C7B"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9196F" w14:textId="77777777" w:rsidR="00A320E6" w:rsidRDefault="00000000" w:rsidP="00EC50E9">
            <w:pPr>
              <w:pStyle w:val="a3"/>
              <w:ind w:firstLineChars="0" w:firstLine="0"/>
              <w:rPr>
                <w:szCs w:val="21"/>
                <w:lang w:eastAsia="zh-Hans"/>
              </w:rPr>
            </w:pPr>
            <w:r>
              <w:rPr>
                <w:rFonts w:hint="eastAsia"/>
                <w:szCs w:val="21"/>
                <w:lang w:eastAsia="zh-Hans"/>
              </w:rPr>
              <w:t>幼树小于</w:t>
            </w:r>
            <w:r>
              <w:rPr>
                <w:rFonts w:hint="eastAsia"/>
                <w:szCs w:val="21"/>
                <w:lang w:eastAsia="zh-Hans"/>
              </w:rPr>
              <w:t>2</w:t>
            </w:r>
            <w:r>
              <w:rPr>
                <w:rFonts w:hint="eastAsia"/>
                <w:szCs w:val="21"/>
                <w:lang w:eastAsia="zh-Hans"/>
              </w:rPr>
              <w:t>㎝（地上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18D7F" w14:textId="77777777" w:rsidR="00A320E6" w:rsidRDefault="00000000" w:rsidP="00EC50E9">
            <w:pPr>
              <w:pStyle w:val="a3"/>
              <w:ind w:firstLineChars="0" w:firstLine="0"/>
              <w:rPr>
                <w:szCs w:val="21"/>
                <w:lang w:eastAsia="zh-Hans"/>
              </w:rPr>
            </w:pPr>
            <w:r>
              <w:rPr>
                <w:rFonts w:hint="eastAsia"/>
                <w:szCs w:val="21"/>
                <w:lang w:eastAsia="zh-Hans"/>
              </w:rPr>
              <w:t>17-27</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DF044" w14:textId="77777777" w:rsidR="00A320E6" w:rsidRDefault="00A320E6" w:rsidP="00EC50E9">
            <w:pPr>
              <w:pStyle w:val="a3"/>
              <w:ind w:firstLineChars="0" w:firstLine="0"/>
              <w:rPr>
                <w:szCs w:val="21"/>
                <w:lang w:eastAsia="zh-Hans"/>
              </w:rPr>
            </w:pPr>
          </w:p>
        </w:tc>
      </w:tr>
      <w:tr w:rsidR="00A320E6" w14:paraId="5D9483BE" w14:textId="77777777" w:rsidTr="00AA2FAF">
        <w:trPr>
          <w:trHeight w:val="36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0877C"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A7EE8"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3627A" w14:textId="77777777" w:rsidR="00A320E6" w:rsidRDefault="00000000" w:rsidP="00EC50E9">
            <w:pPr>
              <w:pStyle w:val="a3"/>
              <w:ind w:firstLineChars="0" w:firstLine="0"/>
              <w:rPr>
                <w:szCs w:val="21"/>
                <w:lang w:eastAsia="zh-Hans"/>
              </w:rPr>
            </w:pPr>
            <w:r>
              <w:rPr>
                <w:rFonts w:hint="eastAsia"/>
                <w:szCs w:val="21"/>
                <w:lang w:eastAsia="zh-Hans"/>
              </w:rPr>
              <w:t>地径</w:t>
            </w:r>
            <w:r>
              <w:rPr>
                <w:rFonts w:hint="eastAsia"/>
                <w:szCs w:val="21"/>
                <w:lang w:eastAsia="zh-Hans"/>
              </w:rPr>
              <w:t>2-5</w:t>
            </w:r>
            <w:r>
              <w:rPr>
                <w:rFonts w:hint="eastAsia"/>
                <w:szCs w:val="21"/>
                <w:lang w:eastAsia="zh-Hans"/>
              </w:rPr>
              <w:t>㎝（地上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58DC7" w14:textId="77777777" w:rsidR="00A320E6" w:rsidRDefault="00000000" w:rsidP="00EC50E9">
            <w:pPr>
              <w:pStyle w:val="a3"/>
              <w:ind w:firstLineChars="0" w:firstLine="0"/>
              <w:rPr>
                <w:szCs w:val="21"/>
                <w:lang w:eastAsia="zh-Hans"/>
              </w:rPr>
            </w:pPr>
            <w:r>
              <w:rPr>
                <w:rFonts w:hint="eastAsia"/>
                <w:szCs w:val="21"/>
                <w:lang w:eastAsia="zh-Hans"/>
              </w:rPr>
              <w:t>28-55</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CF29E" w14:textId="77777777" w:rsidR="00A320E6" w:rsidRDefault="00A320E6" w:rsidP="00EC50E9">
            <w:pPr>
              <w:pStyle w:val="a3"/>
              <w:ind w:firstLineChars="0" w:firstLine="0"/>
              <w:rPr>
                <w:szCs w:val="21"/>
                <w:lang w:eastAsia="zh-Hans"/>
              </w:rPr>
            </w:pPr>
          </w:p>
        </w:tc>
      </w:tr>
      <w:tr w:rsidR="00A320E6" w14:paraId="0B508E40" w14:textId="77777777" w:rsidTr="00AA2FAF">
        <w:trPr>
          <w:trHeight w:val="36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F02E4"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6EA9C2"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37BE1" w14:textId="77777777" w:rsidR="00A320E6" w:rsidRDefault="00000000" w:rsidP="00EC50E9">
            <w:pPr>
              <w:pStyle w:val="a3"/>
              <w:ind w:firstLineChars="0" w:firstLine="0"/>
              <w:rPr>
                <w:szCs w:val="21"/>
                <w:lang w:eastAsia="zh-Hans"/>
              </w:rPr>
            </w:pPr>
            <w:r>
              <w:rPr>
                <w:rFonts w:hint="eastAsia"/>
                <w:szCs w:val="21"/>
                <w:lang w:eastAsia="zh-Hans"/>
              </w:rPr>
              <w:t>地径</w:t>
            </w:r>
            <w:r>
              <w:rPr>
                <w:rFonts w:hint="eastAsia"/>
                <w:szCs w:val="21"/>
                <w:lang w:eastAsia="zh-Hans"/>
              </w:rPr>
              <w:t>5-15</w:t>
            </w:r>
            <w:r>
              <w:rPr>
                <w:rFonts w:hint="eastAsia"/>
                <w:szCs w:val="21"/>
                <w:lang w:eastAsia="zh-Hans"/>
              </w:rPr>
              <w:t>㎝（地上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18B8" w14:textId="77777777" w:rsidR="00A320E6" w:rsidRDefault="00000000" w:rsidP="00EC50E9">
            <w:pPr>
              <w:pStyle w:val="a3"/>
              <w:ind w:firstLineChars="0" w:firstLine="0"/>
              <w:rPr>
                <w:szCs w:val="21"/>
                <w:lang w:eastAsia="zh-Hans"/>
              </w:rPr>
            </w:pPr>
            <w:r>
              <w:rPr>
                <w:rFonts w:hint="eastAsia"/>
                <w:szCs w:val="21"/>
                <w:lang w:eastAsia="zh-Hans"/>
              </w:rPr>
              <w:t>55-180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15043E" w14:textId="77777777" w:rsidR="00A320E6" w:rsidRDefault="00A320E6" w:rsidP="00EC50E9">
            <w:pPr>
              <w:pStyle w:val="a3"/>
              <w:ind w:firstLineChars="0" w:firstLine="0"/>
              <w:rPr>
                <w:szCs w:val="21"/>
                <w:lang w:eastAsia="zh-Hans"/>
              </w:rPr>
            </w:pPr>
          </w:p>
        </w:tc>
      </w:tr>
      <w:tr w:rsidR="00A320E6" w14:paraId="1EDD247A" w14:textId="77777777" w:rsidTr="00AA2FAF">
        <w:trPr>
          <w:trHeight w:val="48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DEAEB"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9FFA8"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1920B" w14:textId="77777777" w:rsidR="00A320E6" w:rsidRDefault="00000000" w:rsidP="00EC50E9">
            <w:pPr>
              <w:pStyle w:val="a3"/>
              <w:ind w:firstLineChars="0" w:firstLine="0"/>
              <w:rPr>
                <w:szCs w:val="21"/>
                <w:lang w:eastAsia="zh-Hans"/>
              </w:rPr>
            </w:pPr>
            <w:r>
              <w:rPr>
                <w:rFonts w:hint="eastAsia"/>
                <w:szCs w:val="21"/>
                <w:lang w:eastAsia="zh-Hans"/>
              </w:rPr>
              <w:t>地径</w:t>
            </w:r>
            <w:r>
              <w:rPr>
                <w:rFonts w:hint="eastAsia"/>
                <w:szCs w:val="21"/>
                <w:lang w:eastAsia="zh-Hans"/>
              </w:rPr>
              <w:t>15</w:t>
            </w:r>
            <w:r>
              <w:rPr>
                <w:rFonts w:hint="eastAsia"/>
                <w:szCs w:val="21"/>
                <w:lang w:eastAsia="zh-Hans"/>
              </w:rPr>
              <w:t>㎝以上（地上</w:t>
            </w:r>
            <w:r>
              <w:rPr>
                <w:rFonts w:hint="eastAsia"/>
                <w:szCs w:val="21"/>
                <w:lang w:eastAsia="zh-Hans"/>
              </w:rPr>
              <w:t>5</w:t>
            </w:r>
            <w:r>
              <w:rPr>
                <w:rFonts w:hint="eastAsia"/>
                <w:szCs w:val="21"/>
                <w:lang w:eastAsia="zh-Hans"/>
              </w:rPr>
              <w:t>㎝处）</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C8ACF" w14:textId="77777777" w:rsidR="00A320E6" w:rsidRDefault="00000000" w:rsidP="00EC50E9">
            <w:pPr>
              <w:pStyle w:val="a3"/>
              <w:ind w:firstLineChars="0" w:firstLine="0"/>
              <w:rPr>
                <w:szCs w:val="21"/>
                <w:lang w:eastAsia="zh-Hans"/>
              </w:rPr>
            </w:pPr>
            <w:r>
              <w:rPr>
                <w:rFonts w:hint="eastAsia"/>
                <w:szCs w:val="21"/>
                <w:lang w:eastAsia="zh-Hans"/>
              </w:rPr>
              <w:t>180-240</w:t>
            </w:r>
            <w:r>
              <w:rPr>
                <w:rFonts w:hint="eastAsia"/>
                <w:szCs w:val="21"/>
                <w:lang w:eastAsia="zh-Hans"/>
              </w:rPr>
              <w:t>元</w:t>
            </w:r>
            <w:r>
              <w:rPr>
                <w:rFonts w:hint="eastAsia"/>
                <w:szCs w:val="21"/>
                <w:lang w:eastAsia="zh-Hans"/>
              </w:rPr>
              <w:t>/</w:t>
            </w:r>
            <w:r>
              <w:rPr>
                <w:rFonts w:hint="eastAsia"/>
                <w:szCs w:val="21"/>
                <w:lang w:eastAsia="zh-Hans"/>
              </w:rPr>
              <w:t>棵</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2606BD" w14:textId="77777777" w:rsidR="00A320E6" w:rsidRDefault="00A320E6" w:rsidP="00EC50E9">
            <w:pPr>
              <w:pStyle w:val="a3"/>
              <w:ind w:firstLineChars="0" w:firstLine="0"/>
              <w:rPr>
                <w:szCs w:val="21"/>
                <w:lang w:eastAsia="zh-Hans"/>
              </w:rPr>
            </w:pPr>
          </w:p>
        </w:tc>
      </w:tr>
      <w:tr w:rsidR="00A320E6" w14:paraId="564E1946" w14:textId="77777777" w:rsidTr="00AA2FAF">
        <w:trPr>
          <w:trHeight w:val="40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D2F6B" w14:textId="77777777" w:rsidR="00A320E6" w:rsidRDefault="00000000" w:rsidP="00EC50E9">
            <w:pPr>
              <w:pStyle w:val="a3"/>
              <w:ind w:firstLineChars="0" w:firstLine="0"/>
              <w:jc w:val="center"/>
              <w:rPr>
                <w:szCs w:val="21"/>
                <w:lang w:eastAsia="zh-Hans"/>
              </w:rPr>
            </w:pPr>
            <w:r>
              <w:rPr>
                <w:rFonts w:hint="eastAsia"/>
                <w:szCs w:val="21"/>
                <w:lang w:eastAsia="zh-Hans"/>
              </w:rPr>
              <w:t>22</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0E034" w14:textId="77777777" w:rsidR="00A320E6" w:rsidRDefault="00000000" w:rsidP="00EC50E9">
            <w:pPr>
              <w:pStyle w:val="a3"/>
              <w:ind w:firstLineChars="0" w:firstLine="0"/>
              <w:rPr>
                <w:szCs w:val="21"/>
                <w:lang w:eastAsia="zh-Hans"/>
              </w:rPr>
            </w:pPr>
            <w:r>
              <w:rPr>
                <w:rFonts w:hint="eastAsia"/>
                <w:szCs w:val="21"/>
                <w:lang w:eastAsia="zh-Hans"/>
              </w:rPr>
              <w:t>苗圃苗木</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61DE8" w14:textId="77777777" w:rsidR="00A320E6" w:rsidRDefault="00000000" w:rsidP="00EC50E9">
            <w:pPr>
              <w:pStyle w:val="a3"/>
              <w:ind w:firstLineChars="0" w:firstLine="0"/>
              <w:rPr>
                <w:szCs w:val="21"/>
                <w:lang w:eastAsia="zh-Hans"/>
              </w:rPr>
            </w:pPr>
            <w:r>
              <w:rPr>
                <w:rFonts w:hint="eastAsia"/>
                <w:szCs w:val="21"/>
                <w:lang w:eastAsia="zh-Hans"/>
              </w:rPr>
              <w:t>苗圃苗木</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6203A" w14:textId="77777777" w:rsidR="00A320E6" w:rsidRDefault="00000000" w:rsidP="00EC50E9">
            <w:pPr>
              <w:pStyle w:val="a3"/>
              <w:ind w:firstLineChars="0" w:firstLine="0"/>
              <w:rPr>
                <w:szCs w:val="21"/>
                <w:lang w:eastAsia="zh-Hans"/>
              </w:rPr>
            </w:pPr>
            <w:r>
              <w:rPr>
                <w:rFonts w:hint="eastAsia"/>
                <w:szCs w:val="21"/>
                <w:lang w:eastAsia="zh-Hans"/>
              </w:rPr>
              <w:t>6600-16500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F2DD6" w14:textId="77777777" w:rsidR="00A320E6" w:rsidRDefault="00000000" w:rsidP="00EC50E9">
            <w:pPr>
              <w:pStyle w:val="a3"/>
              <w:ind w:firstLineChars="0" w:firstLine="0"/>
              <w:rPr>
                <w:szCs w:val="21"/>
                <w:lang w:eastAsia="zh-Hans"/>
              </w:rPr>
            </w:pPr>
            <w:r>
              <w:rPr>
                <w:rFonts w:hint="eastAsia"/>
                <w:szCs w:val="21"/>
                <w:lang w:eastAsia="zh-Hans"/>
              </w:rPr>
              <w:t>包含花卉苗木；苗木归原主。</w:t>
            </w:r>
          </w:p>
        </w:tc>
      </w:tr>
      <w:tr w:rsidR="00A320E6" w14:paraId="064CC575" w14:textId="77777777" w:rsidTr="00AA2FAF">
        <w:trPr>
          <w:trHeight w:val="40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C648E" w14:textId="77777777" w:rsidR="00A320E6" w:rsidRDefault="00000000" w:rsidP="00EC50E9">
            <w:pPr>
              <w:pStyle w:val="a3"/>
              <w:ind w:firstLineChars="0" w:firstLine="0"/>
              <w:jc w:val="center"/>
              <w:rPr>
                <w:szCs w:val="21"/>
                <w:lang w:eastAsia="zh-Hans"/>
              </w:rPr>
            </w:pPr>
            <w:r>
              <w:rPr>
                <w:rFonts w:hint="eastAsia"/>
                <w:szCs w:val="21"/>
                <w:lang w:eastAsia="zh-Hans"/>
              </w:rPr>
              <w:t>23</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A520E" w14:textId="77777777" w:rsidR="00A320E6" w:rsidRDefault="00000000" w:rsidP="00EC50E9">
            <w:pPr>
              <w:pStyle w:val="a3"/>
              <w:ind w:firstLineChars="0" w:firstLine="0"/>
              <w:rPr>
                <w:szCs w:val="21"/>
                <w:lang w:eastAsia="zh-Hans"/>
              </w:rPr>
            </w:pPr>
            <w:r>
              <w:rPr>
                <w:rFonts w:hint="eastAsia"/>
                <w:szCs w:val="21"/>
                <w:lang w:eastAsia="zh-Hans"/>
              </w:rPr>
              <w:t>鱼塘</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AE550" w14:textId="77777777" w:rsidR="00A320E6" w:rsidRDefault="00A320E6" w:rsidP="00EC50E9">
            <w:pPr>
              <w:pStyle w:val="a3"/>
              <w:ind w:firstLineChars="0" w:firstLine="0"/>
              <w:rPr>
                <w:szCs w:val="21"/>
                <w:lang w:eastAsia="zh-Han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BFC36" w14:textId="77777777" w:rsidR="00A320E6" w:rsidRDefault="00000000" w:rsidP="00EC50E9">
            <w:pPr>
              <w:pStyle w:val="a3"/>
              <w:ind w:firstLineChars="0" w:firstLine="0"/>
              <w:rPr>
                <w:szCs w:val="21"/>
                <w:lang w:eastAsia="zh-Hans"/>
              </w:rPr>
            </w:pPr>
            <w:r>
              <w:rPr>
                <w:rFonts w:hint="eastAsia"/>
                <w:szCs w:val="21"/>
                <w:lang w:eastAsia="zh-Hans"/>
              </w:rPr>
              <w:t>7700-14500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8EC4" w14:textId="77777777" w:rsidR="00A320E6" w:rsidRDefault="00000000" w:rsidP="00EC50E9">
            <w:pPr>
              <w:pStyle w:val="a3"/>
              <w:ind w:firstLineChars="0" w:firstLine="0"/>
              <w:rPr>
                <w:szCs w:val="21"/>
                <w:lang w:eastAsia="zh-Hans"/>
              </w:rPr>
            </w:pPr>
            <w:r>
              <w:rPr>
                <w:rFonts w:hint="eastAsia"/>
                <w:szCs w:val="21"/>
                <w:lang w:eastAsia="zh-Hans"/>
              </w:rPr>
              <w:t>土石方工程另计，其余均包含。</w:t>
            </w:r>
          </w:p>
        </w:tc>
      </w:tr>
      <w:tr w:rsidR="00A320E6" w14:paraId="7BE5FC6B" w14:textId="77777777" w:rsidTr="00AA2FAF">
        <w:trPr>
          <w:trHeight w:val="405"/>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FBB39" w14:textId="77777777" w:rsidR="00A320E6" w:rsidRDefault="00000000" w:rsidP="00EC50E9">
            <w:pPr>
              <w:pStyle w:val="a3"/>
              <w:ind w:firstLineChars="0" w:firstLine="0"/>
              <w:jc w:val="center"/>
              <w:rPr>
                <w:szCs w:val="21"/>
                <w:lang w:eastAsia="zh-Hans"/>
              </w:rPr>
            </w:pPr>
            <w:r>
              <w:rPr>
                <w:rFonts w:hint="eastAsia"/>
                <w:szCs w:val="21"/>
                <w:lang w:eastAsia="zh-Hans"/>
              </w:rPr>
              <w:t>24</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E4982" w14:textId="77777777" w:rsidR="00A320E6" w:rsidRDefault="00000000" w:rsidP="00EC50E9">
            <w:pPr>
              <w:pStyle w:val="a3"/>
              <w:ind w:firstLineChars="0" w:firstLine="0"/>
              <w:rPr>
                <w:szCs w:val="21"/>
                <w:lang w:eastAsia="zh-Hans"/>
              </w:rPr>
            </w:pPr>
            <w:r>
              <w:rPr>
                <w:rFonts w:hint="eastAsia"/>
                <w:szCs w:val="21"/>
                <w:lang w:eastAsia="zh-Hans"/>
              </w:rPr>
              <w:t>藕塘</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6C4DC" w14:textId="77777777" w:rsidR="00A320E6" w:rsidRDefault="00A320E6" w:rsidP="00EC50E9">
            <w:pPr>
              <w:pStyle w:val="a3"/>
              <w:ind w:firstLineChars="0" w:firstLine="0"/>
              <w:rPr>
                <w:szCs w:val="21"/>
                <w:lang w:eastAsia="zh-Han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B1472" w14:textId="77777777" w:rsidR="00A320E6" w:rsidRDefault="00000000" w:rsidP="00EC50E9">
            <w:pPr>
              <w:pStyle w:val="a3"/>
              <w:ind w:firstLineChars="0" w:firstLine="0"/>
              <w:rPr>
                <w:szCs w:val="21"/>
                <w:lang w:eastAsia="zh-Hans"/>
              </w:rPr>
            </w:pPr>
            <w:r>
              <w:rPr>
                <w:rFonts w:hint="eastAsia"/>
                <w:szCs w:val="21"/>
                <w:lang w:eastAsia="zh-Hans"/>
              </w:rPr>
              <w:t>4500-9000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C423D" w14:textId="77777777" w:rsidR="00A320E6" w:rsidRDefault="00000000" w:rsidP="00EC50E9">
            <w:pPr>
              <w:pStyle w:val="a3"/>
              <w:ind w:firstLineChars="0" w:firstLine="0"/>
              <w:rPr>
                <w:szCs w:val="21"/>
                <w:lang w:eastAsia="zh-Hans"/>
              </w:rPr>
            </w:pPr>
            <w:r>
              <w:rPr>
                <w:rFonts w:hint="eastAsia"/>
                <w:szCs w:val="21"/>
                <w:lang w:eastAsia="zh-Hans"/>
              </w:rPr>
              <w:t>土石方工程另计，其余均包含。</w:t>
            </w:r>
          </w:p>
        </w:tc>
      </w:tr>
      <w:tr w:rsidR="00A320E6" w14:paraId="6C00C669" w14:textId="77777777" w:rsidTr="00AA2FAF">
        <w:trPr>
          <w:trHeight w:val="34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118231" w14:textId="77777777" w:rsidR="00A320E6" w:rsidRDefault="00000000" w:rsidP="00EC50E9">
            <w:pPr>
              <w:pStyle w:val="a3"/>
              <w:ind w:firstLineChars="0" w:firstLine="0"/>
              <w:jc w:val="center"/>
              <w:rPr>
                <w:szCs w:val="21"/>
                <w:lang w:eastAsia="zh-Hans"/>
              </w:rPr>
            </w:pPr>
            <w:r>
              <w:rPr>
                <w:rFonts w:hint="eastAsia"/>
                <w:szCs w:val="21"/>
                <w:lang w:eastAsia="zh-Hans"/>
              </w:rPr>
              <w:t>25</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BC6C3D" w14:textId="77777777" w:rsidR="00A320E6" w:rsidRDefault="00000000" w:rsidP="00EC50E9">
            <w:pPr>
              <w:pStyle w:val="a3"/>
              <w:ind w:firstLineChars="0" w:firstLine="0"/>
              <w:rPr>
                <w:szCs w:val="21"/>
                <w:lang w:eastAsia="zh-Hans"/>
              </w:rPr>
            </w:pPr>
            <w:r>
              <w:rPr>
                <w:rFonts w:hint="eastAsia"/>
                <w:szCs w:val="21"/>
                <w:lang w:eastAsia="zh-Hans"/>
              </w:rPr>
              <w:t>砖窑</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14336" w14:textId="77777777" w:rsidR="00A320E6" w:rsidRDefault="00000000" w:rsidP="00EC50E9">
            <w:pPr>
              <w:pStyle w:val="a3"/>
              <w:ind w:firstLineChars="0" w:firstLine="0"/>
              <w:rPr>
                <w:szCs w:val="21"/>
                <w:lang w:eastAsia="zh-Hans"/>
              </w:rPr>
            </w:pPr>
            <w:r>
              <w:rPr>
                <w:rFonts w:hint="eastAsia"/>
                <w:szCs w:val="21"/>
                <w:lang w:eastAsia="zh-Hans"/>
              </w:rPr>
              <w:t>18</w:t>
            </w:r>
            <w:r>
              <w:rPr>
                <w:rFonts w:hint="eastAsia"/>
                <w:szCs w:val="21"/>
                <w:lang w:eastAsia="zh-Hans"/>
              </w:rPr>
              <w:t>、</w:t>
            </w:r>
            <w:r>
              <w:rPr>
                <w:rFonts w:hint="eastAsia"/>
                <w:szCs w:val="21"/>
                <w:lang w:eastAsia="zh-Hans"/>
              </w:rPr>
              <w:t>20</w:t>
            </w:r>
            <w:r>
              <w:rPr>
                <w:rFonts w:hint="eastAsia"/>
                <w:szCs w:val="21"/>
                <w:lang w:eastAsia="zh-Hans"/>
              </w:rPr>
              <w:t>、</w:t>
            </w:r>
            <w:r>
              <w:rPr>
                <w:rFonts w:hint="eastAsia"/>
                <w:szCs w:val="21"/>
                <w:lang w:eastAsia="zh-Hans"/>
              </w:rPr>
              <w:t>22</w:t>
            </w:r>
            <w:r>
              <w:rPr>
                <w:rFonts w:hint="eastAsia"/>
                <w:szCs w:val="21"/>
                <w:lang w:eastAsia="zh-Hans"/>
              </w:rPr>
              <w:t>、</w:t>
            </w:r>
            <w:r>
              <w:rPr>
                <w:rFonts w:hint="eastAsia"/>
                <w:szCs w:val="21"/>
                <w:lang w:eastAsia="zh-Hans"/>
              </w:rPr>
              <w:t>32</w:t>
            </w:r>
            <w:r>
              <w:rPr>
                <w:rFonts w:hint="eastAsia"/>
                <w:szCs w:val="21"/>
                <w:lang w:eastAsia="zh-Hans"/>
              </w:rPr>
              <w:t>门轮窑</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C73C4" w14:textId="77777777" w:rsidR="00A320E6" w:rsidRDefault="00000000" w:rsidP="00EC50E9">
            <w:pPr>
              <w:pStyle w:val="a3"/>
              <w:ind w:firstLineChars="0" w:firstLine="0"/>
              <w:rPr>
                <w:szCs w:val="21"/>
                <w:lang w:eastAsia="zh-Hans"/>
              </w:rPr>
            </w:pPr>
            <w:r>
              <w:rPr>
                <w:rFonts w:hint="eastAsia"/>
                <w:szCs w:val="21"/>
                <w:lang w:eastAsia="zh-Hans"/>
              </w:rPr>
              <w:t>9000-13000</w:t>
            </w:r>
            <w:r>
              <w:rPr>
                <w:rFonts w:hint="eastAsia"/>
                <w:szCs w:val="21"/>
                <w:lang w:eastAsia="zh-Hans"/>
              </w:rPr>
              <w:t>元</w:t>
            </w:r>
            <w:r>
              <w:rPr>
                <w:rFonts w:hint="eastAsia"/>
                <w:szCs w:val="21"/>
                <w:lang w:eastAsia="zh-Hans"/>
              </w:rPr>
              <w:t>/</w:t>
            </w:r>
            <w:r>
              <w:rPr>
                <w:rFonts w:hint="eastAsia"/>
                <w:szCs w:val="21"/>
                <w:lang w:eastAsia="zh-Hans"/>
              </w:rPr>
              <w:t>口</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81F780" w14:textId="77777777" w:rsidR="00A320E6" w:rsidRDefault="00000000" w:rsidP="00EC50E9">
            <w:pPr>
              <w:pStyle w:val="a3"/>
              <w:ind w:firstLineChars="0" w:firstLine="0"/>
              <w:rPr>
                <w:szCs w:val="21"/>
                <w:lang w:eastAsia="zh-Hans"/>
              </w:rPr>
            </w:pPr>
            <w:r>
              <w:rPr>
                <w:rFonts w:hint="eastAsia"/>
                <w:szCs w:val="21"/>
                <w:lang w:eastAsia="zh-Hans"/>
              </w:rPr>
              <w:t>包括烟囟、烘干室；新式另行计价。</w:t>
            </w:r>
          </w:p>
        </w:tc>
      </w:tr>
      <w:tr w:rsidR="00A320E6" w14:paraId="670FB9A5"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88CF9"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51CC6"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DBC8F" w14:textId="77777777" w:rsidR="00A320E6" w:rsidRDefault="00000000" w:rsidP="00EC50E9">
            <w:pPr>
              <w:pStyle w:val="a3"/>
              <w:ind w:firstLineChars="0" w:firstLine="0"/>
              <w:rPr>
                <w:szCs w:val="21"/>
                <w:lang w:eastAsia="zh-Hans"/>
              </w:rPr>
            </w:pPr>
            <w:r>
              <w:rPr>
                <w:rFonts w:hint="eastAsia"/>
                <w:szCs w:val="21"/>
                <w:lang w:eastAsia="zh-Hans"/>
              </w:rPr>
              <w:t>老式土窑</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7919D" w14:textId="77777777" w:rsidR="00A320E6" w:rsidRDefault="00000000" w:rsidP="00EC50E9">
            <w:pPr>
              <w:pStyle w:val="a3"/>
              <w:ind w:firstLineChars="0" w:firstLine="0"/>
              <w:rPr>
                <w:szCs w:val="21"/>
                <w:lang w:eastAsia="zh-Hans"/>
              </w:rPr>
            </w:pPr>
            <w:r>
              <w:rPr>
                <w:rFonts w:hint="eastAsia"/>
                <w:szCs w:val="21"/>
                <w:lang w:eastAsia="zh-Hans"/>
              </w:rPr>
              <w:t>11000-34000</w:t>
            </w:r>
            <w:r>
              <w:rPr>
                <w:rFonts w:hint="eastAsia"/>
                <w:szCs w:val="21"/>
                <w:lang w:eastAsia="zh-Hans"/>
              </w:rPr>
              <w:t>元</w:t>
            </w:r>
            <w:r>
              <w:rPr>
                <w:rFonts w:hint="eastAsia"/>
                <w:szCs w:val="21"/>
                <w:lang w:eastAsia="zh-Hans"/>
              </w:rPr>
              <w:t>/</w:t>
            </w:r>
            <w:r>
              <w:rPr>
                <w:rFonts w:hint="eastAsia"/>
                <w:szCs w:val="21"/>
                <w:lang w:eastAsia="zh-Hans"/>
              </w:rPr>
              <w:t>座</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9A21CE" w14:textId="77777777" w:rsidR="00A320E6" w:rsidRDefault="00A320E6" w:rsidP="00EC50E9">
            <w:pPr>
              <w:pStyle w:val="a3"/>
              <w:ind w:firstLineChars="0" w:firstLine="0"/>
              <w:rPr>
                <w:szCs w:val="21"/>
                <w:lang w:eastAsia="zh-Hans"/>
              </w:rPr>
            </w:pPr>
          </w:p>
        </w:tc>
      </w:tr>
      <w:tr w:rsidR="00A320E6" w14:paraId="3A251E54" w14:textId="77777777" w:rsidTr="00AA2FAF">
        <w:trPr>
          <w:trHeight w:val="40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51D8AA" w14:textId="77777777" w:rsidR="00A320E6" w:rsidRDefault="00000000" w:rsidP="00EC50E9">
            <w:pPr>
              <w:pStyle w:val="a3"/>
              <w:ind w:firstLineChars="0" w:firstLine="0"/>
              <w:jc w:val="center"/>
              <w:rPr>
                <w:szCs w:val="21"/>
                <w:lang w:eastAsia="zh-Hans"/>
              </w:rPr>
            </w:pPr>
            <w:r>
              <w:rPr>
                <w:rFonts w:hint="eastAsia"/>
                <w:szCs w:val="21"/>
                <w:lang w:eastAsia="zh-Hans"/>
              </w:rPr>
              <w:t>26</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F1D6EA" w14:textId="77777777" w:rsidR="00A320E6" w:rsidRDefault="00000000" w:rsidP="00EC50E9">
            <w:pPr>
              <w:pStyle w:val="a3"/>
              <w:ind w:firstLineChars="0" w:firstLine="0"/>
              <w:rPr>
                <w:szCs w:val="21"/>
                <w:lang w:eastAsia="zh-Hans"/>
              </w:rPr>
            </w:pPr>
            <w:r>
              <w:rPr>
                <w:rFonts w:hint="eastAsia"/>
                <w:szCs w:val="21"/>
                <w:lang w:eastAsia="zh-Hans"/>
              </w:rPr>
              <w:t>桥</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E8ABA" w14:textId="77777777" w:rsidR="00A320E6" w:rsidRDefault="00000000" w:rsidP="00EC50E9">
            <w:pPr>
              <w:pStyle w:val="a3"/>
              <w:ind w:firstLineChars="0" w:firstLine="0"/>
              <w:rPr>
                <w:szCs w:val="21"/>
                <w:lang w:eastAsia="zh-Hans"/>
              </w:rPr>
            </w:pPr>
            <w:r>
              <w:rPr>
                <w:rFonts w:hint="eastAsia"/>
                <w:szCs w:val="21"/>
                <w:lang w:eastAsia="zh-Hans"/>
              </w:rPr>
              <w:t>钢筋混凝土矩形板桥</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CD27E" w14:textId="77777777" w:rsidR="00A320E6" w:rsidRDefault="00000000" w:rsidP="00EC50E9">
            <w:pPr>
              <w:pStyle w:val="a3"/>
              <w:ind w:firstLineChars="0" w:firstLine="0"/>
              <w:rPr>
                <w:szCs w:val="21"/>
                <w:lang w:eastAsia="zh-Hans"/>
              </w:rPr>
            </w:pPr>
            <w:r>
              <w:rPr>
                <w:rFonts w:hint="eastAsia"/>
                <w:szCs w:val="21"/>
                <w:lang w:eastAsia="zh-Hans"/>
              </w:rPr>
              <w:t>1300-1700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140C35" w14:textId="77777777" w:rsidR="00A320E6" w:rsidRDefault="00000000" w:rsidP="00EC50E9">
            <w:pPr>
              <w:pStyle w:val="a3"/>
              <w:ind w:firstLineChars="0" w:firstLine="0"/>
              <w:rPr>
                <w:szCs w:val="21"/>
                <w:lang w:eastAsia="zh-Hans"/>
              </w:rPr>
            </w:pPr>
            <w:r>
              <w:rPr>
                <w:rFonts w:hint="eastAsia"/>
                <w:szCs w:val="21"/>
                <w:lang w:eastAsia="zh-Hans"/>
              </w:rPr>
              <w:t>按桥面积或座计算。</w:t>
            </w:r>
          </w:p>
        </w:tc>
      </w:tr>
      <w:tr w:rsidR="00A320E6" w14:paraId="38338785"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094486"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69183"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91758" w14:textId="77777777" w:rsidR="00A320E6" w:rsidRDefault="00000000" w:rsidP="00EC50E9">
            <w:pPr>
              <w:pStyle w:val="a3"/>
              <w:ind w:firstLineChars="0" w:firstLine="0"/>
              <w:rPr>
                <w:szCs w:val="21"/>
                <w:lang w:eastAsia="zh-Hans"/>
              </w:rPr>
            </w:pPr>
            <w:r>
              <w:rPr>
                <w:rFonts w:hint="eastAsia"/>
                <w:szCs w:val="21"/>
                <w:lang w:eastAsia="zh-Hans"/>
              </w:rPr>
              <w:t>平坦石拱桥</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1731F" w14:textId="77777777" w:rsidR="00A320E6" w:rsidRDefault="00000000" w:rsidP="00EC50E9">
            <w:pPr>
              <w:pStyle w:val="a3"/>
              <w:ind w:firstLineChars="0" w:firstLine="0"/>
              <w:rPr>
                <w:szCs w:val="21"/>
                <w:lang w:eastAsia="zh-Hans"/>
              </w:rPr>
            </w:pPr>
            <w:r>
              <w:rPr>
                <w:rFonts w:hint="eastAsia"/>
                <w:szCs w:val="21"/>
                <w:lang w:eastAsia="zh-Hans"/>
              </w:rPr>
              <w:t>1100-1400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A322C" w14:textId="77777777" w:rsidR="00A320E6" w:rsidRDefault="00A320E6" w:rsidP="00EC50E9">
            <w:pPr>
              <w:pStyle w:val="a3"/>
              <w:ind w:firstLineChars="0" w:firstLine="0"/>
              <w:rPr>
                <w:szCs w:val="21"/>
                <w:lang w:eastAsia="zh-Hans"/>
              </w:rPr>
            </w:pPr>
          </w:p>
        </w:tc>
      </w:tr>
      <w:tr w:rsidR="00A320E6" w14:paraId="65204611"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E2C25F"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7942C"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37C6" w14:textId="77777777" w:rsidR="00A320E6" w:rsidRDefault="00000000" w:rsidP="00EC50E9">
            <w:pPr>
              <w:pStyle w:val="a3"/>
              <w:ind w:firstLineChars="0" w:firstLine="0"/>
              <w:rPr>
                <w:szCs w:val="21"/>
                <w:lang w:eastAsia="zh-Hans"/>
              </w:rPr>
            </w:pPr>
            <w:r>
              <w:rPr>
                <w:rFonts w:hint="eastAsia"/>
                <w:szCs w:val="21"/>
                <w:lang w:eastAsia="zh-Hans"/>
              </w:rPr>
              <w:t>石拱桥</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46DF6" w14:textId="77777777" w:rsidR="00A320E6" w:rsidRDefault="00000000" w:rsidP="00EC50E9">
            <w:pPr>
              <w:pStyle w:val="a3"/>
              <w:ind w:firstLineChars="0" w:firstLine="0"/>
              <w:rPr>
                <w:szCs w:val="21"/>
                <w:lang w:eastAsia="zh-Hans"/>
              </w:rPr>
            </w:pPr>
            <w:r>
              <w:rPr>
                <w:rFonts w:hint="eastAsia"/>
                <w:szCs w:val="21"/>
                <w:lang w:eastAsia="zh-Hans"/>
              </w:rPr>
              <w:t>1800-2400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BB57B3" w14:textId="77777777" w:rsidR="00A320E6" w:rsidRDefault="00A320E6" w:rsidP="00EC50E9">
            <w:pPr>
              <w:pStyle w:val="a3"/>
              <w:ind w:firstLineChars="0" w:firstLine="0"/>
              <w:rPr>
                <w:szCs w:val="21"/>
                <w:lang w:eastAsia="zh-Hans"/>
              </w:rPr>
            </w:pPr>
          </w:p>
        </w:tc>
      </w:tr>
      <w:tr w:rsidR="00A320E6" w14:paraId="7AC26937"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CE46D"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3F2CE"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68E11" w14:textId="77777777" w:rsidR="00A320E6" w:rsidRDefault="00000000" w:rsidP="00EC50E9">
            <w:pPr>
              <w:pStyle w:val="a3"/>
              <w:ind w:firstLineChars="0" w:firstLine="0"/>
              <w:rPr>
                <w:szCs w:val="21"/>
                <w:lang w:eastAsia="zh-Hans"/>
              </w:rPr>
            </w:pPr>
            <w:r>
              <w:rPr>
                <w:rFonts w:hint="eastAsia"/>
                <w:szCs w:val="21"/>
                <w:lang w:eastAsia="zh-Hans"/>
              </w:rPr>
              <w:t>乡间小桥</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51C15" w14:textId="77777777" w:rsidR="00A320E6" w:rsidRDefault="00000000" w:rsidP="00EC50E9">
            <w:pPr>
              <w:pStyle w:val="a3"/>
              <w:ind w:firstLineChars="0" w:firstLine="0"/>
              <w:rPr>
                <w:szCs w:val="21"/>
                <w:lang w:eastAsia="zh-Hans"/>
              </w:rPr>
            </w:pPr>
            <w:r>
              <w:rPr>
                <w:rFonts w:hint="eastAsia"/>
                <w:szCs w:val="21"/>
                <w:lang w:eastAsia="zh-Hans"/>
              </w:rPr>
              <w:t>650-1100</w:t>
            </w:r>
            <w:r>
              <w:rPr>
                <w:rFonts w:hint="eastAsia"/>
                <w:szCs w:val="21"/>
                <w:lang w:eastAsia="zh-Hans"/>
              </w:rPr>
              <w:t>元</w:t>
            </w:r>
            <w:r>
              <w:rPr>
                <w:rFonts w:hint="eastAsia"/>
                <w:szCs w:val="21"/>
                <w:lang w:eastAsia="zh-Hans"/>
              </w:rPr>
              <w:t>/</w:t>
            </w:r>
            <w:r>
              <w:rPr>
                <w:rFonts w:hint="eastAsia"/>
                <w:szCs w:val="21"/>
                <w:lang w:eastAsia="zh-Hans"/>
              </w:rPr>
              <w:t>座</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33FC7" w14:textId="77777777" w:rsidR="00A320E6" w:rsidRDefault="00A320E6" w:rsidP="00EC50E9">
            <w:pPr>
              <w:pStyle w:val="a3"/>
              <w:ind w:firstLineChars="0" w:firstLine="0"/>
              <w:rPr>
                <w:szCs w:val="21"/>
                <w:lang w:eastAsia="zh-Hans"/>
              </w:rPr>
            </w:pPr>
          </w:p>
        </w:tc>
      </w:tr>
      <w:tr w:rsidR="00A320E6" w14:paraId="6AC4D469"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4B5E77"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73BBE4"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C10AA" w14:textId="77777777" w:rsidR="00A320E6" w:rsidRDefault="00000000" w:rsidP="00EC50E9">
            <w:pPr>
              <w:pStyle w:val="a3"/>
              <w:ind w:firstLineChars="0" w:firstLine="0"/>
              <w:rPr>
                <w:szCs w:val="21"/>
                <w:lang w:eastAsia="zh-Hans"/>
              </w:rPr>
            </w:pPr>
            <w:r>
              <w:rPr>
                <w:rFonts w:hint="eastAsia"/>
                <w:szCs w:val="21"/>
                <w:lang w:eastAsia="zh-Hans"/>
              </w:rPr>
              <w:t>水管桥梁</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826BF" w14:textId="77777777" w:rsidR="00A320E6" w:rsidRDefault="00000000" w:rsidP="00EC50E9">
            <w:pPr>
              <w:pStyle w:val="a3"/>
              <w:ind w:firstLineChars="0" w:firstLine="0"/>
              <w:rPr>
                <w:szCs w:val="21"/>
                <w:lang w:eastAsia="zh-Hans"/>
              </w:rPr>
            </w:pPr>
            <w:r>
              <w:rPr>
                <w:rFonts w:hint="eastAsia"/>
                <w:szCs w:val="21"/>
                <w:lang w:eastAsia="zh-Hans"/>
              </w:rPr>
              <w:t>550</w:t>
            </w:r>
            <w:r>
              <w:rPr>
                <w:rFonts w:hint="eastAsia"/>
                <w:szCs w:val="21"/>
                <w:lang w:eastAsia="zh-Hans"/>
              </w:rPr>
              <w:t>元</w:t>
            </w:r>
            <w:r>
              <w:rPr>
                <w:rFonts w:hint="eastAsia"/>
                <w:szCs w:val="21"/>
                <w:lang w:eastAsia="zh-Hans"/>
              </w:rPr>
              <w:t>/</w:t>
            </w:r>
            <w:r>
              <w:rPr>
                <w:rFonts w:hint="eastAsia"/>
                <w:szCs w:val="21"/>
                <w:lang w:eastAsia="zh-Hans"/>
              </w:rPr>
              <w:t>座</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330D3" w14:textId="77777777" w:rsidR="00A320E6" w:rsidRDefault="00A320E6" w:rsidP="00EC50E9">
            <w:pPr>
              <w:pStyle w:val="a3"/>
              <w:ind w:firstLineChars="0" w:firstLine="0"/>
              <w:rPr>
                <w:szCs w:val="21"/>
                <w:lang w:eastAsia="zh-Hans"/>
              </w:rPr>
            </w:pPr>
          </w:p>
        </w:tc>
      </w:tr>
      <w:tr w:rsidR="00A320E6" w14:paraId="7AF2A1E4" w14:textId="77777777" w:rsidTr="00AA2FAF">
        <w:trPr>
          <w:trHeight w:val="40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159E1B" w14:textId="77777777" w:rsidR="00A320E6" w:rsidRDefault="00000000" w:rsidP="00EC50E9">
            <w:pPr>
              <w:pStyle w:val="a3"/>
              <w:ind w:firstLineChars="0" w:firstLine="0"/>
              <w:jc w:val="center"/>
              <w:rPr>
                <w:szCs w:val="21"/>
                <w:lang w:eastAsia="zh-Hans"/>
              </w:rPr>
            </w:pPr>
            <w:r>
              <w:rPr>
                <w:rFonts w:hint="eastAsia"/>
                <w:szCs w:val="21"/>
                <w:lang w:eastAsia="zh-Hans"/>
              </w:rPr>
              <w:t>27</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5F4342" w14:textId="77777777" w:rsidR="00A320E6" w:rsidRDefault="00000000" w:rsidP="00EC50E9">
            <w:pPr>
              <w:pStyle w:val="a3"/>
              <w:ind w:firstLineChars="0" w:firstLine="0"/>
              <w:rPr>
                <w:szCs w:val="21"/>
                <w:lang w:eastAsia="zh-Hans"/>
              </w:rPr>
            </w:pPr>
            <w:r>
              <w:rPr>
                <w:rFonts w:hint="eastAsia"/>
                <w:szCs w:val="21"/>
                <w:lang w:eastAsia="zh-Hans"/>
              </w:rPr>
              <w:t>涵洞</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3FF76" w14:textId="77777777" w:rsidR="00A320E6" w:rsidRDefault="00000000" w:rsidP="00EC50E9">
            <w:pPr>
              <w:pStyle w:val="a3"/>
              <w:ind w:firstLineChars="0" w:firstLine="0"/>
              <w:rPr>
                <w:szCs w:val="21"/>
                <w:lang w:eastAsia="zh-Hans"/>
              </w:rPr>
            </w:pPr>
            <w:r>
              <w:rPr>
                <w:rFonts w:hint="eastAsia"/>
                <w:szCs w:val="21"/>
                <w:lang w:eastAsia="zh-Hans"/>
              </w:rPr>
              <w:t>石盖板涵跨径</w:t>
            </w:r>
            <w:r>
              <w:rPr>
                <w:rFonts w:hint="eastAsia"/>
                <w:szCs w:val="21"/>
                <w:lang w:eastAsia="zh-Hans"/>
              </w:rPr>
              <w:t>1-2m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C2C75" w14:textId="77777777" w:rsidR="00A320E6" w:rsidRDefault="00000000" w:rsidP="00EC50E9">
            <w:pPr>
              <w:pStyle w:val="a3"/>
              <w:ind w:firstLineChars="0" w:firstLine="0"/>
              <w:rPr>
                <w:szCs w:val="21"/>
                <w:lang w:eastAsia="zh-Hans"/>
              </w:rPr>
            </w:pPr>
            <w:r>
              <w:rPr>
                <w:rFonts w:hint="eastAsia"/>
                <w:szCs w:val="21"/>
                <w:lang w:eastAsia="zh-Hans"/>
              </w:rPr>
              <w:t>650-1100</w:t>
            </w:r>
            <w:r>
              <w:rPr>
                <w:rFonts w:hint="eastAsia"/>
                <w:szCs w:val="21"/>
                <w:lang w:eastAsia="zh-Hans"/>
              </w:rPr>
              <w:t>元</w:t>
            </w:r>
            <w:r>
              <w:rPr>
                <w:rFonts w:hint="eastAsia"/>
                <w:szCs w:val="21"/>
                <w:lang w:eastAsia="zh-Hans"/>
              </w:rPr>
              <w:t>/m</w:t>
            </w:r>
          </w:p>
        </w:tc>
        <w:tc>
          <w:tcPr>
            <w:tcW w:w="1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924F23" w14:textId="77777777" w:rsidR="00A320E6" w:rsidRDefault="00000000" w:rsidP="00EC50E9">
            <w:pPr>
              <w:pStyle w:val="a3"/>
              <w:ind w:firstLineChars="0" w:firstLine="0"/>
              <w:rPr>
                <w:szCs w:val="21"/>
                <w:lang w:eastAsia="zh-Hans"/>
              </w:rPr>
            </w:pPr>
            <w:r>
              <w:rPr>
                <w:rFonts w:hint="eastAsia"/>
                <w:szCs w:val="21"/>
                <w:lang w:eastAsia="zh-Hans"/>
              </w:rPr>
              <w:t>按长度计算。</w:t>
            </w:r>
          </w:p>
        </w:tc>
      </w:tr>
      <w:tr w:rsidR="00A320E6" w14:paraId="17E2A1FA" w14:textId="77777777" w:rsidTr="00AA2FAF">
        <w:trPr>
          <w:trHeight w:val="40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39A02A"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23A4F"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B461" w14:textId="77777777" w:rsidR="00A320E6" w:rsidRDefault="00000000" w:rsidP="00EC50E9">
            <w:pPr>
              <w:pStyle w:val="a3"/>
              <w:ind w:firstLineChars="0" w:firstLine="0"/>
              <w:rPr>
                <w:szCs w:val="21"/>
                <w:lang w:eastAsia="zh-Hans"/>
              </w:rPr>
            </w:pPr>
            <w:r>
              <w:rPr>
                <w:rFonts w:hint="eastAsia"/>
                <w:szCs w:val="21"/>
                <w:lang w:eastAsia="zh-Hans"/>
              </w:rPr>
              <w:t>石拱涵跨径</w:t>
            </w:r>
            <w:r>
              <w:rPr>
                <w:rFonts w:hint="eastAsia"/>
                <w:szCs w:val="21"/>
                <w:lang w:eastAsia="zh-Hans"/>
              </w:rPr>
              <w:t>1-4m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BB240" w14:textId="77777777" w:rsidR="00A320E6" w:rsidRDefault="00000000" w:rsidP="00EC50E9">
            <w:pPr>
              <w:pStyle w:val="a3"/>
              <w:ind w:firstLineChars="0" w:firstLine="0"/>
              <w:rPr>
                <w:szCs w:val="21"/>
                <w:lang w:eastAsia="zh-Hans"/>
              </w:rPr>
            </w:pPr>
            <w:r>
              <w:rPr>
                <w:rFonts w:hint="eastAsia"/>
                <w:szCs w:val="21"/>
                <w:lang w:eastAsia="zh-Hans"/>
              </w:rPr>
              <w:t>1800-2600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A1FFE4" w14:textId="77777777" w:rsidR="00A320E6" w:rsidRDefault="00A320E6" w:rsidP="00EC50E9">
            <w:pPr>
              <w:pStyle w:val="a3"/>
              <w:ind w:firstLineChars="0" w:firstLine="0"/>
              <w:rPr>
                <w:szCs w:val="21"/>
                <w:lang w:eastAsia="zh-Hans"/>
              </w:rPr>
            </w:pPr>
          </w:p>
        </w:tc>
      </w:tr>
      <w:tr w:rsidR="00A320E6" w14:paraId="022A9C6A" w14:textId="77777777" w:rsidTr="00AA2FAF">
        <w:trPr>
          <w:trHeight w:val="46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CA69F"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10173"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14A9B" w14:textId="77777777" w:rsidR="00A320E6" w:rsidRDefault="00000000" w:rsidP="00EC50E9">
            <w:pPr>
              <w:pStyle w:val="a3"/>
              <w:ind w:firstLineChars="0" w:firstLine="0"/>
              <w:rPr>
                <w:szCs w:val="21"/>
                <w:lang w:eastAsia="zh-Hans"/>
              </w:rPr>
            </w:pPr>
            <w:r>
              <w:rPr>
                <w:rFonts w:hint="eastAsia"/>
                <w:szCs w:val="21"/>
                <w:lang w:eastAsia="zh-Hans"/>
              </w:rPr>
              <w:t>钢筋混凝土圆管涵跨径</w:t>
            </w:r>
            <w:r>
              <w:rPr>
                <w:rFonts w:hint="eastAsia"/>
                <w:szCs w:val="21"/>
                <w:lang w:eastAsia="zh-Hans"/>
              </w:rPr>
              <w:t>1-2m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7EE22" w14:textId="77777777" w:rsidR="00A320E6" w:rsidRDefault="00000000" w:rsidP="00EC50E9">
            <w:pPr>
              <w:pStyle w:val="a3"/>
              <w:ind w:firstLineChars="0" w:firstLine="0"/>
              <w:rPr>
                <w:szCs w:val="21"/>
                <w:lang w:eastAsia="zh-Hans"/>
              </w:rPr>
            </w:pPr>
            <w:r>
              <w:rPr>
                <w:rFonts w:hint="eastAsia"/>
                <w:szCs w:val="21"/>
                <w:lang w:eastAsia="zh-Hans"/>
              </w:rPr>
              <w:t>1350-2200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774F51" w14:textId="77777777" w:rsidR="00A320E6" w:rsidRDefault="00A320E6" w:rsidP="00EC50E9">
            <w:pPr>
              <w:pStyle w:val="a3"/>
              <w:ind w:firstLineChars="0" w:firstLine="0"/>
              <w:rPr>
                <w:szCs w:val="21"/>
                <w:lang w:eastAsia="zh-Hans"/>
              </w:rPr>
            </w:pPr>
          </w:p>
        </w:tc>
      </w:tr>
      <w:tr w:rsidR="00A320E6" w14:paraId="6092C434" w14:textId="77777777" w:rsidTr="00AA2FAF">
        <w:trPr>
          <w:trHeight w:val="46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F34A6"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3893E"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4DE33" w14:textId="77777777" w:rsidR="00A320E6" w:rsidRDefault="00000000" w:rsidP="00EC50E9">
            <w:pPr>
              <w:pStyle w:val="a3"/>
              <w:ind w:firstLineChars="0" w:firstLine="0"/>
              <w:rPr>
                <w:szCs w:val="21"/>
                <w:lang w:eastAsia="zh-Hans"/>
              </w:rPr>
            </w:pPr>
            <w:r>
              <w:rPr>
                <w:rFonts w:hint="eastAsia"/>
                <w:szCs w:val="21"/>
                <w:lang w:eastAsia="zh-Hans"/>
              </w:rPr>
              <w:t>钢筋混凝土盖板涵跨径</w:t>
            </w:r>
            <w:r>
              <w:rPr>
                <w:rFonts w:hint="eastAsia"/>
                <w:szCs w:val="21"/>
                <w:lang w:eastAsia="zh-Hans"/>
              </w:rPr>
              <w:t>1.5-4m</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D19BA" w14:textId="77777777" w:rsidR="00A320E6" w:rsidRDefault="00000000" w:rsidP="00EC50E9">
            <w:pPr>
              <w:pStyle w:val="a3"/>
              <w:ind w:firstLineChars="0" w:firstLine="0"/>
              <w:rPr>
                <w:szCs w:val="21"/>
                <w:lang w:eastAsia="zh-Hans"/>
              </w:rPr>
            </w:pPr>
            <w:r>
              <w:rPr>
                <w:rFonts w:hint="eastAsia"/>
                <w:szCs w:val="21"/>
                <w:lang w:eastAsia="zh-Hans"/>
              </w:rPr>
              <w:t>1700-3300</w:t>
            </w:r>
            <w:r>
              <w:rPr>
                <w:rFonts w:hint="eastAsia"/>
                <w:szCs w:val="21"/>
                <w:lang w:eastAsia="zh-Hans"/>
              </w:rPr>
              <w:t>元</w:t>
            </w:r>
            <w:r>
              <w:rPr>
                <w:rFonts w:hint="eastAsia"/>
                <w:szCs w:val="21"/>
                <w:lang w:eastAsia="zh-Hans"/>
              </w:rPr>
              <w:t>/m</w:t>
            </w:r>
          </w:p>
        </w:tc>
        <w:tc>
          <w:tcPr>
            <w:tcW w:w="16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0CE30" w14:textId="77777777" w:rsidR="00A320E6" w:rsidRDefault="00A320E6" w:rsidP="00EC50E9">
            <w:pPr>
              <w:pStyle w:val="a3"/>
              <w:ind w:firstLineChars="0" w:firstLine="0"/>
              <w:rPr>
                <w:szCs w:val="21"/>
                <w:lang w:eastAsia="zh-Hans"/>
              </w:rPr>
            </w:pPr>
          </w:p>
        </w:tc>
      </w:tr>
      <w:tr w:rsidR="00A320E6" w14:paraId="753A1649" w14:textId="77777777" w:rsidTr="00AA2FAF">
        <w:trPr>
          <w:trHeight w:val="555"/>
        </w:trPr>
        <w:tc>
          <w:tcPr>
            <w:tcW w:w="4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7DE4A4" w14:textId="77777777" w:rsidR="00A320E6" w:rsidRDefault="00000000" w:rsidP="00EC50E9">
            <w:pPr>
              <w:pStyle w:val="a3"/>
              <w:ind w:firstLineChars="0" w:firstLine="0"/>
              <w:jc w:val="center"/>
              <w:rPr>
                <w:szCs w:val="21"/>
                <w:lang w:eastAsia="zh-Hans"/>
              </w:rPr>
            </w:pPr>
            <w:r>
              <w:rPr>
                <w:rFonts w:hint="eastAsia"/>
                <w:szCs w:val="21"/>
                <w:lang w:eastAsia="zh-Hans"/>
              </w:rPr>
              <w:t>28</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B95B0A" w14:textId="77777777" w:rsidR="00A320E6" w:rsidRDefault="00000000" w:rsidP="00EC50E9">
            <w:pPr>
              <w:pStyle w:val="a3"/>
              <w:ind w:firstLineChars="0" w:firstLine="0"/>
              <w:rPr>
                <w:szCs w:val="21"/>
                <w:lang w:eastAsia="zh-Hans"/>
              </w:rPr>
            </w:pPr>
            <w:r>
              <w:rPr>
                <w:rFonts w:hint="eastAsia"/>
                <w:szCs w:val="21"/>
                <w:lang w:eastAsia="zh-Hans"/>
              </w:rPr>
              <w:t>道路</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68B63" w14:textId="77777777" w:rsidR="00A320E6" w:rsidRDefault="00000000" w:rsidP="00EC50E9">
            <w:pPr>
              <w:pStyle w:val="a3"/>
              <w:ind w:firstLineChars="0" w:firstLine="0"/>
              <w:rPr>
                <w:szCs w:val="21"/>
                <w:lang w:eastAsia="zh-Hans"/>
              </w:rPr>
            </w:pPr>
            <w:r>
              <w:rPr>
                <w:rFonts w:hint="eastAsia"/>
                <w:szCs w:val="21"/>
                <w:lang w:eastAsia="zh-Hans"/>
              </w:rPr>
              <w:t>沥青硬化</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E3F6F" w14:textId="77777777" w:rsidR="00A320E6" w:rsidRDefault="00000000" w:rsidP="00EC50E9">
            <w:pPr>
              <w:pStyle w:val="a3"/>
              <w:ind w:firstLineChars="0" w:firstLine="0"/>
              <w:rPr>
                <w:szCs w:val="21"/>
                <w:lang w:eastAsia="zh-Hans"/>
              </w:rPr>
            </w:pPr>
            <w:r>
              <w:rPr>
                <w:rFonts w:hint="eastAsia"/>
                <w:szCs w:val="21"/>
                <w:lang w:eastAsia="zh-Hans"/>
              </w:rPr>
              <w:t>50-70</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489DE" w14:textId="77777777" w:rsidR="00A320E6" w:rsidRDefault="00000000" w:rsidP="00EC50E9">
            <w:pPr>
              <w:pStyle w:val="a3"/>
              <w:ind w:firstLineChars="0" w:firstLine="0"/>
              <w:rPr>
                <w:szCs w:val="21"/>
                <w:lang w:eastAsia="zh-Hans"/>
              </w:rPr>
            </w:pPr>
            <w:r>
              <w:rPr>
                <w:rFonts w:hint="eastAsia"/>
                <w:szCs w:val="21"/>
                <w:lang w:eastAsia="zh-Hans"/>
              </w:rPr>
              <w:t>厚度</w:t>
            </w:r>
            <w:r>
              <w:rPr>
                <w:rFonts w:hint="eastAsia"/>
                <w:szCs w:val="21"/>
                <w:lang w:eastAsia="zh-Hans"/>
              </w:rPr>
              <w:t>6cm</w:t>
            </w:r>
            <w:r>
              <w:rPr>
                <w:rFonts w:hint="eastAsia"/>
                <w:szCs w:val="21"/>
                <w:lang w:eastAsia="zh-Hans"/>
              </w:rPr>
              <w:t>以内，每超</w:t>
            </w:r>
            <w:r>
              <w:rPr>
                <w:rFonts w:hint="eastAsia"/>
                <w:szCs w:val="21"/>
                <w:lang w:eastAsia="zh-Hans"/>
              </w:rPr>
              <w:t>1cm</w:t>
            </w:r>
            <w:r>
              <w:rPr>
                <w:rFonts w:hint="eastAsia"/>
                <w:szCs w:val="21"/>
                <w:lang w:eastAsia="zh-Hans"/>
              </w:rPr>
              <w:t>厚度增加</w:t>
            </w:r>
            <w:r>
              <w:rPr>
                <w:rFonts w:hint="eastAsia"/>
                <w:szCs w:val="21"/>
                <w:lang w:eastAsia="zh-Hans"/>
              </w:rPr>
              <w:t>10</w:t>
            </w:r>
            <w:r>
              <w:rPr>
                <w:rFonts w:hint="eastAsia"/>
                <w:szCs w:val="21"/>
                <w:lang w:eastAsia="zh-Hans"/>
              </w:rPr>
              <w:t>元。</w:t>
            </w:r>
          </w:p>
        </w:tc>
      </w:tr>
      <w:tr w:rsidR="00A320E6" w14:paraId="3B3CD273" w14:textId="77777777" w:rsidTr="00AA2FAF">
        <w:trPr>
          <w:trHeight w:val="555"/>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75EC79"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FDC4D5"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50847" w14:textId="77777777" w:rsidR="00A320E6" w:rsidRDefault="00000000" w:rsidP="00EC50E9">
            <w:pPr>
              <w:pStyle w:val="a3"/>
              <w:ind w:firstLineChars="0" w:firstLine="0"/>
              <w:rPr>
                <w:szCs w:val="21"/>
                <w:lang w:eastAsia="zh-Hans"/>
              </w:rPr>
            </w:pPr>
            <w:r>
              <w:rPr>
                <w:rFonts w:hint="eastAsia"/>
                <w:szCs w:val="21"/>
                <w:lang w:eastAsia="zh-Hans"/>
              </w:rPr>
              <w:t>水泥硬化</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B7106" w14:textId="77777777" w:rsidR="00A320E6" w:rsidRDefault="00000000" w:rsidP="00EC50E9">
            <w:pPr>
              <w:pStyle w:val="a3"/>
              <w:ind w:firstLineChars="0" w:firstLine="0"/>
              <w:rPr>
                <w:szCs w:val="21"/>
                <w:lang w:eastAsia="zh-Hans"/>
              </w:rPr>
            </w:pPr>
            <w:r>
              <w:rPr>
                <w:rFonts w:hint="eastAsia"/>
                <w:szCs w:val="21"/>
                <w:lang w:eastAsia="zh-Hans"/>
              </w:rPr>
              <w:t>60-75</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BB5DF" w14:textId="77777777" w:rsidR="00A320E6" w:rsidRDefault="00000000" w:rsidP="00EC50E9">
            <w:pPr>
              <w:pStyle w:val="a3"/>
              <w:ind w:firstLineChars="0" w:firstLine="0"/>
              <w:rPr>
                <w:szCs w:val="21"/>
                <w:lang w:eastAsia="zh-Hans"/>
              </w:rPr>
            </w:pPr>
            <w:r>
              <w:rPr>
                <w:rFonts w:hint="eastAsia"/>
                <w:szCs w:val="21"/>
                <w:lang w:eastAsia="zh-Hans"/>
              </w:rPr>
              <w:t>厚度</w:t>
            </w:r>
            <w:r>
              <w:rPr>
                <w:rFonts w:hint="eastAsia"/>
                <w:szCs w:val="21"/>
                <w:lang w:eastAsia="zh-Hans"/>
              </w:rPr>
              <w:t>20cm</w:t>
            </w:r>
            <w:r>
              <w:rPr>
                <w:rFonts w:hint="eastAsia"/>
                <w:szCs w:val="21"/>
                <w:lang w:eastAsia="zh-Hans"/>
              </w:rPr>
              <w:t>以内，每超</w:t>
            </w:r>
            <w:r>
              <w:rPr>
                <w:rFonts w:hint="eastAsia"/>
                <w:szCs w:val="21"/>
                <w:lang w:eastAsia="zh-Hans"/>
              </w:rPr>
              <w:t>1cm</w:t>
            </w:r>
            <w:r>
              <w:rPr>
                <w:rFonts w:hint="eastAsia"/>
                <w:szCs w:val="21"/>
                <w:lang w:eastAsia="zh-Hans"/>
              </w:rPr>
              <w:t>厚度增加</w:t>
            </w:r>
            <w:r>
              <w:rPr>
                <w:rFonts w:hint="eastAsia"/>
                <w:szCs w:val="21"/>
                <w:lang w:eastAsia="zh-Hans"/>
              </w:rPr>
              <w:t>5</w:t>
            </w:r>
            <w:r>
              <w:rPr>
                <w:rFonts w:hint="eastAsia"/>
                <w:szCs w:val="21"/>
                <w:lang w:eastAsia="zh-Hans"/>
              </w:rPr>
              <w:t>元。</w:t>
            </w:r>
          </w:p>
        </w:tc>
      </w:tr>
      <w:tr w:rsidR="00A320E6" w14:paraId="7A30D093" w14:textId="77777777" w:rsidTr="00AA2FAF">
        <w:trPr>
          <w:trHeight w:val="420"/>
        </w:trPr>
        <w:tc>
          <w:tcPr>
            <w:tcW w:w="4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26696" w14:textId="77777777" w:rsidR="00A320E6" w:rsidRDefault="00A320E6" w:rsidP="00EC50E9">
            <w:pPr>
              <w:pStyle w:val="a3"/>
              <w:ind w:firstLineChars="0" w:firstLine="0"/>
              <w:jc w:val="center"/>
              <w:rPr>
                <w:szCs w:val="21"/>
                <w:lang w:eastAsia="zh-Hans"/>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06560C" w14:textId="77777777" w:rsidR="00A320E6" w:rsidRDefault="00A320E6" w:rsidP="00EC50E9">
            <w:pPr>
              <w:pStyle w:val="a3"/>
              <w:ind w:firstLineChars="0" w:firstLine="0"/>
              <w:rPr>
                <w:szCs w:val="21"/>
                <w:lang w:eastAsia="zh-Hans"/>
              </w:rPr>
            </w:pP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FBDC2" w14:textId="77777777" w:rsidR="00A320E6" w:rsidRDefault="00000000" w:rsidP="00EC50E9">
            <w:pPr>
              <w:pStyle w:val="a3"/>
              <w:ind w:firstLineChars="0" w:firstLine="0"/>
              <w:rPr>
                <w:szCs w:val="21"/>
                <w:lang w:eastAsia="zh-Hans"/>
              </w:rPr>
            </w:pPr>
            <w:r>
              <w:rPr>
                <w:rFonts w:hint="eastAsia"/>
                <w:szCs w:val="21"/>
                <w:lang w:eastAsia="zh-Hans"/>
              </w:rPr>
              <w:t>其他硬化</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FAC8B" w14:textId="77777777" w:rsidR="00A320E6" w:rsidRDefault="00000000" w:rsidP="00EC50E9">
            <w:pPr>
              <w:pStyle w:val="a3"/>
              <w:ind w:firstLineChars="0" w:firstLine="0"/>
              <w:rPr>
                <w:szCs w:val="21"/>
                <w:lang w:eastAsia="zh-Hans"/>
              </w:rPr>
            </w:pPr>
            <w:r>
              <w:rPr>
                <w:rFonts w:hint="eastAsia"/>
                <w:szCs w:val="21"/>
                <w:lang w:eastAsia="zh-Hans"/>
              </w:rPr>
              <w:t>22-32</w:t>
            </w:r>
            <w:r>
              <w:rPr>
                <w:rFonts w:hint="eastAsia"/>
                <w:szCs w:val="21"/>
                <w:lang w:eastAsia="zh-Hans"/>
              </w:rPr>
              <w:t>元</w:t>
            </w:r>
            <w:r>
              <w:rPr>
                <w:rFonts w:hint="eastAsia"/>
                <w:szCs w:val="21"/>
                <w:lang w:eastAsia="zh-Hans"/>
              </w:rPr>
              <w:t>/</w:t>
            </w:r>
            <w:r>
              <w:rPr>
                <w:rFonts w:hint="eastAsia"/>
                <w:szCs w:val="21"/>
                <w:lang w:eastAsia="zh-Hans"/>
              </w:rPr>
              <w:t>㎡</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2E01" w14:textId="77777777" w:rsidR="00A320E6" w:rsidRDefault="00A320E6" w:rsidP="00EC50E9">
            <w:pPr>
              <w:pStyle w:val="a3"/>
              <w:ind w:firstLineChars="0" w:firstLine="0"/>
              <w:rPr>
                <w:szCs w:val="21"/>
                <w:lang w:eastAsia="zh-Hans"/>
              </w:rPr>
            </w:pPr>
          </w:p>
        </w:tc>
      </w:tr>
      <w:tr w:rsidR="00A320E6" w:rsidRPr="00EC50E9" w14:paraId="116FD84E" w14:textId="77777777" w:rsidTr="00EC50E9">
        <w:trPr>
          <w:trHeight w:val="312"/>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E8D0A" w14:textId="77777777" w:rsidR="00A320E6" w:rsidRDefault="00000000" w:rsidP="00EC50E9">
            <w:pPr>
              <w:pStyle w:val="a3"/>
              <w:ind w:firstLineChars="0" w:firstLine="0"/>
              <w:jc w:val="center"/>
              <w:rPr>
                <w:szCs w:val="21"/>
                <w:lang w:eastAsia="zh-Hans"/>
              </w:rPr>
            </w:pPr>
            <w:r>
              <w:rPr>
                <w:rFonts w:hint="eastAsia"/>
                <w:szCs w:val="21"/>
                <w:lang w:eastAsia="zh-Hans"/>
              </w:rPr>
              <w:t>29</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5995D" w14:textId="77777777" w:rsidR="00A320E6" w:rsidRDefault="00000000" w:rsidP="00EC50E9">
            <w:pPr>
              <w:pStyle w:val="a3"/>
              <w:ind w:firstLineChars="0" w:firstLine="0"/>
              <w:rPr>
                <w:szCs w:val="21"/>
                <w:lang w:eastAsia="zh-Hans"/>
              </w:rPr>
            </w:pPr>
            <w:r>
              <w:rPr>
                <w:rFonts w:hint="eastAsia"/>
                <w:szCs w:val="21"/>
                <w:lang w:eastAsia="zh-Hans"/>
              </w:rPr>
              <w:t>青苗</w:t>
            </w:r>
          </w:p>
        </w:tc>
        <w:tc>
          <w:tcPr>
            <w:tcW w:w="1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971BA" w14:textId="77777777" w:rsidR="00A320E6" w:rsidRDefault="00A320E6" w:rsidP="00EC50E9">
            <w:pPr>
              <w:pStyle w:val="a3"/>
              <w:ind w:firstLineChars="0" w:firstLine="0"/>
              <w:rPr>
                <w:szCs w:val="21"/>
                <w:lang w:eastAsia="zh-Hans"/>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CF0D2" w14:textId="77777777" w:rsidR="00A320E6" w:rsidRDefault="00000000" w:rsidP="00EC50E9">
            <w:pPr>
              <w:pStyle w:val="a3"/>
              <w:ind w:firstLineChars="0" w:firstLine="0"/>
              <w:rPr>
                <w:szCs w:val="21"/>
                <w:lang w:eastAsia="zh-Hans"/>
              </w:rPr>
            </w:pPr>
            <w:r>
              <w:rPr>
                <w:rFonts w:hint="eastAsia"/>
                <w:szCs w:val="21"/>
                <w:lang w:eastAsia="zh-Hans"/>
              </w:rPr>
              <w:t>3500-5500</w:t>
            </w:r>
            <w:r>
              <w:rPr>
                <w:rFonts w:hint="eastAsia"/>
                <w:szCs w:val="21"/>
                <w:lang w:eastAsia="zh-Hans"/>
              </w:rPr>
              <w:t>元</w:t>
            </w:r>
            <w:r>
              <w:rPr>
                <w:rFonts w:hint="eastAsia"/>
                <w:szCs w:val="21"/>
                <w:lang w:eastAsia="zh-Hans"/>
              </w:rPr>
              <w:t>/</w:t>
            </w:r>
            <w:r>
              <w:rPr>
                <w:rFonts w:hint="eastAsia"/>
                <w:szCs w:val="21"/>
                <w:lang w:eastAsia="zh-Hans"/>
              </w:rPr>
              <w:t>亩</w:t>
            </w:r>
          </w:p>
        </w:tc>
        <w:tc>
          <w:tcPr>
            <w:tcW w:w="1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F72B1" w14:textId="3552DDBD" w:rsidR="00A320E6" w:rsidRDefault="00000000" w:rsidP="00EC50E9">
            <w:pPr>
              <w:pStyle w:val="a3"/>
              <w:ind w:firstLineChars="0" w:firstLine="0"/>
              <w:rPr>
                <w:szCs w:val="21"/>
                <w:lang w:eastAsia="zh-Hans"/>
              </w:rPr>
            </w:pPr>
            <w:r>
              <w:rPr>
                <w:rFonts w:hint="eastAsia"/>
                <w:szCs w:val="21"/>
                <w:lang w:eastAsia="zh-Hans"/>
              </w:rPr>
              <w:t>根据经济作物的种类按照市场价确定补偿标准。</w:t>
            </w:r>
          </w:p>
        </w:tc>
      </w:tr>
      <w:tr w:rsidR="00A320E6" w14:paraId="6658870A" w14:textId="77777777">
        <w:trPr>
          <w:trHeight w:val="1995"/>
        </w:trPr>
        <w:tc>
          <w:tcPr>
            <w:tcW w:w="5000" w:type="pct"/>
            <w:gridSpan w:val="5"/>
            <w:shd w:val="clear" w:color="auto" w:fill="auto"/>
            <w:vAlign w:val="center"/>
          </w:tcPr>
          <w:p w14:paraId="065C8E54" w14:textId="77777777" w:rsidR="00AA2FAF" w:rsidRDefault="00000000" w:rsidP="00AA2FAF">
            <w:pPr>
              <w:pStyle w:val="a3"/>
              <w:spacing w:line="360" w:lineRule="auto"/>
              <w:ind w:firstLine="480"/>
              <w:rPr>
                <w:rFonts w:ascii="宋体" w:hAnsi="宋体" w:cs="宋体"/>
                <w:sz w:val="24"/>
                <w:lang w:eastAsia="zh-Hans"/>
              </w:rPr>
            </w:pPr>
            <w:r>
              <w:rPr>
                <w:rFonts w:ascii="宋体" w:hAnsi="宋体" w:cs="宋体" w:hint="eastAsia"/>
                <w:sz w:val="24"/>
                <w:lang w:eastAsia="zh-Hans"/>
              </w:rPr>
              <w:t>说明：</w:t>
            </w:r>
          </w:p>
          <w:p w14:paraId="68016363" w14:textId="77777777" w:rsidR="00AA2FAF" w:rsidRDefault="00000000" w:rsidP="00AA2FAF">
            <w:pPr>
              <w:pStyle w:val="a3"/>
              <w:spacing w:line="360" w:lineRule="auto"/>
              <w:ind w:firstLine="480"/>
              <w:rPr>
                <w:rFonts w:ascii="宋体" w:hAnsi="宋体" w:cs="宋体"/>
                <w:sz w:val="24"/>
                <w:lang w:eastAsia="zh-Hans"/>
              </w:rPr>
            </w:pPr>
            <w:r>
              <w:rPr>
                <w:rFonts w:ascii="宋体" w:hAnsi="宋体" w:cs="宋体" w:hint="eastAsia"/>
                <w:sz w:val="24"/>
                <w:lang w:eastAsia="zh-Hans"/>
              </w:rPr>
              <w:t>1、涉及居民住宅、工矿企业及其他建筑设施成片拆迁的，由当地政府（管委会）另行制定拆迁补偿方案。</w:t>
            </w:r>
          </w:p>
          <w:p w14:paraId="34BF79F2" w14:textId="6ADB7FC6" w:rsidR="00AA2FAF" w:rsidRDefault="00000000" w:rsidP="00AA2FAF">
            <w:pPr>
              <w:pStyle w:val="a3"/>
              <w:spacing w:line="360" w:lineRule="auto"/>
              <w:ind w:firstLine="480"/>
              <w:rPr>
                <w:rFonts w:ascii="宋体" w:hAnsi="宋体" w:cs="宋体"/>
                <w:sz w:val="24"/>
                <w:lang w:eastAsia="zh-Hans"/>
              </w:rPr>
            </w:pPr>
            <w:r>
              <w:rPr>
                <w:rFonts w:ascii="宋体" w:hAnsi="宋体" w:cs="宋体" w:hint="eastAsia"/>
                <w:sz w:val="24"/>
                <w:lang w:eastAsia="zh-Hans"/>
              </w:rPr>
              <w:t>2、农用地地上附着物和青苗补偿费，符合《泰安市人民政府办公室关于进一步规范征地管理工作的通知》（泰政办字〔2017〕53号）规定的，可以实行包干方式补偿。</w:t>
            </w:r>
          </w:p>
          <w:p w14:paraId="0348E2EA" w14:textId="15A4B5B4" w:rsidR="00AA2FAF" w:rsidRDefault="00000000" w:rsidP="00AA2FAF">
            <w:pPr>
              <w:pStyle w:val="a3"/>
              <w:spacing w:line="360" w:lineRule="auto"/>
              <w:ind w:firstLine="480"/>
              <w:rPr>
                <w:rFonts w:ascii="宋体" w:hAnsi="宋体" w:cs="宋体"/>
                <w:sz w:val="24"/>
                <w:lang w:eastAsia="zh-Hans"/>
              </w:rPr>
            </w:pPr>
            <w:r>
              <w:rPr>
                <w:rFonts w:ascii="宋体" w:hAnsi="宋体" w:cs="宋体" w:hint="eastAsia"/>
                <w:sz w:val="24"/>
                <w:lang w:eastAsia="zh-Hans"/>
              </w:rPr>
              <w:t>3、表中未列出的地上附着物，参照表中相近的补偿标准补偿；不能参照或者具体补偿标准有争议的，可委托有资质的价格鉴证机构进行评估认定。</w:t>
            </w:r>
          </w:p>
          <w:p w14:paraId="085D7620" w14:textId="77777777" w:rsidR="00A320E6" w:rsidRDefault="00000000" w:rsidP="00AA2FAF">
            <w:pPr>
              <w:pStyle w:val="a3"/>
              <w:spacing w:line="360" w:lineRule="auto"/>
              <w:ind w:firstLine="480"/>
              <w:rPr>
                <w:rFonts w:ascii="宋体" w:hAnsi="宋体" w:cs="宋体"/>
                <w:sz w:val="24"/>
                <w:lang w:eastAsia="zh-Hans"/>
              </w:rPr>
            </w:pPr>
            <w:r>
              <w:rPr>
                <w:rFonts w:ascii="宋体" w:hAnsi="宋体" w:cs="宋体" w:hint="eastAsia"/>
                <w:sz w:val="24"/>
                <w:lang w:eastAsia="zh-Hans"/>
              </w:rPr>
              <w:t>4、政府发布征收土地预公告后抢种、抢栽、抢建的一律不予补偿。</w:t>
            </w:r>
          </w:p>
          <w:p w14:paraId="6F713DB0" w14:textId="4EF0D663" w:rsidR="00EC50E9" w:rsidRDefault="00EC50E9" w:rsidP="00AA2FAF">
            <w:pPr>
              <w:pStyle w:val="a3"/>
              <w:spacing w:line="360" w:lineRule="auto"/>
              <w:rPr>
                <w:szCs w:val="21"/>
                <w:lang w:eastAsia="zh-Hans"/>
              </w:rPr>
            </w:pPr>
          </w:p>
        </w:tc>
      </w:tr>
    </w:tbl>
    <w:p w14:paraId="6D417F72"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11" w:name="_Toc112227414"/>
      <w:r>
        <w:rPr>
          <w:rFonts w:ascii="宋体" w:hAnsi="宋体" w:cs="宋体" w:hint="eastAsia"/>
          <w:b/>
          <w:bCs/>
          <w:sz w:val="24"/>
          <w:lang w:eastAsia="zh-Hans"/>
        </w:rPr>
        <w:t>关于烟台市征地地上附着物和青苗补偿标准的批复</w:t>
      </w:r>
      <w:bookmarkEnd w:id="111"/>
    </w:p>
    <w:p w14:paraId="04C31913" w14:textId="77777777" w:rsidR="00A320E6" w:rsidRDefault="00000000" w:rsidP="00AE0286">
      <w:pPr>
        <w:pStyle w:val="10"/>
        <w:ind w:firstLineChars="0" w:firstLine="0"/>
        <w:rPr>
          <w:rFonts w:ascii="宋体" w:hAnsi="宋体" w:cs="宋体"/>
          <w:lang w:eastAsia="zh-Hans"/>
        </w:rPr>
      </w:pPr>
      <w:r>
        <w:rPr>
          <w:rFonts w:ascii="宋体" w:hAnsi="宋体" w:cs="宋体" w:hint="eastAsia"/>
          <w:lang w:eastAsia="zh-Hans"/>
        </w:rPr>
        <w:t>烟台市自然资源和规划局、财政局：</w:t>
      </w:r>
    </w:p>
    <w:p w14:paraId="4BA5ADAA"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你市《关于审批烟台市地上附着物和青苗补偿标准调整成果的请示》（烟自然资规呈〔2021〕278号）收悉。经研究，同意你市制定的征地地上附着物和青苗补偿标准（详见附件）。</w:t>
      </w:r>
    </w:p>
    <w:p w14:paraId="2E0442B4"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标准自批复之日起执行。</w:t>
      </w:r>
    </w:p>
    <w:p w14:paraId="747FB51A"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附件：烟台市征地地上附着物和青苗补偿标准</w:t>
      </w:r>
    </w:p>
    <w:p w14:paraId="62538BBF" w14:textId="77777777" w:rsidR="00A320E6" w:rsidRDefault="00000000" w:rsidP="00AE0286">
      <w:pPr>
        <w:pStyle w:val="10"/>
        <w:ind w:firstLine="480"/>
        <w:jc w:val="right"/>
        <w:rPr>
          <w:rFonts w:ascii="宋体" w:hAnsi="宋体" w:cs="宋体"/>
          <w:lang w:eastAsia="zh-Hans"/>
        </w:rPr>
      </w:pPr>
      <w:r>
        <w:rPr>
          <w:rFonts w:ascii="宋体" w:hAnsi="宋体" w:cs="宋体" w:hint="eastAsia"/>
          <w:lang w:eastAsia="zh-Hans"/>
        </w:rPr>
        <w:t>                              山东省自然资源厅  山东省财政厅</w:t>
      </w:r>
    </w:p>
    <w:p w14:paraId="3A250E68" w14:textId="77777777" w:rsidR="00A320E6" w:rsidRDefault="00000000" w:rsidP="00AE0286">
      <w:pPr>
        <w:pStyle w:val="10"/>
        <w:ind w:firstLine="480"/>
        <w:jc w:val="right"/>
        <w:rPr>
          <w:rFonts w:ascii="宋体" w:hAnsi="宋体" w:cs="宋体"/>
          <w:lang w:eastAsia="zh-Hans"/>
        </w:rPr>
      </w:pPr>
      <w:r>
        <w:rPr>
          <w:rFonts w:ascii="宋体" w:hAnsi="宋体" w:cs="宋体" w:hint="eastAsia"/>
          <w:lang w:eastAsia="zh-Hans"/>
        </w:rPr>
        <w:t>                            2021年12月9日</w:t>
      </w:r>
    </w:p>
    <w:p w14:paraId="3AA67476" w14:textId="77777777" w:rsidR="00A320E6" w:rsidRPr="00AA2FAF" w:rsidRDefault="00000000" w:rsidP="00AE0286">
      <w:pPr>
        <w:spacing w:afterLines="50" w:after="156" w:line="560" w:lineRule="exact"/>
        <w:jc w:val="center"/>
        <w:rPr>
          <w:rFonts w:ascii="宋体" w:hAnsi="宋体"/>
          <w:bCs/>
          <w:color w:val="000000"/>
          <w:kern w:val="0"/>
          <w:szCs w:val="21"/>
        </w:rPr>
      </w:pPr>
      <w:r w:rsidRPr="00AA2FAF">
        <w:rPr>
          <w:rFonts w:ascii="宋体" w:hAnsi="宋体" w:hint="eastAsia"/>
          <w:bCs/>
          <w:color w:val="000000"/>
          <w:kern w:val="0"/>
          <w:szCs w:val="21"/>
        </w:rPr>
        <w:t>烟台市征地地上附着物和青苗补偿标准</w:t>
      </w:r>
    </w:p>
    <w:tbl>
      <w:tblPr>
        <w:tblW w:w="5000" w:type="pct"/>
        <w:jc w:val="center"/>
        <w:tblLook w:val="04A0" w:firstRow="1" w:lastRow="0" w:firstColumn="1" w:lastColumn="0" w:noHBand="0" w:noVBand="1"/>
      </w:tblPr>
      <w:tblGrid>
        <w:gridCol w:w="1111"/>
        <w:gridCol w:w="845"/>
        <w:gridCol w:w="2016"/>
        <w:gridCol w:w="1644"/>
        <w:gridCol w:w="3330"/>
      </w:tblGrid>
      <w:tr w:rsidR="00A320E6" w14:paraId="26F8CB72" w14:textId="77777777" w:rsidTr="00EC50E9">
        <w:trPr>
          <w:trHeight w:val="387"/>
          <w:tblHeader/>
          <w:jc w:val="center"/>
        </w:trPr>
        <w:tc>
          <w:tcPr>
            <w:tcW w:w="621" w:type="pct"/>
            <w:tcBorders>
              <w:top w:val="single" w:sz="4" w:space="0" w:color="auto"/>
              <w:left w:val="single" w:sz="4" w:space="0" w:color="auto"/>
              <w:bottom w:val="single" w:sz="4" w:space="0" w:color="auto"/>
              <w:right w:val="single" w:sz="4" w:space="0" w:color="auto"/>
            </w:tcBorders>
            <w:vAlign w:val="center"/>
          </w:tcPr>
          <w:p w14:paraId="1ECEB40D"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序号</w:t>
            </w:r>
          </w:p>
        </w:tc>
        <w:tc>
          <w:tcPr>
            <w:tcW w:w="472" w:type="pct"/>
            <w:tcBorders>
              <w:top w:val="single" w:sz="4" w:space="0" w:color="auto"/>
              <w:left w:val="nil"/>
              <w:bottom w:val="single" w:sz="4" w:space="0" w:color="auto"/>
              <w:right w:val="single" w:sz="4" w:space="0" w:color="auto"/>
            </w:tcBorders>
            <w:vAlign w:val="center"/>
          </w:tcPr>
          <w:p w14:paraId="7ADE20C0"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名称</w:t>
            </w:r>
          </w:p>
        </w:tc>
        <w:tc>
          <w:tcPr>
            <w:tcW w:w="1127" w:type="pct"/>
            <w:tcBorders>
              <w:top w:val="single" w:sz="4" w:space="0" w:color="auto"/>
              <w:left w:val="nil"/>
              <w:bottom w:val="single" w:sz="4" w:space="0" w:color="auto"/>
              <w:right w:val="single" w:sz="4" w:space="0" w:color="auto"/>
            </w:tcBorders>
            <w:vAlign w:val="center"/>
          </w:tcPr>
          <w:p w14:paraId="369B5146"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类别</w:t>
            </w:r>
          </w:p>
        </w:tc>
        <w:tc>
          <w:tcPr>
            <w:tcW w:w="919" w:type="pct"/>
            <w:tcBorders>
              <w:top w:val="single" w:sz="4" w:space="0" w:color="auto"/>
              <w:left w:val="nil"/>
              <w:bottom w:val="single" w:sz="4" w:space="0" w:color="auto"/>
              <w:right w:val="single" w:sz="4" w:space="0" w:color="auto"/>
            </w:tcBorders>
            <w:vAlign w:val="center"/>
          </w:tcPr>
          <w:p w14:paraId="7F89B714"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拟调整标准</w:t>
            </w:r>
          </w:p>
        </w:tc>
        <w:tc>
          <w:tcPr>
            <w:tcW w:w="1861" w:type="pct"/>
            <w:tcBorders>
              <w:top w:val="single" w:sz="4" w:space="0" w:color="auto"/>
              <w:left w:val="nil"/>
              <w:bottom w:val="single" w:sz="4" w:space="0" w:color="auto"/>
              <w:right w:val="single" w:sz="4" w:space="0" w:color="auto"/>
            </w:tcBorders>
            <w:vAlign w:val="center"/>
          </w:tcPr>
          <w:p w14:paraId="6141737F"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备注</w:t>
            </w:r>
          </w:p>
        </w:tc>
      </w:tr>
      <w:tr w:rsidR="00A320E6" w14:paraId="2E91EFDC"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31A19501" w14:textId="77777777" w:rsidR="00A320E6" w:rsidRDefault="00000000" w:rsidP="00EC50E9">
            <w:pPr>
              <w:jc w:val="center"/>
              <w:rPr>
                <w:rFonts w:ascii="宋体" w:hAnsi="宋体" w:cs="宋体"/>
                <w:kern w:val="0"/>
                <w:szCs w:val="21"/>
              </w:rPr>
            </w:pPr>
            <w:r>
              <w:rPr>
                <w:rFonts w:ascii="宋体" w:hAnsi="宋体" w:cs="宋体" w:hint="eastAsia"/>
                <w:kern w:val="0"/>
                <w:szCs w:val="21"/>
              </w:rPr>
              <w:t>1</w:t>
            </w:r>
          </w:p>
        </w:tc>
        <w:tc>
          <w:tcPr>
            <w:tcW w:w="472" w:type="pct"/>
            <w:vMerge w:val="restart"/>
            <w:tcBorders>
              <w:top w:val="nil"/>
              <w:left w:val="single" w:sz="4" w:space="0" w:color="auto"/>
              <w:bottom w:val="single" w:sz="4" w:space="0" w:color="auto"/>
              <w:right w:val="single" w:sz="4" w:space="0" w:color="auto"/>
            </w:tcBorders>
            <w:vAlign w:val="center"/>
          </w:tcPr>
          <w:p w14:paraId="1EDE10DF" w14:textId="77777777" w:rsidR="00A320E6" w:rsidRDefault="00000000" w:rsidP="00EC50E9">
            <w:pPr>
              <w:jc w:val="center"/>
              <w:rPr>
                <w:rFonts w:ascii="宋体" w:hAnsi="宋体" w:cs="宋体"/>
                <w:kern w:val="0"/>
                <w:szCs w:val="21"/>
              </w:rPr>
            </w:pPr>
            <w:r>
              <w:rPr>
                <w:rFonts w:ascii="宋体" w:hAnsi="宋体" w:cs="宋体" w:hint="eastAsia"/>
                <w:kern w:val="0"/>
                <w:szCs w:val="21"/>
              </w:rPr>
              <w:t>房屋</w:t>
            </w:r>
          </w:p>
        </w:tc>
        <w:tc>
          <w:tcPr>
            <w:tcW w:w="1127" w:type="pct"/>
            <w:tcBorders>
              <w:top w:val="nil"/>
              <w:left w:val="nil"/>
              <w:bottom w:val="single" w:sz="4" w:space="0" w:color="auto"/>
              <w:right w:val="single" w:sz="4" w:space="0" w:color="auto"/>
            </w:tcBorders>
            <w:vAlign w:val="center"/>
          </w:tcPr>
          <w:p w14:paraId="4839F5C1"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乱石基、砖石墙、钢筋混凝土预制或现浇平屋顶</w:t>
            </w:r>
          </w:p>
        </w:tc>
        <w:tc>
          <w:tcPr>
            <w:tcW w:w="919" w:type="pct"/>
            <w:tcBorders>
              <w:top w:val="nil"/>
              <w:left w:val="nil"/>
              <w:bottom w:val="single" w:sz="4" w:space="0" w:color="auto"/>
              <w:right w:val="single" w:sz="4" w:space="0" w:color="auto"/>
            </w:tcBorders>
            <w:vAlign w:val="center"/>
          </w:tcPr>
          <w:p w14:paraId="7295D689" w14:textId="77777777" w:rsidR="00A320E6" w:rsidRDefault="00000000" w:rsidP="00EC50E9">
            <w:pPr>
              <w:jc w:val="center"/>
              <w:rPr>
                <w:rFonts w:ascii="宋体" w:hAnsi="宋体" w:cs="宋体"/>
                <w:kern w:val="0"/>
                <w:szCs w:val="21"/>
              </w:rPr>
            </w:pPr>
            <w:r>
              <w:rPr>
                <w:rFonts w:ascii="宋体" w:hAnsi="宋体" w:cs="宋体" w:hint="eastAsia"/>
                <w:kern w:val="0"/>
                <w:szCs w:val="21"/>
              </w:rPr>
              <w:t>550-900元/㎡</w:t>
            </w:r>
          </w:p>
        </w:tc>
        <w:tc>
          <w:tcPr>
            <w:tcW w:w="1861" w:type="pct"/>
            <w:vMerge w:val="restart"/>
            <w:tcBorders>
              <w:top w:val="nil"/>
              <w:left w:val="single" w:sz="4" w:space="0" w:color="auto"/>
              <w:bottom w:val="single" w:sz="4" w:space="0" w:color="auto"/>
              <w:right w:val="single" w:sz="4" w:space="0" w:color="auto"/>
            </w:tcBorders>
            <w:vAlign w:val="center"/>
          </w:tcPr>
          <w:p w14:paraId="79543569" w14:textId="77777777" w:rsidR="00A320E6" w:rsidRDefault="00000000" w:rsidP="00EC50E9">
            <w:pPr>
              <w:jc w:val="left"/>
              <w:rPr>
                <w:rFonts w:ascii="宋体" w:hAnsi="宋体" w:cs="宋体"/>
                <w:kern w:val="0"/>
                <w:szCs w:val="21"/>
              </w:rPr>
            </w:pPr>
            <w:r>
              <w:rPr>
                <w:rFonts w:ascii="宋体" w:hAnsi="宋体" w:cs="宋体" w:hint="eastAsia"/>
                <w:kern w:val="0"/>
                <w:szCs w:val="21"/>
              </w:rPr>
              <w:t>1、仅限承包地内看护用房及临时建筑，其他房屋按照评估价格或参照城市房屋拆迁管理办法补偿</w:t>
            </w:r>
            <w:r>
              <w:rPr>
                <w:rFonts w:ascii="宋体" w:hAnsi="宋体" w:cs="宋体" w:hint="eastAsia"/>
                <w:kern w:val="0"/>
                <w:szCs w:val="21"/>
              </w:rPr>
              <w:br/>
              <w:t>2、表中面积系指建筑面积</w:t>
            </w:r>
            <w:r>
              <w:rPr>
                <w:rFonts w:ascii="宋体" w:hAnsi="宋体" w:cs="宋体" w:hint="eastAsia"/>
                <w:kern w:val="0"/>
                <w:szCs w:val="21"/>
              </w:rPr>
              <w:br/>
              <w:t>3、旧料归原主</w:t>
            </w:r>
          </w:p>
        </w:tc>
      </w:tr>
      <w:tr w:rsidR="00A320E6" w14:paraId="1EF93D1E"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2FABA85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766984D"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5EDBBBB"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乱石基、砖石墙、木结构斜坡瓦屋顶</w:t>
            </w:r>
          </w:p>
        </w:tc>
        <w:tc>
          <w:tcPr>
            <w:tcW w:w="919" w:type="pct"/>
            <w:tcBorders>
              <w:top w:val="nil"/>
              <w:left w:val="nil"/>
              <w:bottom w:val="single" w:sz="4" w:space="0" w:color="auto"/>
              <w:right w:val="single" w:sz="4" w:space="0" w:color="auto"/>
            </w:tcBorders>
            <w:vAlign w:val="center"/>
          </w:tcPr>
          <w:p w14:paraId="6C47D524" w14:textId="77777777" w:rsidR="00A320E6" w:rsidRDefault="00000000" w:rsidP="00EC50E9">
            <w:pPr>
              <w:jc w:val="center"/>
              <w:rPr>
                <w:rFonts w:ascii="宋体" w:hAnsi="宋体" w:cs="宋体"/>
                <w:kern w:val="0"/>
                <w:szCs w:val="21"/>
              </w:rPr>
            </w:pPr>
            <w:r>
              <w:rPr>
                <w:rFonts w:ascii="宋体" w:hAnsi="宋体" w:cs="宋体" w:hint="eastAsia"/>
                <w:kern w:val="0"/>
                <w:szCs w:val="21"/>
              </w:rPr>
              <w:t>400-700元/㎡</w:t>
            </w:r>
          </w:p>
        </w:tc>
        <w:tc>
          <w:tcPr>
            <w:tcW w:w="1861" w:type="pct"/>
            <w:vMerge/>
            <w:tcBorders>
              <w:top w:val="nil"/>
              <w:left w:val="single" w:sz="4" w:space="0" w:color="auto"/>
              <w:bottom w:val="single" w:sz="4" w:space="0" w:color="auto"/>
              <w:right w:val="single" w:sz="4" w:space="0" w:color="auto"/>
            </w:tcBorders>
            <w:vAlign w:val="center"/>
          </w:tcPr>
          <w:p w14:paraId="1AC8A89D" w14:textId="77777777" w:rsidR="00A320E6" w:rsidRDefault="00A320E6" w:rsidP="00EC50E9">
            <w:pPr>
              <w:jc w:val="left"/>
              <w:rPr>
                <w:rFonts w:ascii="宋体" w:hAnsi="宋体" w:cs="宋体"/>
                <w:kern w:val="0"/>
                <w:szCs w:val="21"/>
              </w:rPr>
            </w:pPr>
          </w:p>
        </w:tc>
      </w:tr>
      <w:tr w:rsidR="00A320E6" w14:paraId="0C6DEBEC"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5AAA7692"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893B49A"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584518F"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乱石基、砖垛、坯墙、木结构斜坡草或瓦屋顶</w:t>
            </w:r>
          </w:p>
        </w:tc>
        <w:tc>
          <w:tcPr>
            <w:tcW w:w="919" w:type="pct"/>
            <w:tcBorders>
              <w:top w:val="nil"/>
              <w:left w:val="nil"/>
              <w:bottom w:val="single" w:sz="4" w:space="0" w:color="auto"/>
              <w:right w:val="single" w:sz="4" w:space="0" w:color="auto"/>
            </w:tcBorders>
            <w:vAlign w:val="center"/>
          </w:tcPr>
          <w:p w14:paraId="3039BE15" w14:textId="77777777" w:rsidR="00A320E6" w:rsidRDefault="00000000" w:rsidP="00EC50E9">
            <w:pPr>
              <w:jc w:val="center"/>
              <w:rPr>
                <w:rFonts w:ascii="宋体" w:hAnsi="宋体" w:cs="宋体"/>
                <w:kern w:val="0"/>
                <w:szCs w:val="21"/>
              </w:rPr>
            </w:pPr>
            <w:r>
              <w:rPr>
                <w:rFonts w:ascii="宋体" w:hAnsi="宋体" w:cs="宋体" w:hint="eastAsia"/>
                <w:kern w:val="0"/>
                <w:szCs w:val="21"/>
              </w:rPr>
              <w:t>350-600元/㎡</w:t>
            </w:r>
          </w:p>
        </w:tc>
        <w:tc>
          <w:tcPr>
            <w:tcW w:w="1861" w:type="pct"/>
            <w:vMerge/>
            <w:tcBorders>
              <w:top w:val="nil"/>
              <w:left w:val="single" w:sz="4" w:space="0" w:color="auto"/>
              <w:bottom w:val="single" w:sz="4" w:space="0" w:color="auto"/>
              <w:right w:val="single" w:sz="4" w:space="0" w:color="auto"/>
            </w:tcBorders>
            <w:vAlign w:val="center"/>
          </w:tcPr>
          <w:p w14:paraId="323DEB05" w14:textId="77777777" w:rsidR="00A320E6" w:rsidRDefault="00A320E6" w:rsidP="00EC50E9">
            <w:pPr>
              <w:jc w:val="left"/>
              <w:rPr>
                <w:rFonts w:ascii="宋体" w:hAnsi="宋体" w:cs="宋体"/>
                <w:kern w:val="0"/>
                <w:szCs w:val="21"/>
              </w:rPr>
            </w:pPr>
          </w:p>
        </w:tc>
      </w:tr>
      <w:tr w:rsidR="00A320E6" w14:paraId="1365869A"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70006CB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B567F5E"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061147D"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乱石基、土坯墙、木结构斜坡草或瓦屋顶</w:t>
            </w:r>
          </w:p>
        </w:tc>
        <w:tc>
          <w:tcPr>
            <w:tcW w:w="919" w:type="pct"/>
            <w:tcBorders>
              <w:top w:val="nil"/>
              <w:left w:val="nil"/>
              <w:bottom w:val="single" w:sz="4" w:space="0" w:color="auto"/>
              <w:right w:val="single" w:sz="4" w:space="0" w:color="auto"/>
            </w:tcBorders>
            <w:vAlign w:val="center"/>
          </w:tcPr>
          <w:p w14:paraId="475BC2FF" w14:textId="77777777" w:rsidR="00A320E6" w:rsidRDefault="00000000" w:rsidP="00EC50E9">
            <w:pPr>
              <w:jc w:val="center"/>
              <w:rPr>
                <w:rFonts w:ascii="宋体" w:hAnsi="宋体" w:cs="宋体"/>
                <w:kern w:val="0"/>
                <w:szCs w:val="21"/>
              </w:rPr>
            </w:pPr>
            <w:r>
              <w:rPr>
                <w:rFonts w:ascii="宋体" w:hAnsi="宋体" w:cs="宋体" w:hint="eastAsia"/>
                <w:kern w:val="0"/>
                <w:szCs w:val="21"/>
              </w:rPr>
              <w:t>250-450元/㎡</w:t>
            </w:r>
          </w:p>
        </w:tc>
        <w:tc>
          <w:tcPr>
            <w:tcW w:w="1861" w:type="pct"/>
            <w:vMerge/>
            <w:tcBorders>
              <w:top w:val="nil"/>
              <w:left w:val="single" w:sz="4" w:space="0" w:color="auto"/>
              <w:bottom w:val="single" w:sz="4" w:space="0" w:color="auto"/>
              <w:right w:val="single" w:sz="4" w:space="0" w:color="auto"/>
            </w:tcBorders>
            <w:vAlign w:val="center"/>
          </w:tcPr>
          <w:p w14:paraId="26548455" w14:textId="77777777" w:rsidR="00A320E6" w:rsidRDefault="00A320E6" w:rsidP="00EC50E9">
            <w:pPr>
              <w:jc w:val="left"/>
              <w:rPr>
                <w:rFonts w:ascii="宋体" w:hAnsi="宋体" w:cs="宋体"/>
                <w:kern w:val="0"/>
                <w:szCs w:val="21"/>
              </w:rPr>
            </w:pPr>
          </w:p>
        </w:tc>
      </w:tr>
      <w:tr w:rsidR="00A320E6" w14:paraId="3FDC359C"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38E96DA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E1F8F5B"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BCB760B" w14:textId="77777777" w:rsidR="00A320E6" w:rsidRDefault="00000000" w:rsidP="00EC50E9">
            <w:pPr>
              <w:jc w:val="left"/>
              <w:rPr>
                <w:rFonts w:ascii="宋体" w:hAnsi="宋体" w:cs="宋体"/>
                <w:kern w:val="0"/>
                <w:szCs w:val="21"/>
              </w:rPr>
            </w:pPr>
            <w:r>
              <w:rPr>
                <w:rFonts w:ascii="宋体" w:hAnsi="宋体" w:cs="宋体" w:hint="eastAsia"/>
                <w:kern w:val="0"/>
                <w:szCs w:val="21"/>
              </w:rPr>
              <w:t>砖垛、苇箔、草顶简易平房</w:t>
            </w:r>
          </w:p>
        </w:tc>
        <w:tc>
          <w:tcPr>
            <w:tcW w:w="919" w:type="pct"/>
            <w:tcBorders>
              <w:top w:val="nil"/>
              <w:left w:val="nil"/>
              <w:bottom w:val="single" w:sz="4" w:space="0" w:color="auto"/>
              <w:right w:val="single" w:sz="4" w:space="0" w:color="auto"/>
            </w:tcBorders>
            <w:vAlign w:val="center"/>
          </w:tcPr>
          <w:p w14:paraId="577C51B2" w14:textId="77777777" w:rsidR="00A320E6" w:rsidRDefault="00000000" w:rsidP="00EC50E9">
            <w:pPr>
              <w:jc w:val="center"/>
              <w:rPr>
                <w:rFonts w:ascii="宋体" w:hAnsi="宋体" w:cs="宋体"/>
                <w:kern w:val="0"/>
                <w:szCs w:val="21"/>
              </w:rPr>
            </w:pPr>
            <w:r>
              <w:rPr>
                <w:rFonts w:ascii="宋体" w:hAnsi="宋体" w:cs="宋体" w:hint="eastAsia"/>
                <w:kern w:val="0"/>
                <w:szCs w:val="21"/>
              </w:rPr>
              <w:t>200-350元/㎡</w:t>
            </w:r>
          </w:p>
        </w:tc>
        <w:tc>
          <w:tcPr>
            <w:tcW w:w="1861" w:type="pct"/>
            <w:vMerge/>
            <w:tcBorders>
              <w:top w:val="nil"/>
              <w:left w:val="single" w:sz="4" w:space="0" w:color="auto"/>
              <w:bottom w:val="single" w:sz="4" w:space="0" w:color="auto"/>
              <w:right w:val="single" w:sz="4" w:space="0" w:color="auto"/>
            </w:tcBorders>
            <w:vAlign w:val="center"/>
          </w:tcPr>
          <w:p w14:paraId="5757015D" w14:textId="77777777" w:rsidR="00A320E6" w:rsidRDefault="00A320E6" w:rsidP="00EC50E9">
            <w:pPr>
              <w:jc w:val="left"/>
              <w:rPr>
                <w:rFonts w:ascii="宋体" w:hAnsi="宋体" w:cs="宋体"/>
                <w:kern w:val="0"/>
                <w:szCs w:val="21"/>
              </w:rPr>
            </w:pPr>
          </w:p>
        </w:tc>
      </w:tr>
      <w:tr w:rsidR="00A320E6" w14:paraId="04573CF8"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7E017FEE" w14:textId="77777777" w:rsidR="00A320E6" w:rsidRDefault="00000000" w:rsidP="00EC50E9">
            <w:pPr>
              <w:jc w:val="center"/>
              <w:rPr>
                <w:rFonts w:ascii="宋体" w:hAnsi="宋体" w:cs="宋体"/>
                <w:kern w:val="0"/>
                <w:szCs w:val="21"/>
              </w:rPr>
            </w:pPr>
            <w:r>
              <w:rPr>
                <w:rFonts w:ascii="宋体" w:hAnsi="宋体" w:cs="宋体" w:hint="eastAsia"/>
                <w:kern w:val="0"/>
                <w:szCs w:val="21"/>
              </w:rPr>
              <w:t>2</w:t>
            </w:r>
          </w:p>
        </w:tc>
        <w:tc>
          <w:tcPr>
            <w:tcW w:w="472" w:type="pct"/>
            <w:vMerge w:val="restart"/>
            <w:tcBorders>
              <w:top w:val="nil"/>
              <w:left w:val="single" w:sz="4" w:space="0" w:color="auto"/>
              <w:bottom w:val="single" w:sz="4" w:space="0" w:color="auto"/>
              <w:right w:val="single" w:sz="4" w:space="0" w:color="auto"/>
            </w:tcBorders>
            <w:vAlign w:val="center"/>
          </w:tcPr>
          <w:p w14:paraId="1A95BAA2" w14:textId="77777777" w:rsidR="00A320E6" w:rsidRDefault="00000000" w:rsidP="00EC50E9">
            <w:pPr>
              <w:jc w:val="center"/>
              <w:rPr>
                <w:rFonts w:ascii="宋体" w:hAnsi="宋体" w:cs="宋体"/>
                <w:kern w:val="0"/>
                <w:szCs w:val="21"/>
              </w:rPr>
            </w:pPr>
            <w:r>
              <w:rPr>
                <w:rFonts w:ascii="宋体" w:hAnsi="宋体" w:cs="宋体" w:hint="eastAsia"/>
                <w:kern w:val="0"/>
                <w:szCs w:val="21"/>
              </w:rPr>
              <w:t>围墙</w:t>
            </w:r>
          </w:p>
        </w:tc>
        <w:tc>
          <w:tcPr>
            <w:tcW w:w="1127" w:type="pct"/>
            <w:tcBorders>
              <w:top w:val="nil"/>
              <w:left w:val="nil"/>
              <w:bottom w:val="single" w:sz="4" w:space="0" w:color="auto"/>
              <w:right w:val="single" w:sz="4" w:space="0" w:color="auto"/>
            </w:tcBorders>
            <w:vAlign w:val="center"/>
          </w:tcPr>
          <w:p w14:paraId="7D25A55A"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乱石基、砖墙、抹灰，厚24cm、高2m</w:t>
            </w:r>
          </w:p>
        </w:tc>
        <w:tc>
          <w:tcPr>
            <w:tcW w:w="919" w:type="pct"/>
            <w:tcBorders>
              <w:top w:val="nil"/>
              <w:left w:val="nil"/>
              <w:bottom w:val="single" w:sz="4" w:space="0" w:color="auto"/>
              <w:right w:val="single" w:sz="4" w:space="0" w:color="auto"/>
            </w:tcBorders>
            <w:vAlign w:val="center"/>
          </w:tcPr>
          <w:p w14:paraId="284558FF" w14:textId="77777777" w:rsidR="00A320E6" w:rsidRDefault="00000000" w:rsidP="00EC50E9">
            <w:pPr>
              <w:jc w:val="center"/>
              <w:rPr>
                <w:rFonts w:ascii="宋体" w:hAnsi="宋体" w:cs="宋体"/>
                <w:kern w:val="0"/>
                <w:szCs w:val="21"/>
              </w:rPr>
            </w:pPr>
            <w:r>
              <w:rPr>
                <w:rFonts w:ascii="宋体" w:hAnsi="宋体" w:cs="宋体" w:hint="eastAsia"/>
                <w:kern w:val="0"/>
                <w:szCs w:val="21"/>
              </w:rPr>
              <w:t>320-380元/m</w:t>
            </w:r>
          </w:p>
        </w:tc>
        <w:tc>
          <w:tcPr>
            <w:tcW w:w="1861" w:type="pct"/>
            <w:tcBorders>
              <w:top w:val="nil"/>
              <w:left w:val="nil"/>
              <w:bottom w:val="single" w:sz="4" w:space="0" w:color="auto"/>
              <w:right w:val="single" w:sz="4" w:space="0" w:color="auto"/>
            </w:tcBorders>
            <w:vAlign w:val="center"/>
          </w:tcPr>
          <w:p w14:paraId="0773E650" w14:textId="77777777" w:rsidR="00A320E6" w:rsidRDefault="00000000" w:rsidP="00EC50E9">
            <w:pPr>
              <w:jc w:val="left"/>
              <w:rPr>
                <w:rFonts w:ascii="宋体" w:hAnsi="宋体" w:cs="宋体"/>
                <w:kern w:val="0"/>
                <w:szCs w:val="21"/>
              </w:rPr>
            </w:pPr>
            <w:r>
              <w:rPr>
                <w:rFonts w:ascii="宋体" w:hAnsi="宋体" w:cs="宋体" w:hint="eastAsia"/>
                <w:kern w:val="0"/>
                <w:szCs w:val="21"/>
              </w:rPr>
              <w:t>高度每增减10cm，补偿标准增减15元/m</w:t>
            </w:r>
          </w:p>
        </w:tc>
      </w:tr>
      <w:tr w:rsidR="00A320E6" w14:paraId="466CEA5E"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21CAA88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6AFD985"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338B009"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乱石基、砖墙、清水，厚24cm、高2m</w:t>
            </w:r>
          </w:p>
        </w:tc>
        <w:tc>
          <w:tcPr>
            <w:tcW w:w="919" w:type="pct"/>
            <w:tcBorders>
              <w:top w:val="nil"/>
              <w:left w:val="nil"/>
              <w:bottom w:val="single" w:sz="4" w:space="0" w:color="auto"/>
              <w:right w:val="single" w:sz="4" w:space="0" w:color="auto"/>
            </w:tcBorders>
            <w:vAlign w:val="center"/>
          </w:tcPr>
          <w:p w14:paraId="40C638B0" w14:textId="77777777" w:rsidR="00A320E6" w:rsidRDefault="00000000" w:rsidP="00EC50E9">
            <w:pPr>
              <w:jc w:val="center"/>
              <w:rPr>
                <w:rFonts w:ascii="宋体" w:hAnsi="宋体" w:cs="宋体"/>
                <w:kern w:val="0"/>
                <w:szCs w:val="21"/>
              </w:rPr>
            </w:pPr>
            <w:r>
              <w:rPr>
                <w:rFonts w:ascii="宋体" w:hAnsi="宋体" w:cs="宋体" w:hint="eastAsia"/>
                <w:kern w:val="0"/>
                <w:szCs w:val="21"/>
              </w:rPr>
              <w:t>250-320元/m</w:t>
            </w:r>
          </w:p>
        </w:tc>
        <w:tc>
          <w:tcPr>
            <w:tcW w:w="1861" w:type="pct"/>
            <w:tcBorders>
              <w:top w:val="nil"/>
              <w:left w:val="nil"/>
              <w:bottom w:val="single" w:sz="4" w:space="0" w:color="auto"/>
              <w:right w:val="single" w:sz="4" w:space="0" w:color="auto"/>
            </w:tcBorders>
            <w:vAlign w:val="center"/>
          </w:tcPr>
          <w:p w14:paraId="0F79959A" w14:textId="77777777" w:rsidR="00A320E6" w:rsidRDefault="00000000" w:rsidP="00EC50E9">
            <w:pPr>
              <w:jc w:val="left"/>
              <w:rPr>
                <w:rFonts w:ascii="宋体" w:hAnsi="宋体" w:cs="宋体"/>
                <w:kern w:val="0"/>
                <w:szCs w:val="21"/>
              </w:rPr>
            </w:pPr>
            <w:r>
              <w:rPr>
                <w:rFonts w:ascii="宋体" w:hAnsi="宋体" w:cs="宋体" w:hint="eastAsia"/>
                <w:kern w:val="0"/>
                <w:szCs w:val="21"/>
              </w:rPr>
              <w:t>高度每增减10cm，补偿标准增减12元/m</w:t>
            </w:r>
          </w:p>
        </w:tc>
      </w:tr>
      <w:tr w:rsidR="00A320E6" w14:paraId="5984FECF"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5B68058B"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0A986D4"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2A64AFB" w14:textId="77777777" w:rsidR="00A320E6" w:rsidRDefault="00000000" w:rsidP="00EC50E9">
            <w:pPr>
              <w:jc w:val="left"/>
              <w:rPr>
                <w:rFonts w:ascii="宋体" w:hAnsi="宋体" w:cs="宋体"/>
                <w:kern w:val="0"/>
                <w:szCs w:val="21"/>
              </w:rPr>
            </w:pPr>
            <w:r>
              <w:rPr>
                <w:rFonts w:ascii="宋体" w:hAnsi="宋体" w:cs="宋体" w:hint="eastAsia"/>
                <w:kern w:val="0"/>
                <w:szCs w:val="21"/>
              </w:rPr>
              <w:t>水泥砖/空心砖/花墙/石墙，抹灰，高2m</w:t>
            </w:r>
          </w:p>
        </w:tc>
        <w:tc>
          <w:tcPr>
            <w:tcW w:w="919" w:type="pct"/>
            <w:tcBorders>
              <w:top w:val="nil"/>
              <w:left w:val="nil"/>
              <w:bottom w:val="single" w:sz="4" w:space="0" w:color="auto"/>
              <w:right w:val="single" w:sz="4" w:space="0" w:color="auto"/>
            </w:tcBorders>
            <w:vAlign w:val="center"/>
          </w:tcPr>
          <w:p w14:paraId="00976278" w14:textId="77777777" w:rsidR="00A320E6" w:rsidRDefault="00000000" w:rsidP="00EC50E9">
            <w:pPr>
              <w:jc w:val="center"/>
              <w:rPr>
                <w:rFonts w:ascii="宋体" w:hAnsi="宋体" w:cs="宋体"/>
                <w:kern w:val="0"/>
                <w:szCs w:val="21"/>
              </w:rPr>
            </w:pPr>
            <w:r>
              <w:rPr>
                <w:rFonts w:ascii="宋体" w:hAnsi="宋体" w:cs="宋体" w:hint="eastAsia"/>
                <w:kern w:val="0"/>
                <w:szCs w:val="21"/>
              </w:rPr>
              <w:t>180-250元/m</w:t>
            </w:r>
          </w:p>
        </w:tc>
        <w:tc>
          <w:tcPr>
            <w:tcW w:w="1861" w:type="pct"/>
            <w:tcBorders>
              <w:top w:val="nil"/>
              <w:left w:val="nil"/>
              <w:bottom w:val="single" w:sz="4" w:space="0" w:color="auto"/>
              <w:right w:val="single" w:sz="4" w:space="0" w:color="auto"/>
            </w:tcBorders>
            <w:vAlign w:val="center"/>
          </w:tcPr>
          <w:p w14:paraId="4AA93C8E" w14:textId="77777777" w:rsidR="00A320E6" w:rsidRDefault="00000000" w:rsidP="00EC50E9">
            <w:pPr>
              <w:jc w:val="left"/>
              <w:rPr>
                <w:rFonts w:ascii="宋体" w:hAnsi="宋体" w:cs="宋体"/>
                <w:kern w:val="0"/>
                <w:szCs w:val="21"/>
              </w:rPr>
            </w:pPr>
            <w:r>
              <w:rPr>
                <w:rFonts w:ascii="宋体" w:hAnsi="宋体" w:cs="宋体" w:hint="eastAsia"/>
                <w:kern w:val="0"/>
                <w:szCs w:val="21"/>
              </w:rPr>
              <w:t>高度每增减10cm，补偿标准增减9元/m</w:t>
            </w:r>
          </w:p>
        </w:tc>
      </w:tr>
      <w:tr w:rsidR="00A320E6" w14:paraId="5E8A524C"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5E302DBA"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957334D"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157FF0B" w14:textId="77777777" w:rsidR="00A320E6" w:rsidRDefault="00000000" w:rsidP="00EC50E9">
            <w:pPr>
              <w:jc w:val="left"/>
              <w:rPr>
                <w:rFonts w:ascii="宋体" w:hAnsi="宋体" w:cs="宋体"/>
                <w:kern w:val="0"/>
                <w:szCs w:val="21"/>
              </w:rPr>
            </w:pPr>
            <w:r>
              <w:rPr>
                <w:rFonts w:ascii="宋体" w:hAnsi="宋体" w:cs="宋体" w:hint="eastAsia"/>
                <w:kern w:val="0"/>
                <w:szCs w:val="21"/>
              </w:rPr>
              <w:t>乱石基、土坯墙，高2m</w:t>
            </w:r>
          </w:p>
        </w:tc>
        <w:tc>
          <w:tcPr>
            <w:tcW w:w="919" w:type="pct"/>
            <w:tcBorders>
              <w:top w:val="nil"/>
              <w:left w:val="nil"/>
              <w:bottom w:val="single" w:sz="4" w:space="0" w:color="auto"/>
              <w:right w:val="single" w:sz="4" w:space="0" w:color="auto"/>
            </w:tcBorders>
            <w:vAlign w:val="center"/>
          </w:tcPr>
          <w:p w14:paraId="47E01C64" w14:textId="77777777" w:rsidR="00A320E6" w:rsidRDefault="00000000" w:rsidP="00EC50E9">
            <w:pPr>
              <w:jc w:val="center"/>
              <w:rPr>
                <w:rFonts w:ascii="宋体" w:hAnsi="宋体" w:cs="宋体"/>
                <w:kern w:val="0"/>
                <w:szCs w:val="21"/>
              </w:rPr>
            </w:pPr>
            <w:r>
              <w:rPr>
                <w:rFonts w:ascii="宋体" w:hAnsi="宋体" w:cs="宋体" w:hint="eastAsia"/>
                <w:kern w:val="0"/>
                <w:szCs w:val="21"/>
              </w:rPr>
              <w:t>120-160元/m</w:t>
            </w:r>
          </w:p>
        </w:tc>
        <w:tc>
          <w:tcPr>
            <w:tcW w:w="1861" w:type="pct"/>
            <w:tcBorders>
              <w:top w:val="nil"/>
              <w:left w:val="nil"/>
              <w:bottom w:val="single" w:sz="4" w:space="0" w:color="auto"/>
              <w:right w:val="single" w:sz="4" w:space="0" w:color="auto"/>
            </w:tcBorders>
            <w:vAlign w:val="center"/>
          </w:tcPr>
          <w:p w14:paraId="7BAE0888" w14:textId="77777777" w:rsidR="00A320E6" w:rsidRDefault="00000000" w:rsidP="00EC50E9">
            <w:pPr>
              <w:jc w:val="left"/>
              <w:rPr>
                <w:rFonts w:ascii="宋体" w:hAnsi="宋体" w:cs="宋体"/>
                <w:kern w:val="0"/>
                <w:szCs w:val="21"/>
              </w:rPr>
            </w:pPr>
            <w:r>
              <w:rPr>
                <w:rFonts w:ascii="宋体" w:hAnsi="宋体" w:cs="宋体" w:hint="eastAsia"/>
                <w:kern w:val="0"/>
                <w:szCs w:val="21"/>
              </w:rPr>
              <w:t>高度每增减10cm，补偿标准增减6元/m</w:t>
            </w:r>
          </w:p>
        </w:tc>
      </w:tr>
      <w:tr w:rsidR="00A320E6" w14:paraId="6594EDB5"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7B84286A"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80F5F8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0D14D36" w14:textId="77777777" w:rsidR="00A320E6" w:rsidRDefault="00000000" w:rsidP="00EC50E9">
            <w:pPr>
              <w:jc w:val="left"/>
              <w:rPr>
                <w:rFonts w:ascii="宋体" w:hAnsi="宋体" w:cs="宋体"/>
                <w:kern w:val="0"/>
                <w:szCs w:val="21"/>
              </w:rPr>
            </w:pPr>
            <w:r>
              <w:rPr>
                <w:rFonts w:ascii="宋体" w:hAnsi="宋体" w:cs="宋体" w:hint="eastAsia"/>
                <w:kern w:val="0"/>
                <w:szCs w:val="21"/>
              </w:rPr>
              <w:t>铁艺围墙</w:t>
            </w:r>
          </w:p>
        </w:tc>
        <w:tc>
          <w:tcPr>
            <w:tcW w:w="919" w:type="pct"/>
            <w:tcBorders>
              <w:top w:val="nil"/>
              <w:left w:val="nil"/>
              <w:bottom w:val="single" w:sz="4" w:space="0" w:color="auto"/>
              <w:right w:val="single" w:sz="4" w:space="0" w:color="auto"/>
            </w:tcBorders>
            <w:vAlign w:val="center"/>
          </w:tcPr>
          <w:p w14:paraId="188BD1CF" w14:textId="77777777" w:rsidR="00A320E6" w:rsidRDefault="00000000" w:rsidP="00EC50E9">
            <w:pPr>
              <w:jc w:val="center"/>
              <w:rPr>
                <w:rFonts w:ascii="宋体" w:hAnsi="宋体" w:cs="宋体"/>
                <w:kern w:val="0"/>
                <w:szCs w:val="21"/>
              </w:rPr>
            </w:pPr>
            <w:r>
              <w:rPr>
                <w:rFonts w:ascii="宋体" w:hAnsi="宋体" w:cs="宋体" w:hint="eastAsia"/>
                <w:kern w:val="0"/>
                <w:szCs w:val="21"/>
              </w:rPr>
              <w:t>100-180元/m</w:t>
            </w:r>
          </w:p>
        </w:tc>
        <w:tc>
          <w:tcPr>
            <w:tcW w:w="1861" w:type="pct"/>
            <w:vMerge w:val="restart"/>
            <w:tcBorders>
              <w:top w:val="nil"/>
              <w:left w:val="single" w:sz="4" w:space="0" w:color="auto"/>
              <w:bottom w:val="single" w:sz="4" w:space="0" w:color="auto"/>
              <w:right w:val="single" w:sz="4" w:space="0" w:color="auto"/>
            </w:tcBorders>
            <w:vAlign w:val="center"/>
          </w:tcPr>
          <w:p w14:paraId="46FCA6B9" w14:textId="77777777" w:rsidR="00A320E6" w:rsidRDefault="00000000" w:rsidP="00EC50E9">
            <w:pPr>
              <w:jc w:val="left"/>
              <w:rPr>
                <w:rFonts w:ascii="宋体" w:hAnsi="宋体" w:cs="宋体"/>
                <w:kern w:val="0"/>
                <w:szCs w:val="21"/>
              </w:rPr>
            </w:pPr>
            <w:r>
              <w:rPr>
                <w:rFonts w:ascii="宋体" w:hAnsi="宋体" w:cs="宋体" w:hint="eastAsia"/>
                <w:kern w:val="0"/>
                <w:szCs w:val="21"/>
              </w:rPr>
              <w:t>旧料归原主</w:t>
            </w:r>
          </w:p>
        </w:tc>
      </w:tr>
      <w:tr w:rsidR="00A320E6" w14:paraId="386C066A"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D70252D"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24F02D1"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C2BF31A" w14:textId="77777777" w:rsidR="00A320E6" w:rsidRDefault="00000000" w:rsidP="00EC50E9">
            <w:pPr>
              <w:jc w:val="left"/>
              <w:rPr>
                <w:rFonts w:ascii="宋体" w:hAnsi="宋体" w:cs="宋体"/>
                <w:kern w:val="0"/>
                <w:szCs w:val="21"/>
              </w:rPr>
            </w:pPr>
            <w:r>
              <w:rPr>
                <w:rFonts w:ascii="宋体" w:hAnsi="宋体" w:cs="宋体" w:hint="eastAsia"/>
                <w:kern w:val="0"/>
                <w:szCs w:val="21"/>
              </w:rPr>
              <w:t>铁丝围网（丝径3.5mm以上）</w:t>
            </w:r>
          </w:p>
        </w:tc>
        <w:tc>
          <w:tcPr>
            <w:tcW w:w="919" w:type="pct"/>
            <w:tcBorders>
              <w:top w:val="nil"/>
              <w:left w:val="nil"/>
              <w:bottom w:val="single" w:sz="4" w:space="0" w:color="auto"/>
              <w:right w:val="single" w:sz="4" w:space="0" w:color="auto"/>
            </w:tcBorders>
            <w:vAlign w:val="center"/>
          </w:tcPr>
          <w:p w14:paraId="1D1A0AEF" w14:textId="77777777" w:rsidR="00A320E6" w:rsidRDefault="00000000" w:rsidP="00EC50E9">
            <w:pPr>
              <w:jc w:val="center"/>
              <w:rPr>
                <w:rFonts w:ascii="宋体" w:hAnsi="宋体" w:cs="宋体"/>
                <w:kern w:val="0"/>
                <w:szCs w:val="21"/>
              </w:rPr>
            </w:pPr>
            <w:r>
              <w:rPr>
                <w:rFonts w:ascii="宋体" w:hAnsi="宋体" w:cs="宋体" w:hint="eastAsia"/>
                <w:kern w:val="0"/>
                <w:szCs w:val="21"/>
              </w:rPr>
              <w:t>20-40元/m</w:t>
            </w:r>
          </w:p>
        </w:tc>
        <w:tc>
          <w:tcPr>
            <w:tcW w:w="1861" w:type="pct"/>
            <w:vMerge/>
            <w:tcBorders>
              <w:top w:val="nil"/>
              <w:left w:val="single" w:sz="4" w:space="0" w:color="auto"/>
              <w:bottom w:val="single" w:sz="4" w:space="0" w:color="auto"/>
              <w:right w:val="single" w:sz="4" w:space="0" w:color="auto"/>
            </w:tcBorders>
            <w:vAlign w:val="center"/>
          </w:tcPr>
          <w:p w14:paraId="0B22282D" w14:textId="77777777" w:rsidR="00A320E6" w:rsidRDefault="00A320E6" w:rsidP="00EC50E9">
            <w:pPr>
              <w:jc w:val="left"/>
              <w:rPr>
                <w:rFonts w:ascii="宋体" w:hAnsi="宋体" w:cs="宋体"/>
                <w:kern w:val="0"/>
                <w:szCs w:val="21"/>
              </w:rPr>
            </w:pPr>
          </w:p>
        </w:tc>
      </w:tr>
      <w:tr w:rsidR="00A320E6" w14:paraId="1D96F7CD"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233ECF99"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BAEF82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27396C9" w14:textId="77777777" w:rsidR="00A320E6" w:rsidRDefault="00000000" w:rsidP="00EC50E9">
            <w:pPr>
              <w:jc w:val="left"/>
              <w:rPr>
                <w:rFonts w:ascii="宋体" w:hAnsi="宋体" w:cs="宋体"/>
                <w:kern w:val="0"/>
                <w:szCs w:val="21"/>
              </w:rPr>
            </w:pPr>
            <w:r>
              <w:rPr>
                <w:rFonts w:ascii="宋体" w:hAnsi="宋体" w:cs="宋体" w:hint="eastAsia"/>
                <w:kern w:val="0"/>
                <w:szCs w:val="21"/>
              </w:rPr>
              <w:t>铁丝围网（丝径3.5mm以下）</w:t>
            </w:r>
          </w:p>
        </w:tc>
        <w:tc>
          <w:tcPr>
            <w:tcW w:w="919" w:type="pct"/>
            <w:tcBorders>
              <w:top w:val="nil"/>
              <w:left w:val="nil"/>
              <w:bottom w:val="single" w:sz="4" w:space="0" w:color="auto"/>
              <w:right w:val="single" w:sz="4" w:space="0" w:color="auto"/>
            </w:tcBorders>
            <w:vAlign w:val="center"/>
          </w:tcPr>
          <w:p w14:paraId="676C7EF3" w14:textId="77777777" w:rsidR="00A320E6" w:rsidRDefault="00000000" w:rsidP="00EC50E9">
            <w:pPr>
              <w:jc w:val="center"/>
              <w:rPr>
                <w:rFonts w:ascii="宋体" w:hAnsi="宋体" w:cs="宋体"/>
                <w:kern w:val="0"/>
                <w:szCs w:val="21"/>
              </w:rPr>
            </w:pPr>
            <w:r>
              <w:rPr>
                <w:rFonts w:ascii="宋体" w:hAnsi="宋体" w:cs="宋体" w:hint="eastAsia"/>
                <w:kern w:val="0"/>
                <w:szCs w:val="21"/>
              </w:rPr>
              <w:t>5-10元/m</w:t>
            </w:r>
          </w:p>
        </w:tc>
        <w:tc>
          <w:tcPr>
            <w:tcW w:w="1861" w:type="pct"/>
            <w:vMerge/>
            <w:tcBorders>
              <w:top w:val="nil"/>
              <w:left w:val="single" w:sz="4" w:space="0" w:color="auto"/>
              <w:bottom w:val="single" w:sz="4" w:space="0" w:color="auto"/>
              <w:right w:val="single" w:sz="4" w:space="0" w:color="auto"/>
            </w:tcBorders>
            <w:vAlign w:val="center"/>
          </w:tcPr>
          <w:p w14:paraId="484F19A0" w14:textId="77777777" w:rsidR="00A320E6" w:rsidRDefault="00A320E6" w:rsidP="00EC50E9">
            <w:pPr>
              <w:jc w:val="left"/>
              <w:rPr>
                <w:rFonts w:ascii="宋体" w:hAnsi="宋体" w:cs="宋体"/>
                <w:kern w:val="0"/>
                <w:szCs w:val="21"/>
              </w:rPr>
            </w:pPr>
          </w:p>
        </w:tc>
      </w:tr>
      <w:tr w:rsidR="00A320E6" w14:paraId="3B3AF6D2"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43AD43CC" w14:textId="77777777" w:rsidR="00A320E6" w:rsidRDefault="00000000" w:rsidP="00EC50E9">
            <w:pPr>
              <w:jc w:val="center"/>
              <w:rPr>
                <w:rFonts w:ascii="宋体" w:hAnsi="宋体" w:cs="宋体"/>
                <w:kern w:val="0"/>
                <w:szCs w:val="21"/>
              </w:rPr>
            </w:pPr>
            <w:r>
              <w:rPr>
                <w:rFonts w:ascii="宋体" w:hAnsi="宋体" w:cs="宋体" w:hint="eastAsia"/>
                <w:kern w:val="0"/>
                <w:szCs w:val="21"/>
              </w:rPr>
              <w:t>3</w:t>
            </w:r>
          </w:p>
        </w:tc>
        <w:tc>
          <w:tcPr>
            <w:tcW w:w="472" w:type="pct"/>
            <w:vMerge w:val="restart"/>
            <w:tcBorders>
              <w:top w:val="nil"/>
              <w:left w:val="single" w:sz="4" w:space="0" w:color="auto"/>
              <w:bottom w:val="single" w:sz="4" w:space="0" w:color="auto"/>
              <w:right w:val="single" w:sz="4" w:space="0" w:color="auto"/>
            </w:tcBorders>
            <w:vAlign w:val="center"/>
          </w:tcPr>
          <w:p w14:paraId="690EB828" w14:textId="77777777" w:rsidR="00A320E6" w:rsidRDefault="00000000" w:rsidP="00EC50E9">
            <w:pPr>
              <w:jc w:val="center"/>
              <w:rPr>
                <w:rFonts w:ascii="宋体" w:hAnsi="宋体" w:cs="宋体"/>
                <w:kern w:val="0"/>
                <w:szCs w:val="21"/>
              </w:rPr>
            </w:pPr>
            <w:r>
              <w:rPr>
                <w:rFonts w:ascii="宋体" w:hAnsi="宋体" w:cs="宋体" w:hint="eastAsia"/>
                <w:kern w:val="0"/>
                <w:szCs w:val="21"/>
              </w:rPr>
              <w:t>普通</w:t>
            </w:r>
            <w:r>
              <w:rPr>
                <w:rFonts w:ascii="宋体" w:hAnsi="宋体" w:cs="宋体" w:hint="eastAsia"/>
                <w:kern w:val="0"/>
                <w:szCs w:val="21"/>
              </w:rPr>
              <w:br/>
              <w:t>畜禽舍</w:t>
            </w:r>
          </w:p>
        </w:tc>
        <w:tc>
          <w:tcPr>
            <w:tcW w:w="1127" w:type="pct"/>
            <w:tcBorders>
              <w:top w:val="nil"/>
              <w:left w:val="nil"/>
              <w:bottom w:val="single" w:sz="4" w:space="0" w:color="auto"/>
              <w:right w:val="single" w:sz="4" w:space="0" w:color="auto"/>
            </w:tcBorders>
            <w:vAlign w:val="center"/>
          </w:tcPr>
          <w:p w14:paraId="74BBC892" w14:textId="77777777" w:rsidR="00A320E6" w:rsidRDefault="00000000" w:rsidP="00EC50E9">
            <w:pPr>
              <w:jc w:val="left"/>
              <w:rPr>
                <w:rFonts w:ascii="宋体" w:hAnsi="宋体" w:cs="宋体"/>
                <w:kern w:val="0"/>
                <w:szCs w:val="21"/>
              </w:rPr>
            </w:pPr>
            <w:r>
              <w:rPr>
                <w:rFonts w:ascii="宋体" w:hAnsi="宋体" w:cs="宋体" w:hint="eastAsia"/>
                <w:kern w:val="0"/>
                <w:szCs w:val="21"/>
              </w:rPr>
              <w:t>砖混结构</w:t>
            </w:r>
          </w:p>
        </w:tc>
        <w:tc>
          <w:tcPr>
            <w:tcW w:w="919" w:type="pct"/>
            <w:tcBorders>
              <w:top w:val="nil"/>
              <w:left w:val="nil"/>
              <w:bottom w:val="single" w:sz="4" w:space="0" w:color="auto"/>
              <w:right w:val="single" w:sz="4" w:space="0" w:color="auto"/>
            </w:tcBorders>
            <w:vAlign w:val="center"/>
          </w:tcPr>
          <w:p w14:paraId="630A7469" w14:textId="77777777" w:rsidR="00A320E6" w:rsidRDefault="00000000" w:rsidP="00EC50E9">
            <w:pPr>
              <w:jc w:val="center"/>
              <w:rPr>
                <w:rFonts w:ascii="宋体" w:hAnsi="宋体" w:cs="宋体"/>
                <w:kern w:val="0"/>
                <w:szCs w:val="21"/>
              </w:rPr>
            </w:pPr>
            <w:r>
              <w:rPr>
                <w:rFonts w:ascii="宋体" w:hAnsi="宋体" w:cs="宋体" w:hint="eastAsia"/>
                <w:kern w:val="0"/>
                <w:szCs w:val="21"/>
              </w:rPr>
              <w:t>350-450元/㎡</w:t>
            </w:r>
          </w:p>
        </w:tc>
        <w:tc>
          <w:tcPr>
            <w:tcW w:w="1861" w:type="pct"/>
            <w:vMerge w:val="restart"/>
            <w:tcBorders>
              <w:top w:val="nil"/>
              <w:left w:val="single" w:sz="4" w:space="0" w:color="auto"/>
              <w:bottom w:val="single" w:sz="4" w:space="0" w:color="auto"/>
              <w:right w:val="single" w:sz="4" w:space="0" w:color="auto"/>
            </w:tcBorders>
            <w:vAlign w:val="center"/>
          </w:tcPr>
          <w:p w14:paraId="2320C53A" w14:textId="77777777" w:rsidR="00A320E6" w:rsidRDefault="00000000" w:rsidP="00EC50E9">
            <w:pPr>
              <w:jc w:val="left"/>
              <w:rPr>
                <w:rFonts w:ascii="宋体" w:hAnsi="宋体" w:cs="宋体"/>
                <w:kern w:val="0"/>
                <w:szCs w:val="21"/>
              </w:rPr>
            </w:pPr>
            <w:r>
              <w:rPr>
                <w:rFonts w:ascii="宋体" w:hAnsi="宋体" w:cs="宋体" w:hint="eastAsia"/>
                <w:kern w:val="0"/>
                <w:szCs w:val="21"/>
              </w:rPr>
              <w:t>1、本标准所列畜禽舍为农户自家养殖的普通畜禽舍，经营性的或规模化养殖的畜禽舍补偿标准按评估价格确定</w:t>
            </w:r>
            <w:r>
              <w:rPr>
                <w:rFonts w:ascii="宋体" w:hAnsi="宋体" w:cs="宋体" w:hint="eastAsia"/>
                <w:kern w:val="0"/>
                <w:szCs w:val="21"/>
              </w:rPr>
              <w:br/>
              <w:t>2、旧料归原主</w:t>
            </w:r>
          </w:p>
        </w:tc>
      </w:tr>
      <w:tr w:rsidR="00A320E6" w14:paraId="2A33858B"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601BAB55"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088BBF0"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89EBAC8" w14:textId="77777777" w:rsidR="00A320E6" w:rsidRDefault="00000000" w:rsidP="00EC50E9">
            <w:pPr>
              <w:jc w:val="left"/>
              <w:rPr>
                <w:rFonts w:ascii="宋体" w:hAnsi="宋体" w:cs="宋体"/>
                <w:kern w:val="0"/>
                <w:szCs w:val="21"/>
              </w:rPr>
            </w:pPr>
            <w:r>
              <w:rPr>
                <w:rFonts w:ascii="宋体" w:hAnsi="宋体" w:cs="宋体" w:hint="eastAsia"/>
                <w:kern w:val="0"/>
                <w:szCs w:val="21"/>
              </w:rPr>
              <w:t>砖木结构</w:t>
            </w:r>
          </w:p>
        </w:tc>
        <w:tc>
          <w:tcPr>
            <w:tcW w:w="919" w:type="pct"/>
            <w:tcBorders>
              <w:top w:val="nil"/>
              <w:left w:val="nil"/>
              <w:bottom w:val="single" w:sz="4" w:space="0" w:color="auto"/>
              <w:right w:val="single" w:sz="4" w:space="0" w:color="auto"/>
            </w:tcBorders>
            <w:vAlign w:val="center"/>
          </w:tcPr>
          <w:p w14:paraId="3C706745" w14:textId="77777777" w:rsidR="00A320E6" w:rsidRDefault="00000000" w:rsidP="00EC50E9">
            <w:pPr>
              <w:jc w:val="center"/>
              <w:rPr>
                <w:rFonts w:ascii="宋体" w:hAnsi="宋体" w:cs="宋体"/>
                <w:kern w:val="0"/>
                <w:szCs w:val="21"/>
              </w:rPr>
            </w:pPr>
            <w:r>
              <w:rPr>
                <w:rFonts w:ascii="宋体" w:hAnsi="宋体" w:cs="宋体" w:hint="eastAsia"/>
                <w:kern w:val="0"/>
                <w:szCs w:val="21"/>
              </w:rPr>
              <w:t>260-350元/㎡</w:t>
            </w:r>
          </w:p>
        </w:tc>
        <w:tc>
          <w:tcPr>
            <w:tcW w:w="1861" w:type="pct"/>
            <w:vMerge/>
            <w:tcBorders>
              <w:top w:val="nil"/>
              <w:left w:val="single" w:sz="4" w:space="0" w:color="auto"/>
              <w:bottom w:val="single" w:sz="4" w:space="0" w:color="auto"/>
              <w:right w:val="single" w:sz="4" w:space="0" w:color="auto"/>
            </w:tcBorders>
            <w:vAlign w:val="center"/>
          </w:tcPr>
          <w:p w14:paraId="3F368906" w14:textId="77777777" w:rsidR="00A320E6" w:rsidRDefault="00A320E6" w:rsidP="00EC50E9">
            <w:pPr>
              <w:jc w:val="left"/>
              <w:rPr>
                <w:rFonts w:ascii="宋体" w:hAnsi="宋体" w:cs="宋体"/>
                <w:kern w:val="0"/>
                <w:szCs w:val="21"/>
              </w:rPr>
            </w:pPr>
          </w:p>
        </w:tc>
      </w:tr>
      <w:tr w:rsidR="00A320E6" w14:paraId="1C1956D1"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597019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D249408"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F4FEE1E" w14:textId="77777777" w:rsidR="00A320E6" w:rsidRDefault="00000000" w:rsidP="00EC50E9">
            <w:pPr>
              <w:jc w:val="left"/>
              <w:rPr>
                <w:rFonts w:ascii="宋体" w:hAnsi="宋体" w:cs="宋体"/>
                <w:kern w:val="0"/>
                <w:szCs w:val="21"/>
              </w:rPr>
            </w:pPr>
            <w:r>
              <w:rPr>
                <w:rFonts w:ascii="宋体" w:hAnsi="宋体" w:cs="宋体" w:hint="eastAsia"/>
                <w:kern w:val="0"/>
                <w:szCs w:val="21"/>
              </w:rPr>
              <w:t>简易结构</w:t>
            </w:r>
          </w:p>
        </w:tc>
        <w:tc>
          <w:tcPr>
            <w:tcW w:w="919" w:type="pct"/>
            <w:tcBorders>
              <w:top w:val="nil"/>
              <w:left w:val="nil"/>
              <w:bottom w:val="single" w:sz="4" w:space="0" w:color="auto"/>
              <w:right w:val="single" w:sz="4" w:space="0" w:color="auto"/>
            </w:tcBorders>
            <w:vAlign w:val="center"/>
          </w:tcPr>
          <w:p w14:paraId="186ECE5E" w14:textId="77777777" w:rsidR="00A320E6" w:rsidRDefault="00000000" w:rsidP="00EC50E9">
            <w:pPr>
              <w:jc w:val="center"/>
              <w:rPr>
                <w:rFonts w:ascii="宋体" w:hAnsi="宋体" w:cs="宋体"/>
                <w:kern w:val="0"/>
                <w:szCs w:val="21"/>
              </w:rPr>
            </w:pPr>
            <w:r>
              <w:rPr>
                <w:rFonts w:ascii="宋体" w:hAnsi="宋体" w:cs="宋体" w:hint="eastAsia"/>
                <w:kern w:val="0"/>
                <w:szCs w:val="21"/>
              </w:rPr>
              <w:t>150-260元/㎡</w:t>
            </w:r>
          </w:p>
        </w:tc>
        <w:tc>
          <w:tcPr>
            <w:tcW w:w="1861" w:type="pct"/>
            <w:vMerge/>
            <w:tcBorders>
              <w:top w:val="nil"/>
              <w:left w:val="single" w:sz="4" w:space="0" w:color="auto"/>
              <w:bottom w:val="single" w:sz="4" w:space="0" w:color="auto"/>
              <w:right w:val="single" w:sz="4" w:space="0" w:color="auto"/>
            </w:tcBorders>
            <w:vAlign w:val="center"/>
          </w:tcPr>
          <w:p w14:paraId="6DEF9AFA" w14:textId="77777777" w:rsidR="00A320E6" w:rsidRDefault="00A320E6" w:rsidP="00EC50E9">
            <w:pPr>
              <w:jc w:val="left"/>
              <w:rPr>
                <w:rFonts w:ascii="宋体" w:hAnsi="宋体" w:cs="宋体"/>
                <w:kern w:val="0"/>
                <w:szCs w:val="21"/>
              </w:rPr>
            </w:pPr>
          </w:p>
        </w:tc>
      </w:tr>
      <w:tr w:rsidR="00A320E6" w14:paraId="01580E10" w14:textId="77777777" w:rsidTr="00EC50E9">
        <w:trPr>
          <w:trHeight w:val="1467"/>
          <w:jc w:val="center"/>
        </w:trPr>
        <w:tc>
          <w:tcPr>
            <w:tcW w:w="621" w:type="pct"/>
            <w:tcBorders>
              <w:top w:val="nil"/>
              <w:left w:val="single" w:sz="4" w:space="0" w:color="auto"/>
              <w:bottom w:val="single" w:sz="4" w:space="0" w:color="auto"/>
              <w:right w:val="single" w:sz="4" w:space="0" w:color="auto"/>
            </w:tcBorders>
            <w:vAlign w:val="center"/>
          </w:tcPr>
          <w:p w14:paraId="13245C48" w14:textId="77777777" w:rsidR="00A320E6" w:rsidRDefault="00000000" w:rsidP="00EC50E9">
            <w:pPr>
              <w:jc w:val="center"/>
              <w:rPr>
                <w:rFonts w:ascii="宋体" w:hAnsi="宋体" w:cs="宋体"/>
                <w:kern w:val="0"/>
                <w:szCs w:val="21"/>
              </w:rPr>
            </w:pPr>
            <w:r>
              <w:rPr>
                <w:rFonts w:ascii="宋体" w:hAnsi="宋体" w:cs="宋体" w:hint="eastAsia"/>
                <w:kern w:val="0"/>
                <w:szCs w:val="21"/>
              </w:rPr>
              <w:t>4</w:t>
            </w:r>
          </w:p>
        </w:tc>
        <w:tc>
          <w:tcPr>
            <w:tcW w:w="472" w:type="pct"/>
            <w:tcBorders>
              <w:top w:val="nil"/>
              <w:left w:val="nil"/>
              <w:bottom w:val="single" w:sz="4" w:space="0" w:color="auto"/>
              <w:right w:val="single" w:sz="4" w:space="0" w:color="auto"/>
            </w:tcBorders>
            <w:vAlign w:val="center"/>
          </w:tcPr>
          <w:p w14:paraId="74F4ED27" w14:textId="77777777" w:rsidR="00A320E6" w:rsidRDefault="00000000" w:rsidP="00EC50E9">
            <w:pPr>
              <w:jc w:val="center"/>
              <w:rPr>
                <w:rFonts w:ascii="宋体" w:hAnsi="宋体" w:cs="宋体"/>
                <w:kern w:val="0"/>
                <w:szCs w:val="21"/>
              </w:rPr>
            </w:pPr>
            <w:r>
              <w:rPr>
                <w:rFonts w:ascii="宋体" w:hAnsi="宋体" w:cs="宋体" w:hint="eastAsia"/>
                <w:kern w:val="0"/>
                <w:szCs w:val="21"/>
              </w:rPr>
              <w:t>迁坟</w:t>
            </w:r>
          </w:p>
        </w:tc>
        <w:tc>
          <w:tcPr>
            <w:tcW w:w="1127" w:type="pct"/>
            <w:tcBorders>
              <w:top w:val="nil"/>
              <w:left w:val="nil"/>
              <w:bottom w:val="single" w:sz="4" w:space="0" w:color="auto"/>
              <w:right w:val="single" w:sz="4" w:space="0" w:color="auto"/>
            </w:tcBorders>
            <w:vAlign w:val="center"/>
          </w:tcPr>
          <w:p w14:paraId="733AD771" w14:textId="77777777" w:rsidR="00A320E6" w:rsidRDefault="00000000" w:rsidP="00EC50E9">
            <w:pPr>
              <w:jc w:val="left"/>
              <w:rPr>
                <w:rFonts w:ascii="宋体" w:hAnsi="宋体" w:cs="宋体"/>
                <w:kern w:val="0"/>
                <w:szCs w:val="21"/>
              </w:rPr>
            </w:pPr>
            <w:r>
              <w:rPr>
                <w:rFonts w:ascii="宋体" w:hAnsi="宋体" w:cs="宋体" w:hint="eastAsia"/>
                <w:kern w:val="0"/>
                <w:szCs w:val="21"/>
              </w:rPr>
              <w:t>棺木、拾骨、骨灰盒</w:t>
            </w:r>
          </w:p>
        </w:tc>
        <w:tc>
          <w:tcPr>
            <w:tcW w:w="919" w:type="pct"/>
            <w:tcBorders>
              <w:top w:val="nil"/>
              <w:left w:val="nil"/>
              <w:bottom w:val="single" w:sz="4" w:space="0" w:color="auto"/>
              <w:right w:val="single" w:sz="4" w:space="0" w:color="auto"/>
            </w:tcBorders>
            <w:vAlign w:val="center"/>
          </w:tcPr>
          <w:p w14:paraId="33680802" w14:textId="77777777" w:rsidR="00A320E6" w:rsidRDefault="00000000" w:rsidP="00EC50E9">
            <w:pPr>
              <w:jc w:val="center"/>
              <w:rPr>
                <w:rFonts w:ascii="宋体" w:hAnsi="宋体" w:cs="宋体"/>
                <w:kern w:val="0"/>
                <w:szCs w:val="21"/>
              </w:rPr>
            </w:pPr>
            <w:r>
              <w:rPr>
                <w:rFonts w:ascii="宋体" w:hAnsi="宋体" w:cs="宋体" w:hint="eastAsia"/>
                <w:kern w:val="0"/>
                <w:szCs w:val="21"/>
              </w:rPr>
              <w:t>2000-3000元/座</w:t>
            </w:r>
          </w:p>
        </w:tc>
        <w:tc>
          <w:tcPr>
            <w:tcW w:w="1861" w:type="pct"/>
            <w:tcBorders>
              <w:top w:val="nil"/>
              <w:left w:val="nil"/>
              <w:bottom w:val="single" w:sz="4" w:space="0" w:color="auto"/>
              <w:right w:val="single" w:sz="4" w:space="0" w:color="auto"/>
            </w:tcBorders>
            <w:vAlign w:val="center"/>
          </w:tcPr>
          <w:p w14:paraId="3907F53E" w14:textId="77777777" w:rsidR="00A320E6" w:rsidRDefault="00000000" w:rsidP="00EC50E9">
            <w:pPr>
              <w:jc w:val="left"/>
              <w:rPr>
                <w:rFonts w:ascii="宋体" w:hAnsi="宋体" w:cs="宋体"/>
                <w:kern w:val="0"/>
                <w:szCs w:val="21"/>
              </w:rPr>
            </w:pPr>
            <w:r>
              <w:rPr>
                <w:rFonts w:ascii="宋体" w:hAnsi="宋体" w:cs="宋体" w:hint="eastAsia"/>
                <w:kern w:val="0"/>
                <w:szCs w:val="21"/>
              </w:rPr>
              <w:t>1、包括迁葬、工料费等</w:t>
            </w:r>
            <w:r>
              <w:rPr>
                <w:rFonts w:ascii="宋体" w:hAnsi="宋体" w:cs="宋体" w:hint="eastAsia"/>
                <w:kern w:val="0"/>
                <w:szCs w:val="21"/>
              </w:rPr>
              <w:br/>
              <w:t>2、双棺可视情况增加补偿标准，原则上最高不超过1000元</w:t>
            </w:r>
            <w:r>
              <w:rPr>
                <w:rFonts w:ascii="宋体" w:hAnsi="宋体" w:cs="宋体" w:hint="eastAsia"/>
                <w:kern w:val="0"/>
                <w:szCs w:val="21"/>
              </w:rPr>
              <w:br/>
              <w:t>3、大型、豪华坟墓或无安置条件的，补偿标准由双方协商或评估确定。</w:t>
            </w:r>
          </w:p>
        </w:tc>
      </w:tr>
      <w:tr w:rsidR="00A320E6" w14:paraId="2526757C"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2A203AAE" w14:textId="77777777" w:rsidR="00A320E6" w:rsidRDefault="00000000" w:rsidP="00EC50E9">
            <w:pPr>
              <w:jc w:val="center"/>
              <w:rPr>
                <w:rFonts w:ascii="宋体" w:hAnsi="宋体" w:cs="宋体"/>
                <w:kern w:val="0"/>
                <w:szCs w:val="21"/>
              </w:rPr>
            </w:pPr>
            <w:r>
              <w:rPr>
                <w:rFonts w:ascii="宋体" w:hAnsi="宋体" w:cs="宋体" w:hint="eastAsia"/>
                <w:kern w:val="0"/>
                <w:szCs w:val="21"/>
              </w:rPr>
              <w:t>5</w:t>
            </w:r>
          </w:p>
        </w:tc>
        <w:tc>
          <w:tcPr>
            <w:tcW w:w="472" w:type="pct"/>
            <w:vMerge w:val="restart"/>
            <w:tcBorders>
              <w:top w:val="nil"/>
              <w:left w:val="single" w:sz="4" w:space="0" w:color="auto"/>
              <w:bottom w:val="single" w:sz="4" w:space="0" w:color="auto"/>
              <w:right w:val="single" w:sz="4" w:space="0" w:color="auto"/>
            </w:tcBorders>
            <w:vAlign w:val="center"/>
          </w:tcPr>
          <w:p w14:paraId="3177E7E6" w14:textId="77777777" w:rsidR="00A320E6" w:rsidRDefault="00000000" w:rsidP="00EC50E9">
            <w:pPr>
              <w:jc w:val="center"/>
              <w:rPr>
                <w:rFonts w:ascii="宋体" w:hAnsi="宋体" w:cs="宋体"/>
                <w:kern w:val="0"/>
                <w:szCs w:val="21"/>
              </w:rPr>
            </w:pPr>
            <w:r>
              <w:rPr>
                <w:rFonts w:ascii="宋体" w:hAnsi="宋体" w:cs="宋体" w:hint="eastAsia"/>
                <w:kern w:val="0"/>
                <w:szCs w:val="21"/>
              </w:rPr>
              <w:t>温室</w:t>
            </w:r>
          </w:p>
        </w:tc>
        <w:tc>
          <w:tcPr>
            <w:tcW w:w="1127" w:type="pct"/>
            <w:tcBorders>
              <w:top w:val="nil"/>
              <w:left w:val="nil"/>
              <w:bottom w:val="single" w:sz="4" w:space="0" w:color="auto"/>
              <w:right w:val="single" w:sz="4" w:space="0" w:color="auto"/>
            </w:tcBorders>
            <w:vAlign w:val="center"/>
          </w:tcPr>
          <w:p w14:paraId="60083ADB" w14:textId="77777777" w:rsidR="00A320E6" w:rsidRDefault="00000000" w:rsidP="00EC50E9">
            <w:pPr>
              <w:jc w:val="left"/>
              <w:rPr>
                <w:rFonts w:ascii="宋体" w:hAnsi="宋体" w:cs="宋体"/>
                <w:kern w:val="0"/>
                <w:szCs w:val="21"/>
              </w:rPr>
            </w:pPr>
            <w:r>
              <w:rPr>
                <w:rFonts w:ascii="宋体" w:hAnsi="宋体" w:cs="宋体" w:hint="eastAsia"/>
                <w:kern w:val="0"/>
                <w:szCs w:val="21"/>
              </w:rPr>
              <w:t>钢、砼骨架，砖石基础，玻璃顶</w:t>
            </w:r>
          </w:p>
        </w:tc>
        <w:tc>
          <w:tcPr>
            <w:tcW w:w="919" w:type="pct"/>
            <w:tcBorders>
              <w:top w:val="nil"/>
              <w:left w:val="nil"/>
              <w:bottom w:val="single" w:sz="4" w:space="0" w:color="auto"/>
              <w:right w:val="single" w:sz="4" w:space="0" w:color="auto"/>
            </w:tcBorders>
            <w:vAlign w:val="center"/>
          </w:tcPr>
          <w:p w14:paraId="36C6D304" w14:textId="77777777" w:rsidR="00A320E6" w:rsidRDefault="00000000" w:rsidP="00EC50E9">
            <w:pPr>
              <w:jc w:val="center"/>
              <w:rPr>
                <w:rFonts w:ascii="宋体" w:hAnsi="宋体" w:cs="宋体"/>
                <w:kern w:val="0"/>
                <w:szCs w:val="21"/>
              </w:rPr>
            </w:pPr>
            <w:r>
              <w:rPr>
                <w:rFonts w:ascii="宋体" w:hAnsi="宋体" w:cs="宋体" w:hint="eastAsia"/>
                <w:kern w:val="0"/>
                <w:szCs w:val="21"/>
              </w:rPr>
              <w:t>300-450元/㎡</w:t>
            </w:r>
          </w:p>
        </w:tc>
        <w:tc>
          <w:tcPr>
            <w:tcW w:w="1861" w:type="pct"/>
            <w:vMerge w:val="restart"/>
            <w:tcBorders>
              <w:top w:val="nil"/>
              <w:left w:val="single" w:sz="4" w:space="0" w:color="auto"/>
              <w:bottom w:val="single" w:sz="4" w:space="0" w:color="auto"/>
              <w:right w:val="single" w:sz="4" w:space="0" w:color="auto"/>
            </w:tcBorders>
            <w:vAlign w:val="center"/>
          </w:tcPr>
          <w:p w14:paraId="049A0E62" w14:textId="77777777" w:rsidR="00A320E6" w:rsidRDefault="00000000" w:rsidP="00EC50E9">
            <w:pPr>
              <w:jc w:val="left"/>
              <w:rPr>
                <w:rFonts w:ascii="宋体" w:hAnsi="宋体" w:cs="宋体"/>
                <w:kern w:val="0"/>
                <w:szCs w:val="21"/>
              </w:rPr>
            </w:pPr>
            <w:r>
              <w:rPr>
                <w:rFonts w:ascii="宋体" w:hAnsi="宋体" w:cs="宋体" w:hint="eastAsia"/>
                <w:kern w:val="0"/>
                <w:szCs w:val="21"/>
              </w:rPr>
              <w:t>1、表中面积是指占地面积</w:t>
            </w:r>
            <w:r>
              <w:rPr>
                <w:rFonts w:ascii="宋体" w:hAnsi="宋体" w:cs="宋体" w:hint="eastAsia"/>
                <w:kern w:val="0"/>
                <w:szCs w:val="21"/>
              </w:rPr>
              <w:br/>
              <w:t>2、本标准以外的温室、大棚可按照市场价评估确定</w:t>
            </w:r>
            <w:r>
              <w:rPr>
                <w:rFonts w:ascii="宋体" w:hAnsi="宋体" w:cs="宋体" w:hint="eastAsia"/>
                <w:kern w:val="0"/>
                <w:szCs w:val="21"/>
              </w:rPr>
              <w:br/>
              <w:t>3、旧料归原主</w:t>
            </w:r>
          </w:p>
        </w:tc>
      </w:tr>
      <w:tr w:rsidR="00A320E6" w14:paraId="527513C9"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4F75CC25"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52586D2"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BB22F42" w14:textId="77777777" w:rsidR="00A320E6" w:rsidRDefault="00000000" w:rsidP="00EC50E9">
            <w:pPr>
              <w:jc w:val="left"/>
              <w:rPr>
                <w:rFonts w:ascii="宋体" w:hAnsi="宋体" w:cs="宋体"/>
                <w:kern w:val="0"/>
                <w:szCs w:val="21"/>
              </w:rPr>
            </w:pPr>
            <w:r>
              <w:rPr>
                <w:rFonts w:ascii="宋体" w:hAnsi="宋体" w:cs="宋体" w:hint="eastAsia"/>
                <w:kern w:val="0"/>
                <w:szCs w:val="21"/>
              </w:rPr>
              <w:t>钢、砼骨架，三面砖石或坯墙，塑料薄膜顶，毛毡或草帘（暖棚）</w:t>
            </w:r>
          </w:p>
        </w:tc>
        <w:tc>
          <w:tcPr>
            <w:tcW w:w="919" w:type="pct"/>
            <w:tcBorders>
              <w:top w:val="nil"/>
              <w:left w:val="nil"/>
              <w:bottom w:val="single" w:sz="4" w:space="0" w:color="auto"/>
              <w:right w:val="single" w:sz="4" w:space="0" w:color="auto"/>
            </w:tcBorders>
            <w:vAlign w:val="center"/>
          </w:tcPr>
          <w:p w14:paraId="3DCBD251" w14:textId="77777777" w:rsidR="00A320E6" w:rsidRDefault="00000000" w:rsidP="00EC50E9">
            <w:pPr>
              <w:jc w:val="center"/>
              <w:rPr>
                <w:rFonts w:ascii="宋体" w:hAnsi="宋体" w:cs="宋体"/>
                <w:kern w:val="0"/>
                <w:szCs w:val="21"/>
              </w:rPr>
            </w:pPr>
            <w:r>
              <w:rPr>
                <w:rFonts w:ascii="宋体" w:hAnsi="宋体" w:cs="宋体" w:hint="eastAsia"/>
                <w:kern w:val="0"/>
                <w:szCs w:val="21"/>
              </w:rPr>
              <w:t>120-200元/㎡</w:t>
            </w:r>
          </w:p>
        </w:tc>
        <w:tc>
          <w:tcPr>
            <w:tcW w:w="1861" w:type="pct"/>
            <w:vMerge/>
            <w:tcBorders>
              <w:top w:val="nil"/>
              <w:left w:val="single" w:sz="4" w:space="0" w:color="auto"/>
              <w:bottom w:val="single" w:sz="4" w:space="0" w:color="auto"/>
              <w:right w:val="single" w:sz="4" w:space="0" w:color="auto"/>
            </w:tcBorders>
            <w:vAlign w:val="center"/>
          </w:tcPr>
          <w:p w14:paraId="4F503103" w14:textId="77777777" w:rsidR="00A320E6" w:rsidRDefault="00A320E6" w:rsidP="00EC50E9">
            <w:pPr>
              <w:jc w:val="left"/>
              <w:rPr>
                <w:rFonts w:ascii="宋体" w:hAnsi="宋体" w:cs="宋体"/>
                <w:kern w:val="0"/>
                <w:szCs w:val="21"/>
              </w:rPr>
            </w:pPr>
          </w:p>
        </w:tc>
      </w:tr>
      <w:tr w:rsidR="00A320E6" w14:paraId="15A0B41A"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7084DBB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3EEB3B5"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770FCB2" w14:textId="77777777" w:rsidR="00A320E6" w:rsidRDefault="00000000" w:rsidP="00EC50E9">
            <w:pPr>
              <w:jc w:val="left"/>
              <w:rPr>
                <w:rFonts w:ascii="宋体" w:hAnsi="宋体" w:cs="宋体"/>
                <w:kern w:val="0"/>
                <w:szCs w:val="21"/>
              </w:rPr>
            </w:pPr>
            <w:r>
              <w:rPr>
                <w:rFonts w:ascii="宋体" w:hAnsi="宋体" w:cs="宋体" w:hint="eastAsia"/>
                <w:kern w:val="0"/>
                <w:szCs w:val="21"/>
              </w:rPr>
              <w:t>钢、砼骨架，塑料薄膜顶，毛毡或草帘（暖棚）</w:t>
            </w:r>
          </w:p>
        </w:tc>
        <w:tc>
          <w:tcPr>
            <w:tcW w:w="919" w:type="pct"/>
            <w:tcBorders>
              <w:top w:val="nil"/>
              <w:left w:val="nil"/>
              <w:bottom w:val="single" w:sz="4" w:space="0" w:color="auto"/>
              <w:right w:val="single" w:sz="4" w:space="0" w:color="auto"/>
            </w:tcBorders>
            <w:vAlign w:val="center"/>
          </w:tcPr>
          <w:p w14:paraId="749B1F9D" w14:textId="77777777" w:rsidR="00A320E6" w:rsidRDefault="00000000" w:rsidP="00EC50E9">
            <w:pPr>
              <w:jc w:val="center"/>
              <w:rPr>
                <w:rFonts w:ascii="宋体" w:hAnsi="宋体" w:cs="宋体"/>
                <w:kern w:val="0"/>
                <w:szCs w:val="21"/>
              </w:rPr>
            </w:pPr>
            <w:r>
              <w:rPr>
                <w:rFonts w:ascii="宋体" w:hAnsi="宋体" w:cs="宋体" w:hint="eastAsia"/>
                <w:kern w:val="0"/>
                <w:szCs w:val="21"/>
              </w:rPr>
              <w:t>50-100元/㎡</w:t>
            </w:r>
          </w:p>
        </w:tc>
        <w:tc>
          <w:tcPr>
            <w:tcW w:w="1861" w:type="pct"/>
            <w:vMerge/>
            <w:tcBorders>
              <w:top w:val="nil"/>
              <w:left w:val="single" w:sz="4" w:space="0" w:color="auto"/>
              <w:bottom w:val="single" w:sz="4" w:space="0" w:color="auto"/>
              <w:right w:val="single" w:sz="4" w:space="0" w:color="auto"/>
            </w:tcBorders>
            <w:vAlign w:val="center"/>
          </w:tcPr>
          <w:p w14:paraId="7E18B9E6" w14:textId="77777777" w:rsidR="00A320E6" w:rsidRDefault="00A320E6" w:rsidP="00EC50E9">
            <w:pPr>
              <w:jc w:val="left"/>
              <w:rPr>
                <w:rFonts w:ascii="宋体" w:hAnsi="宋体" w:cs="宋体"/>
                <w:kern w:val="0"/>
                <w:szCs w:val="21"/>
              </w:rPr>
            </w:pPr>
          </w:p>
        </w:tc>
      </w:tr>
      <w:tr w:rsidR="00A320E6" w14:paraId="140918FA"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512A138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63CD459"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6AB4926" w14:textId="77777777" w:rsidR="00A320E6" w:rsidRDefault="00000000" w:rsidP="00EC50E9">
            <w:pPr>
              <w:jc w:val="left"/>
              <w:rPr>
                <w:rFonts w:ascii="宋体" w:hAnsi="宋体" w:cs="宋体"/>
                <w:kern w:val="0"/>
                <w:szCs w:val="21"/>
              </w:rPr>
            </w:pPr>
            <w:r>
              <w:rPr>
                <w:rFonts w:ascii="宋体" w:hAnsi="宋体" w:cs="宋体" w:hint="eastAsia"/>
                <w:kern w:val="0"/>
                <w:szCs w:val="21"/>
              </w:rPr>
              <w:t>简易钢架棚（凉棚、防雨棚）</w:t>
            </w:r>
          </w:p>
        </w:tc>
        <w:tc>
          <w:tcPr>
            <w:tcW w:w="919" w:type="pct"/>
            <w:tcBorders>
              <w:top w:val="nil"/>
              <w:left w:val="nil"/>
              <w:bottom w:val="single" w:sz="4" w:space="0" w:color="auto"/>
              <w:right w:val="single" w:sz="4" w:space="0" w:color="auto"/>
            </w:tcBorders>
            <w:vAlign w:val="center"/>
          </w:tcPr>
          <w:p w14:paraId="24222972" w14:textId="77777777" w:rsidR="00A320E6" w:rsidRDefault="00000000" w:rsidP="00EC50E9">
            <w:pPr>
              <w:jc w:val="center"/>
              <w:rPr>
                <w:rFonts w:ascii="宋体" w:hAnsi="宋体" w:cs="宋体"/>
                <w:kern w:val="0"/>
                <w:szCs w:val="21"/>
              </w:rPr>
            </w:pPr>
            <w:r>
              <w:rPr>
                <w:rFonts w:ascii="宋体" w:hAnsi="宋体" w:cs="宋体" w:hint="eastAsia"/>
                <w:kern w:val="0"/>
                <w:szCs w:val="21"/>
              </w:rPr>
              <w:t>20-50元/㎡</w:t>
            </w:r>
          </w:p>
        </w:tc>
        <w:tc>
          <w:tcPr>
            <w:tcW w:w="1861" w:type="pct"/>
            <w:vMerge/>
            <w:tcBorders>
              <w:top w:val="nil"/>
              <w:left w:val="single" w:sz="4" w:space="0" w:color="auto"/>
              <w:bottom w:val="single" w:sz="4" w:space="0" w:color="auto"/>
              <w:right w:val="single" w:sz="4" w:space="0" w:color="auto"/>
            </w:tcBorders>
            <w:vAlign w:val="center"/>
          </w:tcPr>
          <w:p w14:paraId="4D9CD0F5" w14:textId="77777777" w:rsidR="00A320E6" w:rsidRDefault="00A320E6" w:rsidP="00EC50E9">
            <w:pPr>
              <w:jc w:val="left"/>
              <w:rPr>
                <w:rFonts w:ascii="宋体" w:hAnsi="宋体" w:cs="宋体"/>
                <w:kern w:val="0"/>
                <w:szCs w:val="21"/>
              </w:rPr>
            </w:pPr>
          </w:p>
        </w:tc>
      </w:tr>
      <w:tr w:rsidR="00A320E6" w14:paraId="401BED1F"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3C0FFDB8"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C855FF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3BEBA88" w14:textId="77777777" w:rsidR="00A320E6" w:rsidRDefault="00000000" w:rsidP="00EC50E9">
            <w:pPr>
              <w:jc w:val="left"/>
              <w:rPr>
                <w:rFonts w:ascii="宋体" w:hAnsi="宋体" w:cs="宋体"/>
                <w:kern w:val="0"/>
                <w:szCs w:val="21"/>
              </w:rPr>
            </w:pPr>
            <w:r>
              <w:rPr>
                <w:rFonts w:ascii="宋体" w:hAnsi="宋体" w:cs="宋体" w:hint="eastAsia"/>
                <w:kern w:val="0"/>
                <w:szCs w:val="21"/>
              </w:rPr>
              <w:t>地棚（跨度2m、高度1.2m以内）</w:t>
            </w:r>
          </w:p>
        </w:tc>
        <w:tc>
          <w:tcPr>
            <w:tcW w:w="919" w:type="pct"/>
            <w:tcBorders>
              <w:top w:val="nil"/>
              <w:left w:val="nil"/>
              <w:bottom w:val="single" w:sz="4" w:space="0" w:color="auto"/>
              <w:right w:val="single" w:sz="4" w:space="0" w:color="auto"/>
            </w:tcBorders>
            <w:vAlign w:val="center"/>
          </w:tcPr>
          <w:p w14:paraId="3706B14C" w14:textId="77777777" w:rsidR="00A320E6" w:rsidRDefault="00000000" w:rsidP="00EC50E9">
            <w:pPr>
              <w:jc w:val="center"/>
              <w:rPr>
                <w:rFonts w:ascii="宋体" w:hAnsi="宋体" w:cs="宋体"/>
                <w:kern w:val="0"/>
                <w:szCs w:val="21"/>
              </w:rPr>
            </w:pPr>
            <w:r>
              <w:rPr>
                <w:rFonts w:ascii="宋体" w:hAnsi="宋体" w:cs="宋体" w:hint="eastAsia"/>
                <w:kern w:val="0"/>
                <w:szCs w:val="21"/>
              </w:rPr>
              <w:t>8-17元/㎡</w:t>
            </w:r>
          </w:p>
        </w:tc>
        <w:tc>
          <w:tcPr>
            <w:tcW w:w="1861" w:type="pct"/>
            <w:vMerge/>
            <w:tcBorders>
              <w:top w:val="nil"/>
              <w:left w:val="single" w:sz="4" w:space="0" w:color="auto"/>
              <w:bottom w:val="single" w:sz="4" w:space="0" w:color="auto"/>
              <w:right w:val="single" w:sz="4" w:space="0" w:color="auto"/>
            </w:tcBorders>
            <w:vAlign w:val="center"/>
          </w:tcPr>
          <w:p w14:paraId="16CC8BCD" w14:textId="77777777" w:rsidR="00A320E6" w:rsidRDefault="00A320E6" w:rsidP="00EC50E9">
            <w:pPr>
              <w:jc w:val="left"/>
              <w:rPr>
                <w:rFonts w:ascii="宋体" w:hAnsi="宋体" w:cs="宋体"/>
                <w:kern w:val="0"/>
                <w:szCs w:val="21"/>
              </w:rPr>
            </w:pPr>
          </w:p>
        </w:tc>
      </w:tr>
      <w:tr w:rsidR="00A320E6" w14:paraId="430B2E75"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0A649A34" w14:textId="77777777" w:rsidR="00A320E6" w:rsidRDefault="00000000" w:rsidP="00EC50E9">
            <w:pPr>
              <w:jc w:val="center"/>
              <w:rPr>
                <w:rFonts w:ascii="宋体" w:hAnsi="宋体" w:cs="宋体"/>
                <w:kern w:val="0"/>
                <w:szCs w:val="21"/>
              </w:rPr>
            </w:pPr>
            <w:r>
              <w:rPr>
                <w:rFonts w:ascii="宋体" w:hAnsi="宋体" w:cs="宋体" w:hint="eastAsia"/>
                <w:kern w:val="0"/>
                <w:szCs w:val="21"/>
              </w:rPr>
              <w:t>6</w:t>
            </w:r>
          </w:p>
        </w:tc>
        <w:tc>
          <w:tcPr>
            <w:tcW w:w="472" w:type="pct"/>
            <w:vMerge w:val="restart"/>
            <w:tcBorders>
              <w:top w:val="nil"/>
              <w:left w:val="single" w:sz="4" w:space="0" w:color="auto"/>
              <w:bottom w:val="single" w:sz="4" w:space="0" w:color="auto"/>
              <w:right w:val="single" w:sz="4" w:space="0" w:color="auto"/>
            </w:tcBorders>
            <w:vAlign w:val="center"/>
          </w:tcPr>
          <w:p w14:paraId="507C6B7F" w14:textId="77777777" w:rsidR="00A320E6" w:rsidRDefault="00000000" w:rsidP="00EC50E9">
            <w:pPr>
              <w:jc w:val="center"/>
              <w:rPr>
                <w:rFonts w:ascii="宋体" w:hAnsi="宋体" w:cs="宋体"/>
                <w:kern w:val="0"/>
                <w:szCs w:val="21"/>
              </w:rPr>
            </w:pPr>
            <w:r>
              <w:rPr>
                <w:rFonts w:ascii="宋体" w:hAnsi="宋体" w:cs="宋体" w:hint="eastAsia"/>
                <w:kern w:val="0"/>
                <w:szCs w:val="21"/>
              </w:rPr>
              <w:t>小桥</w:t>
            </w:r>
          </w:p>
        </w:tc>
        <w:tc>
          <w:tcPr>
            <w:tcW w:w="1127" w:type="pct"/>
            <w:tcBorders>
              <w:top w:val="nil"/>
              <w:left w:val="nil"/>
              <w:bottom w:val="single" w:sz="4" w:space="0" w:color="auto"/>
              <w:right w:val="single" w:sz="4" w:space="0" w:color="auto"/>
            </w:tcBorders>
            <w:vAlign w:val="center"/>
          </w:tcPr>
          <w:p w14:paraId="5034C03A" w14:textId="77777777" w:rsidR="00A320E6" w:rsidRDefault="00000000" w:rsidP="00EC50E9">
            <w:pPr>
              <w:jc w:val="left"/>
              <w:rPr>
                <w:rFonts w:ascii="宋体" w:hAnsi="宋体" w:cs="宋体"/>
                <w:kern w:val="0"/>
                <w:szCs w:val="21"/>
              </w:rPr>
            </w:pPr>
            <w:r>
              <w:rPr>
                <w:rFonts w:ascii="宋体" w:hAnsi="宋体" w:cs="宋体" w:hint="eastAsia"/>
                <w:kern w:val="0"/>
                <w:szCs w:val="21"/>
              </w:rPr>
              <w:t>钢筋混凝土矩形板桥</w:t>
            </w:r>
          </w:p>
        </w:tc>
        <w:tc>
          <w:tcPr>
            <w:tcW w:w="919" w:type="pct"/>
            <w:tcBorders>
              <w:top w:val="nil"/>
              <w:left w:val="nil"/>
              <w:bottom w:val="single" w:sz="4" w:space="0" w:color="auto"/>
              <w:right w:val="single" w:sz="4" w:space="0" w:color="auto"/>
            </w:tcBorders>
            <w:vAlign w:val="center"/>
          </w:tcPr>
          <w:p w14:paraId="12BF49CA" w14:textId="77777777" w:rsidR="00A320E6" w:rsidRDefault="00000000" w:rsidP="00EC50E9">
            <w:pPr>
              <w:jc w:val="center"/>
              <w:rPr>
                <w:rFonts w:ascii="宋体" w:hAnsi="宋体" w:cs="宋体"/>
                <w:kern w:val="0"/>
                <w:szCs w:val="21"/>
              </w:rPr>
            </w:pPr>
            <w:r>
              <w:rPr>
                <w:rFonts w:ascii="宋体" w:hAnsi="宋体" w:cs="宋体" w:hint="eastAsia"/>
                <w:kern w:val="0"/>
                <w:szCs w:val="21"/>
              </w:rPr>
              <w:t>1700-2500元/㎡</w:t>
            </w:r>
          </w:p>
        </w:tc>
        <w:tc>
          <w:tcPr>
            <w:tcW w:w="1861" w:type="pct"/>
            <w:vMerge w:val="restart"/>
            <w:tcBorders>
              <w:top w:val="nil"/>
              <w:left w:val="single" w:sz="4" w:space="0" w:color="auto"/>
              <w:bottom w:val="single" w:sz="4" w:space="0" w:color="auto"/>
              <w:right w:val="single" w:sz="4" w:space="0" w:color="auto"/>
            </w:tcBorders>
            <w:vAlign w:val="center"/>
          </w:tcPr>
          <w:p w14:paraId="4F7E8041" w14:textId="77777777" w:rsidR="00A320E6" w:rsidRDefault="00000000" w:rsidP="00EC50E9">
            <w:pPr>
              <w:jc w:val="left"/>
              <w:rPr>
                <w:rFonts w:ascii="宋体" w:hAnsi="宋体" w:cs="宋体"/>
                <w:kern w:val="0"/>
                <w:szCs w:val="21"/>
              </w:rPr>
            </w:pPr>
            <w:r>
              <w:rPr>
                <w:rFonts w:ascii="宋体" w:hAnsi="宋体" w:cs="宋体" w:hint="eastAsia"/>
                <w:kern w:val="0"/>
                <w:szCs w:val="21"/>
              </w:rPr>
              <w:t>按桥面面积计算</w:t>
            </w:r>
          </w:p>
        </w:tc>
      </w:tr>
      <w:tr w:rsidR="00A320E6" w14:paraId="741D01FD"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F02071D"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BD7976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08D77F1E" w14:textId="77777777" w:rsidR="00A320E6" w:rsidRDefault="00000000" w:rsidP="00EC50E9">
            <w:pPr>
              <w:jc w:val="left"/>
              <w:rPr>
                <w:rFonts w:ascii="宋体" w:hAnsi="宋体" w:cs="宋体"/>
                <w:kern w:val="0"/>
                <w:szCs w:val="21"/>
              </w:rPr>
            </w:pPr>
            <w:r>
              <w:rPr>
                <w:rFonts w:ascii="宋体" w:hAnsi="宋体" w:cs="宋体" w:hint="eastAsia"/>
                <w:kern w:val="0"/>
                <w:szCs w:val="21"/>
              </w:rPr>
              <w:t>平坦石拱桥</w:t>
            </w:r>
          </w:p>
        </w:tc>
        <w:tc>
          <w:tcPr>
            <w:tcW w:w="919" w:type="pct"/>
            <w:tcBorders>
              <w:top w:val="nil"/>
              <w:left w:val="nil"/>
              <w:bottom w:val="single" w:sz="4" w:space="0" w:color="auto"/>
              <w:right w:val="single" w:sz="4" w:space="0" w:color="auto"/>
            </w:tcBorders>
            <w:vAlign w:val="center"/>
          </w:tcPr>
          <w:p w14:paraId="4E3466AF" w14:textId="77777777" w:rsidR="00A320E6" w:rsidRDefault="00000000" w:rsidP="00EC50E9">
            <w:pPr>
              <w:jc w:val="center"/>
              <w:rPr>
                <w:rFonts w:ascii="宋体" w:hAnsi="宋体" w:cs="宋体"/>
                <w:kern w:val="0"/>
                <w:szCs w:val="21"/>
              </w:rPr>
            </w:pPr>
            <w:r>
              <w:rPr>
                <w:rFonts w:ascii="宋体" w:hAnsi="宋体" w:cs="宋体" w:hint="eastAsia"/>
                <w:kern w:val="0"/>
                <w:szCs w:val="21"/>
              </w:rPr>
              <w:t>1700-2300元/㎡</w:t>
            </w:r>
          </w:p>
        </w:tc>
        <w:tc>
          <w:tcPr>
            <w:tcW w:w="1861" w:type="pct"/>
            <w:vMerge/>
            <w:tcBorders>
              <w:top w:val="nil"/>
              <w:left w:val="single" w:sz="4" w:space="0" w:color="auto"/>
              <w:bottom w:val="single" w:sz="4" w:space="0" w:color="auto"/>
              <w:right w:val="single" w:sz="4" w:space="0" w:color="auto"/>
            </w:tcBorders>
            <w:vAlign w:val="center"/>
          </w:tcPr>
          <w:p w14:paraId="4B5417AC" w14:textId="77777777" w:rsidR="00A320E6" w:rsidRDefault="00A320E6" w:rsidP="00EC50E9">
            <w:pPr>
              <w:jc w:val="left"/>
              <w:rPr>
                <w:rFonts w:ascii="宋体" w:hAnsi="宋体" w:cs="宋体"/>
                <w:kern w:val="0"/>
                <w:szCs w:val="21"/>
              </w:rPr>
            </w:pPr>
          </w:p>
        </w:tc>
      </w:tr>
      <w:tr w:rsidR="00A320E6" w14:paraId="15D48857"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7E2455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E89F862"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E0ABE23" w14:textId="77777777" w:rsidR="00A320E6" w:rsidRDefault="00000000" w:rsidP="00EC50E9">
            <w:pPr>
              <w:jc w:val="left"/>
              <w:rPr>
                <w:rFonts w:ascii="宋体" w:hAnsi="宋体" w:cs="宋体"/>
                <w:kern w:val="0"/>
                <w:szCs w:val="21"/>
              </w:rPr>
            </w:pPr>
            <w:r>
              <w:rPr>
                <w:rFonts w:ascii="宋体" w:hAnsi="宋体" w:cs="宋体" w:hint="eastAsia"/>
                <w:kern w:val="0"/>
                <w:szCs w:val="21"/>
              </w:rPr>
              <w:t>石拱桥</w:t>
            </w:r>
          </w:p>
        </w:tc>
        <w:tc>
          <w:tcPr>
            <w:tcW w:w="919" w:type="pct"/>
            <w:tcBorders>
              <w:top w:val="nil"/>
              <w:left w:val="nil"/>
              <w:bottom w:val="single" w:sz="4" w:space="0" w:color="auto"/>
              <w:right w:val="single" w:sz="4" w:space="0" w:color="auto"/>
            </w:tcBorders>
            <w:vAlign w:val="center"/>
          </w:tcPr>
          <w:p w14:paraId="2D2D2C31" w14:textId="77777777" w:rsidR="00A320E6" w:rsidRDefault="00000000" w:rsidP="00EC50E9">
            <w:pPr>
              <w:jc w:val="center"/>
              <w:rPr>
                <w:rFonts w:ascii="宋体" w:hAnsi="宋体" w:cs="宋体"/>
                <w:kern w:val="0"/>
                <w:szCs w:val="21"/>
              </w:rPr>
            </w:pPr>
            <w:r>
              <w:rPr>
                <w:rFonts w:ascii="宋体" w:hAnsi="宋体" w:cs="宋体" w:hint="eastAsia"/>
                <w:kern w:val="0"/>
                <w:szCs w:val="21"/>
              </w:rPr>
              <w:t>2300-3500元/㎡</w:t>
            </w:r>
          </w:p>
        </w:tc>
        <w:tc>
          <w:tcPr>
            <w:tcW w:w="1861" w:type="pct"/>
            <w:vMerge/>
            <w:tcBorders>
              <w:top w:val="nil"/>
              <w:left w:val="single" w:sz="4" w:space="0" w:color="auto"/>
              <w:bottom w:val="single" w:sz="4" w:space="0" w:color="auto"/>
              <w:right w:val="single" w:sz="4" w:space="0" w:color="auto"/>
            </w:tcBorders>
            <w:vAlign w:val="center"/>
          </w:tcPr>
          <w:p w14:paraId="390527CC" w14:textId="77777777" w:rsidR="00A320E6" w:rsidRDefault="00A320E6" w:rsidP="00EC50E9">
            <w:pPr>
              <w:jc w:val="left"/>
              <w:rPr>
                <w:rFonts w:ascii="宋体" w:hAnsi="宋体" w:cs="宋体"/>
                <w:kern w:val="0"/>
                <w:szCs w:val="21"/>
              </w:rPr>
            </w:pPr>
          </w:p>
        </w:tc>
      </w:tr>
      <w:tr w:rsidR="00A320E6" w14:paraId="57ABD7DB"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157F332C" w14:textId="77777777" w:rsidR="00A320E6" w:rsidRDefault="00000000" w:rsidP="00EC50E9">
            <w:pPr>
              <w:jc w:val="center"/>
              <w:rPr>
                <w:rFonts w:ascii="宋体" w:hAnsi="宋体" w:cs="宋体"/>
                <w:kern w:val="0"/>
                <w:szCs w:val="21"/>
              </w:rPr>
            </w:pPr>
            <w:r>
              <w:rPr>
                <w:rFonts w:ascii="宋体" w:hAnsi="宋体" w:cs="宋体" w:hint="eastAsia"/>
                <w:kern w:val="0"/>
                <w:szCs w:val="21"/>
              </w:rPr>
              <w:t>7</w:t>
            </w:r>
          </w:p>
        </w:tc>
        <w:tc>
          <w:tcPr>
            <w:tcW w:w="472" w:type="pct"/>
            <w:vMerge w:val="restart"/>
            <w:tcBorders>
              <w:top w:val="nil"/>
              <w:left w:val="single" w:sz="4" w:space="0" w:color="auto"/>
              <w:bottom w:val="single" w:sz="4" w:space="0" w:color="auto"/>
              <w:right w:val="single" w:sz="4" w:space="0" w:color="auto"/>
            </w:tcBorders>
            <w:vAlign w:val="center"/>
          </w:tcPr>
          <w:p w14:paraId="4BDACFFD" w14:textId="77777777" w:rsidR="00A320E6" w:rsidRDefault="00000000" w:rsidP="00EC50E9">
            <w:pPr>
              <w:jc w:val="center"/>
              <w:rPr>
                <w:rFonts w:ascii="宋体" w:hAnsi="宋体" w:cs="宋体"/>
                <w:kern w:val="0"/>
                <w:szCs w:val="21"/>
              </w:rPr>
            </w:pPr>
            <w:r>
              <w:rPr>
                <w:rFonts w:ascii="宋体" w:hAnsi="宋体" w:cs="宋体" w:hint="eastAsia"/>
                <w:kern w:val="0"/>
                <w:szCs w:val="21"/>
              </w:rPr>
              <w:t>涵洞</w:t>
            </w:r>
          </w:p>
        </w:tc>
        <w:tc>
          <w:tcPr>
            <w:tcW w:w="1127" w:type="pct"/>
            <w:tcBorders>
              <w:top w:val="nil"/>
              <w:left w:val="nil"/>
              <w:bottom w:val="single" w:sz="4" w:space="0" w:color="auto"/>
              <w:right w:val="single" w:sz="4" w:space="0" w:color="auto"/>
            </w:tcBorders>
            <w:vAlign w:val="center"/>
          </w:tcPr>
          <w:p w14:paraId="2469EECF" w14:textId="77777777" w:rsidR="00A320E6" w:rsidRDefault="00000000" w:rsidP="00EC50E9">
            <w:pPr>
              <w:jc w:val="left"/>
              <w:rPr>
                <w:rFonts w:ascii="宋体" w:hAnsi="宋体" w:cs="宋体"/>
                <w:kern w:val="0"/>
                <w:szCs w:val="21"/>
              </w:rPr>
            </w:pPr>
            <w:r>
              <w:rPr>
                <w:rFonts w:ascii="宋体" w:hAnsi="宋体" w:cs="宋体" w:hint="eastAsia"/>
                <w:kern w:val="0"/>
                <w:szCs w:val="21"/>
              </w:rPr>
              <w:t>石盖板涵跨径1－2m</w:t>
            </w:r>
          </w:p>
        </w:tc>
        <w:tc>
          <w:tcPr>
            <w:tcW w:w="919" w:type="pct"/>
            <w:tcBorders>
              <w:top w:val="nil"/>
              <w:left w:val="nil"/>
              <w:bottom w:val="single" w:sz="4" w:space="0" w:color="auto"/>
              <w:right w:val="single" w:sz="4" w:space="0" w:color="auto"/>
            </w:tcBorders>
            <w:vAlign w:val="center"/>
          </w:tcPr>
          <w:p w14:paraId="0EFB4322" w14:textId="77777777" w:rsidR="00A320E6" w:rsidRDefault="00000000" w:rsidP="00EC50E9">
            <w:pPr>
              <w:jc w:val="center"/>
              <w:rPr>
                <w:rFonts w:ascii="宋体" w:hAnsi="宋体" w:cs="宋体"/>
                <w:kern w:val="0"/>
                <w:szCs w:val="21"/>
              </w:rPr>
            </w:pPr>
            <w:r>
              <w:rPr>
                <w:rFonts w:ascii="宋体" w:hAnsi="宋体" w:cs="宋体" w:hint="eastAsia"/>
                <w:kern w:val="0"/>
                <w:szCs w:val="21"/>
              </w:rPr>
              <w:t>1000-1500元/m</w:t>
            </w:r>
          </w:p>
        </w:tc>
        <w:tc>
          <w:tcPr>
            <w:tcW w:w="1861" w:type="pct"/>
            <w:vMerge w:val="restart"/>
            <w:tcBorders>
              <w:top w:val="nil"/>
              <w:left w:val="single" w:sz="4" w:space="0" w:color="auto"/>
              <w:bottom w:val="single" w:sz="4" w:space="0" w:color="auto"/>
              <w:right w:val="single" w:sz="4" w:space="0" w:color="auto"/>
            </w:tcBorders>
            <w:vAlign w:val="center"/>
          </w:tcPr>
          <w:p w14:paraId="584B3136" w14:textId="77777777" w:rsidR="00A320E6" w:rsidRDefault="00000000" w:rsidP="00EC50E9">
            <w:pPr>
              <w:jc w:val="left"/>
              <w:rPr>
                <w:rFonts w:ascii="宋体" w:hAnsi="宋体" w:cs="宋体"/>
                <w:kern w:val="0"/>
                <w:szCs w:val="21"/>
              </w:rPr>
            </w:pPr>
            <w:r>
              <w:rPr>
                <w:rFonts w:ascii="宋体" w:hAnsi="宋体" w:cs="宋体" w:hint="eastAsia"/>
                <w:kern w:val="0"/>
                <w:szCs w:val="21"/>
              </w:rPr>
              <w:t>按涵洞长度计算</w:t>
            </w:r>
          </w:p>
        </w:tc>
      </w:tr>
      <w:tr w:rsidR="00A320E6" w14:paraId="719B2608"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7684D455"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0D2B0A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0DD090A0" w14:textId="77777777" w:rsidR="00A320E6" w:rsidRDefault="00000000" w:rsidP="00EC50E9">
            <w:pPr>
              <w:jc w:val="left"/>
              <w:rPr>
                <w:rFonts w:ascii="宋体" w:hAnsi="宋体" w:cs="宋体"/>
                <w:kern w:val="0"/>
                <w:szCs w:val="21"/>
              </w:rPr>
            </w:pPr>
            <w:r>
              <w:rPr>
                <w:rFonts w:ascii="宋体" w:hAnsi="宋体" w:cs="宋体" w:hint="eastAsia"/>
                <w:kern w:val="0"/>
                <w:szCs w:val="21"/>
              </w:rPr>
              <w:t>石拱涵砖跨径1－2m</w:t>
            </w:r>
          </w:p>
        </w:tc>
        <w:tc>
          <w:tcPr>
            <w:tcW w:w="919" w:type="pct"/>
            <w:tcBorders>
              <w:top w:val="nil"/>
              <w:left w:val="nil"/>
              <w:bottom w:val="single" w:sz="4" w:space="0" w:color="auto"/>
              <w:right w:val="single" w:sz="4" w:space="0" w:color="auto"/>
            </w:tcBorders>
            <w:vAlign w:val="center"/>
          </w:tcPr>
          <w:p w14:paraId="1549114F" w14:textId="77777777" w:rsidR="00A320E6" w:rsidRDefault="00000000" w:rsidP="00EC50E9">
            <w:pPr>
              <w:jc w:val="center"/>
              <w:rPr>
                <w:rFonts w:ascii="宋体" w:hAnsi="宋体" w:cs="宋体"/>
                <w:kern w:val="0"/>
                <w:szCs w:val="21"/>
              </w:rPr>
            </w:pPr>
            <w:r>
              <w:rPr>
                <w:rFonts w:ascii="宋体" w:hAnsi="宋体" w:cs="宋体" w:hint="eastAsia"/>
                <w:kern w:val="0"/>
                <w:szCs w:val="21"/>
              </w:rPr>
              <w:t>1500-2200元/m</w:t>
            </w:r>
          </w:p>
        </w:tc>
        <w:tc>
          <w:tcPr>
            <w:tcW w:w="1861" w:type="pct"/>
            <w:vMerge/>
            <w:tcBorders>
              <w:top w:val="nil"/>
              <w:left w:val="single" w:sz="4" w:space="0" w:color="auto"/>
              <w:bottom w:val="single" w:sz="4" w:space="0" w:color="auto"/>
              <w:right w:val="single" w:sz="4" w:space="0" w:color="auto"/>
            </w:tcBorders>
            <w:vAlign w:val="center"/>
          </w:tcPr>
          <w:p w14:paraId="2F29CC9B" w14:textId="77777777" w:rsidR="00A320E6" w:rsidRDefault="00A320E6" w:rsidP="00EC50E9">
            <w:pPr>
              <w:jc w:val="left"/>
              <w:rPr>
                <w:rFonts w:ascii="宋体" w:hAnsi="宋体" w:cs="宋体"/>
                <w:kern w:val="0"/>
                <w:szCs w:val="21"/>
              </w:rPr>
            </w:pPr>
          </w:p>
        </w:tc>
      </w:tr>
      <w:tr w:rsidR="00A320E6" w14:paraId="45871E79"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680EE4EF"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E71918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05E970D8" w14:textId="77777777" w:rsidR="00A320E6" w:rsidRDefault="00000000" w:rsidP="00EC50E9">
            <w:pPr>
              <w:jc w:val="left"/>
              <w:rPr>
                <w:rFonts w:ascii="宋体" w:hAnsi="宋体" w:cs="宋体"/>
                <w:kern w:val="0"/>
                <w:szCs w:val="21"/>
              </w:rPr>
            </w:pPr>
            <w:r>
              <w:rPr>
                <w:rFonts w:ascii="宋体" w:hAnsi="宋体" w:cs="宋体" w:hint="eastAsia"/>
                <w:kern w:val="0"/>
                <w:szCs w:val="21"/>
              </w:rPr>
              <w:t>石拱涵砖跨径2－4m</w:t>
            </w:r>
          </w:p>
        </w:tc>
        <w:tc>
          <w:tcPr>
            <w:tcW w:w="919" w:type="pct"/>
            <w:tcBorders>
              <w:top w:val="nil"/>
              <w:left w:val="nil"/>
              <w:bottom w:val="single" w:sz="4" w:space="0" w:color="auto"/>
              <w:right w:val="single" w:sz="4" w:space="0" w:color="auto"/>
            </w:tcBorders>
            <w:vAlign w:val="center"/>
          </w:tcPr>
          <w:p w14:paraId="679ABECC" w14:textId="77777777" w:rsidR="00A320E6" w:rsidRDefault="00000000" w:rsidP="00EC50E9">
            <w:pPr>
              <w:jc w:val="center"/>
              <w:rPr>
                <w:rFonts w:ascii="宋体" w:hAnsi="宋体" w:cs="宋体"/>
                <w:kern w:val="0"/>
                <w:szCs w:val="21"/>
              </w:rPr>
            </w:pPr>
            <w:r>
              <w:rPr>
                <w:rFonts w:ascii="宋体" w:hAnsi="宋体" w:cs="宋体" w:hint="eastAsia"/>
                <w:kern w:val="0"/>
                <w:szCs w:val="21"/>
              </w:rPr>
              <w:t>2200-3600元/m</w:t>
            </w:r>
          </w:p>
        </w:tc>
        <w:tc>
          <w:tcPr>
            <w:tcW w:w="1861" w:type="pct"/>
            <w:vMerge/>
            <w:tcBorders>
              <w:top w:val="nil"/>
              <w:left w:val="single" w:sz="4" w:space="0" w:color="auto"/>
              <w:bottom w:val="single" w:sz="4" w:space="0" w:color="auto"/>
              <w:right w:val="single" w:sz="4" w:space="0" w:color="auto"/>
            </w:tcBorders>
            <w:vAlign w:val="center"/>
          </w:tcPr>
          <w:p w14:paraId="36967805" w14:textId="77777777" w:rsidR="00A320E6" w:rsidRDefault="00A320E6" w:rsidP="00EC50E9">
            <w:pPr>
              <w:jc w:val="left"/>
              <w:rPr>
                <w:rFonts w:ascii="宋体" w:hAnsi="宋体" w:cs="宋体"/>
                <w:kern w:val="0"/>
                <w:szCs w:val="21"/>
              </w:rPr>
            </w:pPr>
          </w:p>
        </w:tc>
      </w:tr>
      <w:tr w:rsidR="00A320E6" w14:paraId="69338A63"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6BA8ECCF"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A91ADC5"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1C4400C" w14:textId="77777777" w:rsidR="00A320E6" w:rsidRDefault="00000000" w:rsidP="00EC50E9">
            <w:pPr>
              <w:jc w:val="left"/>
              <w:rPr>
                <w:rFonts w:ascii="宋体" w:hAnsi="宋体" w:cs="宋体"/>
                <w:kern w:val="0"/>
                <w:szCs w:val="21"/>
              </w:rPr>
            </w:pPr>
            <w:r>
              <w:rPr>
                <w:rFonts w:ascii="宋体" w:hAnsi="宋体" w:cs="宋体" w:hint="eastAsia"/>
                <w:kern w:val="0"/>
                <w:szCs w:val="21"/>
              </w:rPr>
              <w:t>钢筋混凝土圆管涵跨径1－2m</w:t>
            </w:r>
          </w:p>
        </w:tc>
        <w:tc>
          <w:tcPr>
            <w:tcW w:w="919" w:type="pct"/>
            <w:tcBorders>
              <w:top w:val="nil"/>
              <w:left w:val="nil"/>
              <w:bottom w:val="single" w:sz="4" w:space="0" w:color="auto"/>
              <w:right w:val="single" w:sz="4" w:space="0" w:color="auto"/>
            </w:tcBorders>
            <w:vAlign w:val="center"/>
          </w:tcPr>
          <w:p w14:paraId="70D9F242" w14:textId="77777777" w:rsidR="00A320E6" w:rsidRDefault="00000000" w:rsidP="00EC50E9">
            <w:pPr>
              <w:jc w:val="center"/>
              <w:rPr>
                <w:rFonts w:ascii="宋体" w:hAnsi="宋体" w:cs="宋体"/>
                <w:kern w:val="0"/>
                <w:szCs w:val="21"/>
              </w:rPr>
            </w:pPr>
            <w:r>
              <w:rPr>
                <w:rFonts w:ascii="宋体" w:hAnsi="宋体" w:cs="宋体" w:hint="eastAsia"/>
                <w:kern w:val="0"/>
                <w:szCs w:val="21"/>
              </w:rPr>
              <w:t>1200-2500元/m</w:t>
            </w:r>
          </w:p>
        </w:tc>
        <w:tc>
          <w:tcPr>
            <w:tcW w:w="1861" w:type="pct"/>
            <w:vMerge/>
            <w:tcBorders>
              <w:top w:val="nil"/>
              <w:left w:val="single" w:sz="4" w:space="0" w:color="auto"/>
              <w:bottom w:val="single" w:sz="4" w:space="0" w:color="auto"/>
              <w:right w:val="single" w:sz="4" w:space="0" w:color="auto"/>
            </w:tcBorders>
            <w:vAlign w:val="center"/>
          </w:tcPr>
          <w:p w14:paraId="742FCF60" w14:textId="77777777" w:rsidR="00A320E6" w:rsidRDefault="00A320E6" w:rsidP="00EC50E9">
            <w:pPr>
              <w:jc w:val="left"/>
              <w:rPr>
                <w:rFonts w:ascii="宋体" w:hAnsi="宋体" w:cs="宋体"/>
                <w:kern w:val="0"/>
                <w:szCs w:val="21"/>
              </w:rPr>
            </w:pPr>
          </w:p>
        </w:tc>
      </w:tr>
      <w:tr w:rsidR="00A320E6" w14:paraId="128ABB6B"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7950E32F"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F287F81"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FB05466" w14:textId="77777777" w:rsidR="00A320E6" w:rsidRDefault="00000000" w:rsidP="00EC50E9">
            <w:pPr>
              <w:jc w:val="left"/>
              <w:rPr>
                <w:rFonts w:ascii="宋体" w:hAnsi="宋体" w:cs="宋体"/>
                <w:kern w:val="0"/>
                <w:szCs w:val="21"/>
              </w:rPr>
            </w:pPr>
            <w:r>
              <w:rPr>
                <w:rFonts w:ascii="宋体" w:hAnsi="宋体" w:cs="宋体" w:hint="eastAsia"/>
                <w:kern w:val="0"/>
                <w:szCs w:val="21"/>
              </w:rPr>
              <w:t>钢筋混凝土盖板涵跨径1.5－3m</w:t>
            </w:r>
          </w:p>
        </w:tc>
        <w:tc>
          <w:tcPr>
            <w:tcW w:w="919" w:type="pct"/>
            <w:tcBorders>
              <w:top w:val="nil"/>
              <w:left w:val="nil"/>
              <w:bottom w:val="single" w:sz="4" w:space="0" w:color="auto"/>
              <w:right w:val="single" w:sz="4" w:space="0" w:color="auto"/>
            </w:tcBorders>
            <w:vAlign w:val="center"/>
          </w:tcPr>
          <w:p w14:paraId="6AA2B368" w14:textId="77777777" w:rsidR="00A320E6" w:rsidRDefault="00000000" w:rsidP="00EC50E9">
            <w:pPr>
              <w:jc w:val="center"/>
              <w:rPr>
                <w:rFonts w:ascii="宋体" w:hAnsi="宋体" w:cs="宋体"/>
                <w:kern w:val="0"/>
                <w:szCs w:val="21"/>
              </w:rPr>
            </w:pPr>
            <w:r>
              <w:rPr>
                <w:rFonts w:ascii="宋体" w:hAnsi="宋体" w:cs="宋体" w:hint="eastAsia"/>
                <w:kern w:val="0"/>
                <w:szCs w:val="21"/>
              </w:rPr>
              <w:t>1500-2300元/m</w:t>
            </w:r>
          </w:p>
        </w:tc>
        <w:tc>
          <w:tcPr>
            <w:tcW w:w="1861" w:type="pct"/>
            <w:vMerge/>
            <w:tcBorders>
              <w:top w:val="nil"/>
              <w:left w:val="single" w:sz="4" w:space="0" w:color="auto"/>
              <w:bottom w:val="single" w:sz="4" w:space="0" w:color="auto"/>
              <w:right w:val="single" w:sz="4" w:space="0" w:color="auto"/>
            </w:tcBorders>
            <w:vAlign w:val="center"/>
          </w:tcPr>
          <w:p w14:paraId="7EC97B43" w14:textId="77777777" w:rsidR="00A320E6" w:rsidRDefault="00A320E6" w:rsidP="00EC50E9">
            <w:pPr>
              <w:jc w:val="left"/>
              <w:rPr>
                <w:rFonts w:ascii="宋体" w:hAnsi="宋体" w:cs="宋体"/>
                <w:kern w:val="0"/>
                <w:szCs w:val="21"/>
              </w:rPr>
            </w:pPr>
          </w:p>
        </w:tc>
      </w:tr>
      <w:tr w:rsidR="00A320E6" w14:paraId="66F67B16"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6F44B7EF"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A51314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7DC4888" w14:textId="77777777" w:rsidR="00A320E6" w:rsidRDefault="00000000" w:rsidP="00EC50E9">
            <w:pPr>
              <w:jc w:val="left"/>
              <w:rPr>
                <w:rFonts w:ascii="宋体" w:hAnsi="宋体" w:cs="宋体"/>
                <w:kern w:val="0"/>
                <w:szCs w:val="21"/>
              </w:rPr>
            </w:pPr>
            <w:r>
              <w:rPr>
                <w:rFonts w:ascii="宋体" w:hAnsi="宋体" w:cs="宋体" w:hint="eastAsia"/>
                <w:kern w:val="0"/>
                <w:szCs w:val="21"/>
              </w:rPr>
              <w:t>钢筋混凝土盖板涵跨径3－4m</w:t>
            </w:r>
          </w:p>
        </w:tc>
        <w:tc>
          <w:tcPr>
            <w:tcW w:w="919" w:type="pct"/>
            <w:tcBorders>
              <w:top w:val="nil"/>
              <w:left w:val="nil"/>
              <w:bottom w:val="single" w:sz="4" w:space="0" w:color="auto"/>
              <w:right w:val="single" w:sz="4" w:space="0" w:color="auto"/>
            </w:tcBorders>
            <w:vAlign w:val="center"/>
          </w:tcPr>
          <w:p w14:paraId="38D77E25" w14:textId="77777777" w:rsidR="00A320E6" w:rsidRDefault="00000000" w:rsidP="00EC50E9">
            <w:pPr>
              <w:jc w:val="center"/>
              <w:rPr>
                <w:rFonts w:ascii="宋体" w:hAnsi="宋体" w:cs="宋体"/>
                <w:kern w:val="0"/>
                <w:szCs w:val="21"/>
              </w:rPr>
            </w:pPr>
            <w:r>
              <w:rPr>
                <w:rFonts w:ascii="宋体" w:hAnsi="宋体" w:cs="宋体" w:hint="eastAsia"/>
                <w:kern w:val="0"/>
                <w:szCs w:val="21"/>
              </w:rPr>
              <w:t>2300-3700元/m</w:t>
            </w:r>
          </w:p>
        </w:tc>
        <w:tc>
          <w:tcPr>
            <w:tcW w:w="1861" w:type="pct"/>
            <w:vMerge/>
            <w:tcBorders>
              <w:top w:val="nil"/>
              <w:left w:val="single" w:sz="4" w:space="0" w:color="auto"/>
              <w:bottom w:val="single" w:sz="4" w:space="0" w:color="auto"/>
              <w:right w:val="single" w:sz="4" w:space="0" w:color="auto"/>
            </w:tcBorders>
            <w:vAlign w:val="center"/>
          </w:tcPr>
          <w:p w14:paraId="3E0F2B22" w14:textId="77777777" w:rsidR="00A320E6" w:rsidRDefault="00A320E6" w:rsidP="00EC50E9">
            <w:pPr>
              <w:jc w:val="left"/>
              <w:rPr>
                <w:rFonts w:ascii="宋体" w:hAnsi="宋体" w:cs="宋体"/>
                <w:kern w:val="0"/>
                <w:szCs w:val="21"/>
              </w:rPr>
            </w:pPr>
          </w:p>
        </w:tc>
      </w:tr>
      <w:tr w:rsidR="00A320E6" w14:paraId="58B44163" w14:textId="77777777" w:rsidTr="00EC50E9">
        <w:trPr>
          <w:trHeight w:val="471"/>
          <w:jc w:val="center"/>
        </w:trPr>
        <w:tc>
          <w:tcPr>
            <w:tcW w:w="621" w:type="pct"/>
            <w:vMerge w:val="restart"/>
            <w:tcBorders>
              <w:top w:val="nil"/>
              <w:left w:val="single" w:sz="4" w:space="0" w:color="auto"/>
              <w:bottom w:val="single" w:sz="4" w:space="0" w:color="auto"/>
              <w:right w:val="single" w:sz="4" w:space="0" w:color="auto"/>
            </w:tcBorders>
            <w:vAlign w:val="center"/>
          </w:tcPr>
          <w:p w14:paraId="18DCDCA0" w14:textId="77777777" w:rsidR="00A320E6" w:rsidRDefault="00000000" w:rsidP="00EC50E9">
            <w:pPr>
              <w:jc w:val="center"/>
              <w:rPr>
                <w:rFonts w:ascii="宋体" w:hAnsi="宋体" w:cs="宋体"/>
                <w:kern w:val="0"/>
                <w:szCs w:val="21"/>
              </w:rPr>
            </w:pPr>
            <w:r>
              <w:rPr>
                <w:rFonts w:ascii="宋体" w:hAnsi="宋体" w:cs="宋体" w:hint="eastAsia"/>
                <w:kern w:val="0"/>
                <w:szCs w:val="21"/>
              </w:rPr>
              <w:t>8</w:t>
            </w:r>
          </w:p>
        </w:tc>
        <w:tc>
          <w:tcPr>
            <w:tcW w:w="472" w:type="pct"/>
            <w:vMerge w:val="restart"/>
            <w:tcBorders>
              <w:top w:val="nil"/>
              <w:left w:val="single" w:sz="4" w:space="0" w:color="auto"/>
              <w:bottom w:val="single" w:sz="4" w:space="0" w:color="auto"/>
              <w:right w:val="single" w:sz="4" w:space="0" w:color="auto"/>
            </w:tcBorders>
            <w:vAlign w:val="center"/>
          </w:tcPr>
          <w:p w14:paraId="6C08B399" w14:textId="77777777" w:rsidR="00A320E6" w:rsidRDefault="00000000" w:rsidP="00EC50E9">
            <w:pPr>
              <w:jc w:val="center"/>
              <w:rPr>
                <w:rFonts w:ascii="宋体" w:hAnsi="宋体" w:cs="宋体"/>
                <w:kern w:val="0"/>
                <w:szCs w:val="21"/>
              </w:rPr>
            </w:pPr>
            <w:r>
              <w:rPr>
                <w:rFonts w:ascii="宋体" w:hAnsi="宋体" w:cs="宋体" w:hint="eastAsia"/>
                <w:kern w:val="0"/>
                <w:szCs w:val="21"/>
              </w:rPr>
              <w:t>水渠、</w:t>
            </w:r>
          </w:p>
          <w:p w14:paraId="24DEEDBE" w14:textId="77777777" w:rsidR="00A320E6" w:rsidRDefault="00000000" w:rsidP="00EC50E9">
            <w:pPr>
              <w:jc w:val="center"/>
              <w:rPr>
                <w:rFonts w:ascii="宋体" w:hAnsi="宋体" w:cs="宋体"/>
                <w:kern w:val="0"/>
                <w:szCs w:val="21"/>
              </w:rPr>
            </w:pPr>
            <w:r>
              <w:rPr>
                <w:rFonts w:ascii="宋体" w:hAnsi="宋体" w:cs="宋体" w:hint="eastAsia"/>
                <w:kern w:val="0"/>
                <w:szCs w:val="21"/>
              </w:rPr>
              <w:t>水池</w:t>
            </w:r>
          </w:p>
        </w:tc>
        <w:tc>
          <w:tcPr>
            <w:tcW w:w="1127" w:type="pct"/>
            <w:tcBorders>
              <w:top w:val="nil"/>
              <w:left w:val="nil"/>
              <w:bottom w:val="single" w:sz="4" w:space="0" w:color="auto"/>
              <w:right w:val="single" w:sz="4" w:space="0" w:color="auto"/>
            </w:tcBorders>
            <w:vAlign w:val="center"/>
          </w:tcPr>
          <w:p w14:paraId="175360ED" w14:textId="77777777" w:rsidR="00A320E6" w:rsidRDefault="00000000" w:rsidP="00EC50E9">
            <w:pPr>
              <w:jc w:val="left"/>
              <w:rPr>
                <w:rFonts w:ascii="宋体" w:hAnsi="宋体" w:cs="宋体"/>
                <w:kern w:val="0"/>
                <w:szCs w:val="21"/>
              </w:rPr>
            </w:pPr>
            <w:r>
              <w:rPr>
                <w:rFonts w:ascii="宋体" w:hAnsi="宋体" w:cs="宋体" w:hint="eastAsia"/>
                <w:kern w:val="0"/>
                <w:szCs w:val="21"/>
              </w:rPr>
              <w:t>土筑水渠、水池</w:t>
            </w:r>
          </w:p>
        </w:tc>
        <w:tc>
          <w:tcPr>
            <w:tcW w:w="919" w:type="pct"/>
            <w:tcBorders>
              <w:top w:val="nil"/>
              <w:left w:val="nil"/>
              <w:bottom w:val="single" w:sz="4" w:space="0" w:color="auto"/>
              <w:right w:val="single" w:sz="4" w:space="0" w:color="auto"/>
            </w:tcBorders>
            <w:vAlign w:val="center"/>
          </w:tcPr>
          <w:p w14:paraId="74BA21D6" w14:textId="77777777" w:rsidR="00A320E6" w:rsidRDefault="00000000" w:rsidP="00EC50E9">
            <w:pPr>
              <w:jc w:val="center"/>
              <w:rPr>
                <w:rFonts w:ascii="宋体" w:hAnsi="宋体" w:cs="宋体"/>
                <w:kern w:val="0"/>
                <w:szCs w:val="21"/>
              </w:rPr>
            </w:pPr>
            <w:r>
              <w:rPr>
                <w:rFonts w:ascii="宋体" w:hAnsi="宋体" w:cs="宋体" w:hint="eastAsia"/>
                <w:kern w:val="0"/>
                <w:szCs w:val="21"/>
              </w:rPr>
              <w:t>30-50元/m³</w:t>
            </w:r>
          </w:p>
        </w:tc>
        <w:tc>
          <w:tcPr>
            <w:tcW w:w="1861" w:type="pct"/>
            <w:tcBorders>
              <w:top w:val="nil"/>
              <w:left w:val="nil"/>
              <w:bottom w:val="single" w:sz="4" w:space="0" w:color="auto"/>
              <w:right w:val="single" w:sz="4" w:space="0" w:color="auto"/>
            </w:tcBorders>
            <w:vAlign w:val="center"/>
          </w:tcPr>
          <w:p w14:paraId="23B1025C" w14:textId="77777777" w:rsidR="00A320E6" w:rsidRDefault="00000000" w:rsidP="00EC50E9">
            <w:pPr>
              <w:jc w:val="left"/>
              <w:rPr>
                <w:rFonts w:ascii="宋体" w:hAnsi="宋体" w:cs="宋体"/>
                <w:kern w:val="0"/>
                <w:szCs w:val="21"/>
              </w:rPr>
            </w:pPr>
            <w:r>
              <w:rPr>
                <w:rFonts w:ascii="宋体" w:hAnsi="宋体" w:cs="宋体" w:hint="eastAsia"/>
                <w:kern w:val="0"/>
                <w:szCs w:val="21"/>
              </w:rPr>
              <w:t>不包括田间毛渠、按挖土方体积计算</w:t>
            </w:r>
          </w:p>
        </w:tc>
      </w:tr>
      <w:tr w:rsidR="00A320E6" w14:paraId="5EDE5A54"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63D552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9F75E2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1E3DA7B" w14:textId="77777777" w:rsidR="00A320E6" w:rsidRDefault="00000000" w:rsidP="00EC50E9">
            <w:pPr>
              <w:jc w:val="left"/>
              <w:rPr>
                <w:rFonts w:ascii="宋体" w:hAnsi="宋体" w:cs="宋体"/>
                <w:kern w:val="0"/>
                <w:szCs w:val="21"/>
              </w:rPr>
            </w:pPr>
            <w:r>
              <w:rPr>
                <w:rFonts w:ascii="宋体" w:hAnsi="宋体" w:cs="宋体" w:hint="eastAsia"/>
                <w:kern w:val="0"/>
                <w:szCs w:val="21"/>
              </w:rPr>
              <w:t>石砌水渠、水池</w:t>
            </w:r>
          </w:p>
        </w:tc>
        <w:tc>
          <w:tcPr>
            <w:tcW w:w="919" w:type="pct"/>
            <w:tcBorders>
              <w:top w:val="nil"/>
              <w:left w:val="nil"/>
              <w:bottom w:val="single" w:sz="4" w:space="0" w:color="auto"/>
              <w:right w:val="single" w:sz="4" w:space="0" w:color="auto"/>
            </w:tcBorders>
            <w:vAlign w:val="center"/>
          </w:tcPr>
          <w:p w14:paraId="0D417222" w14:textId="77777777" w:rsidR="00A320E6" w:rsidRDefault="00000000" w:rsidP="00EC50E9">
            <w:pPr>
              <w:jc w:val="center"/>
              <w:rPr>
                <w:rFonts w:ascii="宋体" w:hAnsi="宋体" w:cs="宋体"/>
                <w:kern w:val="0"/>
                <w:szCs w:val="21"/>
              </w:rPr>
            </w:pPr>
            <w:r>
              <w:rPr>
                <w:rFonts w:ascii="宋体" w:hAnsi="宋体" w:cs="宋体" w:hint="eastAsia"/>
                <w:kern w:val="0"/>
                <w:szCs w:val="21"/>
              </w:rPr>
              <w:t>250-400元/m³</w:t>
            </w:r>
          </w:p>
        </w:tc>
        <w:tc>
          <w:tcPr>
            <w:tcW w:w="1861" w:type="pct"/>
            <w:vMerge w:val="restart"/>
            <w:tcBorders>
              <w:top w:val="nil"/>
              <w:left w:val="single" w:sz="4" w:space="0" w:color="auto"/>
              <w:bottom w:val="single" w:sz="4" w:space="0" w:color="auto"/>
              <w:right w:val="single" w:sz="4" w:space="0" w:color="auto"/>
            </w:tcBorders>
            <w:vAlign w:val="center"/>
          </w:tcPr>
          <w:p w14:paraId="22C446D7" w14:textId="77777777" w:rsidR="00A320E6" w:rsidRDefault="00000000" w:rsidP="00EC50E9">
            <w:pPr>
              <w:jc w:val="left"/>
              <w:rPr>
                <w:rFonts w:ascii="宋体" w:hAnsi="宋体" w:cs="宋体"/>
                <w:kern w:val="0"/>
                <w:szCs w:val="21"/>
              </w:rPr>
            </w:pPr>
            <w:r>
              <w:rPr>
                <w:rFonts w:ascii="宋体" w:hAnsi="宋体" w:cs="宋体" w:hint="eastAsia"/>
                <w:kern w:val="0"/>
                <w:szCs w:val="21"/>
              </w:rPr>
              <w:t>1、按砌体体积计算</w:t>
            </w:r>
            <w:r>
              <w:rPr>
                <w:rFonts w:ascii="宋体" w:hAnsi="宋体" w:cs="宋体" w:hint="eastAsia"/>
                <w:kern w:val="0"/>
                <w:szCs w:val="21"/>
              </w:rPr>
              <w:br/>
              <w:t>2、土方另计：30-50元/m³</w:t>
            </w:r>
          </w:p>
        </w:tc>
      </w:tr>
      <w:tr w:rsidR="00A320E6" w14:paraId="2D8B5958" w14:textId="77777777" w:rsidTr="00EC50E9">
        <w:trPr>
          <w:trHeight w:val="471"/>
          <w:jc w:val="center"/>
        </w:trPr>
        <w:tc>
          <w:tcPr>
            <w:tcW w:w="621" w:type="pct"/>
            <w:vMerge/>
            <w:tcBorders>
              <w:top w:val="nil"/>
              <w:left w:val="single" w:sz="4" w:space="0" w:color="auto"/>
              <w:bottom w:val="single" w:sz="4" w:space="0" w:color="auto"/>
              <w:right w:val="single" w:sz="4" w:space="0" w:color="auto"/>
            </w:tcBorders>
            <w:vAlign w:val="center"/>
          </w:tcPr>
          <w:p w14:paraId="133C3983"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087706C6"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94B8589" w14:textId="77777777" w:rsidR="00A320E6" w:rsidRDefault="00000000" w:rsidP="00EC50E9">
            <w:pPr>
              <w:jc w:val="left"/>
              <w:rPr>
                <w:rFonts w:ascii="宋体" w:hAnsi="宋体" w:cs="宋体"/>
                <w:kern w:val="0"/>
                <w:szCs w:val="21"/>
              </w:rPr>
            </w:pPr>
            <w:r>
              <w:rPr>
                <w:rFonts w:ascii="宋体" w:hAnsi="宋体" w:cs="宋体" w:hint="eastAsia"/>
                <w:kern w:val="0"/>
                <w:szCs w:val="21"/>
              </w:rPr>
              <w:t>砖砌水渠、水池</w:t>
            </w:r>
          </w:p>
        </w:tc>
        <w:tc>
          <w:tcPr>
            <w:tcW w:w="919" w:type="pct"/>
            <w:tcBorders>
              <w:top w:val="nil"/>
              <w:left w:val="nil"/>
              <w:bottom w:val="single" w:sz="4" w:space="0" w:color="auto"/>
              <w:right w:val="single" w:sz="4" w:space="0" w:color="auto"/>
            </w:tcBorders>
            <w:vAlign w:val="center"/>
          </w:tcPr>
          <w:p w14:paraId="414ECE08" w14:textId="77777777" w:rsidR="00A320E6" w:rsidRDefault="00000000" w:rsidP="00EC50E9">
            <w:pPr>
              <w:jc w:val="center"/>
              <w:rPr>
                <w:rFonts w:ascii="宋体" w:hAnsi="宋体" w:cs="宋体"/>
                <w:kern w:val="0"/>
                <w:szCs w:val="21"/>
              </w:rPr>
            </w:pPr>
            <w:r>
              <w:rPr>
                <w:rFonts w:ascii="宋体" w:hAnsi="宋体" w:cs="宋体" w:hint="eastAsia"/>
                <w:kern w:val="0"/>
                <w:szCs w:val="21"/>
              </w:rPr>
              <w:t>350-500元/m³</w:t>
            </w:r>
          </w:p>
        </w:tc>
        <w:tc>
          <w:tcPr>
            <w:tcW w:w="1861" w:type="pct"/>
            <w:vMerge/>
            <w:tcBorders>
              <w:top w:val="nil"/>
              <w:left w:val="single" w:sz="4" w:space="0" w:color="auto"/>
              <w:bottom w:val="single" w:sz="4" w:space="0" w:color="auto"/>
              <w:right w:val="single" w:sz="4" w:space="0" w:color="auto"/>
            </w:tcBorders>
            <w:vAlign w:val="center"/>
          </w:tcPr>
          <w:p w14:paraId="0742ED04" w14:textId="77777777" w:rsidR="00A320E6" w:rsidRDefault="00A320E6" w:rsidP="00EC50E9">
            <w:pPr>
              <w:jc w:val="left"/>
              <w:rPr>
                <w:rFonts w:ascii="宋体" w:hAnsi="宋体" w:cs="宋体"/>
                <w:kern w:val="0"/>
                <w:szCs w:val="21"/>
              </w:rPr>
            </w:pPr>
          </w:p>
        </w:tc>
      </w:tr>
      <w:tr w:rsidR="00A320E6" w14:paraId="3849428A" w14:textId="77777777" w:rsidTr="00EC50E9">
        <w:trPr>
          <w:trHeight w:val="450"/>
          <w:jc w:val="center"/>
        </w:trPr>
        <w:tc>
          <w:tcPr>
            <w:tcW w:w="621" w:type="pct"/>
            <w:vMerge w:val="restart"/>
            <w:tcBorders>
              <w:top w:val="nil"/>
              <w:left w:val="single" w:sz="4" w:space="0" w:color="auto"/>
              <w:bottom w:val="single" w:sz="4" w:space="0" w:color="auto"/>
              <w:right w:val="single" w:sz="4" w:space="0" w:color="auto"/>
            </w:tcBorders>
            <w:vAlign w:val="center"/>
          </w:tcPr>
          <w:p w14:paraId="55EF42DC" w14:textId="77777777" w:rsidR="00A320E6" w:rsidRDefault="00000000" w:rsidP="00EC50E9">
            <w:pPr>
              <w:jc w:val="center"/>
              <w:rPr>
                <w:rFonts w:ascii="宋体" w:hAnsi="宋体" w:cs="宋体"/>
                <w:kern w:val="0"/>
                <w:szCs w:val="21"/>
              </w:rPr>
            </w:pPr>
            <w:r>
              <w:rPr>
                <w:rFonts w:ascii="宋体" w:hAnsi="宋体" w:cs="宋体" w:hint="eastAsia"/>
                <w:kern w:val="0"/>
                <w:szCs w:val="21"/>
              </w:rPr>
              <w:t>9</w:t>
            </w:r>
          </w:p>
        </w:tc>
        <w:tc>
          <w:tcPr>
            <w:tcW w:w="472" w:type="pct"/>
            <w:vMerge w:val="restart"/>
            <w:tcBorders>
              <w:top w:val="nil"/>
              <w:left w:val="single" w:sz="4" w:space="0" w:color="auto"/>
              <w:bottom w:val="single" w:sz="4" w:space="0" w:color="auto"/>
              <w:right w:val="single" w:sz="4" w:space="0" w:color="auto"/>
            </w:tcBorders>
            <w:vAlign w:val="center"/>
          </w:tcPr>
          <w:p w14:paraId="56E4CD1C" w14:textId="77777777" w:rsidR="00A320E6" w:rsidRDefault="00000000" w:rsidP="00EC50E9">
            <w:pPr>
              <w:jc w:val="center"/>
              <w:rPr>
                <w:rFonts w:ascii="宋体" w:hAnsi="宋体" w:cs="宋体"/>
                <w:kern w:val="0"/>
                <w:szCs w:val="21"/>
              </w:rPr>
            </w:pPr>
            <w:r>
              <w:rPr>
                <w:rFonts w:ascii="宋体" w:hAnsi="宋体" w:cs="宋体" w:hint="eastAsia"/>
                <w:kern w:val="0"/>
                <w:szCs w:val="21"/>
              </w:rPr>
              <w:t>水井</w:t>
            </w:r>
          </w:p>
        </w:tc>
        <w:tc>
          <w:tcPr>
            <w:tcW w:w="1127" w:type="pct"/>
            <w:tcBorders>
              <w:top w:val="nil"/>
              <w:left w:val="nil"/>
              <w:bottom w:val="single" w:sz="4" w:space="0" w:color="auto"/>
              <w:right w:val="single" w:sz="4" w:space="0" w:color="auto"/>
            </w:tcBorders>
            <w:vAlign w:val="center"/>
          </w:tcPr>
          <w:p w14:paraId="229D8730" w14:textId="77777777" w:rsidR="00A320E6" w:rsidRDefault="00000000" w:rsidP="00EC50E9">
            <w:pPr>
              <w:jc w:val="left"/>
              <w:rPr>
                <w:rFonts w:ascii="宋体" w:hAnsi="宋体" w:cs="宋体"/>
                <w:kern w:val="0"/>
                <w:szCs w:val="21"/>
              </w:rPr>
            </w:pPr>
            <w:r>
              <w:rPr>
                <w:rFonts w:ascii="宋体" w:hAnsi="宋体" w:cs="宋体" w:hint="eastAsia"/>
                <w:kern w:val="0"/>
                <w:szCs w:val="21"/>
              </w:rPr>
              <w:t>手压井</w:t>
            </w:r>
          </w:p>
        </w:tc>
        <w:tc>
          <w:tcPr>
            <w:tcW w:w="919" w:type="pct"/>
            <w:tcBorders>
              <w:top w:val="nil"/>
              <w:left w:val="nil"/>
              <w:bottom w:val="single" w:sz="4" w:space="0" w:color="auto"/>
              <w:right w:val="single" w:sz="4" w:space="0" w:color="auto"/>
            </w:tcBorders>
            <w:vAlign w:val="center"/>
          </w:tcPr>
          <w:p w14:paraId="1057F204" w14:textId="77777777" w:rsidR="00A320E6" w:rsidRDefault="00000000" w:rsidP="00EC50E9">
            <w:pPr>
              <w:jc w:val="center"/>
              <w:rPr>
                <w:rFonts w:ascii="宋体" w:hAnsi="宋体" w:cs="宋体"/>
                <w:kern w:val="0"/>
                <w:szCs w:val="21"/>
              </w:rPr>
            </w:pPr>
            <w:r>
              <w:rPr>
                <w:rFonts w:ascii="宋体" w:hAnsi="宋体" w:cs="宋体" w:hint="eastAsia"/>
                <w:kern w:val="0"/>
                <w:szCs w:val="21"/>
              </w:rPr>
              <w:t>900元/眼</w:t>
            </w:r>
          </w:p>
        </w:tc>
        <w:tc>
          <w:tcPr>
            <w:tcW w:w="1861" w:type="pct"/>
            <w:vMerge w:val="restart"/>
            <w:tcBorders>
              <w:top w:val="nil"/>
              <w:left w:val="single" w:sz="4" w:space="0" w:color="auto"/>
              <w:bottom w:val="single" w:sz="4" w:space="0" w:color="auto"/>
              <w:right w:val="single" w:sz="4" w:space="0" w:color="auto"/>
            </w:tcBorders>
            <w:vAlign w:val="center"/>
          </w:tcPr>
          <w:p w14:paraId="18EC3210" w14:textId="77777777" w:rsidR="00A320E6" w:rsidRDefault="00000000" w:rsidP="00EC50E9">
            <w:pPr>
              <w:jc w:val="left"/>
              <w:rPr>
                <w:rFonts w:ascii="宋体" w:hAnsi="宋体" w:cs="宋体"/>
                <w:kern w:val="0"/>
                <w:szCs w:val="21"/>
              </w:rPr>
            </w:pPr>
            <w:r>
              <w:rPr>
                <w:rFonts w:ascii="宋体" w:hAnsi="宋体" w:cs="宋体" w:hint="eastAsia"/>
                <w:kern w:val="0"/>
                <w:szCs w:val="21"/>
              </w:rPr>
              <w:t>1、实际为生产、生活服务且能正常使用的，按标准执行，其余情况按照成本价格60-120元/m补偿</w:t>
            </w:r>
            <w:r>
              <w:rPr>
                <w:rFonts w:ascii="宋体" w:hAnsi="宋体" w:cs="宋体" w:hint="eastAsia"/>
                <w:kern w:val="0"/>
                <w:szCs w:val="21"/>
              </w:rPr>
              <w:br/>
              <w:t>2、机井按下管井标准计算补偿，水泵、水管、供电设施另计</w:t>
            </w:r>
            <w:r>
              <w:rPr>
                <w:rFonts w:ascii="宋体" w:hAnsi="宋体" w:cs="宋体" w:hint="eastAsia"/>
                <w:kern w:val="0"/>
                <w:szCs w:val="21"/>
              </w:rPr>
              <w:br/>
              <w:t>3、水井补偿包括开凿工程、用料及用工等费用</w:t>
            </w:r>
            <w:r>
              <w:rPr>
                <w:rFonts w:ascii="宋体" w:hAnsi="宋体" w:cs="宋体" w:hint="eastAsia"/>
                <w:kern w:val="0"/>
                <w:szCs w:val="21"/>
              </w:rPr>
              <w:br/>
              <w:t>4、旧料归原主</w:t>
            </w:r>
          </w:p>
        </w:tc>
      </w:tr>
      <w:tr w:rsidR="00A320E6" w14:paraId="41DED2E4"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6D8A80D8"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57DE111"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9303A17" w14:textId="77777777" w:rsidR="00A320E6" w:rsidRDefault="00000000" w:rsidP="00EC50E9">
            <w:pPr>
              <w:jc w:val="left"/>
              <w:rPr>
                <w:rFonts w:ascii="宋体" w:hAnsi="宋体" w:cs="宋体"/>
                <w:kern w:val="0"/>
                <w:szCs w:val="21"/>
              </w:rPr>
            </w:pPr>
            <w:r>
              <w:rPr>
                <w:rFonts w:ascii="宋体" w:hAnsi="宋体" w:cs="宋体" w:hint="eastAsia"/>
                <w:kern w:val="0"/>
                <w:szCs w:val="21"/>
              </w:rPr>
              <w:t>土井直径1.2m以下（不含）</w:t>
            </w:r>
          </w:p>
        </w:tc>
        <w:tc>
          <w:tcPr>
            <w:tcW w:w="919" w:type="pct"/>
            <w:tcBorders>
              <w:top w:val="nil"/>
              <w:left w:val="nil"/>
              <w:bottom w:val="single" w:sz="4" w:space="0" w:color="auto"/>
              <w:right w:val="single" w:sz="4" w:space="0" w:color="auto"/>
            </w:tcBorders>
            <w:vAlign w:val="center"/>
          </w:tcPr>
          <w:p w14:paraId="4A317A5E" w14:textId="77777777" w:rsidR="00A320E6" w:rsidRDefault="00000000" w:rsidP="00EC50E9">
            <w:pPr>
              <w:jc w:val="center"/>
              <w:rPr>
                <w:rFonts w:ascii="宋体" w:hAnsi="宋体" w:cs="宋体"/>
                <w:kern w:val="0"/>
                <w:szCs w:val="21"/>
              </w:rPr>
            </w:pPr>
            <w:r>
              <w:rPr>
                <w:rFonts w:ascii="宋体" w:hAnsi="宋体" w:cs="宋体" w:hint="eastAsia"/>
                <w:kern w:val="0"/>
                <w:szCs w:val="21"/>
              </w:rPr>
              <w:t>230-370元/m</w:t>
            </w:r>
          </w:p>
        </w:tc>
        <w:tc>
          <w:tcPr>
            <w:tcW w:w="1861" w:type="pct"/>
            <w:vMerge/>
            <w:tcBorders>
              <w:top w:val="nil"/>
              <w:left w:val="single" w:sz="4" w:space="0" w:color="auto"/>
              <w:bottom w:val="single" w:sz="4" w:space="0" w:color="auto"/>
              <w:right w:val="single" w:sz="4" w:space="0" w:color="auto"/>
            </w:tcBorders>
            <w:vAlign w:val="center"/>
          </w:tcPr>
          <w:p w14:paraId="67304548" w14:textId="77777777" w:rsidR="00A320E6" w:rsidRDefault="00A320E6" w:rsidP="00EC50E9">
            <w:pPr>
              <w:jc w:val="left"/>
              <w:rPr>
                <w:rFonts w:ascii="宋体" w:hAnsi="宋体" w:cs="宋体"/>
                <w:kern w:val="0"/>
                <w:szCs w:val="21"/>
              </w:rPr>
            </w:pPr>
          </w:p>
        </w:tc>
      </w:tr>
      <w:tr w:rsidR="00A320E6" w14:paraId="1F7462C7" w14:textId="77777777" w:rsidTr="00EC50E9">
        <w:trPr>
          <w:trHeight w:val="462"/>
          <w:jc w:val="center"/>
        </w:trPr>
        <w:tc>
          <w:tcPr>
            <w:tcW w:w="621" w:type="pct"/>
            <w:vMerge/>
            <w:tcBorders>
              <w:top w:val="nil"/>
              <w:left w:val="single" w:sz="4" w:space="0" w:color="auto"/>
              <w:bottom w:val="single" w:sz="4" w:space="0" w:color="auto"/>
              <w:right w:val="single" w:sz="4" w:space="0" w:color="auto"/>
            </w:tcBorders>
            <w:vAlign w:val="center"/>
          </w:tcPr>
          <w:p w14:paraId="1C4D58B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E50F676"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30BFD7C" w14:textId="77777777" w:rsidR="00A320E6" w:rsidRDefault="00000000" w:rsidP="00EC50E9">
            <w:pPr>
              <w:jc w:val="left"/>
              <w:rPr>
                <w:rFonts w:ascii="宋体" w:hAnsi="宋体" w:cs="宋体"/>
                <w:kern w:val="0"/>
                <w:szCs w:val="21"/>
              </w:rPr>
            </w:pPr>
            <w:r>
              <w:rPr>
                <w:rFonts w:ascii="宋体" w:hAnsi="宋体" w:cs="宋体" w:hint="eastAsia"/>
                <w:kern w:val="0"/>
                <w:szCs w:val="21"/>
              </w:rPr>
              <w:t>砖井(包括乱石井)--深5（含）-10m直径1.5m</w:t>
            </w:r>
          </w:p>
        </w:tc>
        <w:tc>
          <w:tcPr>
            <w:tcW w:w="919" w:type="pct"/>
            <w:tcBorders>
              <w:top w:val="nil"/>
              <w:left w:val="nil"/>
              <w:bottom w:val="single" w:sz="4" w:space="0" w:color="auto"/>
              <w:right w:val="single" w:sz="4" w:space="0" w:color="auto"/>
            </w:tcBorders>
            <w:vAlign w:val="center"/>
          </w:tcPr>
          <w:p w14:paraId="5E08581C" w14:textId="77777777" w:rsidR="00A320E6" w:rsidRDefault="00000000" w:rsidP="00EC50E9">
            <w:pPr>
              <w:jc w:val="center"/>
              <w:rPr>
                <w:rFonts w:ascii="宋体" w:hAnsi="宋体" w:cs="宋体"/>
                <w:kern w:val="0"/>
                <w:szCs w:val="21"/>
              </w:rPr>
            </w:pPr>
            <w:r>
              <w:rPr>
                <w:rFonts w:ascii="宋体" w:hAnsi="宋体" w:cs="宋体" w:hint="eastAsia"/>
                <w:kern w:val="0"/>
                <w:szCs w:val="21"/>
              </w:rPr>
              <w:t>4000-8700元/眼</w:t>
            </w:r>
          </w:p>
        </w:tc>
        <w:tc>
          <w:tcPr>
            <w:tcW w:w="1861" w:type="pct"/>
            <w:vMerge/>
            <w:tcBorders>
              <w:top w:val="nil"/>
              <w:left w:val="single" w:sz="4" w:space="0" w:color="auto"/>
              <w:bottom w:val="single" w:sz="4" w:space="0" w:color="auto"/>
              <w:right w:val="single" w:sz="4" w:space="0" w:color="auto"/>
            </w:tcBorders>
            <w:vAlign w:val="center"/>
          </w:tcPr>
          <w:p w14:paraId="012910C1" w14:textId="77777777" w:rsidR="00A320E6" w:rsidRDefault="00A320E6" w:rsidP="00EC50E9">
            <w:pPr>
              <w:jc w:val="left"/>
              <w:rPr>
                <w:rFonts w:ascii="宋体" w:hAnsi="宋体" w:cs="宋体"/>
                <w:kern w:val="0"/>
                <w:szCs w:val="21"/>
              </w:rPr>
            </w:pPr>
          </w:p>
        </w:tc>
      </w:tr>
      <w:tr w:rsidR="00A320E6" w14:paraId="273E3E9F"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4EFE3BA5"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0A42F5A2"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5D60AFD" w14:textId="77777777" w:rsidR="00A320E6" w:rsidRDefault="00000000" w:rsidP="00EC50E9">
            <w:pPr>
              <w:jc w:val="left"/>
              <w:rPr>
                <w:rFonts w:ascii="宋体" w:hAnsi="宋体" w:cs="宋体"/>
                <w:kern w:val="0"/>
                <w:szCs w:val="21"/>
              </w:rPr>
            </w:pPr>
            <w:r>
              <w:rPr>
                <w:rFonts w:ascii="宋体" w:hAnsi="宋体" w:cs="宋体" w:hint="eastAsia"/>
                <w:kern w:val="0"/>
                <w:szCs w:val="21"/>
              </w:rPr>
              <w:t>砖井(包括乱石井)--深10-20m直径2.5m</w:t>
            </w:r>
          </w:p>
        </w:tc>
        <w:tc>
          <w:tcPr>
            <w:tcW w:w="919" w:type="pct"/>
            <w:tcBorders>
              <w:top w:val="nil"/>
              <w:left w:val="nil"/>
              <w:bottom w:val="single" w:sz="4" w:space="0" w:color="auto"/>
              <w:right w:val="single" w:sz="4" w:space="0" w:color="auto"/>
            </w:tcBorders>
            <w:vAlign w:val="center"/>
          </w:tcPr>
          <w:p w14:paraId="3F705C29" w14:textId="77777777" w:rsidR="00A320E6" w:rsidRDefault="00000000" w:rsidP="00EC50E9">
            <w:pPr>
              <w:jc w:val="center"/>
              <w:rPr>
                <w:rFonts w:ascii="宋体" w:hAnsi="宋体" w:cs="宋体"/>
                <w:kern w:val="0"/>
                <w:szCs w:val="21"/>
              </w:rPr>
            </w:pPr>
            <w:r>
              <w:rPr>
                <w:rFonts w:ascii="宋体" w:hAnsi="宋体" w:cs="宋体" w:hint="eastAsia"/>
                <w:kern w:val="0"/>
                <w:szCs w:val="21"/>
              </w:rPr>
              <w:t>9500-13500元/眼</w:t>
            </w:r>
          </w:p>
        </w:tc>
        <w:tc>
          <w:tcPr>
            <w:tcW w:w="1861" w:type="pct"/>
            <w:vMerge/>
            <w:tcBorders>
              <w:top w:val="nil"/>
              <w:left w:val="single" w:sz="4" w:space="0" w:color="auto"/>
              <w:bottom w:val="single" w:sz="4" w:space="0" w:color="auto"/>
              <w:right w:val="single" w:sz="4" w:space="0" w:color="auto"/>
            </w:tcBorders>
            <w:vAlign w:val="center"/>
          </w:tcPr>
          <w:p w14:paraId="548C58FA" w14:textId="77777777" w:rsidR="00A320E6" w:rsidRDefault="00A320E6" w:rsidP="00EC50E9">
            <w:pPr>
              <w:jc w:val="left"/>
              <w:rPr>
                <w:rFonts w:ascii="宋体" w:hAnsi="宋体" w:cs="宋体"/>
                <w:kern w:val="0"/>
                <w:szCs w:val="21"/>
              </w:rPr>
            </w:pPr>
          </w:p>
        </w:tc>
      </w:tr>
      <w:tr w:rsidR="00A320E6" w14:paraId="776EAFD5"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19F51E6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B9BF13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881B3BB" w14:textId="77777777" w:rsidR="00A320E6" w:rsidRDefault="00000000" w:rsidP="00EC50E9">
            <w:pPr>
              <w:jc w:val="left"/>
              <w:rPr>
                <w:rFonts w:ascii="宋体" w:hAnsi="宋体" w:cs="宋体"/>
                <w:kern w:val="0"/>
                <w:szCs w:val="21"/>
              </w:rPr>
            </w:pPr>
            <w:r>
              <w:rPr>
                <w:rFonts w:ascii="宋体" w:hAnsi="宋体" w:cs="宋体" w:hint="eastAsia"/>
                <w:kern w:val="0"/>
                <w:szCs w:val="21"/>
              </w:rPr>
              <w:t>塑料下管井（井管直径10-30cm）</w:t>
            </w:r>
          </w:p>
        </w:tc>
        <w:tc>
          <w:tcPr>
            <w:tcW w:w="919" w:type="pct"/>
            <w:tcBorders>
              <w:top w:val="nil"/>
              <w:left w:val="nil"/>
              <w:bottom w:val="single" w:sz="4" w:space="0" w:color="auto"/>
              <w:right w:val="single" w:sz="4" w:space="0" w:color="auto"/>
            </w:tcBorders>
            <w:vAlign w:val="center"/>
          </w:tcPr>
          <w:p w14:paraId="02D8E461" w14:textId="77777777" w:rsidR="00A320E6" w:rsidRDefault="00000000" w:rsidP="00EC50E9">
            <w:pPr>
              <w:jc w:val="center"/>
              <w:rPr>
                <w:rFonts w:ascii="宋体" w:hAnsi="宋体" w:cs="宋体"/>
                <w:kern w:val="0"/>
                <w:szCs w:val="21"/>
              </w:rPr>
            </w:pPr>
            <w:r>
              <w:rPr>
                <w:rFonts w:ascii="宋体" w:hAnsi="宋体" w:cs="宋体" w:hint="eastAsia"/>
                <w:kern w:val="0"/>
                <w:szCs w:val="21"/>
              </w:rPr>
              <w:t>100-200元/m</w:t>
            </w:r>
          </w:p>
        </w:tc>
        <w:tc>
          <w:tcPr>
            <w:tcW w:w="1861" w:type="pct"/>
            <w:vMerge/>
            <w:tcBorders>
              <w:top w:val="nil"/>
              <w:left w:val="single" w:sz="4" w:space="0" w:color="auto"/>
              <w:bottom w:val="single" w:sz="4" w:space="0" w:color="auto"/>
              <w:right w:val="single" w:sz="4" w:space="0" w:color="auto"/>
            </w:tcBorders>
            <w:vAlign w:val="center"/>
          </w:tcPr>
          <w:p w14:paraId="55BE0FBD" w14:textId="77777777" w:rsidR="00A320E6" w:rsidRDefault="00A320E6" w:rsidP="00EC50E9">
            <w:pPr>
              <w:jc w:val="left"/>
              <w:rPr>
                <w:rFonts w:ascii="宋体" w:hAnsi="宋体" w:cs="宋体"/>
                <w:kern w:val="0"/>
                <w:szCs w:val="21"/>
              </w:rPr>
            </w:pPr>
          </w:p>
        </w:tc>
      </w:tr>
      <w:tr w:rsidR="00A320E6" w14:paraId="40F3A144"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6C5C7DFB"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359ECE9"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1BE281AF" w14:textId="77777777" w:rsidR="00A320E6" w:rsidRDefault="00000000" w:rsidP="00EC50E9">
            <w:pPr>
              <w:jc w:val="left"/>
              <w:rPr>
                <w:rFonts w:ascii="宋体" w:hAnsi="宋体" w:cs="宋体"/>
                <w:kern w:val="0"/>
                <w:szCs w:val="21"/>
              </w:rPr>
            </w:pPr>
            <w:r>
              <w:rPr>
                <w:rFonts w:ascii="宋体" w:hAnsi="宋体" w:cs="宋体" w:hint="eastAsia"/>
                <w:kern w:val="0"/>
                <w:szCs w:val="21"/>
              </w:rPr>
              <w:t>铁管下管井（井管直径10-30cm）</w:t>
            </w:r>
          </w:p>
        </w:tc>
        <w:tc>
          <w:tcPr>
            <w:tcW w:w="919" w:type="pct"/>
            <w:tcBorders>
              <w:top w:val="nil"/>
              <w:left w:val="nil"/>
              <w:bottom w:val="single" w:sz="4" w:space="0" w:color="auto"/>
              <w:right w:val="single" w:sz="4" w:space="0" w:color="auto"/>
            </w:tcBorders>
            <w:vAlign w:val="center"/>
          </w:tcPr>
          <w:p w14:paraId="5B95E4A6" w14:textId="77777777" w:rsidR="00A320E6" w:rsidRDefault="00000000" w:rsidP="00EC50E9">
            <w:pPr>
              <w:jc w:val="center"/>
              <w:rPr>
                <w:rFonts w:ascii="宋体" w:hAnsi="宋体" w:cs="宋体"/>
                <w:kern w:val="0"/>
                <w:szCs w:val="21"/>
              </w:rPr>
            </w:pPr>
            <w:r>
              <w:rPr>
                <w:rFonts w:ascii="宋体" w:hAnsi="宋体" w:cs="宋体" w:hint="eastAsia"/>
                <w:kern w:val="0"/>
                <w:szCs w:val="21"/>
              </w:rPr>
              <w:t>120-350元/m</w:t>
            </w:r>
          </w:p>
        </w:tc>
        <w:tc>
          <w:tcPr>
            <w:tcW w:w="1861" w:type="pct"/>
            <w:vMerge/>
            <w:tcBorders>
              <w:top w:val="nil"/>
              <w:left w:val="single" w:sz="4" w:space="0" w:color="auto"/>
              <w:bottom w:val="single" w:sz="4" w:space="0" w:color="auto"/>
              <w:right w:val="single" w:sz="4" w:space="0" w:color="auto"/>
            </w:tcBorders>
            <w:vAlign w:val="center"/>
          </w:tcPr>
          <w:p w14:paraId="2071987C" w14:textId="77777777" w:rsidR="00A320E6" w:rsidRDefault="00A320E6" w:rsidP="00EC50E9">
            <w:pPr>
              <w:jc w:val="left"/>
              <w:rPr>
                <w:rFonts w:ascii="宋体" w:hAnsi="宋体" w:cs="宋体"/>
                <w:kern w:val="0"/>
                <w:szCs w:val="21"/>
              </w:rPr>
            </w:pPr>
          </w:p>
        </w:tc>
      </w:tr>
      <w:tr w:rsidR="00A320E6" w14:paraId="041178D5"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5D7E8DD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B14264E"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F0E56D4" w14:textId="77777777" w:rsidR="00A320E6" w:rsidRDefault="00000000" w:rsidP="00EC50E9">
            <w:pPr>
              <w:jc w:val="left"/>
              <w:rPr>
                <w:rFonts w:ascii="宋体" w:hAnsi="宋体" w:cs="宋体"/>
                <w:kern w:val="0"/>
                <w:szCs w:val="21"/>
              </w:rPr>
            </w:pPr>
            <w:r>
              <w:rPr>
                <w:rFonts w:ascii="宋体" w:hAnsi="宋体" w:cs="宋体" w:hint="eastAsia"/>
                <w:kern w:val="0"/>
                <w:szCs w:val="21"/>
              </w:rPr>
              <w:t>水泥下管井（井管直径1m以下）</w:t>
            </w:r>
          </w:p>
        </w:tc>
        <w:tc>
          <w:tcPr>
            <w:tcW w:w="919" w:type="pct"/>
            <w:tcBorders>
              <w:top w:val="nil"/>
              <w:left w:val="nil"/>
              <w:bottom w:val="single" w:sz="4" w:space="0" w:color="auto"/>
              <w:right w:val="single" w:sz="4" w:space="0" w:color="auto"/>
            </w:tcBorders>
            <w:vAlign w:val="center"/>
          </w:tcPr>
          <w:p w14:paraId="5425CA59" w14:textId="77777777" w:rsidR="00A320E6" w:rsidRDefault="00000000" w:rsidP="00EC50E9">
            <w:pPr>
              <w:jc w:val="center"/>
              <w:rPr>
                <w:rFonts w:ascii="宋体" w:hAnsi="宋体" w:cs="宋体"/>
                <w:kern w:val="0"/>
                <w:szCs w:val="21"/>
              </w:rPr>
            </w:pPr>
            <w:r>
              <w:rPr>
                <w:rFonts w:ascii="宋体" w:hAnsi="宋体" w:cs="宋体" w:hint="eastAsia"/>
                <w:kern w:val="0"/>
                <w:szCs w:val="21"/>
              </w:rPr>
              <w:t>150-540元/m</w:t>
            </w:r>
          </w:p>
        </w:tc>
        <w:tc>
          <w:tcPr>
            <w:tcW w:w="1861" w:type="pct"/>
            <w:vMerge/>
            <w:tcBorders>
              <w:top w:val="nil"/>
              <w:left w:val="single" w:sz="4" w:space="0" w:color="auto"/>
              <w:bottom w:val="single" w:sz="4" w:space="0" w:color="auto"/>
              <w:right w:val="single" w:sz="4" w:space="0" w:color="auto"/>
            </w:tcBorders>
            <w:vAlign w:val="center"/>
          </w:tcPr>
          <w:p w14:paraId="48D08F2C" w14:textId="77777777" w:rsidR="00A320E6" w:rsidRDefault="00A320E6" w:rsidP="00EC50E9">
            <w:pPr>
              <w:jc w:val="left"/>
              <w:rPr>
                <w:rFonts w:ascii="宋体" w:hAnsi="宋体" w:cs="宋体"/>
                <w:kern w:val="0"/>
                <w:szCs w:val="21"/>
              </w:rPr>
            </w:pPr>
          </w:p>
        </w:tc>
      </w:tr>
      <w:tr w:rsidR="00A320E6" w14:paraId="17BA79D6"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2D5541C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AC9EE59"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FC9B1DB" w14:textId="77777777" w:rsidR="00A320E6" w:rsidRDefault="00000000" w:rsidP="00EC50E9">
            <w:pPr>
              <w:jc w:val="left"/>
              <w:rPr>
                <w:rFonts w:ascii="宋体" w:hAnsi="宋体" w:cs="宋体"/>
                <w:kern w:val="0"/>
                <w:szCs w:val="21"/>
              </w:rPr>
            </w:pPr>
            <w:r>
              <w:rPr>
                <w:rFonts w:ascii="宋体" w:hAnsi="宋体" w:cs="宋体" w:hint="eastAsia"/>
                <w:kern w:val="0"/>
                <w:szCs w:val="21"/>
              </w:rPr>
              <w:t>水泥下管井（井管直径1m以上）</w:t>
            </w:r>
          </w:p>
        </w:tc>
        <w:tc>
          <w:tcPr>
            <w:tcW w:w="919" w:type="pct"/>
            <w:tcBorders>
              <w:top w:val="nil"/>
              <w:left w:val="nil"/>
              <w:bottom w:val="single" w:sz="4" w:space="0" w:color="auto"/>
              <w:right w:val="single" w:sz="4" w:space="0" w:color="auto"/>
            </w:tcBorders>
            <w:vAlign w:val="center"/>
          </w:tcPr>
          <w:p w14:paraId="27B9237C" w14:textId="77777777" w:rsidR="00A320E6" w:rsidRDefault="00000000" w:rsidP="00EC50E9">
            <w:pPr>
              <w:jc w:val="center"/>
              <w:rPr>
                <w:rFonts w:ascii="宋体" w:hAnsi="宋体" w:cs="宋体"/>
                <w:kern w:val="0"/>
                <w:szCs w:val="21"/>
              </w:rPr>
            </w:pPr>
            <w:r>
              <w:rPr>
                <w:rFonts w:ascii="宋体" w:hAnsi="宋体" w:cs="宋体" w:hint="eastAsia"/>
                <w:kern w:val="0"/>
                <w:szCs w:val="21"/>
              </w:rPr>
              <w:t>540-770元/m</w:t>
            </w:r>
          </w:p>
        </w:tc>
        <w:tc>
          <w:tcPr>
            <w:tcW w:w="1861" w:type="pct"/>
            <w:vMerge/>
            <w:tcBorders>
              <w:top w:val="nil"/>
              <w:left w:val="single" w:sz="4" w:space="0" w:color="auto"/>
              <w:bottom w:val="single" w:sz="4" w:space="0" w:color="auto"/>
              <w:right w:val="single" w:sz="4" w:space="0" w:color="auto"/>
            </w:tcBorders>
            <w:vAlign w:val="center"/>
          </w:tcPr>
          <w:p w14:paraId="04930885" w14:textId="77777777" w:rsidR="00A320E6" w:rsidRDefault="00A320E6" w:rsidP="00EC50E9">
            <w:pPr>
              <w:jc w:val="left"/>
              <w:rPr>
                <w:rFonts w:ascii="宋体" w:hAnsi="宋体" w:cs="宋体"/>
                <w:kern w:val="0"/>
                <w:szCs w:val="21"/>
              </w:rPr>
            </w:pPr>
          </w:p>
        </w:tc>
      </w:tr>
      <w:tr w:rsidR="00A320E6" w14:paraId="51383F70" w14:textId="77777777" w:rsidTr="00EC50E9">
        <w:trPr>
          <w:trHeight w:val="639"/>
          <w:jc w:val="center"/>
        </w:trPr>
        <w:tc>
          <w:tcPr>
            <w:tcW w:w="621" w:type="pct"/>
            <w:vMerge w:val="restart"/>
            <w:tcBorders>
              <w:top w:val="nil"/>
              <w:left w:val="single" w:sz="4" w:space="0" w:color="auto"/>
              <w:bottom w:val="single" w:sz="4" w:space="0" w:color="auto"/>
              <w:right w:val="single" w:sz="4" w:space="0" w:color="auto"/>
            </w:tcBorders>
            <w:vAlign w:val="center"/>
          </w:tcPr>
          <w:p w14:paraId="67E0BDF6" w14:textId="77777777" w:rsidR="00A320E6" w:rsidRDefault="00000000" w:rsidP="00EC50E9">
            <w:pPr>
              <w:jc w:val="center"/>
              <w:rPr>
                <w:rFonts w:ascii="宋体" w:hAnsi="宋体" w:cs="宋体"/>
                <w:kern w:val="0"/>
                <w:szCs w:val="21"/>
              </w:rPr>
            </w:pPr>
            <w:r>
              <w:rPr>
                <w:rFonts w:ascii="宋体" w:hAnsi="宋体" w:cs="宋体" w:hint="eastAsia"/>
                <w:kern w:val="0"/>
                <w:szCs w:val="21"/>
              </w:rPr>
              <w:t>10</w:t>
            </w:r>
          </w:p>
        </w:tc>
        <w:tc>
          <w:tcPr>
            <w:tcW w:w="472" w:type="pct"/>
            <w:vMerge w:val="restart"/>
            <w:tcBorders>
              <w:top w:val="nil"/>
              <w:left w:val="single" w:sz="4" w:space="0" w:color="auto"/>
              <w:bottom w:val="single" w:sz="4" w:space="0" w:color="auto"/>
              <w:right w:val="single" w:sz="4" w:space="0" w:color="auto"/>
            </w:tcBorders>
            <w:vAlign w:val="center"/>
          </w:tcPr>
          <w:p w14:paraId="33E4818D" w14:textId="77777777" w:rsidR="00A320E6" w:rsidRDefault="00000000" w:rsidP="00EC50E9">
            <w:pPr>
              <w:jc w:val="center"/>
              <w:rPr>
                <w:rFonts w:ascii="宋体" w:hAnsi="宋体" w:cs="宋体"/>
                <w:kern w:val="0"/>
                <w:szCs w:val="21"/>
              </w:rPr>
            </w:pPr>
            <w:r>
              <w:rPr>
                <w:rFonts w:ascii="宋体" w:hAnsi="宋体" w:cs="宋体" w:hint="eastAsia"/>
                <w:kern w:val="0"/>
                <w:szCs w:val="21"/>
              </w:rPr>
              <w:t>姜井、</w:t>
            </w:r>
          </w:p>
          <w:p w14:paraId="604AC960" w14:textId="77777777" w:rsidR="00A320E6" w:rsidRDefault="00000000" w:rsidP="00EC50E9">
            <w:pPr>
              <w:jc w:val="center"/>
              <w:rPr>
                <w:rFonts w:ascii="宋体" w:hAnsi="宋体" w:cs="宋体"/>
                <w:kern w:val="0"/>
                <w:szCs w:val="21"/>
              </w:rPr>
            </w:pPr>
            <w:r>
              <w:rPr>
                <w:rFonts w:ascii="宋体" w:hAnsi="宋体" w:cs="宋体" w:hint="eastAsia"/>
                <w:kern w:val="0"/>
                <w:szCs w:val="21"/>
              </w:rPr>
              <w:t>地瓜井</w:t>
            </w:r>
          </w:p>
        </w:tc>
        <w:tc>
          <w:tcPr>
            <w:tcW w:w="1127" w:type="pct"/>
            <w:tcBorders>
              <w:top w:val="nil"/>
              <w:left w:val="nil"/>
              <w:bottom w:val="single" w:sz="4" w:space="0" w:color="auto"/>
              <w:right w:val="single" w:sz="4" w:space="0" w:color="auto"/>
            </w:tcBorders>
            <w:vAlign w:val="center"/>
          </w:tcPr>
          <w:p w14:paraId="301C48D5" w14:textId="77777777" w:rsidR="00A320E6" w:rsidRDefault="00000000" w:rsidP="00EC50E9">
            <w:pPr>
              <w:jc w:val="left"/>
              <w:rPr>
                <w:rFonts w:ascii="宋体" w:hAnsi="宋体" w:cs="宋体"/>
                <w:kern w:val="0"/>
                <w:szCs w:val="21"/>
              </w:rPr>
            </w:pPr>
            <w:r>
              <w:rPr>
                <w:rFonts w:ascii="宋体" w:hAnsi="宋体" w:cs="宋体" w:hint="eastAsia"/>
                <w:kern w:val="0"/>
                <w:szCs w:val="21"/>
              </w:rPr>
              <w:t>老式土筑姜井、地瓜井，直径0.8-1.2m、深5m以上</w:t>
            </w:r>
          </w:p>
        </w:tc>
        <w:tc>
          <w:tcPr>
            <w:tcW w:w="919" w:type="pct"/>
            <w:tcBorders>
              <w:top w:val="nil"/>
              <w:left w:val="nil"/>
              <w:bottom w:val="single" w:sz="4" w:space="0" w:color="auto"/>
              <w:right w:val="single" w:sz="4" w:space="0" w:color="auto"/>
            </w:tcBorders>
            <w:vAlign w:val="center"/>
          </w:tcPr>
          <w:p w14:paraId="4822EEDE" w14:textId="77777777" w:rsidR="00A320E6" w:rsidRDefault="00000000" w:rsidP="00EC50E9">
            <w:pPr>
              <w:jc w:val="center"/>
              <w:rPr>
                <w:rFonts w:ascii="宋体" w:hAnsi="宋体" w:cs="宋体"/>
                <w:kern w:val="0"/>
                <w:szCs w:val="21"/>
              </w:rPr>
            </w:pPr>
            <w:r>
              <w:rPr>
                <w:rFonts w:ascii="宋体" w:hAnsi="宋体" w:cs="宋体" w:hint="eastAsia"/>
                <w:kern w:val="0"/>
                <w:szCs w:val="21"/>
              </w:rPr>
              <w:t>1500-3000元/眼</w:t>
            </w:r>
          </w:p>
        </w:tc>
        <w:tc>
          <w:tcPr>
            <w:tcW w:w="1861" w:type="pct"/>
            <w:vMerge w:val="restart"/>
            <w:tcBorders>
              <w:top w:val="nil"/>
              <w:left w:val="single" w:sz="4" w:space="0" w:color="auto"/>
              <w:bottom w:val="single" w:sz="4" w:space="0" w:color="auto"/>
              <w:right w:val="single" w:sz="4" w:space="0" w:color="auto"/>
            </w:tcBorders>
            <w:vAlign w:val="center"/>
          </w:tcPr>
          <w:p w14:paraId="7F328C2B" w14:textId="77777777" w:rsidR="00A320E6" w:rsidRDefault="00000000" w:rsidP="00EC50E9">
            <w:pPr>
              <w:jc w:val="left"/>
              <w:rPr>
                <w:rFonts w:ascii="宋体" w:hAnsi="宋体" w:cs="宋体"/>
                <w:kern w:val="0"/>
                <w:szCs w:val="21"/>
              </w:rPr>
            </w:pPr>
            <w:r>
              <w:rPr>
                <w:rFonts w:ascii="宋体" w:hAnsi="宋体" w:cs="宋体" w:hint="eastAsia"/>
                <w:kern w:val="0"/>
                <w:szCs w:val="21"/>
              </w:rPr>
              <w:t>1、砖砌姜井按底部长度计算</w:t>
            </w:r>
            <w:r>
              <w:rPr>
                <w:rFonts w:ascii="宋体" w:hAnsi="宋体" w:cs="宋体" w:hint="eastAsia"/>
                <w:kern w:val="0"/>
                <w:szCs w:val="21"/>
              </w:rPr>
              <w:br/>
              <w:t>2、旧料归原主</w:t>
            </w:r>
          </w:p>
        </w:tc>
      </w:tr>
      <w:tr w:rsidR="00A320E6" w14:paraId="6B9BD781" w14:textId="77777777" w:rsidTr="00EC50E9">
        <w:trPr>
          <w:trHeight w:val="639"/>
          <w:jc w:val="center"/>
        </w:trPr>
        <w:tc>
          <w:tcPr>
            <w:tcW w:w="621" w:type="pct"/>
            <w:vMerge/>
            <w:tcBorders>
              <w:top w:val="nil"/>
              <w:left w:val="single" w:sz="4" w:space="0" w:color="auto"/>
              <w:bottom w:val="single" w:sz="4" w:space="0" w:color="auto"/>
              <w:right w:val="single" w:sz="4" w:space="0" w:color="auto"/>
            </w:tcBorders>
            <w:vAlign w:val="center"/>
          </w:tcPr>
          <w:p w14:paraId="75E6823A"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71EE368"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706DBD4" w14:textId="77777777" w:rsidR="00A320E6" w:rsidRDefault="00000000" w:rsidP="00EC50E9">
            <w:pPr>
              <w:jc w:val="left"/>
              <w:rPr>
                <w:rFonts w:ascii="宋体" w:hAnsi="宋体" w:cs="宋体"/>
                <w:kern w:val="0"/>
                <w:szCs w:val="21"/>
              </w:rPr>
            </w:pPr>
            <w:r>
              <w:rPr>
                <w:rFonts w:ascii="宋体" w:hAnsi="宋体" w:cs="宋体" w:hint="eastAsia"/>
                <w:kern w:val="0"/>
                <w:szCs w:val="21"/>
              </w:rPr>
              <w:t>砖砌起拱、井部直径0.8-1.2m，深5m以上，底部宽2-2.5m，高2m以上</w:t>
            </w:r>
          </w:p>
        </w:tc>
        <w:tc>
          <w:tcPr>
            <w:tcW w:w="919" w:type="pct"/>
            <w:tcBorders>
              <w:top w:val="nil"/>
              <w:left w:val="nil"/>
              <w:bottom w:val="single" w:sz="4" w:space="0" w:color="auto"/>
              <w:right w:val="single" w:sz="4" w:space="0" w:color="auto"/>
            </w:tcBorders>
            <w:vAlign w:val="center"/>
          </w:tcPr>
          <w:p w14:paraId="0D2C460F" w14:textId="77777777" w:rsidR="00A320E6" w:rsidRDefault="00000000" w:rsidP="00EC50E9">
            <w:pPr>
              <w:jc w:val="center"/>
              <w:rPr>
                <w:rFonts w:ascii="宋体" w:hAnsi="宋体" w:cs="宋体"/>
                <w:kern w:val="0"/>
                <w:szCs w:val="21"/>
              </w:rPr>
            </w:pPr>
            <w:r>
              <w:rPr>
                <w:rFonts w:ascii="宋体" w:hAnsi="宋体" w:cs="宋体" w:hint="eastAsia"/>
                <w:kern w:val="0"/>
                <w:szCs w:val="21"/>
              </w:rPr>
              <w:t>1500-1700元/m</w:t>
            </w:r>
          </w:p>
        </w:tc>
        <w:tc>
          <w:tcPr>
            <w:tcW w:w="1861" w:type="pct"/>
            <w:vMerge/>
            <w:tcBorders>
              <w:top w:val="nil"/>
              <w:left w:val="single" w:sz="4" w:space="0" w:color="auto"/>
              <w:bottom w:val="single" w:sz="4" w:space="0" w:color="auto"/>
              <w:right w:val="single" w:sz="4" w:space="0" w:color="auto"/>
            </w:tcBorders>
            <w:vAlign w:val="center"/>
          </w:tcPr>
          <w:p w14:paraId="76887275" w14:textId="77777777" w:rsidR="00A320E6" w:rsidRDefault="00A320E6" w:rsidP="00EC50E9">
            <w:pPr>
              <w:jc w:val="left"/>
              <w:rPr>
                <w:rFonts w:ascii="宋体" w:hAnsi="宋体" w:cs="宋体"/>
                <w:kern w:val="0"/>
                <w:szCs w:val="21"/>
              </w:rPr>
            </w:pPr>
          </w:p>
        </w:tc>
      </w:tr>
      <w:tr w:rsidR="00A320E6" w14:paraId="7E4D0112" w14:textId="77777777" w:rsidTr="00EC50E9">
        <w:trPr>
          <w:trHeight w:val="450"/>
          <w:jc w:val="center"/>
        </w:trPr>
        <w:tc>
          <w:tcPr>
            <w:tcW w:w="621" w:type="pct"/>
            <w:tcBorders>
              <w:top w:val="nil"/>
              <w:left w:val="single" w:sz="4" w:space="0" w:color="auto"/>
              <w:bottom w:val="single" w:sz="4" w:space="0" w:color="auto"/>
              <w:right w:val="single" w:sz="4" w:space="0" w:color="auto"/>
            </w:tcBorders>
            <w:vAlign w:val="center"/>
          </w:tcPr>
          <w:p w14:paraId="54A76A5F" w14:textId="77777777" w:rsidR="00A320E6" w:rsidRDefault="00000000" w:rsidP="00EC50E9">
            <w:pPr>
              <w:jc w:val="center"/>
              <w:rPr>
                <w:rFonts w:ascii="宋体" w:hAnsi="宋体" w:cs="宋体"/>
                <w:kern w:val="0"/>
                <w:szCs w:val="21"/>
              </w:rPr>
            </w:pPr>
            <w:r>
              <w:rPr>
                <w:rFonts w:ascii="宋体" w:hAnsi="宋体" w:cs="宋体" w:hint="eastAsia"/>
                <w:kern w:val="0"/>
                <w:szCs w:val="21"/>
              </w:rPr>
              <w:t>11</w:t>
            </w:r>
          </w:p>
        </w:tc>
        <w:tc>
          <w:tcPr>
            <w:tcW w:w="472" w:type="pct"/>
            <w:tcBorders>
              <w:top w:val="nil"/>
              <w:left w:val="nil"/>
              <w:bottom w:val="single" w:sz="4" w:space="0" w:color="auto"/>
              <w:right w:val="single" w:sz="4" w:space="0" w:color="auto"/>
            </w:tcBorders>
            <w:vAlign w:val="center"/>
          </w:tcPr>
          <w:p w14:paraId="35A897C1" w14:textId="77777777" w:rsidR="00A320E6" w:rsidRDefault="00000000" w:rsidP="00EC50E9">
            <w:pPr>
              <w:jc w:val="center"/>
              <w:rPr>
                <w:rFonts w:ascii="宋体" w:hAnsi="宋体" w:cs="宋体"/>
                <w:kern w:val="0"/>
                <w:szCs w:val="21"/>
              </w:rPr>
            </w:pPr>
            <w:r>
              <w:rPr>
                <w:rFonts w:ascii="宋体" w:hAnsi="宋体" w:cs="宋体" w:hint="eastAsia"/>
                <w:kern w:val="0"/>
                <w:szCs w:val="21"/>
              </w:rPr>
              <w:t>台田</w:t>
            </w:r>
          </w:p>
          <w:p w14:paraId="1FD28767" w14:textId="77777777" w:rsidR="00A320E6" w:rsidRDefault="00000000" w:rsidP="00EC50E9">
            <w:pPr>
              <w:jc w:val="center"/>
              <w:rPr>
                <w:rFonts w:ascii="宋体" w:hAnsi="宋体" w:cs="宋体"/>
                <w:kern w:val="0"/>
                <w:szCs w:val="21"/>
              </w:rPr>
            </w:pPr>
            <w:r>
              <w:rPr>
                <w:rFonts w:ascii="宋体" w:hAnsi="宋体" w:cs="宋体" w:hint="eastAsia"/>
                <w:kern w:val="0"/>
                <w:szCs w:val="21"/>
              </w:rPr>
              <w:t>石堰</w:t>
            </w:r>
          </w:p>
        </w:tc>
        <w:tc>
          <w:tcPr>
            <w:tcW w:w="1127" w:type="pct"/>
            <w:tcBorders>
              <w:top w:val="nil"/>
              <w:left w:val="nil"/>
              <w:bottom w:val="single" w:sz="4" w:space="0" w:color="auto"/>
              <w:right w:val="single" w:sz="4" w:space="0" w:color="auto"/>
            </w:tcBorders>
            <w:vAlign w:val="center"/>
          </w:tcPr>
          <w:p w14:paraId="6AA14E69" w14:textId="77777777" w:rsidR="00A320E6" w:rsidRDefault="00000000" w:rsidP="00EC50E9">
            <w:pPr>
              <w:jc w:val="left"/>
              <w:rPr>
                <w:rFonts w:ascii="宋体" w:hAnsi="宋体" w:cs="宋体"/>
                <w:kern w:val="0"/>
                <w:szCs w:val="21"/>
              </w:rPr>
            </w:pPr>
            <w:r>
              <w:rPr>
                <w:rFonts w:ascii="宋体" w:hAnsi="宋体" w:cs="宋体" w:hint="eastAsia"/>
                <w:kern w:val="0"/>
                <w:szCs w:val="21"/>
              </w:rPr>
              <w:t>乱石结构</w:t>
            </w:r>
          </w:p>
        </w:tc>
        <w:tc>
          <w:tcPr>
            <w:tcW w:w="919" w:type="pct"/>
            <w:tcBorders>
              <w:top w:val="nil"/>
              <w:left w:val="nil"/>
              <w:bottom w:val="single" w:sz="4" w:space="0" w:color="auto"/>
              <w:right w:val="single" w:sz="4" w:space="0" w:color="auto"/>
            </w:tcBorders>
            <w:vAlign w:val="center"/>
          </w:tcPr>
          <w:p w14:paraId="494A03BC" w14:textId="77777777" w:rsidR="00A320E6" w:rsidRDefault="00000000" w:rsidP="00EC50E9">
            <w:pPr>
              <w:jc w:val="center"/>
              <w:rPr>
                <w:rFonts w:ascii="宋体" w:hAnsi="宋体" w:cs="宋体"/>
                <w:kern w:val="0"/>
                <w:szCs w:val="21"/>
              </w:rPr>
            </w:pPr>
            <w:r>
              <w:rPr>
                <w:rFonts w:ascii="宋体" w:hAnsi="宋体" w:cs="宋体" w:hint="eastAsia"/>
                <w:kern w:val="0"/>
                <w:szCs w:val="21"/>
              </w:rPr>
              <w:t>250-400元/m³</w:t>
            </w:r>
          </w:p>
        </w:tc>
        <w:tc>
          <w:tcPr>
            <w:tcW w:w="1861" w:type="pct"/>
            <w:tcBorders>
              <w:top w:val="nil"/>
              <w:left w:val="nil"/>
              <w:bottom w:val="single" w:sz="4" w:space="0" w:color="auto"/>
              <w:right w:val="single" w:sz="4" w:space="0" w:color="auto"/>
            </w:tcBorders>
            <w:vAlign w:val="center"/>
          </w:tcPr>
          <w:p w14:paraId="377E2B39" w14:textId="77777777" w:rsidR="00A320E6" w:rsidRDefault="00000000" w:rsidP="00EC50E9">
            <w:pPr>
              <w:jc w:val="left"/>
              <w:rPr>
                <w:rFonts w:ascii="宋体" w:hAnsi="宋体" w:cs="宋体"/>
                <w:kern w:val="0"/>
                <w:szCs w:val="21"/>
              </w:rPr>
            </w:pPr>
            <w:r>
              <w:rPr>
                <w:rFonts w:ascii="宋体" w:hAnsi="宋体" w:cs="宋体" w:hint="eastAsia"/>
                <w:kern w:val="0"/>
                <w:szCs w:val="21"/>
              </w:rPr>
              <w:t>按砌体体积计算</w:t>
            </w:r>
          </w:p>
        </w:tc>
      </w:tr>
      <w:tr w:rsidR="00A320E6" w14:paraId="4E5B7BDA" w14:textId="77777777" w:rsidTr="00EC50E9">
        <w:trPr>
          <w:trHeight w:val="450"/>
          <w:jc w:val="center"/>
        </w:trPr>
        <w:tc>
          <w:tcPr>
            <w:tcW w:w="621" w:type="pct"/>
            <w:vMerge w:val="restart"/>
            <w:tcBorders>
              <w:top w:val="nil"/>
              <w:left w:val="single" w:sz="4" w:space="0" w:color="auto"/>
              <w:bottom w:val="single" w:sz="4" w:space="0" w:color="auto"/>
              <w:right w:val="single" w:sz="4" w:space="0" w:color="auto"/>
            </w:tcBorders>
            <w:vAlign w:val="center"/>
          </w:tcPr>
          <w:p w14:paraId="6B2F07CC" w14:textId="77777777" w:rsidR="00A320E6" w:rsidRDefault="00000000" w:rsidP="00EC50E9">
            <w:pPr>
              <w:jc w:val="center"/>
              <w:rPr>
                <w:rFonts w:ascii="宋体" w:hAnsi="宋体" w:cs="宋体"/>
                <w:kern w:val="0"/>
                <w:szCs w:val="21"/>
              </w:rPr>
            </w:pPr>
            <w:r>
              <w:rPr>
                <w:rFonts w:ascii="宋体" w:hAnsi="宋体" w:cs="宋体" w:hint="eastAsia"/>
                <w:kern w:val="0"/>
                <w:szCs w:val="21"/>
              </w:rPr>
              <w:t>12</w:t>
            </w:r>
          </w:p>
        </w:tc>
        <w:tc>
          <w:tcPr>
            <w:tcW w:w="472" w:type="pct"/>
            <w:vMerge w:val="restart"/>
            <w:tcBorders>
              <w:top w:val="nil"/>
              <w:left w:val="single" w:sz="4" w:space="0" w:color="auto"/>
              <w:bottom w:val="single" w:sz="4" w:space="0" w:color="auto"/>
              <w:right w:val="single" w:sz="4" w:space="0" w:color="auto"/>
            </w:tcBorders>
            <w:vAlign w:val="center"/>
          </w:tcPr>
          <w:p w14:paraId="064B0B7C" w14:textId="77777777" w:rsidR="00A320E6" w:rsidRDefault="00000000" w:rsidP="00EC50E9">
            <w:pPr>
              <w:jc w:val="center"/>
              <w:rPr>
                <w:rFonts w:ascii="宋体" w:hAnsi="宋体" w:cs="宋体"/>
                <w:kern w:val="0"/>
                <w:szCs w:val="21"/>
              </w:rPr>
            </w:pPr>
            <w:r>
              <w:rPr>
                <w:rFonts w:ascii="宋体" w:hAnsi="宋体" w:cs="宋体" w:hint="eastAsia"/>
                <w:kern w:val="0"/>
                <w:szCs w:val="21"/>
              </w:rPr>
              <w:t>灌溉</w:t>
            </w:r>
          </w:p>
          <w:p w14:paraId="08043698" w14:textId="77777777" w:rsidR="00A320E6" w:rsidRDefault="00000000" w:rsidP="00EC50E9">
            <w:pPr>
              <w:jc w:val="center"/>
              <w:rPr>
                <w:rFonts w:ascii="宋体" w:hAnsi="宋体" w:cs="宋体"/>
                <w:kern w:val="0"/>
                <w:szCs w:val="21"/>
              </w:rPr>
            </w:pPr>
            <w:r>
              <w:rPr>
                <w:rFonts w:ascii="宋体" w:hAnsi="宋体" w:cs="宋体" w:hint="eastAsia"/>
                <w:kern w:val="0"/>
                <w:szCs w:val="21"/>
              </w:rPr>
              <w:t>设备</w:t>
            </w:r>
          </w:p>
        </w:tc>
        <w:tc>
          <w:tcPr>
            <w:tcW w:w="1127" w:type="pct"/>
            <w:tcBorders>
              <w:top w:val="nil"/>
              <w:left w:val="nil"/>
              <w:bottom w:val="single" w:sz="4" w:space="0" w:color="auto"/>
              <w:right w:val="single" w:sz="4" w:space="0" w:color="auto"/>
            </w:tcBorders>
            <w:vAlign w:val="center"/>
          </w:tcPr>
          <w:p w14:paraId="24AF0E95" w14:textId="77777777" w:rsidR="00A320E6" w:rsidRDefault="00000000" w:rsidP="00EC50E9">
            <w:pPr>
              <w:jc w:val="left"/>
              <w:rPr>
                <w:rFonts w:ascii="宋体" w:hAnsi="宋体" w:cs="宋体"/>
                <w:kern w:val="0"/>
                <w:szCs w:val="21"/>
              </w:rPr>
            </w:pPr>
            <w:r>
              <w:rPr>
                <w:rFonts w:ascii="宋体" w:hAnsi="宋体" w:cs="宋体" w:hint="eastAsia"/>
                <w:kern w:val="0"/>
                <w:szCs w:val="21"/>
              </w:rPr>
              <w:t>铁管直径10cm以下</w:t>
            </w:r>
          </w:p>
        </w:tc>
        <w:tc>
          <w:tcPr>
            <w:tcW w:w="919" w:type="pct"/>
            <w:tcBorders>
              <w:top w:val="nil"/>
              <w:left w:val="nil"/>
              <w:bottom w:val="single" w:sz="4" w:space="0" w:color="auto"/>
              <w:right w:val="single" w:sz="4" w:space="0" w:color="auto"/>
            </w:tcBorders>
            <w:vAlign w:val="center"/>
          </w:tcPr>
          <w:p w14:paraId="6ACF27CB" w14:textId="77777777" w:rsidR="00A320E6" w:rsidRDefault="00000000" w:rsidP="00EC50E9">
            <w:pPr>
              <w:jc w:val="center"/>
              <w:rPr>
                <w:rFonts w:ascii="宋体" w:hAnsi="宋体" w:cs="宋体"/>
                <w:kern w:val="0"/>
                <w:szCs w:val="21"/>
              </w:rPr>
            </w:pPr>
            <w:r>
              <w:rPr>
                <w:rFonts w:ascii="宋体" w:hAnsi="宋体" w:cs="宋体" w:hint="eastAsia"/>
                <w:kern w:val="0"/>
                <w:szCs w:val="21"/>
              </w:rPr>
              <w:t>50-100元/m</w:t>
            </w:r>
          </w:p>
        </w:tc>
        <w:tc>
          <w:tcPr>
            <w:tcW w:w="1861" w:type="pct"/>
            <w:vMerge w:val="restart"/>
            <w:tcBorders>
              <w:top w:val="nil"/>
              <w:left w:val="single" w:sz="4" w:space="0" w:color="auto"/>
              <w:bottom w:val="single" w:sz="4" w:space="0" w:color="auto"/>
              <w:right w:val="single" w:sz="4" w:space="0" w:color="auto"/>
            </w:tcBorders>
            <w:vAlign w:val="center"/>
          </w:tcPr>
          <w:p w14:paraId="28368365" w14:textId="77777777" w:rsidR="00A320E6" w:rsidRDefault="00000000" w:rsidP="00EC50E9">
            <w:pPr>
              <w:jc w:val="left"/>
              <w:rPr>
                <w:rFonts w:ascii="宋体" w:hAnsi="宋体" w:cs="宋体"/>
                <w:kern w:val="0"/>
                <w:szCs w:val="21"/>
              </w:rPr>
            </w:pPr>
            <w:r>
              <w:rPr>
                <w:rFonts w:ascii="宋体" w:hAnsi="宋体" w:cs="宋体" w:hint="eastAsia"/>
                <w:kern w:val="0"/>
                <w:szCs w:val="21"/>
              </w:rPr>
              <w:t>1、含人工材料费及出水口设施等费用</w:t>
            </w:r>
            <w:r>
              <w:rPr>
                <w:rFonts w:ascii="宋体" w:hAnsi="宋体" w:cs="宋体" w:hint="eastAsia"/>
                <w:kern w:val="0"/>
                <w:szCs w:val="21"/>
              </w:rPr>
              <w:br/>
              <w:t>2、旧料归原主</w:t>
            </w:r>
          </w:p>
        </w:tc>
      </w:tr>
      <w:tr w:rsidR="00A320E6" w14:paraId="52ADBFB8"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26AB42F2"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3341535"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01E5D2E" w14:textId="77777777" w:rsidR="00A320E6" w:rsidRDefault="00000000" w:rsidP="00EC50E9">
            <w:pPr>
              <w:jc w:val="left"/>
              <w:rPr>
                <w:rFonts w:ascii="宋体" w:hAnsi="宋体" w:cs="宋体"/>
                <w:kern w:val="0"/>
                <w:szCs w:val="21"/>
              </w:rPr>
            </w:pPr>
            <w:r>
              <w:rPr>
                <w:rFonts w:ascii="宋体" w:hAnsi="宋体" w:cs="宋体" w:hint="eastAsia"/>
                <w:kern w:val="0"/>
                <w:szCs w:val="21"/>
              </w:rPr>
              <w:t>铁管直径10-20cm</w:t>
            </w:r>
          </w:p>
        </w:tc>
        <w:tc>
          <w:tcPr>
            <w:tcW w:w="919" w:type="pct"/>
            <w:tcBorders>
              <w:top w:val="nil"/>
              <w:left w:val="nil"/>
              <w:bottom w:val="single" w:sz="4" w:space="0" w:color="auto"/>
              <w:right w:val="single" w:sz="4" w:space="0" w:color="auto"/>
            </w:tcBorders>
            <w:vAlign w:val="center"/>
          </w:tcPr>
          <w:p w14:paraId="37E9A021" w14:textId="77777777" w:rsidR="00A320E6" w:rsidRDefault="00000000" w:rsidP="00EC50E9">
            <w:pPr>
              <w:jc w:val="center"/>
              <w:rPr>
                <w:rFonts w:ascii="宋体" w:hAnsi="宋体" w:cs="宋体"/>
                <w:kern w:val="0"/>
                <w:szCs w:val="21"/>
              </w:rPr>
            </w:pPr>
            <w:r>
              <w:rPr>
                <w:rFonts w:ascii="宋体" w:hAnsi="宋体" w:cs="宋体" w:hint="eastAsia"/>
                <w:kern w:val="0"/>
                <w:szCs w:val="21"/>
              </w:rPr>
              <w:t>100-200元/m</w:t>
            </w:r>
          </w:p>
        </w:tc>
        <w:tc>
          <w:tcPr>
            <w:tcW w:w="1861" w:type="pct"/>
            <w:vMerge/>
            <w:tcBorders>
              <w:top w:val="nil"/>
              <w:left w:val="single" w:sz="4" w:space="0" w:color="auto"/>
              <w:bottom w:val="single" w:sz="4" w:space="0" w:color="auto"/>
              <w:right w:val="single" w:sz="4" w:space="0" w:color="auto"/>
            </w:tcBorders>
            <w:vAlign w:val="center"/>
          </w:tcPr>
          <w:p w14:paraId="18B0D37A" w14:textId="77777777" w:rsidR="00A320E6" w:rsidRDefault="00A320E6" w:rsidP="00EC50E9">
            <w:pPr>
              <w:jc w:val="left"/>
              <w:rPr>
                <w:rFonts w:ascii="宋体" w:hAnsi="宋体" w:cs="宋体"/>
                <w:kern w:val="0"/>
                <w:szCs w:val="21"/>
              </w:rPr>
            </w:pPr>
          </w:p>
        </w:tc>
      </w:tr>
      <w:tr w:rsidR="00A320E6" w14:paraId="0F9FB9FE"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6EA0CBD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9B9A4D8"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1F5B7ED" w14:textId="77777777" w:rsidR="00A320E6" w:rsidRDefault="00000000" w:rsidP="00EC50E9">
            <w:pPr>
              <w:jc w:val="left"/>
              <w:rPr>
                <w:rFonts w:ascii="宋体" w:hAnsi="宋体" w:cs="宋体"/>
                <w:kern w:val="0"/>
                <w:szCs w:val="21"/>
              </w:rPr>
            </w:pPr>
            <w:r>
              <w:rPr>
                <w:rFonts w:ascii="宋体" w:hAnsi="宋体" w:cs="宋体" w:hint="eastAsia"/>
                <w:kern w:val="0"/>
                <w:szCs w:val="21"/>
              </w:rPr>
              <w:t>水泥管直径20cm以下</w:t>
            </w:r>
          </w:p>
        </w:tc>
        <w:tc>
          <w:tcPr>
            <w:tcW w:w="919" w:type="pct"/>
            <w:tcBorders>
              <w:top w:val="nil"/>
              <w:left w:val="nil"/>
              <w:bottom w:val="single" w:sz="4" w:space="0" w:color="auto"/>
              <w:right w:val="single" w:sz="4" w:space="0" w:color="auto"/>
            </w:tcBorders>
            <w:vAlign w:val="center"/>
          </w:tcPr>
          <w:p w14:paraId="5A9DE78C" w14:textId="77777777" w:rsidR="00A320E6" w:rsidRDefault="00000000" w:rsidP="00EC50E9">
            <w:pPr>
              <w:jc w:val="center"/>
              <w:rPr>
                <w:rFonts w:ascii="宋体" w:hAnsi="宋体" w:cs="宋体"/>
                <w:kern w:val="0"/>
                <w:szCs w:val="21"/>
              </w:rPr>
            </w:pPr>
            <w:r>
              <w:rPr>
                <w:rFonts w:ascii="宋体" w:hAnsi="宋体" w:cs="宋体" w:hint="eastAsia"/>
                <w:kern w:val="0"/>
                <w:szCs w:val="21"/>
              </w:rPr>
              <w:t>20-50元/m</w:t>
            </w:r>
          </w:p>
        </w:tc>
        <w:tc>
          <w:tcPr>
            <w:tcW w:w="1861" w:type="pct"/>
            <w:vMerge/>
            <w:tcBorders>
              <w:top w:val="nil"/>
              <w:left w:val="single" w:sz="4" w:space="0" w:color="auto"/>
              <w:bottom w:val="single" w:sz="4" w:space="0" w:color="auto"/>
              <w:right w:val="single" w:sz="4" w:space="0" w:color="auto"/>
            </w:tcBorders>
            <w:vAlign w:val="center"/>
          </w:tcPr>
          <w:p w14:paraId="76C8C7A3" w14:textId="77777777" w:rsidR="00A320E6" w:rsidRDefault="00A320E6" w:rsidP="00EC50E9">
            <w:pPr>
              <w:jc w:val="left"/>
              <w:rPr>
                <w:rFonts w:ascii="宋体" w:hAnsi="宋体" w:cs="宋体"/>
                <w:kern w:val="0"/>
                <w:szCs w:val="21"/>
              </w:rPr>
            </w:pPr>
          </w:p>
        </w:tc>
      </w:tr>
      <w:tr w:rsidR="00A320E6" w14:paraId="2B265E6C"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7DAF0FD3"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FFF079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5D30219" w14:textId="77777777" w:rsidR="00A320E6" w:rsidRDefault="00000000" w:rsidP="00EC50E9">
            <w:pPr>
              <w:jc w:val="left"/>
              <w:rPr>
                <w:rFonts w:ascii="宋体" w:hAnsi="宋体" w:cs="宋体"/>
                <w:kern w:val="0"/>
                <w:szCs w:val="21"/>
              </w:rPr>
            </w:pPr>
            <w:r>
              <w:rPr>
                <w:rFonts w:ascii="宋体" w:hAnsi="宋体" w:cs="宋体" w:hint="eastAsia"/>
                <w:kern w:val="0"/>
                <w:szCs w:val="21"/>
              </w:rPr>
              <w:t>水泥管直径20-50cm</w:t>
            </w:r>
          </w:p>
        </w:tc>
        <w:tc>
          <w:tcPr>
            <w:tcW w:w="919" w:type="pct"/>
            <w:tcBorders>
              <w:top w:val="nil"/>
              <w:left w:val="nil"/>
              <w:bottom w:val="single" w:sz="4" w:space="0" w:color="auto"/>
              <w:right w:val="single" w:sz="4" w:space="0" w:color="auto"/>
            </w:tcBorders>
            <w:vAlign w:val="center"/>
          </w:tcPr>
          <w:p w14:paraId="7B04558A" w14:textId="77777777" w:rsidR="00A320E6" w:rsidRDefault="00000000" w:rsidP="00EC50E9">
            <w:pPr>
              <w:jc w:val="center"/>
              <w:rPr>
                <w:rFonts w:ascii="宋体" w:hAnsi="宋体" w:cs="宋体"/>
                <w:kern w:val="0"/>
                <w:szCs w:val="21"/>
              </w:rPr>
            </w:pPr>
            <w:r>
              <w:rPr>
                <w:rFonts w:ascii="宋体" w:hAnsi="宋体" w:cs="宋体" w:hint="eastAsia"/>
                <w:kern w:val="0"/>
                <w:szCs w:val="21"/>
              </w:rPr>
              <w:t>50-140元/m</w:t>
            </w:r>
          </w:p>
        </w:tc>
        <w:tc>
          <w:tcPr>
            <w:tcW w:w="1861" w:type="pct"/>
            <w:vMerge/>
            <w:tcBorders>
              <w:top w:val="nil"/>
              <w:left w:val="single" w:sz="4" w:space="0" w:color="auto"/>
              <w:bottom w:val="single" w:sz="4" w:space="0" w:color="auto"/>
              <w:right w:val="single" w:sz="4" w:space="0" w:color="auto"/>
            </w:tcBorders>
            <w:vAlign w:val="center"/>
          </w:tcPr>
          <w:p w14:paraId="705294E1" w14:textId="77777777" w:rsidR="00A320E6" w:rsidRDefault="00A320E6" w:rsidP="00EC50E9">
            <w:pPr>
              <w:jc w:val="left"/>
              <w:rPr>
                <w:rFonts w:ascii="宋体" w:hAnsi="宋体" w:cs="宋体"/>
                <w:kern w:val="0"/>
                <w:szCs w:val="21"/>
              </w:rPr>
            </w:pPr>
          </w:p>
        </w:tc>
      </w:tr>
      <w:tr w:rsidR="00A320E6" w14:paraId="71F478D4"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7A01114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5FFB10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0D37E950" w14:textId="77777777" w:rsidR="00A320E6" w:rsidRDefault="00000000" w:rsidP="00EC50E9">
            <w:pPr>
              <w:jc w:val="left"/>
              <w:rPr>
                <w:rFonts w:ascii="宋体" w:hAnsi="宋体" w:cs="宋体"/>
                <w:kern w:val="0"/>
                <w:szCs w:val="21"/>
              </w:rPr>
            </w:pPr>
            <w:r>
              <w:rPr>
                <w:rFonts w:ascii="宋体" w:hAnsi="宋体" w:cs="宋体" w:hint="eastAsia"/>
                <w:kern w:val="0"/>
                <w:szCs w:val="21"/>
              </w:rPr>
              <w:t>塑料管直径10cm以下</w:t>
            </w:r>
          </w:p>
        </w:tc>
        <w:tc>
          <w:tcPr>
            <w:tcW w:w="919" w:type="pct"/>
            <w:tcBorders>
              <w:top w:val="nil"/>
              <w:left w:val="nil"/>
              <w:bottom w:val="single" w:sz="4" w:space="0" w:color="auto"/>
              <w:right w:val="single" w:sz="4" w:space="0" w:color="auto"/>
            </w:tcBorders>
            <w:vAlign w:val="center"/>
          </w:tcPr>
          <w:p w14:paraId="34FE4E45" w14:textId="77777777" w:rsidR="00A320E6" w:rsidRDefault="00000000" w:rsidP="00EC50E9">
            <w:pPr>
              <w:jc w:val="center"/>
              <w:rPr>
                <w:rFonts w:ascii="宋体" w:hAnsi="宋体" w:cs="宋体"/>
                <w:kern w:val="0"/>
                <w:szCs w:val="21"/>
              </w:rPr>
            </w:pPr>
            <w:r>
              <w:rPr>
                <w:rFonts w:ascii="宋体" w:hAnsi="宋体" w:cs="宋体" w:hint="eastAsia"/>
                <w:kern w:val="0"/>
                <w:szCs w:val="21"/>
              </w:rPr>
              <w:t>10-30元/m</w:t>
            </w:r>
          </w:p>
        </w:tc>
        <w:tc>
          <w:tcPr>
            <w:tcW w:w="1861" w:type="pct"/>
            <w:vMerge/>
            <w:tcBorders>
              <w:top w:val="nil"/>
              <w:left w:val="single" w:sz="4" w:space="0" w:color="auto"/>
              <w:bottom w:val="single" w:sz="4" w:space="0" w:color="auto"/>
              <w:right w:val="single" w:sz="4" w:space="0" w:color="auto"/>
            </w:tcBorders>
            <w:vAlign w:val="center"/>
          </w:tcPr>
          <w:p w14:paraId="1B0D8D5A" w14:textId="77777777" w:rsidR="00A320E6" w:rsidRDefault="00A320E6" w:rsidP="00EC50E9">
            <w:pPr>
              <w:jc w:val="left"/>
              <w:rPr>
                <w:rFonts w:ascii="宋体" w:hAnsi="宋体" w:cs="宋体"/>
                <w:kern w:val="0"/>
                <w:szCs w:val="21"/>
              </w:rPr>
            </w:pPr>
          </w:p>
        </w:tc>
      </w:tr>
      <w:tr w:rsidR="00A320E6" w14:paraId="1895A511"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4ACC53A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BB10FA6"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2B203B5" w14:textId="77777777" w:rsidR="00A320E6" w:rsidRDefault="00000000" w:rsidP="00EC50E9">
            <w:pPr>
              <w:jc w:val="left"/>
              <w:rPr>
                <w:rFonts w:ascii="宋体" w:hAnsi="宋体" w:cs="宋体"/>
                <w:kern w:val="0"/>
                <w:szCs w:val="21"/>
              </w:rPr>
            </w:pPr>
            <w:r>
              <w:rPr>
                <w:rFonts w:ascii="宋体" w:hAnsi="宋体" w:cs="宋体" w:hint="eastAsia"/>
                <w:kern w:val="0"/>
                <w:szCs w:val="21"/>
              </w:rPr>
              <w:t>塑料管直径10-20cm</w:t>
            </w:r>
          </w:p>
        </w:tc>
        <w:tc>
          <w:tcPr>
            <w:tcW w:w="919" w:type="pct"/>
            <w:tcBorders>
              <w:top w:val="nil"/>
              <w:left w:val="nil"/>
              <w:bottom w:val="single" w:sz="4" w:space="0" w:color="auto"/>
              <w:right w:val="single" w:sz="4" w:space="0" w:color="auto"/>
            </w:tcBorders>
            <w:vAlign w:val="center"/>
          </w:tcPr>
          <w:p w14:paraId="32451DA2" w14:textId="77777777" w:rsidR="00A320E6" w:rsidRDefault="00000000" w:rsidP="00EC50E9">
            <w:pPr>
              <w:jc w:val="center"/>
              <w:rPr>
                <w:rFonts w:ascii="宋体" w:hAnsi="宋体" w:cs="宋体"/>
                <w:kern w:val="0"/>
                <w:szCs w:val="21"/>
              </w:rPr>
            </w:pPr>
            <w:r>
              <w:rPr>
                <w:rFonts w:ascii="宋体" w:hAnsi="宋体" w:cs="宋体" w:hint="eastAsia"/>
                <w:kern w:val="0"/>
                <w:szCs w:val="21"/>
              </w:rPr>
              <w:t>30-120元/m</w:t>
            </w:r>
          </w:p>
        </w:tc>
        <w:tc>
          <w:tcPr>
            <w:tcW w:w="1861" w:type="pct"/>
            <w:vMerge/>
            <w:tcBorders>
              <w:top w:val="nil"/>
              <w:left w:val="single" w:sz="4" w:space="0" w:color="auto"/>
              <w:bottom w:val="single" w:sz="4" w:space="0" w:color="auto"/>
              <w:right w:val="single" w:sz="4" w:space="0" w:color="auto"/>
            </w:tcBorders>
            <w:vAlign w:val="center"/>
          </w:tcPr>
          <w:p w14:paraId="208E9277" w14:textId="77777777" w:rsidR="00A320E6" w:rsidRDefault="00A320E6" w:rsidP="00EC50E9">
            <w:pPr>
              <w:jc w:val="left"/>
              <w:rPr>
                <w:rFonts w:ascii="宋体" w:hAnsi="宋体" w:cs="宋体"/>
                <w:kern w:val="0"/>
                <w:szCs w:val="21"/>
              </w:rPr>
            </w:pPr>
          </w:p>
        </w:tc>
      </w:tr>
      <w:tr w:rsidR="00A320E6" w14:paraId="588651C3"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3FEA3BBE"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802B534"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AEE42D0" w14:textId="77777777" w:rsidR="00A320E6" w:rsidRDefault="00000000" w:rsidP="00EC50E9">
            <w:pPr>
              <w:jc w:val="left"/>
              <w:rPr>
                <w:rFonts w:ascii="宋体" w:hAnsi="宋体" w:cs="宋体"/>
                <w:kern w:val="0"/>
                <w:szCs w:val="21"/>
              </w:rPr>
            </w:pPr>
            <w:r>
              <w:rPr>
                <w:rFonts w:ascii="宋体" w:hAnsi="宋体" w:cs="宋体" w:hint="eastAsia"/>
                <w:kern w:val="0"/>
                <w:szCs w:val="21"/>
              </w:rPr>
              <w:t>微喷带、滴灌带管径16-50mm</w:t>
            </w:r>
          </w:p>
        </w:tc>
        <w:tc>
          <w:tcPr>
            <w:tcW w:w="919" w:type="pct"/>
            <w:tcBorders>
              <w:top w:val="nil"/>
              <w:left w:val="nil"/>
              <w:bottom w:val="single" w:sz="4" w:space="0" w:color="auto"/>
              <w:right w:val="single" w:sz="4" w:space="0" w:color="auto"/>
            </w:tcBorders>
            <w:vAlign w:val="center"/>
          </w:tcPr>
          <w:p w14:paraId="618604DF" w14:textId="77777777" w:rsidR="00A320E6" w:rsidRDefault="00000000" w:rsidP="00EC50E9">
            <w:pPr>
              <w:jc w:val="center"/>
              <w:rPr>
                <w:rFonts w:ascii="宋体" w:hAnsi="宋体" w:cs="宋体"/>
                <w:kern w:val="0"/>
                <w:szCs w:val="21"/>
              </w:rPr>
            </w:pPr>
            <w:r>
              <w:rPr>
                <w:rFonts w:ascii="宋体" w:hAnsi="宋体" w:cs="宋体" w:hint="eastAsia"/>
                <w:kern w:val="0"/>
                <w:szCs w:val="21"/>
              </w:rPr>
              <w:t>0.2-1.0元/m</w:t>
            </w:r>
          </w:p>
        </w:tc>
        <w:tc>
          <w:tcPr>
            <w:tcW w:w="1861" w:type="pct"/>
            <w:vMerge/>
            <w:tcBorders>
              <w:top w:val="nil"/>
              <w:left w:val="single" w:sz="4" w:space="0" w:color="auto"/>
              <w:bottom w:val="single" w:sz="4" w:space="0" w:color="auto"/>
              <w:right w:val="single" w:sz="4" w:space="0" w:color="auto"/>
            </w:tcBorders>
            <w:vAlign w:val="center"/>
          </w:tcPr>
          <w:p w14:paraId="6D75BAA6" w14:textId="77777777" w:rsidR="00A320E6" w:rsidRDefault="00A320E6" w:rsidP="00EC50E9">
            <w:pPr>
              <w:jc w:val="left"/>
              <w:rPr>
                <w:rFonts w:ascii="宋体" w:hAnsi="宋体" w:cs="宋体"/>
                <w:kern w:val="0"/>
                <w:szCs w:val="21"/>
              </w:rPr>
            </w:pPr>
          </w:p>
        </w:tc>
      </w:tr>
      <w:tr w:rsidR="00A320E6" w14:paraId="19E85955"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33FB8F9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4BF6C7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EB0F350" w14:textId="77777777" w:rsidR="00A320E6" w:rsidRDefault="00000000" w:rsidP="00EC50E9">
            <w:pPr>
              <w:jc w:val="left"/>
              <w:rPr>
                <w:rFonts w:ascii="宋体" w:hAnsi="宋体" w:cs="宋体"/>
                <w:kern w:val="0"/>
                <w:szCs w:val="21"/>
              </w:rPr>
            </w:pPr>
            <w:r>
              <w:rPr>
                <w:rFonts w:ascii="宋体" w:hAnsi="宋体" w:cs="宋体" w:hint="eastAsia"/>
                <w:kern w:val="0"/>
                <w:szCs w:val="21"/>
              </w:rPr>
              <w:t>PE管管径20-50mm</w:t>
            </w:r>
          </w:p>
        </w:tc>
        <w:tc>
          <w:tcPr>
            <w:tcW w:w="919" w:type="pct"/>
            <w:tcBorders>
              <w:top w:val="nil"/>
              <w:left w:val="nil"/>
              <w:bottom w:val="single" w:sz="4" w:space="0" w:color="auto"/>
              <w:right w:val="single" w:sz="4" w:space="0" w:color="auto"/>
            </w:tcBorders>
            <w:vAlign w:val="center"/>
          </w:tcPr>
          <w:p w14:paraId="757314FB" w14:textId="77777777" w:rsidR="00A320E6" w:rsidRDefault="00000000" w:rsidP="00EC50E9">
            <w:pPr>
              <w:jc w:val="center"/>
              <w:rPr>
                <w:rFonts w:ascii="宋体" w:hAnsi="宋体" w:cs="宋体"/>
                <w:kern w:val="0"/>
                <w:szCs w:val="21"/>
              </w:rPr>
            </w:pPr>
            <w:r>
              <w:rPr>
                <w:rFonts w:ascii="宋体" w:hAnsi="宋体" w:cs="宋体" w:hint="eastAsia"/>
                <w:kern w:val="0"/>
                <w:szCs w:val="21"/>
              </w:rPr>
              <w:t>1.5-10元/m</w:t>
            </w:r>
          </w:p>
        </w:tc>
        <w:tc>
          <w:tcPr>
            <w:tcW w:w="1861" w:type="pct"/>
            <w:vMerge/>
            <w:tcBorders>
              <w:top w:val="nil"/>
              <w:left w:val="single" w:sz="4" w:space="0" w:color="auto"/>
              <w:bottom w:val="single" w:sz="4" w:space="0" w:color="auto"/>
              <w:right w:val="single" w:sz="4" w:space="0" w:color="auto"/>
            </w:tcBorders>
            <w:vAlign w:val="center"/>
          </w:tcPr>
          <w:p w14:paraId="5AF8E7FA" w14:textId="77777777" w:rsidR="00A320E6" w:rsidRDefault="00A320E6" w:rsidP="00EC50E9">
            <w:pPr>
              <w:jc w:val="left"/>
              <w:rPr>
                <w:rFonts w:ascii="宋体" w:hAnsi="宋体" w:cs="宋体"/>
                <w:kern w:val="0"/>
                <w:szCs w:val="21"/>
              </w:rPr>
            </w:pPr>
          </w:p>
        </w:tc>
      </w:tr>
      <w:tr w:rsidR="00A320E6" w14:paraId="7D72C71C" w14:textId="77777777" w:rsidTr="00EC50E9">
        <w:trPr>
          <w:trHeight w:val="450"/>
          <w:jc w:val="center"/>
        </w:trPr>
        <w:tc>
          <w:tcPr>
            <w:tcW w:w="621" w:type="pct"/>
            <w:vMerge w:val="restart"/>
            <w:tcBorders>
              <w:top w:val="nil"/>
              <w:left w:val="single" w:sz="4" w:space="0" w:color="auto"/>
              <w:bottom w:val="single" w:sz="4" w:space="0" w:color="auto"/>
              <w:right w:val="single" w:sz="4" w:space="0" w:color="auto"/>
            </w:tcBorders>
            <w:vAlign w:val="center"/>
          </w:tcPr>
          <w:p w14:paraId="01B7E0DC" w14:textId="77777777" w:rsidR="00A320E6" w:rsidRDefault="00000000" w:rsidP="00EC50E9">
            <w:pPr>
              <w:jc w:val="center"/>
              <w:rPr>
                <w:rFonts w:ascii="宋体" w:hAnsi="宋体" w:cs="宋体"/>
                <w:kern w:val="0"/>
                <w:szCs w:val="21"/>
              </w:rPr>
            </w:pPr>
            <w:r>
              <w:rPr>
                <w:rFonts w:ascii="宋体" w:hAnsi="宋体" w:cs="宋体" w:hint="eastAsia"/>
                <w:kern w:val="0"/>
                <w:szCs w:val="21"/>
              </w:rPr>
              <w:t>13</w:t>
            </w:r>
          </w:p>
        </w:tc>
        <w:tc>
          <w:tcPr>
            <w:tcW w:w="472" w:type="pct"/>
            <w:vMerge w:val="restart"/>
            <w:tcBorders>
              <w:top w:val="nil"/>
              <w:left w:val="single" w:sz="4" w:space="0" w:color="auto"/>
              <w:bottom w:val="single" w:sz="4" w:space="0" w:color="auto"/>
              <w:right w:val="single" w:sz="4" w:space="0" w:color="auto"/>
            </w:tcBorders>
            <w:vAlign w:val="center"/>
          </w:tcPr>
          <w:p w14:paraId="0639F646" w14:textId="77777777" w:rsidR="00A320E6" w:rsidRDefault="00000000" w:rsidP="00EC50E9">
            <w:pPr>
              <w:jc w:val="center"/>
              <w:rPr>
                <w:rFonts w:ascii="宋体" w:hAnsi="宋体" w:cs="宋体"/>
                <w:kern w:val="0"/>
                <w:szCs w:val="21"/>
              </w:rPr>
            </w:pPr>
            <w:r>
              <w:rPr>
                <w:rFonts w:ascii="宋体" w:hAnsi="宋体" w:cs="宋体" w:hint="eastAsia"/>
                <w:kern w:val="0"/>
                <w:szCs w:val="21"/>
              </w:rPr>
              <w:t>路面、</w:t>
            </w:r>
          </w:p>
          <w:p w14:paraId="78A97E32" w14:textId="77777777" w:rsidR="00A320E6" w:rsidRDefault="00000000" w:rsidP="00EC50E9">
            <w:pPr>
              <w:jc w:val="center"/>
              <w:rPr>
                <w:rFonts w:ascii="宋体" w:hAnsi="宋体" w:cs="宋体"/>
                <w:kern w:val="0"/>
                <w:szCs w:val="21"/>
              </w:rPr>
            </w:pPr>
            <w:r>
              <w:rPr>
                <w:rFonts w:ascii="宋体" w:hAnsi="宋体" w:cs="宋体" w:hint="eastAsia"/>
                <w:kern w:val="0"/>
                <w:szCs w:val="21"/>
              </w:rPr>
              <w:t>地面</w:t>
            </w:r>
          </w:p>
        </w:tc>
        <w:tc>
          <w:tcPr>
            <w:tcW w:w="1127" w:type="pct"/>
            <w:tcBorders>
              <w:top w:val="nil"/>
              <w:left w:val="nil"/>
              <w:bottom w:val="single" w:sz="4" w:space="0" w:color="auto"/>
              <w:right w:val="single" w:sz="4" w:space="0" w:color="auto"/>
            </w:tcBorders>
            <w:vAlign w:val="center"/>
          </w:tcPr>
          <w:p w14:paraId="195B3FCA" w14:textId="77777777" w:rsidR="00A320E6" w:rsidRDefault="00000000" w:rsidP="00EC50E9">
            <w:pPr>
              <w:jc w:val="left"/>
              <w:rPr>
                <w:rFonts w:ascii="宋体" w:hAnsi="宋体" w:cs="宋体"/>
                <w:kern w:val="0"/>
                <w:szCs w:val="21"/>
              </w:rPr>
            </w:pPr>
            <w:r>
              <w:rPr>
                <w:rFonts w:ascii="宋体" w:hAnsi="宋体" w:cs="宋体" w:hint="eastAsia"/>
                <w:kern w:val="0"/>
                <w:szCs w:val="21"/>
              </w:rPr>
              <w:t>沥青硬化(厚度10cm)</w:t>
            </w:r>
          </w:p>
        </w:tc>
        <w:tc>
          <w:tcPr>
            <w:tcW w:w="919" w:type="pct"/>
            <w:tcBorders>
              <w:top w:val="nil"/>
              <w:left w:val="nil"/>
              <w:bottom w:val="single" w:sz="4" w:space="0" w:color="auto"/>
              <w:right w:val="single" w:sz="4" w:space="0" w:color="auto"/>
            </w:tcBorders>
            <w:vAlign w:val="center"/>
          </w:tcPr>
          <w:p w14:paraId="5CAAE7D8" w14:textId="77777777" w:rsidR="00A320E6" w:rsidRDefault="00000000" w:rsidP="00EC50E9">
            <w:pPr>
              <w:jc w:val="center"/>
              <w:rPr>
                <w:rFonts w:ascii="宋体" w:hAnsi="宋体" w:cs="宋体"/>
                <w:kern w:val="0"/>
                <w:szCs w:val="21"/>
              </w:rPr>
            </w:pPr>
            <w:r>
              <w:rPr>
                <w:rFonts w:ascii="宋体" w:hAnsi="宋体" w:cs="宋体" w:hint="eastAsia"/>
                <w:kern w:val="0"/>
                <w:szCs w:val="21"/>
              </w:rPr>
              <w:t>120-180元/㎡</w:t>
            </w:r>
          </w:p>
        </w:tc>
        <w:tc>
          <w:tcPr>
            <w:tcW w:w="1861" w:type="pct"/>
            <w:vMerge w:val="restart"/>
            <w:tcBorders>
              <w:top w:val="nil"/>
              <w:left w:val="single" w:sz="4" w:space="0" w:color="auto"/>
              <w:bottom w:val="single" w:sz="4" w:space="0" w:color="auto"/>
              <w:right w:val="single" w:sz="4" w:space="0" w:color="auto"/>
            </w:tcBorders>
            <w:vAlign w:val="center"/>
          </w:tcPr>
          <w:p w14:paraId="238D43E7" w14:textId="77777777" w:rsidR="00A320E6" w:rsidRDefault="00000000" w:rsidP="00EC50E9">
            <w:pPr>
              <w:jc w:val="left"/>
              <w:rPr>
                <w:rFonts w:ascii="宋体" w:hAnsi="宋体" w:cs="宋体"/>
                <w:kern w:val="0"/>
                <w:szCs w:val="21"/>
              </w:rPr>
            </w:pPr>
            <w:r>
              <w:rPr>
                <w:rFonts w:ascii="宋体" w:hAnsi="宋体" w:cs="宋体" w:hint="eastAsia"/>
                <w:kern w:val="0"/>
                <w:szCs w:val="21"/>
              </w:rPr>
              <w:t>1、沥青硬化厚度每增减1厘米，补偿标准增减15元/㎡</w:t>
            </w:r>
            <w:r>
              <w:rPr>
                <w:rFonts w:ascii="宋体" w:hAnsi="宋体" w:cs="宋体" w:hint="eastAsia"/>
                <w:kern w:val="0"/>
                <w:szCs w:val="21"/>
              </w:rPr>
              <w:br/>
              <w:t>2、混凝土硬化厚度每增减1厘米，补偿标准增减5元/㎡</w:t>
            </w:r>
            <w:r>
              <w:rPr>
                <w:rFonts w:ascii="宋体" w:hAnsi="宋体" w:cs="宋体" w:hint="eastAsia"/>
                <w:kern w:val="0"/>
                <w:szCs w:val="21"/>
              </w:rPr>
              <w:br/>
              <w:t>3、旧料归原主</w:t>
            </w:r>
          </w:p>
        </w:tc>
      </w:tr>
      <w:tr w:rsidR="00A320E6" w14:paraId="2C8C4970"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374D8757"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44DEC59"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C70E0B5" w14:textId="77777777" w:rsidR="00A320E6" w:rsidRDefault="00000000" w:rsidP="00EC50E9">
            <w:pPr>
              <w:jc w:val="left"/>
              <w:rPr>
                <w:rFonts w:ascii="宋体" w:hAnsi="宋体" w:cs="宋体"/>
                <w:kern w:val="0"/>
                <w:szCs w:val="21"/>
              </w:rPr>
            </w:pPr>
            <w:r>
              <w:rPr>
                <w:rFonts w:ascii="宋体" w:hAnsi="宋体" w:cs="宋体" w:hint="eastAsia"/>
                <w:kern w:val="0"/>
                <w:szCs w:val="21"/>
              </w:rPr>
              <w:t>混凝土硬化(厚度18cm)</w:t>
            </w:r>
          </w:p>
        </w:tc>
        <w:tc>
          <w:tcPr>
            <w:tcW w:w="919" w:type="pct"/>
            <w:tcBorders>
              <w:top w:val="nil"/>
              <w:left w:val="nil"/>
              <w:bottom w:val="single" w:sz="4" w:space="0" w:color="auto"/>
              <w:right w:val="single" w:sz="4" w:space="0" w:color="auto"/>
            </w:tcBorders>
            <w:vAlign w:val="center"/>
          </w:tcPr>
          <w:p w14:paraId="01695972" w14:textId="77777777" w:rsidR="00A320E6" w:rsidRDefault="00000000" w:rsidP="00EC50E9">
            <w:pPr>
              <w:jc w:val="center"/>
              <w:rPr>
                <w:rFonts w:ascii="宋体" w:hAnsi="宋体" w:cs="宋体"/>
                <w:kern w:val="0"/>
                <w:szCs w:val="21"/>
              </w:rPr>
            </w:pPr>
            <w:r>
              <w:rPr>
                <w:rFonts w:ascii="宋体" w:hAnsi="宋体" w:cs="宋体" w:hint="eastAsia"/>
                <w:kern w:val="0"/>
                <w:szCs w:val="21"/>
              </w:rPr>
              <w:t>80-120元/㎡</w:t>
            </w:r>
          </w:p>
        </w:tc>
        <w:tc>
          <w:tcPr>
            <w:tcW w:w="1861" w:type="pct"/>
            <w:vMerge/>
            <w:tcBorders>
              <w:top w:val="nil"/>
              <w:left w:val="single" w:sz="4" w:space="0" w:color="auto"/>
              <w:bottom w:val="single" w:sz="4" w:space="0" w:color="auto"/>
              <w:right w:val="single" w:sz="4" w:space="0" w:color="auto"/>
            </w:tcBorders>
            <w:vAlign w:val="center"/>
          </w:tcPr>
          <w:p w14:paraId="41992E26" w14:textId="77777777" w:rsidR="00A320E6" w:rsidRDefault="00A320E6" w:rsidP="00EC50E9">
            <w:pPr>
              <w:jc w:val="left"/>
              <w:rPr>
                <w:rFonts w:ascii="宋体" w:hAnsi="宋体" w:cs="宋体"/>
                <w:kern w:val="0"/>
                <w:szCs w:val="21"/>
              </w:rPr>
            </w:pPr>
          </w:p>
        </w:tc>
      </w:tr>
      <w:tr w:rsidR="00A320E6" w14:paraId="57208E1B"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1CEA26A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DD8B944"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E484A2E" w14:textId="77777777" w:rsidR="00A320E6" w:rsidRDefault="00000000" w:rsidP="00EC50E9">
            <w:pPr>
              <w:jc w:val="left"/>
              <w:rPr>
                <w:rFonts w:ascii="宋体" w:hAnsi="宋体" w:cs="宋体"/>
                <w:kern w:val="0"/>
                <w:szCs w:val="21"/>
              </w:rPr>
            </w:pPr>
            <w:r>
              <w:rPr>
                <w:rFonts w:ascii="宋体" w:hAnsi="宋体" w:cs="宋体" w:hint="eastAsia"/>
                <w:kern w:val="0"/>
                <w:szCs w:val="21"/>
              </w:rPr>
              <w:t>其他硬化</w:t>
            </w:r>
          </w:p>
        </w:tc>
        <w:tc>
          <w:tcPr>
            <w:tcW w:w="919" w:type="pct"/>
            <w:tcBorders>
              <w:top w:val="nil"/>
              <w:left w:val="nil"/>
              <w:bottom w:val="single" w:sz="4" w:space="0" w:color="auto"/>
              <w:right w:val="single" w:sz="4" w:space="0" w:color="auto"/>
            </w:tcBorders>
            <w:vAlign w:val="center"/>
          </w:tcPr>
          <w:p w14:paraId="1652B6CE" w14:textId="77777777" w:rsidR="00A320E6" w:rsidRDefault="00000000" w:rsidP="00EC50E9">
            <w:pPr>
              <w:jc w:val="center"/>
              <w:rPr>
                <w:rFonts w:ascii="宋体" w:hAnsi="宋体" w:cs="宋体"/>
                <w:kern w:val="0"/>
                <w:szCs w:val="21"/>
              </w:rPr>
            </w:pPr>
            <w:r>
              <w:rPr>
                <w:rFonts w:ascii="宋体" w:hAnsi="宋体" w:cs="宋体" w:hint="eastAsia"/>
                <w:kern w:val="0"/>
                <w:szCs w:val="21"/>
              </w:rPr>
              <w:t>30-90元/㎡</w:t>
            </w:r>
          </w:p>
        </w:tc>
        <w:tc>
          <w:tcPr>
            <w:tcW w:w="1861" w:type="pct"/>
            <w:vMerge/>
            <w:tcBorders>
              <w:top w:val="nil"/>
              <w:left w:val="single" w:sz="4" w:space="0" w:color="auto"/>
              <w:bottom w:val="single" w:sz="4" w:space="0" w:color="auto"/>
              <w:right w:val="single" w:sz="4" w:space="0" w:color="auto"/>
            </w:tcBorders>
            <w:vAlign w:val="center"/>
          </w:tcPr>
          <w:p w14:paraId="7E3BCC7B" w14:textId="77777777" w:rsidR="00A320E6" w:rsidRDefault="00A320E6" w:rsidP="00EC50E9">
            <w:pPr>
              <w:jc w:val="left"/>
              <w:rPr>
                <w:rFonts w:ascii="宋体" w:hAnsi="宋体" w:cs="宋体"/>
                <w:kern w:val="0"/>
                <w:szCs w:val="21"/>
              </w:rPr>
            </w:pPr>
          </w:p>
        </w:tc>
      </w:tr>
      <w:tr w:rsidR="00A320E6" w14:paraId="6810D4DE" w14:textId="77777777" w:rsidTr="00EC50E9">
        <w:trPr>
          <w:trHeight w:val="480"/>
          <w:jc w:val="center"/>
        </w:trPr>
        <w:tc>
          <w:tcPr>
            <w:tcW w:w="621" w:type="pct"/>
            <w:vMerge w:val="restart"/>
            <w:tcBorders>
              <w:top w:val="nil"/>
              <w:left w:val="single" w:sz="4" w:space="0" w:color="auto"/>
              <w:bottom w:val="single" w:sz="4" w:space="0" w:color="auto"/>
              <w:right w:val="single" w:sz="4" w:space="0" w:color="auto"/>
            </w:tcBorders>
            <w:vAlign w:val="center"/>
          </w:tcPr>
          <w:p w14:paraId="16F892BA" w14:textId="77777777" w:rsidR="00A320E6" w:rsidRDefault="00000000" w:rsidP="00EC50E9">
            <w:pPr>
              <w:jc w:val="center"/>
              <w:rPr>
                <w:rFonts w:ascii="宋体" w:hAnsi="宋体" w:cs="宋体"/>
                <w:kern w:val="0"/>
                <w:szCs w:val="21"/>
              </w:rPr>
            </w:pPr>
            <w:r>
              <w:rPr>
                <w:rFonts w:ascii="宋体" w:hAnsi="宋体" w:cs="宋体" w:hint="eastAsia"/>
                <w:kern w:val="0"/>
                <w:szCs w:val="21"/>
              </w:rPr>
              <w:t>14</w:t>
            </w:r>
          </w:p>
        </w:tc>
        <w:tc>
          <w:tcPr>
            <w:tcW w:w="472" w:type="pct"/>
            <w:vMerge w:val="restart"/>
            <w:tcBorders>
              <w:top w:val="nil"/>
              <w:left w:val="single" w:sz="4" w:space="0" w:color="auto"/>
              <w:bottom w:val="single" w:sz="4" w:space="0" w:color="auto"/>
              <w:right w:val="single" w:sz="4" w:space="0" w:color="auto"/>
            </w:tcBorders>
            <w:vAlign w:val="center"/>
          </w:tcPr>
          <w:p w14:paraId="5921B925" w14:textId="77777777" w:rsidR="00A320E6" w:rsidRDefault="00000000" w:rsidP="00EC50E9">
            <w:pPr>
              <w:jc w:val="center"/>
              <w:rPr>
                <w:rFonts w:ascii="宋体" w:hAnsi="宋体" w:cs="宋体"/>
                <w:kern w:val="0"/>
                <w:szCs w:val="21"/>
              </w:rPr>
            </w:pPr>
            <w:r>
              <w:rPr>
                <w:rFonts w:ascii="宋体" w:hAnsi="宋体" w:cs="宋体" w:hint="eastAsia"/>
                <w:kern w:val="0"/>
                <w:szCs w:val="21"/>
              </w:rPr>
              <w:t>电力、通讯线路</w:t>
            </w:r>
          </w:p>
        </w:tc>
        <w:tc>
          <w:tcPr>
            <w:tcW w:w="1127" w:type="pct"/>
            <w:tcBorders>
              <w:top w:val="nil"/>
              <w:left w:val="nil"/>
              <w:bottom w:val="single" w:sz="4" w:space="0" w:color="auto"/>
              <w:right w:val="single" w:sz="4" w:space="0" w:color="auto"/>
            </w:tcBorders>
            <w:vAlign w:val="center"/>
          </w:tcPr>
          <w:p w14:paraId="7DC89688" w14:textId="77777777" w:rsidR="00A320E6" w:rsidRDefault="00000000" w:rsidP="00EC50E9">
            <w:pPr>
              <w:jc w:val="left"/>
              <w:rPr>
                <w:rFonts w:ascii="宋体" w:hAnsi="宋体" w:cs="宋体"/>
                <w:kern w:val="0"/>
                <w:szCs w:val="21"/>
              </w:rPr>
            </w:pPr>
            <w:r>
              <w:rPr>
                <w:rFonts w:ascii="宋体" w:hAnsi="宋体" w:cs="宋体" w:hint="eastAsia"/>
                <w:kern w:val="0"/>
                <w:szCs w:val="21"/>
              </w:rPr>
              <w:t>低压线路、通讯广播线路（电力、通讯部门架设）</w:t>
            </w:r>
          </w:p>
        </w:tc>
        <w:tc>
          <w:tcPr>
            <w:tcW w:w="919" w:type="pct"/>
            <w:tcBorders>
              <w:top w:val="nil"/>
              <w:left w:val="nil"/>
              <w:bottom w:val="single" w:sz="4" w:space="0" w:color="auto"/>
              <w:right w:val="single" w:sz="4" w:space="0" w:color="auto"/>
            </w:tcBorders>
            <w:vAlign w:val="center"/>
          </w:tcPr>
          <w:p w14:paraId="1343D44C" w14:textId="77777777" w:rsidR="00A320E6" w:rsidRDefault="00000000" w:rsidP="00EC50E9">
            <w:pPr>
              <w:jc w:val="center"/>
              <w:rPr>
                <w:rFonts w:ascii="宋体" w:hAnsi="宋体" w:cs="宋体"/>
                <w:kern w:val="0"/>
                <w:szCs w:val="21"/>
              </w:rPr>
            </w:pPr>
            <w:r>
              <w:rPr>
                <w:rFonts w:ascii="宋体" w:hAnsi="宋体" w:cs="宋体" w:hint="eastAsia"/>
                <w:kern w:val="0"/>
                <w:szCs w:val="21"/>
              </w:rPr>
              <w:t>2000-2500元/杆</w:t>
            </w:r>
          </w:p>
        </w:tc>
        <w:tc>
          <w:tcPr>
            <w:tcW w:w="1861" w:type="pct"/>
            <w:vMerge w:val="restart"/>
            <w:tcBorders>
              <w:top w:val="nil"/>
              <w:left w:val="single" w:sz="4" w:space="0" w:color="auto"/>
              <w:bottom w:val="single" w:sz="4" w:space="0" w:color="auto"/>
              <w:right w:val="single" w:sz="4" w:space="0" w:color="auto"/>
            </w:tcBorders>
            <w:vAlign w:val="center"/>
          </w:tcPr>
          <w:p w14:paraId="2C3428E0" w14:textId="77777777" w:rsidR="00A320E6" w:rsidRDefault="00000000" w:rsidP="00EC50E9">
            <w:pPr>
              <w:jc w:val="left"/>
              <w:rPr>
                <w:rFonts w:ascii="宋体" w:hAnsi="宋体" w:cs="宋体"/>
                <w:kern w:val="0"/>
                <w:szCs w:val="21"/>
              </w:rPr>
            </w:pPr>
            <w:r>
              <w:rPr>
                <w:rFonts w:ascii="宋体" w:hAnsi="宋体" w:cs="宋体" w:hint="eastAsia"/>
                <w:kern w:val="0"/>
                <w:szCs w:val="21"/>
              </w:rPr>
              <w:t>1、包括电线等材料损失及拆建工费</w:t>
            </w:r>
            <w:r>
              <w:rPr>
                <w:rFonts w:ascii="宋体" w:hAnsi="宋体" w:cs="宋体" w:hint="eastAsia"/>
                <w:kern w:val="0"/>
                <w:szCs w:val="21"/>
              </w:rPr>
              <w:br/>
              <w:t>2、旧料归原主</w:t>
            </w:r>
          </w:p>
        </w:tc>
      </w:tr>
      <w:tr w:rsidR="00A320E6" w14:paraId="12DC39CE"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68C32B07"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256985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F1F118D" w14:textId="77777777" w:rsidR="00A320E6" w:rsidRDefault="00000000" w:rsidP="00EC50E9">
            <w:pPr>
              <w:jc w:val="left"/>
              <w:rPr>
                <w:rFonts w:ascii="宋体" w:hAnsi="宋体" w:cs="宋体"/>
                <w:kern w:val="0"/>
                <w:szCs w:val="21"/>
              </w:rPr>
            </w:pPr>
            <w:r>
              <w:rPr>
                <w:rFonts w:ascii="宋体" w:hAnsi="宋体" w:cs="宋体" w:hint="eastAsia"/>
                <w:kern w:val="0"/>
                <w:szCs w:val="21"/>
              </w:rPr>
              <w:t>水泥线杆（非电力部门架设）</w:t>
            </w:r>
          </w:p>
        </w:tc>
        <w:tc>
          <w:tcPr>
            <w:tcW w:w="919" w:type="pct"/>
            <w:tcBorders>
              <w:top w:val="nil"/>
              <w:left w:val="nil"/>
              <w:bottom w:val="single" w:sz="4" w:space="0" w:color="auto"/>
              <w:right w:val="single" w:sz="4" w:space="0" w:color="auto"/>
            </w:tcBorders>
            <w:vAlign w:val="center"/>
          </w:tcPr>
          <w:p w14:paraId="15F14729" w14:textId="77777777" w:rsidR="00A320E6" w:rsidRDefault="00000000" w:rsidP="00EC50E9">
            <w:pPr>
              <w:jc w:val="center"/>
              <w:rPr>
                <w:rFonts w:ascii="宋体" w:hAnsi="宋体" w:cs="宋体"/>
                <w:kern w:val="0"/>
                <w:szCs w:val="21"/>
              </w:rPr>
            </w:pPr>
            <w:r>
              <w:rPr>
                <w:rFonts w:ascii="宋体" w:hAnsi="宋体" w:cs="宋体" w:hint="eastAsia"/>
                <w:kern w:val="0"/>
                <w:szCs w:val="21"/>
              </w:rPr>
              <w:t>500-800元/杆</w:t>
            </w:r>
          </w:p>
        </w:tc>
        <w:tc>
          <w:tcPr>
            <w:tcW w:w="1861" w:type="pct"/>
            <w:vMerge/>
            <w:tcBorders>
              <w:top w:val="nil"/>
              <w:left w:val="single" w:sz="4" w:space="0" w:color="auto"/>
              <w:bottom w:val="single" w:sz="4" w:space="0" w:color="auto"/>
              <w:right w:val="single" w:sz="4" w:space="0" w:color="auto"/>
            </w:tcBorders>
            <w:vAlign w:val="center"/>
          </w:tcPr>
          <w:p w14:paraId="6443A9F6" w14:textId="77777777" w:rsidR="00A320E6" w:rsidRDefault="00A320E6" w:rsidP="00EC50E9">
            <w:pPr>
              <w:jc w:val="left"/>
              <w:rPr>
                <w:rFonts w:ascii="宋体" w:hAnsi="宋体" w:cs="宋体"/>
                <w:kern w:val="0"/>
                <w:szCs w:val="21"/>
              </w:rPr>
            </w:pPr>
          </w:p>
        </w:tc>
      </w:tr>
      <w:tr w:rsidR="00A320E6" w14:paraId="26D0162D"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25A25BD8"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0AA364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CF1F0BA" w14:textId="77777777" w:rsidR="00A320E6" w:rsidRDefault="00000000" w:rsidP="00EC50E9">
            <w:pPr>
              <w:jc w:val="left"/>
              <w:rPr>
                <w:rFonts w:ascii="宋体" w:hAnsi="宋体" w:cs="宋体"/>
                <w:kern w:val="0"/>
                <w:szCs w:val="21"/>
              </w:rPr>
            </w:pPr>
            <w:r>
              <w:rPr>
                <w:rFonts w:ascii="宋体" w:hAnsi="宋体" w:cs="宋体" w:hint="eastAsia"/>
                <w:kern w:val="0"/>
                <w:szCs w:val="21"/>
              </w:rPr>
              <w:t>木线杆（非电力部门架设）</w:t>
            </w:r>
          </w:p>
        </w:tc>
        <w:tc>
          <w:tcPr>
            <w:tcW w:w="919" w:type="pct"/>
            <w:tcBorders>
              <w:top w:val="nil"/>
              <w:left w:val="nil"/>
              <w:bottom w:val="single" w:sz="4" w:space="0" w:color="auto"/>
              <w:right w:val="single" w:sz="4" w:space="0" w:color="auto"/>
            </w:tcBorders>
            <w:vAlign w:val="center"/>
          </w:tcPr>
          <w:p w14:paraId="68ACF7B8" w14:textId="77777777" w:rsidR="00A320E6" w:rsidRDefault="00000000" w:rsidP="00EC50E9">
            <w:pPr>
              <w:jc w:val="center"/>
              <w:rPr>
                <w:rFonts w:ascii="宋体" w:hAnsi="宋体" w:cs="宋体"/>
                <w:kern w:val="0"/>
                <w:szCs w:val="21"/>
              </w:rPr>
            </w:pPr>
            <w:r>
              <w:rPr>
                <w:rFonts w:ascii="宋体" w:hAnsi="宋体" w:cs="宋体" w:hint="eastAsia"/>
                <w:kern w:val="0"/>
                <w:szCs w:val="21"/>
              </w:rPr>
              <w:t>200-300元/杆</w:t>
            </w:r>
          </w:p>
        </w:tc>
        <w:tc>
          <w:tcPr>
            <w:tcW w:w="1861" w:type="pct"/>
            <w:vMerge/>
            <w:tcBorders>
              <w:top w:val="nil"/>
              <w:left w:val="single" w:sz="4" w:space="0" w:color="auto"/>
              <w:bottom w:val="single" w:sz="4" w:space="0" w:color="auto"/>
              <w:right w:val="single" w:sz="4" w:space="0" w:color="auto"/>
            </w:tcBorders>
            <w:vAlign w:val="center"/>
          </w:tcPr>
          <w:p w14:paraId="4EA83A44" w14:textId="77777777" w:rsidR="00A320E6" w:rsidRDefault="00A320E6" w:rsidP="00EC50E9">
            <w:pPr>
              <w:jc w:val="left"/>
              <w:rPr>
                <w:rFonts w:ascii="宋体" w:hAnsi="宋体" w:cs="宋体"/>
                <w:kern w:val="0"/>
                <w:szCs w:val="21"/>
              </w:rPr>
            </w:pPr>
          </w:p>
        </w:tc>
      </w:tr>
      <w:tr w:rsidR="00A320E6" w14:paraId="5E1CFF58" w14:textId="77777777" w:rsidTr="00EC50E9">
        <w:trPr>
          <w:trHeight w:val="480"/>
          <w:jc w:val="center"/>
        </w:trPr>
        <w:tc>
          <w:tcPr>
            <w:tcW w:w="621" w:type="pct"/>
            <w:vMerge w:val="restart"/>
            <w:tcBorders>
              <w:top w:val="nil"/>
              <w:left w:val="single" w:sz="4" w:space="0" w:color="auto"/>
              <w:bottom w:val="single" w:sz="4" w:space="0" w:color="auto"/>
              <w:right w:val="single" w:sz="4" w:space="0" w:color="auto"/>
            </w:tcBorders>
            <w:vAlign w:val="center"/>
          </w:tcPr>
          <w:p w14:paraId="17EF7D2A" w14:textId="77777777" w:rsidR="00A320E6" w:rsidRDefault="00000000" w:rsidP="00EC50E9">
            <w:pPr>
              <w:jc w:val="center"/>
              <w:rPr>
                <w:rFonts w:ascii="宋体" w:hAnsi="宋体" w:cs="宋体"/>
                <w:kern w:val="0"/>
                <w:szCs w:val="21"/>
              </w:rPr>
            </w:pPr>
            <w:r>
              <w:rPr>
                <w:rFonts w:ascii="宋体" w:hAnsi="宋体" w:cs="宋体" w:hint="eastAsia"/>
                <w:kern w:val="0"/>
                <w:szCs w:val="21"/>
              </w:rPr>
              <w:t>15</w:t>
            </w:r>
          </w:p>
        </w:tc>
        <w:tc>
          <w:tcPr>
            <w:tcW w:w="472" w:type="pct"/>
            <w:vMerge w:val="restart"/>
            <w:tcBorders>
              <w:top w:val="nil"/>
              <w:left w:val="single" w:sz="4" w:space="0" w:color="auto"/>
              <w:bottom w:val="single" w:sz="4" w:space="0" w:color="auto"/>
              <w:right w:val="single" w:sz="4" w:space="0" w:color="auto"/>
            </w:tcBorders>
            <w:vAlign w:val="center"/>
          </w:tcPr>
          <w:p w14:paraId="59A16C4E" w14:textId="77777777" w:rsidR="00A320E6" w:rsidRDefault="00000000" w:rsidP="00EC50E9">
            <w:pPr>
              <w:jc w:val="center"/>
              <w:rPr>
                <w:rFonts w:ascii="宋体" w:hAnsi="宋体" w:cs="宋体"/>
                <w:kern w:val="0"/>
                <w:szCs w:val="21"/>
              </w:rPr>
            </w:pPr>
            <w:r>
              <w:rPr>
                <w:rFonts w:ascii="宋体" w:hAnsi="宋体" w:cs="宋体" w:hint="eastAsia"/>
                <w:kern w:val="0"/>
                <w:szCs w:val="21"/>
              </w:rPr>
              <w:t>鱼塘</w:t>
            </w:r>
          </w:p>
          <w:p w14:paraId="20C4C115" w14:textId="77777777" w:rsidR="00A320E6" w:rsidRDefault="00000000" w:rsidP="00EC50E9">
            <w:pPr>
              <w:jc w:val="center"/>
              <w:rPr>
                <w:rFonts w:ascii="宋体" w:hAnsi="宋体" w:cs="宋体"/>
                <w:kern w:val="0"/>
                <w:szCs w:val="21"/>
              </w:rPr>
            </w:pPr>
            <w:r>
              <w:rPr>
                <w:rFonts w:ascii="宋体" w:hAnsi="宋体" w:cs="宋体" w:hint="eastAsia"/>
                <w:kern w:val="0"/>
                <w:szCs w:val="21"/>
              </w:rPr>
              <w:t>藕塘</w:t>
            </w:r>
          </w:p>
        </w:tc>
        <w:tc>
          <w:tcPr>
            <w:tcW w:w="1127" w:type="pct"/>
            <w:tcBorders>
              <w:top w:val="nil"/>
              <w:left w:val="nil"/>
              <w:bottom w:val="single" w:sz="4" w:space="0" w:color="auto"/>
              <w:right w:val="single" w:sz="4" w:space="0" w:color="auto"/>
            </w:tcBorders>
            <w:vAlign w:val="center"/>
          </w:tcPr>
          <w:p w14:paraId="373006D1" w14:textId="77777777" w:rsidR="00A320E6" w:rsidRDefault="00000000" w:rsidP="00EC50E9">
            <w:pPr>
              <w:jc w:val="left"/>
              <w:rPr>
                <w:rFonts w:ascii="宋体" w:hAnsi="宋体" w:cs="宋体"/>
                <w:kern w:val="0"/>
                <w:szCs w:val="21"/>
              </w:rPr>
            </w:pPr>
            <w:r>
              <w:rPr>
                <w:rFonts w:ascii="宋体" w:hAnsi="宋体" w:cs="宋体" w:hint="eastAsia"/>
                <w:kern w:val="0"/>
                <w:szCs w:val="21"/>
              </w:rPr>
              <w:t>土筑池塘</w:t>
            </w:r>
          </w:p>
        </w:tc>
        <w:tc>
          <w:tcPr>
            <w:tcW w:w="919" w:type="pct"/>
            <w:tcBorders>
              <w:top w:val="nil"/>
              <w:left w:val="nil"/>
              <w:bottom w:val="single" w:sz="4" w:space="0" w:color="auto"/>
              <w:right w:val="single" w:sz="4" w:space="0" w:color="auto"/>
            </w:tcBorders>
            <w:vAlign w:val="center"/>
          </w:tcPr>
          <w:p w14:paraId="48823EA4" w14:textId="77777777" w:rsidR="00A320E6" w:rsidRDefault="00000000" w:rsidP="00EC50E9">
            <w:pPr>
              <w:jc w:val="center"/>
              <w:rPr>
                <w:rFonts w:ascii="宋体" w:hAnsi="宋体" w:cs="宋体"/>
                <w:kern w:val="0"/>
                <w:szCs w:val="21"/>
              </w:rPr>
            </w:pPr>
            <w:r>
              <w:rPr>
                <w:rFonts w:ascii="宋体" w:hAnsi="宋体" w:cs="宋体" w:hint="eastAsia"/>
                <w:kern w:val="0"/>
                <w:szCs w:val="21"/>
              </w:rPr>
              <w:t>10-15元/m³</w:t>
            </w:r>
          </w:p>
        </w:tc>
        <w:tc>
          <w:tcPr>
            <w:tcW w:w="1861" w:type="pct"/>
            <w:tcBorders>
              <w:top w:val="nil"/>
              <w:left w:val="nil"/>
              <w:bottom w:val="single" w:sz="4" w:space="0" w:color="auto"/>
              <w:right w:val="single" w:sz="4" w:space="0" w:color="auto"/>
            </w:tcBorders>
            <w:vAlign w:val="center"/>
          </w:tcPr>
          <w:p w14:paraId="47A9F4B1" w14:textId="77777777" w:rsidR="00A320E6" w:rsidRDefault="00000000" w:rsidP="00EC50E9">
            <w:pPr>
              <w:jc w:val="left"/>
              <w:rPr>
                <w:rFonts w:ascii="宋体" w:hAnsi="宋体" w:cs="宋体"/>
                <w:kern w:val="0"/>
                <w:szCs w:val="21"/>
              </w:rPr>
            </w:pPr>
            <w:r>
              <w:rPr>
                <w:rFonts w:ascii="宋体" w:hAnsi="宋体" w:cs="宋体" w:hint="eastAsia"/>
                <w:kern w:val="0"/>
                <w:szCs w:val="21"/>
              </w:rPr>
              <w:t>1、按挖土方体积计算</w:t>
            </w:r>
            <w:r>
              <w:rPr>
                <w:rFonts w:ascii="宋体" w:hAnsi="宋体" w:cs="宋体" w:hint="eastAsia"/>
                <w:kern w:val="0"/>
                <w:szCs w:val="21"/>
              </w:rPr>
              <w:br/>
              <w:t>2、鱼苗、藕秧损失根据实际情况另行补偿</w:t>
            </w:r>
          </w:p>
        </w:tc>
      </w:tr>
      <w:tr w:rsidR="00A320E6" w14:paraId="0189A608"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197CB308"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FECE82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1E926354" w14:textId="77777777" w:rsidR="00A320E6" w:rsidRDefault="00000000" w:rsidP="00EC50E9">
            <w:pPr>
              <w:jc w:val="left"/>
              <w:rPr>
                <w:rFonts w:ascii="宋体" w:hAnsi="宋体" w:cs="宋体"/>
                <w:kern w:val="0"/>
                <w:szCs w:val="21"/>
              </w:rPr>
            </w:pPr>
            <w:r>
              <w:rPr>
                <w:rFonts w:ascii="宋体" w:hAnsi="宋体" w:cs="宋体" w:hint="eastAsia"/>
                <w:kern w:val="0"/>
                <w:szCs w:val="21"/>
              </w:rPr>
              <w:t>石砌池塘</w:t>
            </w:r>
          </w:p>
        </w:tc>
        <w:tc>
          <w:tcPr>
            <w:tcW w:w="919" w:type="pct"/>
            <w:tcBorders>
              <w:top w:val="nil"/>
              <w:left w:val="nil"/>
              <w:bottom w:val="single" w:sz="4" w:space="0" w:color="auto"/>
              <w:right w:val="single" w:sz="4" w:space="0" w:color="auto"/>
            </w:tcBorders>
            <w:vAlign w:val="center"/>
          </w:tcPr>
          <w:p w14:paraId="70F95478" w14:textId="77777777" w:rsidR="00A320E6" w:rsidRDefault="00000000" w:rsidP="00EC50E9">
            <w:pPr>
              <w:jc w:val="center"/>
              <w:rPr>
                <w:rFonts w:ascii="宋体" w:hAnsi="宋体" w:cs="宋体"/>
                <w:kern w:val="0"/>
                <w:szCs w:val="21"/>
              </w:rPr>
            </w:pPr>
            <w:r>
              <w:rPr>
                <w:rFonts w:ascii="宋体" w:hAnsi="宋体" w:cs="宋体" w:hint="eastAsia"/>
                <w:kern w:val="0"/>
                <w:szCs w:val="21"/>
              </w:rPr>
              <w:t>250-400元/m³</w:t>
            </w:r>
          </w:p>
        </w:tc>
        <w:tc>
          <w:tcPr>
            <w:tcW w:w="1861" w:type="pct"/>
            <w:vMerge w:val="restart"/>
            <w:tcBorders>
              <w:top w:val="nil"/>
              <w:left w:val="single" w:sz="4" w:space="0" w:color="auto"/>
              <w:bottom w:val="single" w:sz="4" w:space="0" w:color="auto"/>
              <w:right w:val="single" w:sz="4" w:space="0" w:color="auto"/>
            </w:tcBorders>
            <w:vAlign w:val="center"/>
          </w:tcPr>
          <w:p w14:paraId="282A8053" w14:textId="77777777" w:rsidR="00A320E6" w:rsidRDefault="00000000" w:rsidP="00EC50E9">
            <w:pPr>
              <w:jc w:val="left"/>
              <w:rPr>
                <w:rFonts w:ascii="宋体" w:hAnsi="宋体" w:cs="宋体"/>
                <w:kern w:val="0"/>
                <w:szCs w:val="21"/>
              </w:rPr>
            </w:pPr>
            <w:r>
              <w:rPr>
                <w:rFonts w:ascii="宋体" w:hAnsi="宋体" w:cs="宋体" w:hint="eastAsia"/>
                <w:kern w:val="0"/>
                <w:szCs w:val="21"/>
              </w:rPr>
              <w:t>1、按砌体体积计算</w:t>
            </w:r>
            <w:r>
              <w:rPr>
                <w:rFonts w:ascii="宋体" w:hAnsi="宋体" w:cs="宋体" w:hint="eastAsia"/>
                <w:kern w:val="0"/>
                <w:szCs w:val="21"/>
              </w:rPr>
              <w:br/>
              <w:t>2、土方另计：10-15元/m³</w:t>
            </w:r>
            <w:r>
              <w:rPr>
                <w:rFonts w:ascii="宋体" w:hAnsi="宋体" w:cs="宋体" w:hint="eastAsia"/>
                <w:kern w:val="0"/>
                <w:szCs w:val="21"/>
              </w:rPr>
              <w:br/>
              <w:t>3、鱼苗、藕秧损失根据实际情况另行补偿</w:t>
            </w:r>
          </w:p>
        </w:tc>
      </w:tr>
      <w:tr w:rsidR="00A320E6" w14:paraId="12B75EF9" w14:textId="77777777" w:rsidTr="00EC50E9">
        <w:trPr>
          <w:trHeight w:val="450"/>
          <w:jc w:val="center"/>
        </w:trPr>
        <w:tc>
          <w:tcPr>
            <w:tcW w:w="621" w:type="pct"/>
            <w:vMerge/>
            <w:tcBorders>
              <w:top w:val="nil"/>
              <w:left w:val="single" w:sz="4" w:space="0" w:color="auto"/>
              <w:bottom w:val="single" w:sz="4" w:space="0" w:color="auto"/>
              <w:right w:val="single" w:sz="4" w:space="0" w:color="auto"/>
            </w:tcBorders>
            <w:vAlign w:val="center"/>
          </w:tcPr>
          <w:p w14:paraId="18B3250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BA01FCA"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8F047BC" w14:textId="77777777" w:rsidR="00A320E6" w:rsidRDefault="00000000" w:rsidP="00EC50E9">
            <w:pPr>
              <w:jc w:val="left"/>
              <w:rPr>
                <w:rFonts w:ascii="宋体" w:hAnsi="宋体" w:cs="宋体"/>
                <w:kern w:val="0"/>
                <w:szCs w:val="21"/>
              </w:rPr>
            </w:pPr>
            <w:r>
              <w:rPr>
                <w:rFonts w:ascii="宋体" w:hAnsi="宋体" w:cs="宋体" w:hint="eastAsia"/>
                <w:kern w:val="0"/>
                <w:szCs w:val="21"/>
              </w:rPr>
              <w:t>砖砌池塘</w:t>
            </w:r>
          </w:p>
        </w:tc>
        <w:tc>
          <w:tcPr>
            <w:tcW w:w="919" w:type="pct"/>
            <w:tcBorders>
              <w:top w:val="nil"/>
              <w:left w:val="nil"/>
              <w:bottom w:val="single" w:sz="4" w:space="0" w:color="auto"/>
              <w:right w:val="single" w:sz="4" w:space="0" w:color="auto"/>
            </w:tcBorders>
            <w:vAlign w:val="center"/>
          </w:tcPr>
          <w:p w14:paraId="74FCD418" w14:textId="77777777" w:rsidR="00A320E6" w:rsidRDefault="00000000" w:rsidP="00EC50E9">
            <w:pPr>
              <w:jc w:val="center"/>
              <w:rPr>
                <w:rFonts w:ascii="宋体" w:hAnsi="宋体" w:cs="宋体"/>
                <w:kern w:val="0"/>
                <w:szCs w:val="21"/>
              </w:rPr>
            </w:pPr>
            <w:r>
              <w:rPr>
                <w:rFonts w:ascii="宋体" w:hAnsi="宋体" w:cs="宋体" w:hint="eastAsia"/>
                <w:kern w:val="0"/>
                <w:szCs w:val="21"/>
              </w:rPr>
              <w:t>350-500元/m³</w:t>
            </w:r>
          </w:p>
        </w:tc>
        <w:tc>
          <w:tcPr>
            <w:tcW w:w="1861" w:type="pct"/>
            <w:vMerge/>
            <w:tcBorders>
              <w:top w:val="nil"/>
              <w:left w:val="single" w:sz="4" w:space="0" w:color="auto"/>
              <w:bottom w:val="single" w:sz="4" w:space="0" w:color="auto"/>
              <w:right w:val="single" w:sz="4" w:space="0" w:color="auto"/>
            </w:tcBorders>
            <w:vAlign w:val="center"/>
          </w:tcPr>
          <w:p w14:paraId="22618851" w14:textId="77777777" w:rsidR="00A320E6" w:rsidRDefault="00A320E6" w:rsidP="00EC50E9">
            <w:pPr>
              <w:jc w:val="left"/>
              <w:rPr>
                <w:rFonts w:ascii="宋体" w:hAnsi="宋体" w:cs="宋体"/>
                <w:kern w:val="0"/>
                <w:szCs w:val="21"/>
              </w:rPr>
            </w:pPr>
          </w:p>
        </w:tc>
      </w:tr>
      <w:tr w:rsidR="00A320E6" w14:paraId="6B881EE9" w14:textId="77777777" w:rsidTr="00EC50E9">
        <w:trPr>
          <w:trHeight w:val="459"/>
          <w:jc w:val="center"/>
        </w:trPr>
        <w:tc>
          <w:tcPr>
            <w:tcW w:w="621" w:type="pct"/>
            <w:vMerge w:val="restart"/>
            <w:tcBorders>
              <w:top w:val="nil"/>
              <w:left w:val="single" w:sz="4" w:space="0" w:color="auto"/>
              <w:bottom w:val="single" w:sz="4" w:space="0" w:color="auto"/>
              <w:right w:val="single" w:sz="4" w:space="0" w:color="auto"/>
            </w:tcBorders>
            <w:vAlign w:val="center"/>
          </w:tcPr>
          <w:p w14:paraId="1FC33E3E" w14:textId="77777777" w:rsidR="00A320E6" w:rsidRDefault="00000000" w:rsidP="00EC50E9">
            <w:pPr>
              <w:jc w:val="center"/>
              <w:rPr>
                <w:rFonts w:ascii="宋体" w:hAnsi="宋体" w:cs="宋体"/>
                <w:kern w:val="0"/>
                <w:szCs w:val="21"/>
              </w:rPr>
            </w:pPr>
            <w:r>
              <w:rPr>
                <w:rFonts w:ascii="宋体" w:hAnsi="宋体" w:cs="宋体" w:hint="eastAsia"/>
                <w:kern w:val="0"/>
                <w:szCs w:val="21"/>
              </w:rPr>
              <w:t>16</w:t>
            </w:r>
          </w:p>
        </w:tc>
        <w:tc>
          <w:tcPr>
            <w:tcW w:w="472" w:type="pct"/>
            <w:vMerge w:val="restart"/>
            <w:tcBorders>
              <w:top w:val="nil"/>
              <w:left w:val="single" w:sz="4" w:space="0" w:color="auto"/>
              <w:bottom w:val="single" w:sz="4" w:space="0" w:color="auto"/>
              <w:right w:val="single" w:sz="4" w:space="0" w:color="auto"/>
            </w:tcBorders>
            <w:vAlign w:val="center"/>
          </w:tcPr>
          <w:p w14:paraId="20378473" w14:textId="77777777" w:rsidR="00A320E6" w:rsidRDefault="00000000" w:rsidP="00EC50E9">
            <w:pPr>
              <w:jc w:val="center"/>
              <w:rPr>
                <w:rFonts w:ascii="宋体" w:hAnsi="宋体" w:cs="宋体"/>
                <w:kern w:val="0"/>
                <w:szCs w:val="21"/>
              </w:rPr>
            </w:pPr>
            <w:r>
              <w:rPr>
                <w:rFonts w:ascii="宋体" w:hAnsi="宋体" w:cs="宋体" w:hint="eastAsia"/>
                <w:kern w:val="0"/>
                <w:szCs w:val="21"/>
              </w:rPr>
              <w:t>苹果、梨</w:t>
            </w:r>
          </w:p>
        </w:tc>
        <w:tc>
          <w:tcPr>
            <w:tcW w:w="1127" w:type="pct"/>
            <w:tcBorders>
              <w:top w:val="nil"/>
              <w:left w:val="nil"/>
              <w:bottom w:val="single" w:sz="4" w:space="0" w:color="auto"/>
              <w:right w:val="single" w:sz="4" w:space="0" w:color="auto"/>
            </w:tcBorders>
            <w:vAlign w:val="center"/>
          </w:tcPr>
          <w:p w14:paraId="0CE104E6" w14:textId="77777777" w:rsidR="00A320E6" w:rsidRDefault="00000000" w:rsidP="00EC50E9">
            <w:pPr>
              <w:jc w:val="left"/>
              <w:rPr>
                <w:rFonts w:ascii="宋体" w:hAnsi="宋体" w:cs="宋体"/>
                <w:kern w:val="0"/>
                <w:szCs w:val="21"/>
              </w:rPr>
            </w:pPr>
            <w:r>
              <w:rPr>
                <w:rFonts w:ascii="宋体" w:hAnsi="宋体" w:cs="宋体" w:hint="eastAsia"/>
                <w:kern w:val="0"/>
                <w:szCs w:val="21"/>
              </w:rPr>
              <w:t>幼龄期</w:t>
            </w:r>
          </w:p>
        </w:tc>
        <w:tc>
          <w:tcPr>
            <w:tcW w:w="919" w:type="pct"/>
            <w:tcBorders>
              <w:top w:val="nil"/>
              <w:left w:val="nil"/>
              <w:bottom w:val="single" w:sz="4" w:space="0" w:color="auto"/>
              <w:right w:val="single" w:sz="4" w:space="0" w:color="auto"/>
            </w:tcBorders>
            <w:vAlign w:val="center"/>
          </w:tcPr>
          <w:p w14:paraId="2F85AC38" w14:textId="77777777" w:rsidR="00A320E6" w:rsidRDefault="00000000" w:rsidP="00EC50E9">
            <w:pPr>
              <w:jc w:val="center"/>
              <w:rPr>
                <w:rFonts w:ascii="宋体" w:hAnsi="宋体" w:cs="宋体"/>
                <w:kern w:val="0"/>
                <w:szCs w:val="21"/>
              </w:rPr>
            </w:pPr>
            <w:r>
              <w:rPr>
                <w:rFonts w:ascii="宋体" w:hAnsi="宋体" w:cs="宋体" w:hint="eastAsia"/>
                <w:kern w:val="0"/>
                <w:szCs w:val="21"/>
              </w:rPr>
              <w:t>3700-6400元/亩</w:t>
            </w:r>
          </w:p>
        </w:tc>
        <w:tc>
          <w:tcPr>
            <w:tcW w:w="1861" w:type="pct"/>
            <w:vMerge w:val="restart"/>
            <w:tcBorders>
              <w:top w:val="nil"/>
              <w:left w:val="single" w:sz="4" w:space="0" w:color="auto"/>
              <w:bottom w:val="single" w:sz="4" w:space="0" w:color="auto"/>
              <w:right w:val="single" w:sz="4" w:space="0" w:color="auto"/>
            </w:tcBorders>
            <w:vAlign w:val="center"/>
          </w:tcPr>
          <w:p w14:paraId="362CB0D1" w14:textId="77777777" w:rsidR="00A320E6" w:rsidRDefault="00000000" w:rsidP="00EC50E9">
            <w:pPr>
              <w:jc w:val="left"/>
              <w:rPr>
                <w:rFonts w:ascii="宋体" w:hAnsi="宋体" w:cs="宋体"/>
                <w:kern w:val="0"/>
                <w:szCs w:val="21"/>
              </w:rPr>
            </w:pPr>
            <w:r>
              <w:rPr>
                <w:rFonts w:ascii="宋体" w:hAnsi="宋体" w:cs="宋体" w:hint="eastAsia"/>
                <w:kern w:val="0"/>
                <w:szCs w:val="21"/>
              </w:rPr>
              <w:t>果园外零星果树补偿标准：</w:t>
            </w:r>
            <w:r>
              <w:rPr>
                <w:rFonts w:ascii="宋体" w:hAnsi="宋体" w:cs="宋体" w:hint="eastAsia"/>
                <w:kern w:val="0"/>
                <w:szCs w:val="21"/>
              </w:rPr>
              <w:br/>
              <w:t>幼龄期：55-100元/株</w:t>
            </w:r>
            <w:r>
              <w:rPr>
                <w:rFonts w:ascii="宋体" w:hAnsi="宋体" w:cs="宋体" w:hint="eastAsia"/>
                <w:kern w:val="0"/>
                <w:szCs w:val="21"/>
              </w:rPr>
              <w:br/>
              <w:t>初果期：200-380元/株</w:t>
            </w:r>
            <w:r>
              <w:rPr>
                <w:rFonts w:ascii="宋体" w:hAnsi="宋体" w:cs="宋体" w:hint="eastAsia"/>
                <w:kern w:val="0"/>
                <w:szCs w:val="21"/>
              </w:rPr>
              <w:br/>
              <w:t>盛果期：400-610元/株</w:t>
            </w:r>
            <w:r>
              <w:rPr>
                <w:rFonts w:ascii="宋体" w:hAnsi="宋体" w:cs="宋体" w:hint="eastAsia"/>
                <w:kern w:val="0"/>
                <w:szCs w:val="21"/>
              </w:rPr>
              <w:br/>
              <w:t>衰果期：230-340元/株</w:t>
            </w:r>
            <w:r>
              <w:rPr>
                <w:rFonts w:ascii="宋体" w:hAnsi="宋体" w:cs="宋体" w:hint="eastAsia"/>
                <w:kern w:val="0"/>
                <w:szCs w:val="21"/>
              </w:rPr>
              <w:br/>
              <w:t>零星果树补偿价格不得超过按亩补偿标准</w:t>
            </w:r>
            <w:r>
              <w:rPr>
                <w:rFonts w:ascii="宋体" w:hAnsi="宋体" w:cs="宋体" w:hint="eastAsia"/>
                <w:kern w:val="0"/>
                <w:szCs w:val="21"/>
              </w:rPr>
              <w:br/>
              <w:t>树归原主</w:t>
            </w:r>
          </w:p>
        </w:tc>
      </w:tr>
      <w:tr w:rsidR="00A320E6" w14:paraId="10E884E0" w14:textId="77777777" w:rsidTr="00EC50E9">
        <w:trPr>
          <w:trHeight w:val="459"/>
          <w:jc w:val="center"/>
        </w:trPr>
        <w:tc>
          <w:tcPr>
            <w:tcW w:w="621" w:type="pct"/>
            <w:vMerge/>
            <w:tcBorders>
              <w:top w:val="nil"/>
              <w:left w:val="single" w:sz="4" w:space="0" w:color="auto"/>
              <w:bottom w:val="single" w:sz="4" w:space="0" w:color="auto"/>
              <w:right w:val="single" w:sz="4" w:space="0" w:color="auto"/>
            </w:tcBorders>
            <w:vAlign w:val="center"/>
          </w:tcPr>
          <w:p w14:paraId="6016BA7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2FB6D2C"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2980EF1" w14:textId="77777777" w:rsidR="00A320E6" w:rsidRDefault="00000000" w:rsidP="00EC50E9">
            <w:pPr>
              <w:jc w:val="left"/>
              <w:rPr>
                <w:rFonts w:ascii="宋体" w:hAnsi="宋体" w:cs="宋体"/>
                <w:kern w:val="0"/>
                <w:szCs w:val="21"/>
              </w:rPr>
            </w:pPr>
            <w:r>
              <w:rPr>
                <w:rFonts w:ascii="宋体" w:hAnsi="宋体" w:cs="宋体" w:hint="eastAsia"/>
                <w:kern w:val="0"/>
                <w:szCs w:val="21"/>
              </w:rPr>
              <w:t>初果期</w:t>
            </w:r>
          </w:p>
        </w:tc>
        <w:tc>
          <w:tcPr>
            <w:tcW w:w="919" w:type="pct"/>
            <w:tcBorders>
              <w:top w:val="nil"/>
              <w:left w:val="nil"/>
              <w:bottom w:val="single" w:sz="4" w:space="0" w:color="auto"/>
              <w:right w:val="single" w:sz="4" w:space="0" w:color="auto"/>
            </w:tcBorders>
            <w:vAlign w:val="center"/>
          </w:tcPr>
          <w:p w14:paraId="7E822B35" w14:textId="77777777" w:rsidR="00A320E6" w:rsidRDefault="00000000" w:rsidP="00EC50E9">
            <w:pPr>
              <w:jc w:val="center"/>
              <w:rPr>
                <w:rFonts w:ascii="宋体" w:hAnsi="宋体" w:cs="宋体"/>
                <w:kern w:val="0"/>
                <w:szCs w:val="21"/>
              </w:rPr>
            </w:pPr>
            <w:r>
              <w:rPr>
                <w:rFonts w:ascii="宋体" w:hAnsi="宋体" w:cs="宋体" w:hint="eastAsia"/>
                <w:kern w:val="0"/>
                <w:szCs w:val="21"/>
              </w:rPr>
              <w:t>13000-25000元/亩</w:t>
            </w:r>
          </w:p>
        </w:tc>
        <w:tc>
          <w:tcPr>
            <w:tcW w:w="1861" w:type="pct"/>
            <w:vMerge/>
            <w:tcBorders>
              <w:top w:val="nil"/>
              <w:left w:val="single" w:sz="4" w:space="0" w:color="auto"/>
              <w:bottom w:val="single" w:sz="4" w:space="0" w:color="auto"/>
              <w:right w:val="single" w:sz="4" w:space="0" w:color="auto"/>
            </w:tcBorders>
            <w:vAlign w:val="center"/>
          </w:tcPr>
          <w:p w14:paraId="62C09387" w14:textId="77777777" w:rsidR="00A320E6" w:rsidRDefault="00A320E6" w:rsidP="00EC50E9">
            <w:pPr>
              <w:jc w:val="left"/>
              <w:rPr>
                <w:rFonts w:ascii="宋体" w:hAnsi="宋体" w:cs="宋体"/>
                <w:kern w:val="0"/>
                <w:szCs w:val="21"/>
              </w:rPr>
            </w:pPr>
          </w:p>
        </w:tc>
      </w:tr>
      <w:tr w:rsidR="00A320E6" w14:paraId="5D52D3D9" w14:textId="77777777" w:rsidTr="00EC50E9">
        <w:trPr>
          <w:trHeight w:val="459"/>
          <w:jc w:val="center"/>
        </w:trPr>
        <w:tc>
          <w:tcPr>
            <w:tcW w:w="621" w:type="pct"/>
            <w:vMerge/>
            <w:tcBorders>
              <w:top w:val="nil"/>
              <w:left w:val="single" w:sz="4" w:space="0" w:color="auto"/>
              <w:bottom w:val="single" w:sz="4" w:space="0" w:color="auto"/>
              <w:right w:val="single" w:sz="4" w:space="0" w:color="auto"/>
            </w:tcBorders>
            <w:vAlign w:val="center"/>
          </w:tcPr>
          <w:p w14:paraId="433E4F4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8734E3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0A8BCF5A" w14:textId="77777777" w:rsidR="00A320E6" w:rsidRDefault="00000000" w:rsidP="00EC50E9">
            <w:pPr>
              <w:jc w:val="left"/>
              <w:rPr>
                <w:rFonts w:ascii="宋体" w:hAnsi="宋体" w:cs="宋体"/>
                <w:kern w:val="0"/>
                <w:szCs w:val="21"/>
              </w:rPr>
            </w:pPr>
            <w:r>
              <w:rPr>
                <w:rFonts w:ascii="宋体" w:hAnsi="宋体" w:cs="宋体" w:hint="eastAsia"/>
                <w:kern w:val="0"/>
                <w:szCs w:val="21"/>
              </w:rPr>
              <w:t>盛果期</w:t>
            </w:r>
          </w:p>
        </w:tc>
        <w:tc>
          <w:tcPr>
            <w:tcW w:w="919" w:type="pct"/>
            <w:tcBorders>
              <w:top w:val="nil"/>
              <w:left w:val="nil"/>
              <w:bottom w:val="single" w:sz="4" w:space="0" w:color="auto"/>
              <w:right w:val="single" w:sz="4" w:space="0" w:color="auto"/>
            </w:tcBorders>
            <w:vAlign w:val="center"/>
          </w:tcPr>
          <w:p w14:paraId="309E547D" w14:textId="77777777" w:rsidR="00A320E6" w:rsidRDefault="00000000" w:rsidP="00EC50E9">
            <w:pPr>
              <w:jc w:val="center"/>
              <w:rPr>
                <w:rFonts w:ascii="宋体" w:hAnsi="宋体" w:cs="宋体"/>
                <w:kern w:val="0"/>
                <w:szCs w:val="21"/>
              </w:rPr>
            </w:pPr>
            <w:r>
              <w:rPr>
                <w:rFonts w:ascii="宋体" w:hAnsi="宋体" w:cs="宋体" w:hint="eastAsia"/>
                <w:kern w:val="0"/>
                <w:szCs w:val="21"/>
              </w:rPr>
              <w:t>26000-40000元/亩</w:t>
            </w:r>
          </w:p>
        </w:tc>
        <w:tc>
          <w:tcPr>
            <w:tcW w:w="1861" w:type="pct"/>
            <w:vMerge/>
            <w:tcBorders>
              <w:top w:val="nil"/>
              <w:left w:val="single" w:sz="4" w:space="0" w:color="auto"/>
              <w:bottom w:val="single" w:sz="4" w:space="0" w:color="auto"/>
              <w:right w:val="single" w:sz="4" w:space="0" w:color="auto"/>
            </w:tcBorders>
            <w:vAlign w:val="center"/>
          </w:tcPr>
          <w:p w14:paraId="451BFA01" w14:textId="77777777" w:rsidR="00A320E6" w:rsidRDefault="00A320E6" w:rsidP="00EC50E9">
            <w:pPr>
              <w:jc w:val="left"/>
              <w:rPr>
                <w:rFonts w:ascii="宋体" w:hAnsi="宋体" w:cs="宋体"/>
                <w:kern w:val="0"/>
                <w:szCs w:val="21"/>
              </w:rPr>
            </w:pPr>
          </w:p>
        </w:tc>
      </w:tr>
      <w:tr w:rsidR="00A320E6" w14:paraId="4C8052B9" w14:textId="77777777" w:rsidTr="00EC50E9">
        <w:trPr>
          <w:trHeight w:val="459"/>
          <w:jc w:val="center"/>
        </w:trPr>
        <w:tc>
          <w:tcPr>
            <w:tcW w:w="621" w:type="pct"/>
            <w:vMerge/>
            <w:tcBorders>
              <w:top w:val="nil"/>
              <w:left w:val="single" w:sz="4" w:space="0" w:color="auto"/>
              <w:bottom w:val="single" w:sz="4" w:space="0" w:color="auto"/>
              <w:right w:val="single" w:sz="4" w:space="0" w:color="auto"/>
            </w:tcBorders>
            <w:vAlign w:val="center"/>
          </w:tcPr>
          <w:p w14:paraId="4D9623B7"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3E5154D"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66EDB13" w14:textId="77777777" w:rsidR="00A320E6" w:rsidRDefault="00000000" w:rsidP="00EC50E9">
            <w:pPr>
              <w:jc w:val="left"/>
              <w:rPr>
                <w:rFonts w:ascii="宋体" w:hAnsi="宋体" w:cs="宋体"/>
                <w:kern w:val="0"/>
                <w:szCs w:val="21"/>
              </w:rPr>
            </w:pPr>
            <w:r>
              <w:rPr>
                <w:rFonts w:ascii="宋体" w:hAnsi="宋体" w:cs="宋体" w:hint="eastAsia"/>
                <w:kern w:val="0"/>
                <w:szCs w:val="21"/>
              </w:rPr>
              <w:t>衰果期</w:t>
            </w:r>
          </w:p>
        </w:tc>
        <w:tc>
          <w:tcPr>
            <w:tcW w:w="919" w:type="pct"/>
            <w:tcBorders>
              <w:top w:val="nil"/>
              <w:left w:val="nil"/>
              <w:bottom w:val="single" w:sz="4" w:space="0" w:color="auto"/>
              <w:right w:val="single" w:sz="4" w:space="0" w:color="auto"/>
            </w:tcBorders>
            <w:vAlign w:val="center"/>
          </w:tcPr>
          <w:p w14:paraId="75D75944" w14:textId="77777777" w:rsidR="00A320E6" w:rsidRDefault="00000000" w:rsidP="00EC50E9">
            <w:pPr>
              <w:jc w:val="center"/>
              <w:rPr>
                <w:rFonts w:ascii="宋体" w:hAnsi="宋体" w:cs="宋体"/>
                <w:kern w:val="0"/>
                <w:szCs w:val="21"/>
              </w:rPr>
            </w:pPr>
            <w:r>
              <w:rPr>
                <w:rFonts w:ascii="宋体" w:hAnsi="宋体" w:cs="宋体" w:hint="eastAsia"/>
                <w:kern w:val="0"/>
                <w:szCs w:val="21"/>
              </w:rPr>
              <w:t>15000-22000元/亩</w:t>
            </w:r>
          </w:p>
        </w:tc>
        <w:tc>
          <w:tcPr>
            <w:tcW w:w="1861" w:type="pct"/>
            <w:vMerge/>
            <w:tcBorders>
              <w:top w:val="nil"/>
              <w:left w:val="single" w:sz="4" w:space="0" w:color="auto"/>
              <w:bottom w:val="single" w:sz="4" w:space="0" w:color="auto"/>
              <w:right w:val="single" w:sz="4" w:space="0" w:color="auto"/>
            </w:tcBorders>
            <w:vAlign w:val="center"/>
          </w:tcPr>
          <w:p w14:paraId="61887F16" w14:textId="77777777" w:rsidR="00A320E6" w:rsidRDefault="00A320E6" w:rsidP="00EC50E9">
            <w:pPr>
              <w:jc w:val="left"/>
              <w:rPr>
                <w:rFonts w:ascii="宋体" w:hAnsi="宋体" w:cs="宋体"/>
                <w:kern w:val="0"/>
                <w:szCs w:val="21"/>
              </w:rPr>
            </w:pPr>
          </w:p>
        </w:tc>
      </w:tr>
      <w:tr w:rsidR="00A320E6" w14:paraId="5A760387" w14:textId="77777777" w:rsidTr="00EC50E9">
        <w:trPr>
          <w:trHeight w:val="480"/>
          <w:jc w:val="center"/>
        </w:trPr>
        <w:tc>
          <w:tcPr>
            <w:tcW w:w="621" w:type="pct"/>
            <w:vMerge w:val="restart"/>
            <w:tcBorders>
              <w:top w:val="nil"/>
              <w:left w:val="single" w:sz="4" w:space="0" w:color="auto"/>
              <w:bottom w:val="single" w:sz="4" w:space="0" w:color="auto"/>
              <w:right w:val="single" w:sz="4" w:space="0" w:color="auto"/>
            </w:tcBorders>
            <w:vAlign w:val="center"/>
          </w:tcPr>
          <w:p w14:paraId="71F253FA" w14:textId="77777777" w:rsidR="00A320E6" w:rsidRDefault="00000000" w:rsidP="00EC50E9">
            <w:pPr>
              <w:jc w:val="center"/>
              <w:rPr>
                <w:rFonts w:ascii="宋体" w:hAnsi="宋体" w:cs="宋体"/>
                <w:kern w:val="0"/>
                <w:szCs w:val="21"/>
              </w:rPr>
            </w:pPr>
            <w:r>
              <w:rPr>
                <w:rFonts w:ascii="宋体" w:hAnsi="宋体" w:cs="宋体" w:hint="eastAsia"/>
                <w:kern w:val="0"/>
                <w:szCs w:val="21"/>
              </w:rPr>
              <w:t>17</w:t>
            </w:r>
          </w:p>
        </w:tc>
        <w:tc>
          <w:tcPr>
            <w:tcW w:w="472" w:type="pct"/>
            <w:vMerge w:val="restart"/>
            <w:tcBorders>
              <w:top w:val="nil"/>
              <w:left w:val="single" w:sz="4" w:space="0" w:color="auto"/>
              <w:bottom w:val="single" w:sz="4" w:space="0" w:color="auto"/>
              <w:right w:val="single" w:sz="4" w:space="0" w:color="auto"/>
            </w:tcBorders>
            <w:vAlign w:val="center"/>
          </w:tcPr>
          <w:p w14:paraId="788C96AD" w14:textId="77777777" w:rsidR="00A320E6" w:rsidRDefault="00000000" w:rsidP="00EC50E9">
            <w:pPr>
              <w:jc w:val="center"/>
              <w:rPr>
                <w:rFonts w:ascii="宋体" w:hAnsi="宋体" w:cs="宋体"/>
                <w:kern w:val="0"/>
                <w:szCs w:val="21"/>
              </w:rPr>
            </w:pPr>
            <w:r>
              <w:rPr>
                <w:rFonts w:ascii="宋体" w:hAnsi="宋体" w:cs="宋体" w:hint="eastAsia"/>
                <w:kern w:val="0"/>
                <w:szCs w:val="21"/>
              </w:rPr>
              <w:t>樱桃</w:t>
            </w:r>
          </w:p>
        </w:tc>
        <w:tc>
          <w:tcPr>
            <w:tcW w:w="1127" w:type="pct"/>
            <w:tcBorders>
              <w:top w:val="nil"/>
              <w:left w:val="nil"/>
              <w:bottom w:val="single" w:sz="4" w:space="0" w:color="auto"/>
              <w:right w:val="single" w:sz="4" w:space="0" w:color="auto"/>
            </w:tcBorders>
            <w:vAlign w:val="center"/>
          </w:tcPr>
          <w:p w14:paraId="447D6A9A" w14:textId="77777777" w:rsidR="00A320E6" w:rsidRDefault="00000000" w:rsidP="00EC50E9">
            <w:pPr>
              <w:jc w:val="left"/>
              <w:rPr>
                <w:rFonts w:ascii="宋体" w:hAnsi="宋体" w:cs="宋体"/>
                <w:kern w:val="0"/>
                <w:szCs w:val="21"/>
              </w:rPr>
            </w:pPr>
            <w:r>
              <w:rPr>
                <w:rFonts w:ascii="宋体" w:hAnsi="宋体" w:cs="宋体" w:hint="eastAsia"/>
                <w:kern w:val="0"/>
                <w:szCs w:val="21"/>
              </w:rPr>
              <w:t>幼龄期</w:t>
            </w:r>
          </w:p>
        </w:tc>
        <w:tc>
          <w:tcPr>
            <w:tcW w:w="919" w:type="pct"/>
            <w:tcBorders>
              <w:top w:val="nil"/>
              <w:left w:val="nil"/>
              <w:bottom w:val="single" w:sz="4" w:space="0" w:color="auto"/>
              <w:right w:val="single" w:sz="4" w:space="0" w:color="auto"/>
            </w:tcBorders>
            <w:vAlign w:val="center"/>
          </w:tcPr>
          <w:p w14:paraId="1A6F643F" w14:textId="77777777" w:rsidR="00A320E6" w:rsidRDefault="00000000" w:rsidP="00EC50E9">
            <w:pPr>
              <w:jc w:val="center"/>
              <w:rPr>
                <w:rFonts w:ascii="宋体" w:hAnsi="宋体" w:cs="宋体"/>
                <w:kern w:val="0"/>
                <w:szCs w:val="21"/>
              </w:rPr>
            </w:pPr>
            <w:r>
              <w:rPr>
                <w:rFonts w:ascii="宋体" w:hAnsi="宋体" w:cs="宋体" w:hint="eastAsia"/>
                <w:kern w:val="0"/>
                <w:szCs w:val="21"/>
              </w:rPr>
              <w:t>3500-7300元/亩</w:t>
            </w:r>
          </w:p>
        </w:tc>
        <w:tc>
          <w:tcPr>
            <w:tcW w:w="1861" w:type="pct"/>
            <w:vMerge w:val="restart"/>
            <w:tcBorders>
              <w:top w:val="nil"/>
              <w:left w:val="single" w:sz="4" w:space="0" w:color="auto"/>
              <w:bottom w:val="single" w:sz="4" w:space="0" w:color="auto"/>
              <w:right w:val="single" w:sz="4" w:space="0" w:color="auto"/>
            </w:tcBorders>
            <w:vAlign w:val="center"/>
          </w:tcPr>
          <w:p w14:paraId="3E65979C" w14:textId="77777777" w:rsidR="00A320E6" w:rsidRDefault="00000000" w:rsidP="00EC50E9">
            <w:pPr>
              <w:jc w:val="left"/>
              <w:rPr>
                <w:rFonts w:ascii="宋体" w:hAnsi="宋体" w:cs="宋体"/>
                <w:kern w:val="0"/>
                <w:szCs w:val="21"/>
              </w:rPr>
            </w:pPr>
            <w:r>
              <w:rPr>
                <w:rFonts w:ascii="宋体" w:hAnsi="宋体" w:cs="宋体" w:hint="eastAsia"/>
                <w:kern w:val="0"/>
                <w:szCs w:val="21"/>
              </w:rPr>
              <w:t>果园外零星果树补偿标准：</w:t>
            </w:r>
            <w:r>
              <w:rPr>
                <w:rFonts w:ascii="宋体" w:hAnsi="宋体" w:cs="宋体" w:hint="eastAsia"/>
                <w:kern w:val="0"/>
                <w:szCs w:val="21"/>
              </w:rPr>
              <w:br/>
              <w:t>幼龄期：60-110元/株</w:t>
            </w:r>
            <w:r>
              <w:rPr>
                <w:rFonts w:ascii="宋体" w:hAnsi="宋体" w:cs="宋体" w:hint="eastAsia"/>
                <w:kern w:val="0"/>
                <w:szCs w:val="21"/>
              </w:rPr>
              <w:br/>
              <w:t>初果期：260-400元/株</w:t>
            </w:r>
            <w:r>
              <w:rPr>
                <w:rFonts w:ascii="宋体" w:hAnsi="宋体" w:cs="宋体" w:hint="eastAsia"/>
                <w:kern w:val="0"/>
                <w:szCs w:val="21"/>
              </w:rPr>
              <w:br/>
              <w:t>盛果期：480-700元/株</w:t>
            </w:r>
            <w:r>
              <w:rPr>
                <w:rFonts w:ascii="宋体" w:hAnsi="宋体" w:cs="宋体" w:hint="eastAsia"/>
                <w:kern w:val="0"/>
                <w:szCs w:val="21"/>
              </w:rPr>
              <w:br/>
              <w:t>衰果期：200-300元/株</w:t>
            </w:r>
            <w:r>
              <w:rPr>
                <w:rFonts w:ascii="宋体" w:hAnsi="宋体" w:cs="宋体" w:hint="eastAsia"/>
                <w:kern w:val="0"/>
                <w:szCs w:val="21"/>
              </w:rPr>
              <w:br/>
              <w:t>零星果树补偿价格不得超过按亩补偿标准</w:t>
            </w:r>
            <w:r>
              <w:rPr>
                <w:rFonts w:ascii="宋体" w:hAnsi="宋体" w:cs="宋体" w:hint="eastAsia"/>
                <w:kern w:val="0"/>
                <w:szCs w:val="21"/>
              </w:rPr>
              <w:br/>
              <w:t>树归原主</w:t>
            </w:r>
          </w:p>
        </w:tc>
      </w:tr>
      <w:tr w:rsidR="00A320E6" w14:paraId="23BCBD2D"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7C72334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426E1F8"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2B7CE92" w14:textId="77777777" w:rsidR="00A320E6" w:rsidRDefault="00000000" w:rsidP="00EC50E9">
            <w:pPr>
              <w:jc w:val="left"/>
              <w:rPr>
                <w:rFonts w:ascii="宋体" w:hAnsi="宋体" w:cs="宋体"/>
                <w:kern w:val="0"/>
                <w:szCs w:val="21"/>
              </w:rPr>
            </w:pPr>
            <w:r>
              <w:rPr>
                <w:rFonts w:ascii="宋体" w:hAnsi="宋体" w:cs="宋体" w:hint="eastAsia"/>
                <w:kern w:val="0"/>
                <w:szCs w:val="21"/>
              </w:rPr>
              <w:t>初果期</w:t>
            </w:r>
          </w:p>
        </w:tc>
        <w:tc>
          <w:tcPr>
            <w:tcW w:w="919" w:type="pct"/>
            <w:tcBorders>
              <w:top w:val="nil"/>
              <w:left w:val="nil"/>
              <w:bottom w:val="single" w:sz="4" w:space="0" w:color="auto"/>
              <w:right w:val="single" w:sz="4" w:space="0" w:color="auto"/>
            </w:tcBorders>
            <w:vAlign w:val="center"/>
          </w:tcPr>
          <w:p w14:paraId="007C8AF7" w14:textId="77777777" w:rsidR="00A320E6" w:rsidRDefault="00000000" w:rsidP="00EC50E9">
            <w:pPr>
              <w:jc w:val="center"/>
              <w:rPr>
                <w:rFonts w:ascii="宋体" w:hAnsi="宋体" w:cs="宋体"/>
                <w:kern w:val="0"/>
                <w:szCs w:val="21"/>
              </w:rPr>
            </w:pPr>
            <w:r>
              <w:rPr>
                <w:rFonts w:ascii="宋体" w:hAnsi="宋体" w:cs="宋体" w:hint="eastAsia"/>
                <w:kern w:val="0"/>
                <w:szCs w:val="21"/>
              </w:rPr>
              <w:t>17000-26000元/亩</w:t>
            </w:r>
          </w:p>
        </w:tc>
        <w:tc>
          <w:tcPr>
            <w:tcW w:w="1861" w:type="pct"/>
            <w:vMerge/>
            <w:tcBorders>
              <w:top w:val="nil"/>
              <w:left w:val="single" w:sz="4" w:space="0" w:color="auto"/>
              <w:bottom w:val="single" w:sz="4" w:space="0" w:color="auto"/>
              <w:right w:val="single" w:sz="4" w:space="0" w:color="auto"/>
            </w:tcBorders>
            <w:vAlign w:val="center"/>
          </w:tcPr>
          <w:p w14:paraId="44EBC3A0" w14:textId="77777777" w:rsidR="00A320E6" w:rsidRDefault="00A320E6" w:rsidP="00EC50E9">
            <w:pPr>
              <w:jc w:val="left"/>
              <w:rPr>
                <w:rFonts w:ascii="宋体" w:hAnsi="宋体" w:cs="宋体"/>
                <w:kern w:val="0"/>
                <w:szCs w:val="21"/>
              </w:rPr>
            </w:pPr>
          </w:p>
        </w:tc>
      </w:tr>
      <w:tr w:rsidR="00A320E6" w14:paraId="344EAC88"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1AB22371"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3F067374"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587F4F7" w14:textId="77777777" w:rsidR="00A320E6" w:rsidRDefault="00000000" w:rsidP="00EC50E9">
            <w:pPr>
              <w:jc w:val="left"/>
              <w:rPr>
                <w:rFonts w:ascii="宋体" w:hAnsi="宋体" w:cs="宋体"/>
                <w:kern w:val="0"/>
                <w:szCs w:val="21"/>
              </w:rPr>
            </w:pPr>
            <w:r>
              <w:rPr>
                <w:rFonts w:ascii="宋体" w:hAnsi="宋体" w:cs="宋体" w:hint="eastAsia"/>
                <w:kern w:val="0"/>
                <w:szCs w:val="21"/>
              </w:rPr>
              <w:t>盛果期</w:t>
            </w:r>
          </w:p>
        </w:tc>
        <w:tc>
          <w:tcPr>
            <w:tcW w:w="919" w:type="pct"/>
            <w:tcBorders>
              <w:top w:val="nil"/>
              <w:left w:val="nil"/>
              <w:bottom w:val="single" w:sz="4" w:space="0" w:color="auto"/>
              <w:right w:val="single" w:sz="4" w:space="0" w:color="auto"/>
            </w:tcBorders>
            <w:vAlign w:val="center"/>
          </w:tcPr>
          <w:p w14:paraId="7BCDA109" w14:textId="77777777" w:rsidR="00A320E6" w:rsidRDefault="00000000" w:rsidP="00EC50E9">
            <w:pPr>
              <w:jc w:val="center"/>
              <w:rPr>
                <w:rFonts w:ascii="宋体" w:hAnsi="宋体" w:cs="宋体"/>
                <w:kern w:val="0"/>
                <w:szCs w:val="21"/>
              </w:rPr>
            </w:pPr>
            <w:r>
              <w:rPr>
                <w:rFonts w:ascii="宋体" w:hAnsi="宋体" w:cs="宋体" w:hint="eastAsia"/>
                <w:kern w:val="0"/>
                <w:szCs w:val="21"/>
              </w:rPr>
              <w:t>31000-46000元/亩</w:t>
            </w:r>
          </w:p>
        </w:tc>
        <w:tc>
          <w:tcPr>
            <w:tcW w:w="1861" w:type="pct"/>
            <w:vMerge/>
            <w:tcBorders>
              <w:top w:val="nil"/>
              <w:left w:val="single" w:sz="4" w:space="0" w:color="auto"/>
              <w:bottom w:val="single" w:sz="4" w:space="0" w:color="auto"/>
              <w:right w:val="single" w:sz="4" w:space="0" w:color="auto"/>
            </w:tcBorders>
            <w:vAlign w:val="center"/>
          </w:tcPr>
          <w:p w14:paraId="1AA7D979" w14:textId="77777777" w:rsidR="00A320E6" w:rsidRDefault="00A320E6" w:rsidP="00EC50E9">
            <w:pPr>
              <w:jc w:val="left"/>
              <w:rPr>
                <w:rFonts w:ascii="宋体" w:hAnsi="宋体" w:cs="宋体"/>
                <w:kern w:val="0"/>
                <w:szCs w:val="21"/>
              </w:rPr>
            </w:pPr>
          </w:p>
        </w:tc>
      </w:tr>
      <w:tr w:rsidR="00A320E6" w14:paraId="27EBE169"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493DB26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EF0E5F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AB30D72" w14:textId="77777777" w:rsidR="00A320E6" w:rsidRDefault="00000000" w:rsidP="00EC50E9">
            <w:pPr>
              <w:jc w:val="left"/>
              <w:rPr>
                <w:rFonts w:ascii="宋体" w:hAnsi="宋体" w:cs="宋体"/>
                <w:kern w:val="0"/>
                <w:szCs w:val="21"/>
              </w:rPr>
            </w:pPr>
            <w:r>
              <w:rPr>
                <w:rFonts w:ascii="宋体" w:hAnsi="宋体" w:cs="宋体" w:hint="eastAsia"/>
                <w:kern w:val="0"/>
                <w:szCs w:val="21"/>
              </w:rPr>
              <w:t>衰果期</w:t>
            </w:r>
          </w:p>
        </w:tc>
        <w:tc>
          <w:tcPr>
            <w:tcW w:w="919" w:type="pct"/>
            <w:tcBorders>
              <w:top w:val="nil"/>
              <w:left w:val="nil"/>
              <w:bottom w:val="single" w:sz="4" w:space="0" w:color="auto"/>
              <w:right w:val="single" w:sz="4" w:space="0" w:color="auto"/>
            </w:tcBorders>
            <w:vAlign w:val="center"/>
          </w:tcPr>
          <w:p w14:paraId="2217AAA7" w14:textId="77777777" w:rsidR="00A320E6" w:rsidRDefault="00000000" w:rsidP="00EC50E9">
            <w:pPr>
              <w:jc w:val="center"/>
              <w:rPr>
                <w:rFonts w:ascii="宋体" w:hAnsi="宋体" w:cs="宋体"/>
                <w:kern w:val="0"/>
                <w:szCs w:val="21"/>
              </w:rPr>
            </w:pPr>
            <w:r>
              <w:rPr>
                <w:rFonts w:ascii="宋体" w:hAnsi="宋体" w:cs="宋体" w:hint="eastAsia"/>
                <w:kern w:val="0"/>
                <w:szCs w:val="21"/>
              </w:rPr>
              <w:t>13000-19000元/亩</w:t>
            </w:r>
          </w:p>
        </w:tc>
        <w:tc>
          <w:tcPr>
            <w:tcW w:w="1861" w:type="pct"/>
            <w:vMerge/>
            <w:tcBorders>
              <w:top w:val="nil"/>
              <w:left w:val="single" w:sz="4" w:space="0" w:color="auto"/>
              <w:bottom w:val="single" w:sz="4" w:space="0" w:color="auto"/>
              <w:right w:val="single" w:sz="4" w:space="0" w:color="auto"/>
            </w:tcBorders>
            <w:vAlign w:val="center"/>
          </w:tcPr>
          <w:p w14:paraId="00FA9327" w14:textId="77777777" w:rsidR="00A320E6" w:rsidRDefault="00A320E6" w:rsidP="00EC50E9">
            <w:pPr>
              <w:jc w:val="left"/>
              <w:rPr>
                <w:rFonts w:ascii="宋体" w:hAnsi="宋体" w:cs="宋体"/>
                <w:kern w:val="0"/>
                <w:szCs w:val="21"/>
              </w:rPr>
            </w:pPr>
          </w:p>
        </w:tc>
      </w:tr>
      <w:tr w:rsidR="00A320E6" w14:paraId="378AB9E9" w14:textId="77777777" w:rsidTr="00EC50E9">
        <w:trPr>
          <w:trHeight w:val="480"/>
          <w:jc w:val="center"/>
        </w:trPr>
        <w:tc>
          <w:tcPr>
            <w:tcW w:w="621" w:type="pct"/>
            <w:vMerge w:val="restart"/>
            <w:tcBorders>
              <w:top w:val="nil"/>
              <w:left w:val="single" w:sz="4" w:space="0" w:color="auto"/>
              <w:bottom w:val="single" w:sz="4" w:space="0" w:color="auto"/>
              <w:right w:val="single" w:sz="4" w:space="0" w:color="auto"/>
            </w:tcBorders>
            <w:vAlign w:val="center"/>
          </w:tcPr>
          <w:p w14:paraId="1F33535D" w14:textId="77777777" w:rsidR="00A320E6" w:rsidRDefault="00000000" w:rsidP="00EC50E9">
            <w:pPr>
              <w:jc w:val="center"/>
              <w:rPr>
                <w:rFonts w:ascii="宋体" w:hAnsi="宋体" w:cs="宋体"/>
                <w:kern w:val="0"/>
                <w:szCs w:val="21"/>
              </w:rPr>
            </w:pPr>
            <w:r>
              <w:rPr>
                <w:rFonts w:ascii="宋体" w:hAnsi="宋体" w:cs="宋体" w:hint="eastAsia"/>
                <w:kern w:val="0"/>
                <w:szCs w:val="21"/>
              </w:rPr>
              <w:t>18</w:t>
            </w:r>
          </w:p>
        </w:tc>
        <w:tc>
          <w:tcPr>
            <w:tcW w:w="472" w:type="pct"/>
            <w:vMerge w:val="restart"/>
            <w:tcBorders>
              <w:top w:val="nil"/>
              <w:left w:val="single" w:sz="4" w:space="0" w:color="auto"/>
              <w:bottom w:val="single" w:sz="4" w:space="0" w:color="auto"/>
              <w:right w:val="single" w:sz="4" w:space="0" w:color="auto"/>
            </w:tcBorders>
            <w:vAlign w:val="center"/>
          </w:tcPr>
          <w:p w14:paraId="0F11CA14" w14:textId="77777777" w:rsidR="00A320E6" w:rsidRDefault="00000000" w:rsidP="00EC50E9">
            <w:pPr>
              <w:jc w:val="center"/>
              <w:rPr>
                <w:rFonts w:ascii="宋体" w:hAnsi="宋体" w:cs="宋体"/>
                <w:kern w:val="0"/>
                <w:szCs w:val="21"/>
              </w:rPr>
            </w:pPr>
            <w:r>
              <w:rPr>
                <w:rFonts w:ascii="宋体" w:hAnsi="宋体" w:cs="宋体" w:hint="eastAsia"/>
                <w:kern w:val="0"/>
                <w:szCs w:val="21"/>
              </w:rPr>
              <w:t>蓝莓</w:t>
            </w:r>
          </w:p>
        </w:tc>
        <w:tc>
          <w:tcPr>
            <w:tcW w:w="1127" w:type="pct"/>
            <w:tcBorders>
              <w:top w:val="nil"/>
              <w:left w:val="nil"/>
              <w:bottom w:val="single" w:sz="4" w:space="0" w:color="auto"/>
              <w:right w:val="single" w:sz="4" w:space="0" w:color="auto"/>
            </w:tcBorders>
            <w:vAlign w:val="center"/>
          </w:tcPr>
          <w:p w14:paraId="38820E56" w14:textId="77777777" w:rsidR="00A320E6" w:rsidRDefault="00000000" w:rsidP="00EC50E9">
            <w:pPr>
              <w:jc w:val="left"/>
              <w:rPr>
                <w:rFonts w:ascii="宋体" w:hAnsi="宋体" w:cs="宋体"/>
                <w:kern w:val="0"/>
                <w:szCs w:val="21"/>
              </w:rPr>
            </w:pPr>
            <w:r>
              <w:rPr>
                <w:rFonts w:ascii="宋体" w:hAnsi="宋体" w:cs="宋体" w:hint="eastAsia"/>
                <w:kern w:val="0"/>
                <w:szCs w:val="21"/>
              </w:rPr>
              <w:t>一年生</w:t>
            </w:r>
          </w:p>
        </w:tc>
        <w:tc>
          <w:tcPr>
            <w:tcW w:w="919" w:type="pct"/>
            <w:tcBorders>
              <w:top w:val="nil"/>
              <w:left w:val="nil"/>
              <w:bottom w:val="single" w:sz="4" w:space="0" w:color="auto"/>
              <w:right w:val="single" w:sz="4" w:space="0" w:color="auto"/>
            </w:tcBorders>
            <w:vAlign w:val="center"/>
          </w:tcPr>
          <w:p w14:paraId="706CC9C0" w14:textId="77777777" w:rsidR="00A320E6" w:rsidRDefault="00000000" w:rsidP="00EC50E9">
            <w:pPr>
              <w:jc w:val="center"/>
              <w:rPr>
                <w:rFonts w:ascii="宋体" w:hAnsi="宋体" w:cs="宋体"/>
                <w:kern w:val="0"/>
                <w:szCs w:val="21"/>
              </w:rPr>
            </w:pPr>
            <w:r>
              <w:rPr>
                <w:rFonts w:ascii="宋体" w:hAnsi="宋体" w:cs="宋体" w:hint="eastAsia"/>
                <w:kern w:val="0"/>
                <w:szCs w:val="21"/>
              </w:rPr>
              <w:t>8000-15000元/亩</w:t>
            </w:r>
          </w:p>
        </w:tc>
        <w:tc>
          <w:tcPr>
            <w:tcW w:w="1861" w:type="pct"/>
            <w:vMerge w:val="restart"/>
            <w:tcBorders>
              <w:top w:val="nil"/>
              <w:left w:val="single" w:sz="4" w:space="0" w:color="auto"/>
              <w:bottom w:val="single" w:sz="4" w:space="0" w:color="auto"/>
              <w:right w:val="single" w:sz="4" w:space="0" w:color="auto"/>
            </w:tcBorders>
            <w:vAlign w:val="center"/>
          </w:tcPr>
          <w:p w14:paraId="1884BE71" w14:textId="77777777" w:rsidR="00A320E6" w:rsidRDefault="00000000" w:rsidP="00EC50E9">
            <w:pPr>
              <w:jc w:val="left"/>
              <w:rPr>
                <w:rFonts w:ascii="宋体" w:hAnsi="宋体" w:cs="宋体"/>
                <w:kern w:val="0"/>
                <w:szCs w:val="21"/>
              </w:rPr>
            </w:pPr>
            <w:r>
              <w:rPr>
                <w:rFonts w:ascii="宋体" w:hAnsi="宋体" w:cs="宋体" w:hint="eastAsia"/>
                <w:kern w:val="0"/>
                <w:szCs w:val="21"/>
              </w:rPr>
              <w:t>果园外零星果树补偿标准：</w:t>
            </w:r>
            <w:r>
              <w:rPr>
                <w:rFonts w:ascii="宋体" w:hAnsi="宋体" w:cs="宋体" w:hint="eastAsia"/>
                <w:kern w:val="0"/>
                <w:szCs w:val="21"/>
              </w:rPr>
              <w:br/>
              <w:t>一年生：15-25元/株</w:t>
            </w:r>
            <w:r>
              <w:rPr>
                <w:rFonts w:ascii="宋体" w:hAnsi="宋体" w:cs="宋体" w:hint="eastAsia"/>
                <w:kern w:val="0"/>
                <w:szCs w:val="21"/>
              </w:rPr>
              <w:br/>
              <w:t>两年生：25-35元/株</w:t>
            </w:r>
            <w:r>
              <w:rPr>
                <w:rFonts w:ascii="宋体" w:hAnsi="宋体" w:cs="宋体" w:hint="eastAsia"/>
                <w:kern w:val="0"/>
                <w:szCs w:val="21"/>
              </w:rPr>
              <w:br/>
              <w:t>三年生：35-50元/株</w:t>
            </w:r>
            <w:r>
              <w:rPr>
                <w:rFonts w:ascii="宋体" w:hAnsi="宋体" w:cs="宋体" w:hint="eastAsia"/>
                <w:kern w:val="0"/>
                <w:szCs w:val="21"/>
              </w:rPr>
              <w:br/>
              <w:t>四年生及以上：50-65元/株</w:t>
            </w:r>
            <w:r>
              <w:rPr>
                <w:rFonts w:ascii="宋体" w:hAnsi="宋体" w:cs="宋体" w:hint="eastAsia"/>
                <w:kern w:val="0"/>
                <w:szCs w:val="21"/>
              </w:rPr>
              <w:br/>
              <w:t>零星果树补偿价格不得超过按亩补偿标准</w:t>
            </w:r>
            <w:r>
              <w:rPr>
                <w:rFonts w:ascii="宋体" w:hAnsi="宋体" w:cs="宋体" w:hint="eastAsia"/>
                <w:kern w:val="0"/>
                <w:szCs w:val="21"/>
              </w:rPr>
              <w:br/>
              <w:t>树归原主</w:t>
            </w:r>
          </w:p>
        </w:tc>
      </w:tr>
      <w:tr w:rsidR="00A320E6" w14:paraId="6E3F3122"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600AF6B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1FA78082"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77F9AD47" w14:textId="77777777" w:rsidR="00A320E6" w:rsidRDefault="00000000" w:rsidP="00EC50E9">
            <w:pPr>
              <w:jc w:val="left"/>
              <w:rPr>
                <w:rFonts w:ascii="宋体" w:hAnsi="宋体" w:cs="宋体"/>
                <w:kern w:val="0"/>
                <w:szCs w:val="21"/>
              </w:rPr>
            </w:pPr>
            <w:r>
              <w:rPr>
                <w:rFonts w:ascii="宋体" w:hAnsi="宋体" w:cs="宋体" w:hint="eastAsia"/>
                <w:kern w:val="0"/>
                <w:szCs w:val="21"/>
              </w:rPr>
              <w:t>两年生</w:t>
            </w:r>
          </w:p>
        </w:tc>
        <w:tc>
          <w:tcPr>
            <w:tcW w:w="919" w:type="pct"/>
            <w:tcBorders>
              <w:top w:val="nil"/>
              <w:left w:val="nil"/>
              <w:bottom w:val="single" w:sz="4" w:space="0" w:color="auto"/>
              <w:right w:val="single" w:sz="4" w:space="0" w:color="auto"/>
            </w:tcBorders>
            <w:vAlign w:val="center"/>
          </w:tcPr>
          <w:p w14:paraId="40796385" w14:textId="77777777" w:rsidR="00A320E6" w:rsidRDefault="00000000" w:rsidP="00EC50E9">
            <w:pPr>
              <w:jc w:val="center"/>
              <w:rPr>
                <w:rFonts w:ascii="宋体" w:hAnsi="宋体" w:cs="宋体"/>
                <w:kern w:val="0"/>
                <w:szCs w:val="21"/>
              </w:rPr>
            </w:pPr>
            <w:r>
              <w:rPr>
                <w:rFonts w:ascii="宋体" w:hAnsi="宋体" w:cs="宋体" w:hint="eastAsia"/>
                <w:kern w:val="0"/>
                <w:szCs w:val="21"/>
              </w:rPr>
              <w:t>15000-20000元/亩</w:t>
            </w:r>
          </w:p>
        </w:tc>
        <w:tc>
          <w:tcPr>
            <w:tcW w:w="1861" w:type="pct"/>
            <w:vMerge/>
            <w:tcBorders>
              <w:top w:val="nil"/>
              <w:left w:val="single" w:sz="4" w:space="0" w:color="auto"/>
              <w:bottom w:val="single" w:sz="4" w:space="0" w:color="auto"/>
              <w:right w:val="single" w:sz="4" w:space="0" w:color="auto"/>
            </w:tcBorders>
            <w:vAlign w:val="center"/>
          </w:tcPr>
          <w:p w14:paraId="0BEBC05C" w14:textId="77777777" w:rsidR="00A320E6" w:rsidRDefault="00A320E6" w:rsidP="00EC50E9">
            <w:pPr>
              <w:jc w:val="left"/>
              <w:rPr>
                <w:rFonts w:ascii="宋体" w:hAnsi="宋体" w:cs="宋体"/>
                <w:kern w:val="0"/>
                <w:szCs w:val="21"/>
              </w:rPr>
            </w:pPr>
          </w:p>
        </w:tc>
      </w:tr>
      <w:tr w:rsidR="00A320E6" w14:paraId="47DFD9D3"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094CC989"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1DC3AB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8C4CC21" w14:textId="77777777" w:rsidR="00A320E6" w:rsidRDefault="00000000" w:rsidP="00EC50E9">
            <w:pPr>
              <w:jc w:val="left"/>
              <w:rPr>
                <w:rFonts w:ascii="宋体" w:hAnsi="宋体" w:cs="宋体"/>
                <w:kern w:val="0"/>
                <w:szCs w:val="21"/>
              </w:rPr>
            </w:pPr>
            <w:r>
              <w:rPr>
                <w:rFonts w:ascii="宋体" w:hAnsi="宋体" w:cs="宋体" w:hint="eastAsia"/>
                <w:kern w:val="0"/>
                <w:szCs w:val="21"/>
              </w:rPr>
              <w:t>三年生</w:t>
            </w:r>
          </w:p>
        </w:tc>
        <w:tc>
          <w:tcPr>
            <w:tcW w:w="919" w:type="pct"/>
            <w:tcBorders>
              <w:top w:val="nil"/>
              <w:left w:val="nil"/>
              <w:bottom w:val="single" w:sz="4" w:space="0" w:color="auto"/>
              <w:right w:val="single" w:sz="4" w:space="0" w:color="auto"/>
            </w:tcBorders>
            <w:vAlign w:val="center"/>
          </w:tcPr>
          <w:p w14:paraId="10D7E56F" w14:textId="77777777" w:rsidR="00A320E6" w:rsidRDefault="00000000" w:rsidP="00EC50E9">
            <w:pPr>
              <w:jc w:val="center"/>
              <w:rPr>
                <w:rFonts w:ascii="宋体" w:hAnsi="宋体" w:cs="宋体"/>
                <w:kern w:val="0"/>
                <w:szCs w:val="21"/>
              </w:rPr>
            </w:pPr>
            <w:r>
              <w:rPr>
                <w:rFonts w:ascii="宋体" w:hAnsi="宋体" w:cs="宋体" w:hint="eastAsia"/>
                <w:kern w:val="0"/>
                <w:szCs w:val="21"/>
              </w:rPr>
              <w:t>20000-30000元/亩</w:t>
            </w:r>
          </w:p>
        </w:tc>
        <w:tc>
          <w:tcPr>
            <w:tcW w:w="1861" w:type="pct"/>
            <w:vMerge/>
            <w:tcBorders>
              <w:top w:val="nil"/>
              <w:left w:val="single" w:sz="4" w:space="0" w:color="auto"/>
              <w:bottom w:val="single" w:sz="4" w:space="0" w:color="auto"/>
              <w:right w:val="single" w:sz="4" w:space="0" w:color="auto"/>
            </w:tcBorders>
            <w:vAlign w:val="center"/>
          </w:tcPr>
          <w:p w14:paraId="458985D3" w14:textId="77777777" w:rsidR="00A320E6" w:rsidRDefault="00A320E6" w:rsidP="00EC50E9">
            <w:pPr>
              <w:jc w:val="left"/>
              <w:rPr>
                <w:rFonts w:ascii="宋体" w:hAnsi="宋体" w:cs="宋体"/>
                <w:kern w:val="0"/>
                <w:szCs w:val="21"/>
              </w:rPr>
            </w:pPr>
          </w:p>
        </w:tc>
      </w:tr>
      <w:tr w:rsidR="00A320E6" w14:paraId="6DD2076C" w14:textId="77777777" w:rsidTr="00EC50E9">
        <w:trPr>
          <w:trHeight w:val="480"/>
          <w:jc w:val="center"/>
        </w:trPr>
        <w:tc>
          <w:tcPr>
            <w:tcW w:w="621" w:type="pct"/>
            <w:vMerge/>
            <w:tcBorders>
              <w:top w:val="nil"/>
              <w:left w:val="single" w:sz="4" w:space="0" w:color="auto"/>
              <w:bottom w:val="single" w:sz="4" w:space="0" w:color="auto"/>
              <w:right w:val="single" w:sz="4" w:space="0" w:color="auto"/>
            </w:tcBorders>
            <w:vAlign w:val="center"/>
          </w:tcPr>
          <w:p w14:paraId="71B45C4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2F43F2F8"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CCCE756" w14:textId="77777777" w:rsidR="00A320E6" w:rsidRDefault="00000000" w:rsidP="00EC50E9">
            <w:pPr>
              <w:jc w:val="left"/>
              <w:rPr>
                <w:rFonts w:ascii="宋体" w:hAnsi="宋体" w:cs="宋体"/>
                <w:kern w:val="0"/>
                <w:szCs w:val="21"/>
              </w:rPr>
            </w:pPr>
            <w:r>
              <w:rPr>
                <w:rFonts w:ascii="宋体" w:hAnsi="宋体" w:cs="宋体" w:hint="eastAsia"/>
                <w:kern w:val="0"/>
                <w:szCs w:val="21"/>
              </w:rPr>
              <w:t>四年生以上</w:t>
            </w:r>
          </w:p>
        </w:tc>
        <w:tc>
          <w:tcPr>
            <w:tcW w:w="919" w:type="pct"/>
            <w:tcBorders>
              <w:top w:val="nil"/>
              <w:left w:val="nil"/>
              <w:bottom w:val="single" w:sz="4" w:space="0" w:color="auto"/>
              <w:right w:val="single" w:sz="4" w:space="0" w:color="auto"/>
            </w:tcBorders>
            <w:vAlign w:val="center"/>
          </w:tcPr>
          <w:p w14:paraId="3BD3C6E1" w14:textId="77777777" w:rsidR="00A320E6" w:rsidRDefault="00000000" w:rsidP="00EC50E9">
            <w:pPr>
              <w:jc w:val="center"/>
              <w:rPr>
                <w:rFonts w:ascii="宋体" w:hAnsi="宋体" w:cs="宋体"/>
                <w:kern w:val="0"/>
                <w:szCs w:val="21"/>
              </w:rPr>
            </w:pPr>
            <w:r>
              <w:rPr>
                <w:rFonts w:ascii="宋体" w:hAnsi="宋体" w:cs="宋体" w:hint="eastAsia"/>
                <w:kern w:val="0"/>
                <w:szCs w:val="21"/>
              </w:rPr>
              <w:t>30000-40000元/亩</w:t>
            </w:r>
          </w:p>
        </w:tc>
        <w:tc>
          <w:tcPr>
            <w:tcW w:w="1861" w:type="pct"/>
            <w:vMerge/>
            <w:tcBorders>
              <w:top w:val="nil"/>
              <w:left w:val="single" w:sz="4" w:space="0" w:color="auto"/>
              <w:bottom w:val="single" w:sz="4" w:space="0" w:color="auto"/>
              <w:right w:val="single" w:sz="4" w:space="0" w:color="auto"/>
            </w:tcBorders>
            <w:vAlign w:val="center"/>
          </w:tcPr>
          <w:p w14:paraId="46816A26" w14:textId="77777777" w:rsidR="00A320E6" w:rsidRDefault="00A320E6" w:rsidP="00EC50E9">
            <w:pPr>
              <w:jc w:val="left"/>
              <w:rPr>
                <w:rFonts w:ascii="宋体" w:hAnsi="宋体" w:cs="宋体"/>
                <w:kern w:val="0"/>
                <w:szCs w:val="21"/>
              </w:rPr>
            </w:pPr>
          </w:p>
        </w:tc>
      </w:tr>
      <w:tr w:rsidR="00A320E6" w14:paraId="4E78D31F" w14:textId="77777777" w:rsidTr="00EC50E9">
        <w:trPr>
          <w:trHeight w:val="519"/>
          <w:jc w:val="center"/>
        </w:trPr>
        <w:tc>
          <w:tcPr>
            <w:tcW w:w="621" w:type="pct"/>
            <w:vMerge w:val="restart"/>
            <w:tcBorders>
              <w:top w:val="nil"/>
              <w:left w:val="single" w:sz="4" w:space="0" w:color="auto"/>
              <w:bottom w:val="single" w:sz="4" w:space="0" w:color="auto"/>
              <w:right w:val="single" w:sz="4" w:space="0" w:color="auto"/>
            </w:tcBorders>
            <w:vAlign w:val="center"/>
          </w:tcPr>
          <w:p w14:paraId="2D73AF59" w14:textId="77777777" w:rsidR="00A320E6" w:rsidRDefault="00000000" w:rsidP="00EC50E9">
            <w:pPr>
              <w:jc w:val="center"/>
              <w:rPr>
                <w:rFonts w:ascii="宋体" w:hAnsi="宋体" w:cs="宋体"/>
                <w:kern w:val="0"/>
                <w:szCs w:val="21"/>
              </w:rPr>
            </w:pPr>
            <w:r>
              <w:rPr>
                <w:rFonts w:ascii="宋体" w:hAnsi="宋体" w:cs="宋体" w:hint="eastAsia"/>
                <w:kern w:val="0"/>
                <w:szCs w:val="21"/>
              </w:rPr>
              <w:t>19</w:t>
            </w:r>
          </w:p>
        </w:tc>
        <w:tc>
          <w:tcPr>
            <w:tcW w:w="472" w:type="pct"/>
            <w:vMerge w:val="restart"/>
            <w:tcBorders>
              <w:top w:val="nil"/>
              <w:left w:val="single" w:sz="4" w:space="0" w:color="auto"/>
              <w:bottom w:val="single" w:sz="4" w:space="0" w:color="auto"/>
              <w:right w:val="single" w:sz="4" w:space="0" w:color="auto"/>
            </w:tcBorders>
            <w:vAlign w:val="center"/>
          </w:tcPr>
          <w:p w14:paraId="4A1ABF93" w14:textId="77777777" w:rsidR="00A320E6" w:rsidRDefault="00000000" w:rsidP="00EC50E9">
            <w:pPr>
              <w:jc w:val="center"/>
              <w:rPr>
                <w:rFonts w:ascii="宋体" w:hAnsi="宋体" w:cs="宋体"/>
                <w:kern w:val="0"/>
                <w:szCs w:val="21"/>
              </w:rPr>
            </w:pPr>
            <w:r>
              <w:rPr>
                <w:rFonts w:ascii="宋体" w:hAnsi="宋体" w:cs="宋体" w:hint="eastAsia"/>
                <w:kern w:val="0"/>
                <w:szCs w:val="21"/>
              </w:rPr>
              <w:t>其他</w:t>
            </w:r>
          </w:p>
          <w:p w14:paraId="7F3446DC" w14:textId="77777777" w:rsidR="00A320E6" w:rsidRDefault="00000000" w:rsidP="00EC50E9">
            <w:pPr>
              <w:jc w:val="center"/>
              <w:rPr>
                <w:rFonts w:ascii="宋体" w:hAnsi="宋体" w:cs="宋体"/>
                <w:kern w:val="0"/>
                <w:szCs w:val="21"/>
              </w:rPr>
            </w:pPr>
            <w:r>
              <w:rPr>
                <w:rFonts w:ascii="宋体" w:hAnsi="宋体" w:cs="宋体" w:hint="eastAsia"/>
                <w:kern w:val="0"/>
                <w:szCs w:val="21"/>
              </w:rPr>
              <w:t>果树</w:t>
            </w:r>
          </w:p>
        </w:tc>
        <w:tc>
          <w:tcPr>
            <w:tcW w:w="1127" w:type="pct"/>
            <w:tcBorders>
              <w:top w:val="nil"/>
              <w:left w:val="nil"/>
              <w:bottom w:val="single" w:sz="4" w:space="0" w:color="auto"/>
              <w:right w:val="single" w:sz="4" w:space="0" w:color="auto"/>
            </w:tcBorders>
            <w:vAlign w:val="center"/>
          </w:tcPr>
          <w:p w14:paraId="138F6BAC" w14:textId="77777777" w:rsidR="00A320E6" w:rsidRDefault="00000000" w:rsidP="00EC50E9">
            <w:pPr>
              <w:jc w:val="left"/>
              <w:rPr>
                <w:rFonts w:ascii="宋体" w:hAnsi="宋体" w:cs="宋体"/>
                <w:kern w:val="0"/>
                <w:szCs w:val="21"/>
              </w:rPr>
            </w:pPr>
            <w:r>
              <w:rPr>
                <w:rFonts w:ascii="宋体" w:hAnsi="宋体" w:cs="宋体" w:hint="eastAsia"/>
                <w:kern w:val="0"/>
                <w:szCs w:val="21"/>
              </w:rPr>
              <w:t>幼龄期</w:t>
            </w:r>
          </w:p>
        </w:tc>
        <w:tc>
          <w:tcPr>
            <w:tcW w:w="919" w:type="pct"/>
            <w:tcBorders>
              <w:top w:val="nil"/>
              <w:left w:val="nil"/>
              <w:bottom w:val="single" w:sz="4" w:space="0" w:color="auto"/>
              <w:right w:val="single" w:sz="4" w:space="0" w:color="auto"/>
            </w:tcBorders>
            <w:vAlign w:val="center"/>
          </w:tcPr>
          <w:p w14:paraId="002261CE" w14:textId="77777777" w:rsidR="00A320E6" w:rsidRDefault="00000000" w:rsidP="00EC50E9">
            <w:pPr>
              <w:jc w:val="center"/>
              <w:rPr>
                <w:rFonts w:ascii="宋体" w:hAnsi="宋体" w:cs="宋体"/>
                <w:kern w:val="0"/>
                <w:szCs w:val="21"/>
              </w:rPr>
            </w:pPr>
            <w:r>
              <w:rPr>
                <w:rFonts w:ascii="宋体" w:hAnsi="宋体" w:cs="宋体" w:hint="eastAsia"/>
                <w:kern w:val="0"/>
                <w:szCs w:val="21"/>
              </w:rPr>
              <w:t>3600-6500元/亩</w:t>
            </w:r>
          </w:p>
        </w:tc>
        <w:tc>
          <w:tcPr>
            <w:tcW w:w="1861" w:type="pct"/>
            <w:vMerge w:val="restart"/>
            <w:tcBorders>
              <w:top w:val="nil"/>
              <w:left w:val="single" w:sz="4" w:space="0" w:color="auto"/>
              <w:bottom w:val="single" w:sz="4" w:space="0" w:color="auto"/>
              <w:right w:val="single" w:sz="4" w:space="0" w:color="auto"/>
            </w:tcBorders>
            <w:vAlign w:val="center"/>
          </w:tcPr>
          <w:p w14:paraId="420ED7C7" w14:textId="77777777" w:rsidR="00A320E6" w:rsidRDefault="00000000" w:rsidP="00EC50E9">
            <w:pPr>
              <w:jc w:val="left"/>
              <w:rPr>
                <w:rFonts w:ascii="宋体" w:hAnsi="宋体" w:cs="宋体"/>
                <w:kern w:val="0"/>
                <w:szCs w:val="21"/>
              </w:rPr>
            </w:pPr>
            <w:r>
              <w:rPr>
                <w:rFonts w:ascii="宋体" w:hAnsi="宋体" w:cs="宋体" w:hint="eastAsia"/>
                <w:kern w:val="0"/>
                <w:szCs w:val="21"/>
              </w:rPr>
              <w:t>包括桃、杏、核桃、柿、枣、板栗等树种</w:t>
            </w:r>
            <w:r>
              <w:rPr>
                <w:rFonts w:ascii="宋体" w:hAnsi="宋体" w:cs="宋体" w:hint="eastAsia"/>
                <w:kern w:val="0"/>
                <w:szCs w:val="21"/>
              </w:rPr>
              <w:br/>
              <w:t>果园外零星果树补偿标准：</w:t>
            </w:r>
            <w:r>
              <w:rPr>
                <w:rFonts w:ascii="宋体" w:hAnsi="宋体" w:cs="宋体" w:hint="eastAsia"/>
                <w:kern w:val="0"/>
                <w:szCs w:val="21"/>
              </w:rPr>
              <w:br/>
              <w:t>幼龄期：55-100元/株</w:t>
            </w:r>
            <w:r>
              <w:rPr>
                <w:rFonts w:ascii="宋体" w:hAnsi="宋体" w:cs="宋体" w:hint="eastAsia"/>
                <w:kern w:val="0"/>
                <w:szCs w:val="21"/>
              </w:rPr>
              <w:br/>
              <w:t>初果期：150-370元/株</w:t>
            </w:r>
            <w:r>
              <w:rPr>
                <w:rFonts w:ascii="宋体" w:hAnsi="宋体" w:cs="宋体" w:hint="eastAsia"/>
                <w:kern w:val="0"/>
                <w:szCs w:val="21"/>
              </w:rPr>
              <w:br/>
              <w:t>盛果期：340-580元/株</w:t>
            </w:r>
            <w:r>
              <w:rPr>
                <w:rFonts w:ascii="宋体" w:hAnsi="宋体" w:cs="宋体" w:hint="eastAsia"/>
                <w:kern w:val="0"/>
                <w:szCs w:val="21"/>
              </w:rPr>
              <w:br/>
              <w:t>衰果期：180-320元/株</w:t>
            </w:r>
            <w:r>
              <w:rPr>
                <w:rFonts w:ascii="宋体" w:hAnsi="宋体" w:cs="宋体" w:hint="eastAsia"/>
                <w:kern w:val="0"/>
                <w:szCs w:val="21"/>
              </w:rPr>
              <w:br/>
              <w:t>零星果树补偿价格不得超过按亩补偿标准</w:t>
            </w:r>
            <w:r>
              <w:rPr>
                <w:rFonts w:ascii="宋体" w:hAnsi="宋体" w:cs="宋体" w:hint="eastAsia"/>
                <w:kern w:val="0"/>
                <w:szCs w:val="21"/>
              </w:rPr>
              <w:br/>
              <w:t>树归原主</w:t>
            </w:r>
          </w:p>
        </w:tc>
      </w:tr>
      <w:tr w:rsidR="00A320E6" w14:paraId="3DBE6151" w14:textId="77777777" w:rsidTr="00EC50E9">
        <w:trPr>
          <w:trHeight w:val="519"/>
          <w:jc w:val="center"/>
        </w:trPr>
        <w:tc>
          <w:tcPr>
            <w:tcW w:w="621" w:type="pct"/>
            <w:vMerge/>
            <w:tcBorders>
              <w:top w:val="nil"/>
              <w:left w:val="single" w:sz="4" w:space="0" w:color="auto"/>
              <w:bottom w:val="single" w:sz="4" w:space="0" w:color="auto"/>
              <w:right w:val="single" w:sz="4" w:space="0" w:color="auto"/>
            </w:tcBorders>
            <w:vAlign w:val="center"/>
          </w:tcPr>
          <w:p w14:paraId="0C482EB9"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835163F"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7A33AB7" w14:textId="77777777" w:rsidR="00A320E6" w:rsidRDefault="00000000" w:rsidP="00EC50E9">
            <w:pPr>
              <w:jc w:val="left"/>
              <w:rPr>
                <w:rFonts w:ascii="宋体" w:hAnsi="宋体" w:cs="宋体"/>
                <w:kern w:val="0"/>
                <w:szCs w:val="21"/>
              </w:rPr>
            </w:pPr>
            <w:r>
              <w:rPr>
                <w:rFonts w:ascii="宋体" w:hAnsi="宋体" w:cs="宋体" w:hint="eastAsia"/>
                <w:kern w:val="0"/>
                <w:szCs w:val="21"/>
              </w:rPr>
              <w:t>初果期</w:t>
            </w:r>
          </w:p>
        </w:tc>
        <w:tc>
          <w:tcPr>
            <w:tcW w:w="919" w:type="pct"/>
            <w:tcBorders>
              <w:top w:val="nil"/>
              <w:left w:val="nil"/>
              <w:bottom w:val="single" w:sz="4" w:space="0" w:color="auto"/>
              <w:right w:val="single" w:sz="4" w:space="0" w:color="auto"/>
            </w:tcBorders>
            <w:vAlign w:val="center"/>
          </w:tcPr>
          <w:p w14:paraId="0C10516E" w14:textId="77777777" w:rsidR="00A320E6" w:rsidRDefault="00000000" w:rsidP="00EC50E9">
            <w:pPr>
              <w:jc w:val="center"/>
              <w:rPr>
                <w:rFonts w:ascii="宋体" w:hAnsi="宋体" w:cs="宋体"/>
                <w:kern w:val="0"/>
                <w:szCs w:val="21"/>
              </w:rPr>
            </w:pPr>
            <w:r>
              <w:rPr>
                <w:rFonts w:ascii="宋体" w:hAnsi="宋体" w:cs="宋体" w:hint="eastAsia"/>
                <w:kern w:val="0"/>
                <w:szCs w:val="21"/>
              </w:rPr>
              <w:t>10000-24000元/亩</w:t>
            </w:r>
          </w:p>
        </w:tc>
        <w:tc>
          <w:tcPr>
            <w:tcW w:w="1861" w:type="pct"/>
            <w:vMerge/>
            <w:tcBorders>
              <w:top w:val="nil"/>
              <w:left w:val="single" w:sz="4" w:space="0" w:color="auto"/>
              <w:bottom w:val="single" w:sz="4" w:space="0" w:color="auto"/>
              <w:right w:val="single" w:sz="4" w:space="0" w:color="auto"/>
            </w:tcBorders>
            <w:vAlign w:val="center"/>
          </w:tcPr>
          <w:p w14:paraId="69109F5B" w14:textId="77777777" w:rsidR="00A320E6" w:rsidRDefault="00A320E6" w:rsidP="00EC50E9">
            <w:pPr>
              <w:jc w:val="left"/>
              <w:rPr>
                <w:rFonts w:ascii="宋体" w:hAnsi="宋体" w:cs="宋体"/>
                <w:kern w:val="0"/>
                <w:szCs w:val="21"/>
              </w:rPr>
            </w:pPr>
          </w:p>
        </w:tc>
      </w:tr>
      <w:tr w:rsidR="00A320E6" w14:paraId="2FF6EA98" w14:textId="77777777" w:rsidTr="00EC50E9">
        <w:trPr>
          <w:trHeight w:val="519"/>
          <w:jc w:val="center"/>
        </w:trPr>
        <w:tc>
          <w:tcPr>
            <w:tcW w:w="621" w:type="pct"/>
            <w:vMerge/>
            <w:tcBorders>
              <w:top w:val="nil"/>
              <w:left w:val="single" w:sz="4" w:space="0" w:color="auto"/>
              <w:bottom w:val="single" w:sz="4" w:space="0" w:color="auto"/>
              <w:right w:val="single" w:sz="4" w:space="0" w:color="auto"/>
            </w:tcBorders>
            <w:vAlign w:val="center"/>
          </w:tcPr>
          <w:p w14:paraId="4BA8328C"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0EA801B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E55E586" w14:textId="77777777" w:rsidR="00A320E6" w:rsidRDefault="00000000" w:rsidP="00EC50E9">
            <w:pPr>
              <w:jc w:val="left"/>
              <w:rPr>
                <w:rFonts w:ascii="宋体" w:hAnsi="宋体" w:cs="宋体"/>
                <w:kern w:val="0"/>
                <w:szCs w:val="21"/>
              </w:rPr>
            </w:pPr>
            <w:r>
              <w:rPr>
                <w:rFonts w:ascii="宋体" w:hAnsi="宋体" w:cs="宋体" w:hint="eastAsia"/>
                <w:kern w:val="0"/>
                <w:szCs w:val="21"/>
              </w:rPr>
              <w:t>盛果期</w:t>
            </w:r>
          </w:p>
        </w:tc>
        <w:tc>
          <w:tcPr>
            <w:tcW w:w="919" w:type="pct"/>
            <w:tcBorders>
              <w:top w:val="nil"/>
              <w:left w:val="nil"/>
              <w:bottom w:val="single" w:sz="4" w:space="0" w:color="auto"/>
              <w:right w:val="single" w:sz="4" w:space="0" w:color="auto"/>
            </w:tcBorders>
            <w:vAlign w:val="center"/>
          </w:tcPr>
          <w:p w14:paraId="20533A0C" w14:textId="77777777" w:rsidR="00A320E6" w:rsidRDefault="00000000" w:rsidP="00EC50E9">
            <w:pPr>
              <w:jc w:val="center"/>
              <w:rPr>
                <w:rFonts w:ascii="宋体" w:hAnsi="宋体" w:cs="宋体"/>
                <w:kern w:val="0"/>
                <w:szCs w:val="21"/>
              </w:rPr>
            </w:pPr>
            <w:r>
              <w:rPr>
                <w:rFonts w:ascii="宋体" w:hAnsi="宋体" w:cs="宋体" w:hint="eastAsia"/>
                <w:kern w:val="0"/>
                <w:szCs w:val="21"/>
              </w:rPr>
              <w:t>22000-38000元/亩</w:t>
            </w:r>
          </w:p>
        </w:tc>
        <w:tc>
          <w:tcPr>
            <w:tcW w:w="1861" w:type="pct"/>
            <w:vMerge/>
            <w:tcBorders>
              <w:top w:val="nil"/>
              <w:left w:val="single" w:sz="4" w:space="0" w:color="auto"/>
              <w:bottom w:val="single" w:sz="4" w:space="0" w:color="auto"/>
              <w:right w:val="single" w:sz="4" w:space="0" w:color="auto"/>
            </w:tcBorders>
            <w:vAlign w:val="center"/>
          </w:tcPr>
          <w:p w14:paraId="33E69535" w14:textId="77777777" w:rsidR="00A320E6" w:rsidRDefault="00A320E6" w:rsidP="00EC50E9">
            <w:pPr>
              <w:jc w:val="left"/>
              <w:rPr>
                <w:rFonts w:ascii="宋体" w:hAnsi="宋体" w:cs="宋体"/>
                <w:kern w:val="0"/>
                <w:szCs w:val="21"/>
              </w:rPr>
            </w:pPr>
          </w:p>
        </w:tc>
      </w:tr>
      <w:tr w:rsidR="00A320E6" w14:paraId="259C93A7" w14:textId="77777777" w:rsidTr="00EC50E9">
        <w:trPr>
          <w:trHeight w:val="519"/>
          <w:jc w:val="center"/>
        </w:trPr>
        <w:tc>
          <w:tcPr>
            <w:tcW w:w="621" w:type="pct"/>
            <w:vMerge/>
            <w:tcBorders>
              <w:top w:val="nil"/>
              <w:left w:val="single" w:sz="4" w:space="0" w:color="auto"/>
              <w:bottom w:val="single" w:sz="4" w:space="0" w:color="auto"/>
              <w:right w:val="single" w:sz="4" w:space="0" w:color="auto"/>
            </w:tcBorders>
            <w:vAlign w:val="center"/>
          </w:tcPr>
          <w:p w14:paraId="2E92A8FA"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B695DE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4445404" w14:textId="77777777" w:rsidR="00A320E6" w:rsidRDefault="00000000" w:rsidP="00EC50E9">
            <w:pPr>
              <w:jc w:val="left"/>
              <w:rPr>
                <w:rFonts w:ascii="宋体" w:hAnsi="宋体" w:cs="宋体"/>
                <w:kern w:val="0"/>
                <w:szCs w:val="21"/>
              </w:rPr>
            </w:pPr>
            <w:r>
              <w:rPr>
                <w:rFonts w:ascii="宋体" w:hAnsi="宋体" w:cs="宋体" w:hint="eastAsia"/>
                <w:kern w:val="0"/>
                <w:szCs w:val="21"/>
              </w:rPr>
              <w:t>衰果期</w:t>
            </w:r>
          </w:p>
        </w:tc>
        <w:tc>
          <w:tcPr>
            <w:tcW w:w="919" w:type="pct"/>
            <w:tcBorders>
              <w:top w:val="nil"/>
              <w:left w:val="nil"/>
              <w:bottom w:val="single" w:sz="4" w:space="0" w:color="auto"/>
              <w:right w:val="single" w:sz="4" w:space="0" w:color="auto"/>
            </w:tcBorders>
            <w:vAlign w:val="center"/>
          </w:tcPr>
          <w:p w14:paraId="6C57E2E9" w14:textId="77777777" w:rsidR="00A320E6" w:rsidRDefault="00000000" w:rsidP="00EC50E9">
            <w:pPr>
              <w:jc w:val="center"/>
              <w:rPr>
                <w:rFonts w:ascii="宋体" w:hAnsi="宋体" w:cs="宋体"/>
                <w:kern w:val="0"/>
                <w:szCs w:val="21"/>
              </w:rPr>
            </w:pPr>
            <w:r>
              <w:rPr>
                <w:rFonts w:ascii="宋体" w:hAnsi="宋体" w:cs="宋体" w:hint="eastAsia"/>
                <w:kern w:val="0"/>
                <w:szCs w:val="21"/>
              </w:rPr>
              <w:t>12000-21000元/亩</w:t>
            </w:r>
          </w:p>
        </w:tc>
        <w:tc>
          <w:tcPr>
            <w:tcW w:w="1861" w:type="pct"/>
            <w:vMerge/>
            <w:tcBorders>
              <w:top w:val="nil"/>
              <w:left w:val="single" w:sz="4" w:space="0" w:color="auto"/>
              <w:bottom w:val="single" w:sz="4" w:space="0" w:color="auto"/>
              <w:right w:val="single" w:sz="4" w:space="0" w:color="auto"/>
            </w:tcBorders>
            <w:vAlign w:val="center"/>
          </w:tcPr>
          <w:p w14:paraId="02A8ED19" w14:textId="77777777" w:rsidR="00A320E6" w:rsidRDefault="00A320E6" w:rsidP="00EC50E9">
            <w:pPr>
              <w:jc w:val="left"/>
              <w:rPr>
                <w:rFonts w:ascii="宋体" w:hAnsi="宋体" w:cs="宋体"/>
                <w:kern w:val="0"/>
                <w:szCs w:val="21"/>
              </w:rPr>
            </w:pPr>
          </w:p>
        </w:tc>
      </w:tr>
      <w:tr w:rsidR="00A320E6" w14:paraId="1CE043B0" w14:textId="77777777" w:rsidTr="00EC50E9">
        <w:trPr>
          <w:trHeight w:val="639"/>
          <w:jc w:val="center"/>
        </w:trPr>
        <w:tc>
          <w:tcPr>
            <w:tcW w:w="621" w:type="pct"/>
            <w:vMerge w:val="restart"/>
            <w:tcBorders>
              <w:top w:val="nil"/>
              <w:left w:val="single" w:sz="4" w:space="0" w:color="auto"/>
              <w:bottom w:val="single" w:sz="4" w:space="0" w:color="auto"/>
              <w:right w:val="single" w:sz="4" w:space="0" w:color="auto"/>
            </w:tcBorders>
            <w:vAlign w:val="center"/>
          </w:tcPr>
          <w:p w14:paraId="02D930A9" w14:textId="77777777" w:rsidR="00A320E6" w:rsidRDefault="00000000" w:rsidP="00EC50E9">
            <w:pPr>
              <w:jc w:val="center"/>
              <w:rPr>
                <w:rFonts w:ascii="宋体" w:hAnsi="宋体" w:cs="宋体"/>
                <w:kern w:val="0"/>
                <w:szCs w:val="21"/>
              </w:rPr>
            </w:pPr>
            <w:r>
              <w:rPr>
                <w:rFonts w:ascii="宋体" w:hAnsi="宋体" w:cs="宋体" w:hint="eastAsia"/>
                <w:kern w:val="0"/>
                <w:szCs w:val="21"/>
              </w:rPr>
              <w:t>20</w:t>
            </w:r>
          </w:p>
        </w:tc>
        <w:tc>
          <w:tcPr>
            <w:tcW w:w="472" w:type="pct"/>
            <w:vMerge w:val="restart"/>
            <w:tcBorders>
              <w:top w:val="nil"/>
              <w:left w:val="single" w:sz="4" w:space="0" w:color="auto"/>
              <w:bottom w:val="single" w:sz="4" w:space="0" w:color="auto"/>
              <w:right w:val="single" w:sz="4" w:space="0" w:color="auto"/>
            </w:tcBorders>
            <w:vAlign w:val="center"/>
          </w:tcPr>
          <w:p w14:paraId="612C7658" w14:textId="77777777" w:rsidR="00A320E6" w:rsidRDefault="00000000" w:rsidP="00EC50E9">
            <w:pPr>
              <w:jc w:val="center"/>
              <w:rPr>
                <w:rFonts w:ascii="宋体" w:hAnsi="宋体" w:cs="宋体"/>
                <w:kern w:val="0"/>
                <w:szCs w:val="21"/>
              </w:rPr>
            </w:pPr>
            <w:r>
              <w:rPr>
                <w:rFonts w:ascii="宋体" w:hAnsi="宋体" w:cs="宋体" w:hint="eastAsia"/>
                <w:kern w:val="0"/>
                <w:szCs w:val="21"/>
              </w:rPr>
              <w:t>葡萄</w:t>
            </w:r>
          </w:p>
        </w:tc>
        <w:tc>
          <w:tcPr>
            <w:tcW w:w="1127" w:type="pct"/>
            <w:tcBorders>
              <w:top w:val="nil"/>
              <w:left w:val="nil"/>
              <w:bottom w:val="single" w:sz="4" w:space="0" w:color="auto"/>
              <w:right w:val="single" w:sz="4" w:space="0" w:color="auto"/>
            </w:tcBorders>
            <w:vAlign w:val="center"/>
          </w:tcPr>
          <w:p w14:paraId="01C4FB98" w14:textId="77777777" w:rsidR="00A320E6" w:rsidRDefault="00000000" w:rsidP="00EC50E9">
            <w:pPr>
              <w:jc w:val="left"/>
              <w:rPr>
                <w:rFonts w:ascii="宋体" w:hAnsi="宋体" w:cs="宋体"/>
                <w:kern w:val="0"/>
                <w:szCs w:val="21"/>
              </w:rPr>
            </w:pPr>
            <w:r>
              <w:rPr>
                <w:rFonts w:ascii="宋体" w:hAnsi="宋体" w:cs="宋体" w:hint="eastAsia"/>
                <w:kern w:val="0"/>
                <w:szCs w:val="21"/>
              </w:rPr>
              <w:t>幼龄期</w:t>
            </w:r>
          </w:p>
        </w:tc>
        <w:tc>
          <w:tcPr>
            <w:tcW w:w="919" w:type="pct"/>
            <w:tcBorders>
              <w:top w:val="nil"/>
              <w:left w:val="nil"/>
              <w:bottom w:val="single" w:sz="4" w:space="0" w:color="auto"/>
              <w:right w:val="single" w:sz="4" w:space="0" w:color="auto"/>
            </w:tcBorders>
            <w:vAlign w:val="center"/>
          </w:tcPr>
          <w:p w14:paraId="7CF4B6BB" w14:textId="77777777" w:rsidR="00A320E6" w:rsidRDefault="00000000" w:rsidP="00EC50E9">
            <w:pPr>
              <w:jc w:val="center"/>
              <w:rPr>
                <w:rFonts w:ascii="宋体" w:hAnsi="宋体" w:cs="宋体"/>
                <w:kern w:val="0"/>
                <w:szCs w:val="21"/>
              </w:rPr>
            </w:pPr>
            <w:r>
              <w:rPr>
                <w:rFonts w:ascii="宋体" w:hAnsi="宋体" w:cs="宋体" w:hint="eastAsia"/>
                <w:kern w:val="0"/>
                <w:szCs w:val="21"/>
              </w:rPr>
              <w:t>4800-9000元/亩</w:t>
            </w:r>
          </w:p>
        </w:tc>
        <w:tc>
          <w:tcPr>
            <w:tcW w:w="1861" w:type="pct"/>
            <w:vMerge w:val="restart"/>
            <w:tcBorders>
              <w:top w:val="nil"/>
              <w:left w:val="single" w:sz="4" w:space="0" w:color="auto"/>
              <w:bottom w:val="single" w:sz="4" w:space="0" w:color="auto"/>
              <w:right w:val="single" w:sz="4" w:space="0" w:color="auto"/>
            </w:tcBorders>
            <w:vAlign w:val="center"/>
          </w:tcPr>
          <w:p w14:paraId="53130CD6" w14:textId="77777777" w:rsidR="00A320E6" w:rsidRDefault="00000000" w:rsidP="00EC50E9">
            <w:pPr>
              <w:jc w:val="left"/>
              <w:rPr>
                <w:rFonts w:ascii="宋体" w:hAnsi="宋体" w:cs="宋体"/>
                <w:kern w:val="0"/>
                <w:szCs w:val="21"/>
              </w:rPr>
            </w:pPr>
            <w:r>
              <w:rPr>
                <w:rFonts w:ascii="宋体" w:hAnsi="宋体" w:cs="宋体" w:hint="eastAsia"/>
                <w:kern w:val="0"/>
                <w:szCs w:val="21"/>
              </w:rPr>
              <w:t>园外零星葡萄树补偿标准：</w:t>
            </w:r>
            <w:r>
              <w:rPr>
                <w:rFonts w:ascii="宋体" w:hAnsi="宋体" w:cs="宋体" w:hint="eastAsia"/>
                <w:kern w:val="0"/>
                <w:szCs w:val="21"/>
              </w:rPr>
              <w:br/>
              <w:t>幼龄期：15-25元/株</w:t>
            </w:r>
            <w:r>
              <w:rPr>
                <w:rFonts w:ascii="宋体" w:hAnsi="宋体" w:cs="宋体" w:hint="eastAsia"/>
                <w:kern w:val="0"/>
                <w:szCs w:val="21"/>
              </w:rPr>
              <w:br/>
              <w:t>初果期：30-60元/株</w:t>
            </w:r>
            <w:r>
              <w:rPr>
                <w:rFonts w:ascii="宋体" w:hAnsi="宋体" w:cs="宋体" w:hint="eastAsia"/>
                <w:kern w:val="0"/>
                <w:szCs w:val="21"/>
              </w:rPr>
              <w:br/>
              <w:t>盛果期：70-120元/株</w:t>
            </w:r>
            <w:r>
              <w:rPr>
                <w:rFonts w:ascii="宋体" w:hAnsi="宋体" w:cs="宋体" w:hint="eastAsia"/>
                <w:kern w:val="0"/>
                <w:szCs w:val="21"/>
              </w:rPr>
              <w:br/>
              <w:t>衰果期：40-50元/株</w:t>
            </w:r>
            <w:r>
              <w:rPr>
                <w:rFonts w:ascii="宋体" w:hAnsi="宋体" w:cs="宋体" w:hint="eastAsia"/>
                <w:kern w:val="0"/>
                <w:szCs w:val="21"/>
              </w:rPr>
              <w:br/>
              <w:t>零星果树补偿价格不得超过按亩补偿标准</w:t>
            </w:r>
            <w:r>
              <w:rPr>
                <w:rFonts w:ascii="宋体" w:hAnsi="宋体" w:cs="宋体" w:hint="eastAsia"/>
                <w:kern w:val="0"/>
                <w:szCs w:val="21"/>
              </w:rPr>
              <w:br/>
              <w:t>火龙果、猕猴桃参照葡萄补偿标准</w:t>
            </w:r>
            <w:r>
              <w:rPr>
                <w:rFonts w:ascii="宋体" w:hAnsi="宋体" w:cs="宋体" w:hint="eastAsia"/>
                <w:kern w:val="0"/>
                <w:szCs w:val="21"/>
              </w:rPr>
              <w:br/>
              <w:t>包含对葡萄架的补偿，特殊葡萄架按照评估价格确定</w:t>
            </w:r>
            <w:r>
              <w:rPr>
                <w:rFonts w:ascii="宋体" w:hAnsi="宋体" w:cs="宋体" w:hint="eastAsia"/>
                <w:kern w:val="0"/>
                <w:szCs w:val="21"/>
              </w:rPr>
              <w:br/>
              <w:t>树归原主</w:t>
            </w:r>
          </w:p>
        </w:tc>
      </w:tr>
      <w:tr w:rsidR="00A320E6" w14:paraId="25D299B9" w14:textId="77777777" w:rsidTr="00EC50E9">
        <w:trPr>
          <w:trHeight w:val="639"/>
          <w:jc w:val="center"/>
        </w:trPr>
        <w:tc>
          <w:tcPr>
            <w:tcW w:w="621" w:type="pct"/>
            <w:vMerge/>
            <w:tcBorders>
              <w:top w:val="nil"/>
              <w:left w:val="single" w:sz="4" w:space="0" w:color="auto"/>
              <w:bottom w:val="single" w:sz="4" w:space="0" w:color="auto"/>
              <w:right w:val="single" w:sz="4" w:space="0" w:color="auto"/>
            </w:tcBorders>
            <w:vAlign w:val="center"/>
          </w:tcPr>
          <w:p w14:paraId="62917786"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01A33F8D"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EC9BEF7" w14:textId="77777777" w:rsidR="00A320E6" w:rsidRDefault="00000000" w:rsidP="00EC50E9">
            <w:pPr>
              <w:jc w:val="left"/>
              <w:rPr>
                <w:rFonts w:ascii="宋体" w:hAnsi="宋体" w:cs="宋体"/>
                <w:kern w:val="0"/>
                <w:szCs w:val="21"/>
              </w:rPr>
            </w:pPr>
            <w:r>
              <w:rPr>
                <w:rFonts w:ascii="宋体" w:hAnsi="宋体" w:cs="宋体" w:hint="eastAsia"/>
                <w:kern w:val="0"/>
                <w:szCs w:val="21"/>
              </w:rPr>
              <w:t>初果期</w:t>
            </w:r>
          </w:p>
        </w:tc>
        <w:tc>
          <w:tcPr>
            <w:tcW w:w="919" w:type="pct"/>
            <w:tcBorders>
              <w:top w:val="nil"/>
              <w:left w:val="nil"/>
              <w:bottom w:val="single" w:sz="4" w:space="0" w:color="auto"/>
              <w:right w:val="single" w:sz="4" w:space="0" w:color="auto"/>
            </w:tcBorders>
            <w:vAlign w:val="center"/>
          </w:tcPr>
          <w:p w14:paraId="4CAFF328" w14:textId="77777777" w:rsidR="00A320E6" w:rsidRDefault="00000000" w:rsidP="00EC50E9">
            <w:pPr>
              <w:jc w:val="center"/>
              <w:rPr>
                <w:rFonts w:ascii="宋体" w:hAnsi="宋体" w:cs="宋体"/>
                <w:kern w:val="0"/>
                <w:szCs w:val="21"/>
              </w:rPr>
            </w:pPr>
            <w:r>
              <w:rPr>
                <w:rFonts w:ascii="宋体" w:hAnsi="宋体" w:cs="宋体" w:hint="eastAsia"/>
                <w:kern w:val="0"/>
                <w:szCs w:val="21"/>
              </w:rPr>
              <w:t>10500-21000元/亩</w:t>
            </w:r>
          </w:p>
        </w:tc>
        <w:tc>
          <w:tcPr>
            <w:tcW w:w="1861" w:type="pct"/>
            <w:vMerge/>
            <w:tcBorders>
              <w:top w:val="nil"/>
              <w:left w:val="single" w:sz="4" w:space="0" w:color="auto"/>
              <w:bottom w:val="single" w:sz="4" w:space="0" w:color="auto"/>
              <w:right w:val="single" w:sz="4" w:space="0" w:color="auto"/>
            </w:tcBorders>
            <w:vAlign w:val="center"/>
          </w:tcPr>
          <w:p w14:paraId="15101A6E" w14:textId="77777777" w:rsidR="00A320E6" w:rsidRDefault="00A320E6" w:rsidP="00EC50E9">
            <w:pPr>
              <w:jc w:val="left"/>
              <w:rPr>
                <w:rFonts w:ascii="宋体" w:hAnsi="宋体" w:cs="宋体"/>
                <w:kern w:val="0"/>
                <w:szCs w:val="21"/>
              </w:rPr>
            </w:pPr>
          </w:p>
        </w:tc>
      </w:tr>
      <w:tr w:rsidR="00A320E6" w14:paraId="1A667C5A" w14:textId="77777777" w:rsidTr="00EC50E9">
        <w:trPr>
          <w:trHeight w:val="639"/>
          <w:jc w:val="center"/>
        </w:trPr>
        <w:tc>
          <w:tcPr>
            <w:tcW w:w="621" w:type="pct"/>
            <w:vMerge/>
            <w:tcBorders>
              <w:top w:val="nil"/>
              <w:left w:val="single" w:sz="4" w:space="0" w:color="auto"/>
              <w:bottom w:val="single" w:sz="4" w:space="0" w:color="auto"/>
              <w:right w:val="single" w:sz="4" w:space="0" w:color="auto"/>
            </w:tcBorders>
            <w:vAlign w:val="center"/>
          </w:tcPr>
          <w:p w14:paraId="1B6004AF"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DA0631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1D059DE8" w14:textId="77777777" w:rsidR="00A320E6" w:rsidRDefault="00000000" w:rsidP="00EC50E9">
            <w:pPr>
              <w:jc w:val="left"/>
              <w:rPr>
                <w:rFonts w:ascii="宋体" w:hAnsi="宋体" w:cs="宋体"/>
                <w:kern w:val="0"/>
                <w:szCs w:val="21"/>
              </w:rPr>
            </w:pPr>
            <w:r>
              <w:rPr>
                <w:rFonts w:ascii="宋体" w:hAnsi="宋体" w:cs="宋体" w:hint="eastAsia"/>
                <w:kern w:val="0"/>
                <w:szCs w:val="21"/>
              </w:rPr>
              <w:t>盛果期</w:t>
            </w:r>
          </w:p>
        </w:tc>
        <w:tc>
          <w:tcPr>
            <w:tcW w:w="919" w:type="pct"/>
            <w:tcBorders>
              <w:top w:val="nil"/>
              <w:left w:val="nil"/>
              <w:bottom w:val="single" w:sz="4" w:space="0" w:color="auto"/>
              <w:right w:val="single" w:sz="4" w:space="0" w:color="auto"/>
            </w:tcBorders>
            <w:vAlign w:val="center"/>
          </w:tcPr>
          <w:p w14:paraId="7B878420" w14:textId="77777777" w:rsidR="00A320E6" w:rsidRDefault="00000000" w:rsidP="00EC50E9">
            <w:pPr>
              <w:jc w:val="center"/>
              <w:rPr>
                <w:rFonts w:ascii="宋体" w:hAnsi="宋体" w:cs="宋体"/>
                <w:kern w:val="0"/>
                <w:szCs w:val="21"/>
              </w:rPr>
            </w:pPr>
            <w:r>
              <w:rPr>
                <w:rFonts w:ascii="宋体" w:hAnsi="宋体" w:cs="宋体" w:hint="eastAsia"/>
                <w:kern w:val="0"/>
                <w:szCs w:val="21"/>
              </w:rPr>
              <w:t>24000-40000元/亩</w:t>
            </w:r>
          </w:p>
        </w:tc>
        <w:tc>
          <w:tcPr>
            <w:tcW w:w="1861" w:type="pct"/>
            <w:vMerge/>
            <w:tcBorders>
              <w:top w:val="nil"/>
              <w:left w:val="single" w:sz="4" w:space="0" w:color="auto"/>
              <w:bottom w:val="single" w:sz="4" w:space="0" w:color="auto"/>
              <w:right w:val="single" w:sz="4" w:space="0" w:color="auto"/>
            </w:tcBorders>
            <w:vAlign w:val="center"/>
          </w:tcPr>
          <w:p w14:paraId="18E4BE55" w14:textId="77777777" w:rsidR="00A320E6" w:rsidRDefault="00A320E6" w:rsidP="00EC50E9">
            <w:pPr>
              <w:jc w:val="left"/>
              <w:rPr>
                <w:rFonts w:ascii="宋体" w:hAnsi="宋体" w:cs="宋体"/>
                <w:kern w:val="0"/>
                <w:szCs w:val="21"/>
              </w:rPr>
            </w:pPr>
          </w:p>
        </w:tc>
      </w:tr>
      <w:tr w:rsidR="00A320E6" w14:paraId="77C193A3" w14:textId="77777777" w:rsidTr="00EC50E9">
        <w:trPr>
          <w:trHeight w:val="639"/>
          <w:jc w:val="center"/>
        </w:trPr>
        <w:tc>
          <w:tcPr>
            <w:tcW w:w="621" w:type="pct"/>
            <w:vMerge/>
            <w:tcBorders>
              <w:top w:val="nil"/>
              <w:left w:val="single" w:sz="4" w:space="0" w:color="auto"/>
              <w:bottom w:val="single" w:sz="4" w:space="0" w:color="auto"/>
              <w:right w:val="single" w:sz="4" w:space="0" w:color="auto"/>
            </w:tcBorders>
            <w:vAlign w:val="center"/>
          </w:tcPr>
          <w:p w14:paraId="68BD4862"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08EC094"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3F7EB399" w14:textId="77777777" w:rsidR="00A320E6" w:rsidRDefault="00000000" w:rsidP="00EC50E9">
            <w:pPr>
              <w:jc w:val="left"/>
              <w:rPr>
                <w:rFonts w:ascii="宋体" w:hAnsi="宋体" w:cs="宋体"/>
                <w:kern w:val="0"/>
                <w:szCs w:val="21"/>
              </w:rPr>
            </w:pPr>
            <w:r>
              <w:rPr>
                <w:rFonts w:ascii="宋体" w:hAnsi="宋体" w:cs="宋体" w:hint="eastAsia"/>
                <w:kern w:val="0"/>
                <w:szCs w:val="21"/>
              </w:rPr>
              <w:t>衰果期</w:t>
            </w:r>
          </w:p>
        </w:tc>
        <w:tc>
          <w:tcPr>
            <w:tcW w:w="919" w:type="pct"/>
            <w:tcBorders>
              <w:top w:val="nil"/>
              <w:left w:val="nil"/>
              <w:bottom w:val="single" w:sz="4" w:space="0" w:color="auto"/>
              <w:right w:val="single" w:sz="4" w:space="0" w:color="auto"/>
            </w:tcBorders>
            <w:vAlign w:val="center"/>
          </w:tcPr>
          <w:p w14:paraId="7ABCD982" w14:textId="77777777" w:rsidR="00A320E6" w:rsidRDefault="00000000" w:rsidP="00EC50E9">
            <w:pPr>
              <w:jc w:val="center"/>
              <w:rPr>
                <w:rFonts w:ascii="宋体" w:hAnsi="宋体" w:cs="宋体"/>
                <w:kern w:val="0"/>
                <w:szCs w:val="21"/>
              </w:rPr>
            </w:pPr>
            <w:r>
              <w:rPr>
                <w:rFonts w:ascii="宋体" w:hAnsi="宋体" w:cs="宋体" w:hint="eastAsia"/>
                <w:kern w:val="0"/>
                <w:szCs w:val="21"/>
              </w:rPr>
              <w:t>12500-16000元/亩</w:t>
            </w:r>
          </w:p>
        </w:tc>
        <w:tc>
          <w:tcPr>
            <w:tcW w:w="1861" w:type="pct"/>
            <w:vMerge/>
            <w:tcBorders>
              <w:top w:val="nil"/>
              <w:left w:val="single" w:sz="4" w:space="0" w:color="auto"/>
              <w:bottom w:val="single" w:sz="4" w:space="0" w:color="auto"/>
              <w:right w:val="single" w:sz="4" w:space="0" w:color="auto"/>
            </w:tcBorders>
            <w:vAlign w:val="center"/>
          </w:tcPr>
          <w:p w14:paraId="39F143C4" w14:textId="77777777" w:rsidR="00A320E6" w:rsidRDefault="00A320E6" w:rsidP="00EC50E9">
            <w:pPr>
              <w:jc w:val="left"/>
              <w:rPr>
                <w:rFonts w:ascii="宋体" w:hAnsi="宋体" w:cs="宋体"/>
                <w:kern w:val="0"/>
                <w:szCs w:val="21"/>
              </w:rPr>
            </w:pPr>
          </w:p>
        </w:tc>
      </w:tr>
      <w:tr w:rsidR="00A320E6" w14:paraId="5D9FBF78" w14:textId="77777777" w:rsidTr="00EC50E9">
        <w:trPr>
          <w:trHeight w:val="939"/>
          <w:jc w:val="center"/>
        </w:trPr>
        <w:tc>
          <w:tcPr>
            <w:tcW w:w="621" w:type="pct"/>
            <w:vMerge w:val="restart"/>
            <w:tcBorders>
              <w:top w:val="nil"/>
              <w:left w:val="single" w:sz="4" w:space="0" w:color="auto"/>
              <w:bottom w:val="single" w:sz="4" w:space="0" w:color="auto"/>
              <w:right w:val="single" w:sz="4" w:space="0" w:color="auto"/>
            </w:tcBorders>
            <w:vAlign w:val="center"/>
          </w:tcPr>
          <w:p w14:paraId="5849C176" w14:textId="77777777" w:rsidR="00A320E6" w:rsidRDefault="00000000" w:rsidP="00EC50E9">
            <w:pPr>
              <w:jc w:val="center"/>
              <w:rPr>
                <w:rFonts w:ascii="宋体" w:hAnsi="宋体" w:cs="宋体"/>
                <w:kern w:val="0"/>
                <w:szCs w:val="21"/>
              </w:rPr>
            </w:pPr>
            <w:r>
              <w:rPr>
                <w:rFonts w:ascii="宋体" w:hAnsi="宋体" w:cs="宋体" w:hint="eastAsia"/>
                <w:kern w:val="0"/>
                <w:szCs w:val="21"/>
              </w:rPr>
              <w:t>21</w:t>
            </w:r>
          </w:p>
        </w:tc>
        <w:tc>
          <w:tcPr>
            <w:tcW w:w="472" w:type="pct"/>
            <w:vMerge w:val="restart"/>
            <w:tcBorders>
              <w:top w:val="nil"/>
              <w:left w:val="single" w:sz="4" w:space="0" w:color="auto"/>
              <w:bottom w:val="single" w:sz="4" w:space="0" w:color="auto"/>
              <w:right w:val="single" w:sz="4" w:space="0" w:color="auto"/>
            </w:tcBorders>
            <w:vAlign w:val="center"/>
          </w:tcPr>
          <w:p w14:paraId="208F9F6A" w14:textId="77777777" w:rsidR="00A320E6" w:rsidRDefault="00000000" w:rsidP="00EC50E9">
            <w:pPr>
              <w:jc w:val="center"/>
              <w:rPr>
                <w:rFonts w:ascii="宋体" w:hAnsi="宋体" w:cs="宋体"/>
                <w:kern w:val="0"/>
                <w:szCs w:val="21"/>
              </w:rPr>
            </w:pPr>
            <w:r>
              <w:rPr>
                <w:rFonts w:ascii="宋体" w:hAnsi="宋体" w:cs="宋体" w:hint="eastAsia"/>
                <w:kern w:val="0"/>
                <w:szCs w:val="21"/>
              </w:rPr>
              <w:t>乔木</w:t>
            </w:r>
          </w:p>
        </w:tc>
        <w:tc>
          <w:tcPr>
            <w:tcW w:w="1127" w:type="pct"/>
            <w:tcBorders>
              <w:top w:val="nil"/>
              <w:left w:val="nil"/>
              <w:bottom w:val="single" w:sz="4" w:space="0" w:color="auto"/>
              <w:right w:val="single" w:sz="4" w:space="0" w:color="auto"/>
            </w:tcBorders>
            <w:vAlign w:val="center"/>
          </w:tcPr>
          <w:p w14:paraId="40E36D4A" w14:textId="77777777" w:rsidR="00A320E6" w:rsidRDefault="00000000" w:rsidP="00EC50E9">
            <w:pPr>
              <w:jc w:val="left"/>
              <w:rPr>
                <w:rFonts w:ascii="宋体" w:hAnsi="宋体" w:cs="宋体"/>
                <w:kern w:val="0"/>
                <w:szCs w:val="21"/>
              </w:rPr>
            </w:pPr>
            <w:r>
              <w:rPr>
                <w:rFonts w:ascii="宋体" w:hAnsi="宋体" w:cs="宋体" w:hint="eastAsia"/>
                <w:kern w:val="0"/>
                <w:szCs w:val="21"/>
              </w:rPr>
              <w:t>胸径小于5CM（松柏树小于3CM)</w:t>
            </w:r>
          </w:p>
        </w:tc>
        <w:tc>
          <w:tcPr>
            <w:tcW w:w="919" w:type="pct"/>
            <w:tcBorders>
              <w:top w:val="nil"/>
              <w:left w:val="nil"/>
              <w:bottom w:val="single" w:sz="4" w:space="0" w:color="auto"/>
              <w:right w:val="single" w:sz="4" w:space="0" w:color="auto"/>
            </w:tcBorders>
            <w:vAlign w:val="center"/>
          </w:tcPr>
          <w:p w14:paraId="6FE48A2B" w14:textId="77777777" w:rsidR="00A320E6" w:rsidRDefault="00000000" w:rsidP="00EC50E9">
            <w:pPr>
              <w:jc w:val="center"/>
              <w:rPr>
                <w:rFonts w:ascii="宋体" w:hAnsi="宋体" w:cs="宋体"/>
                <w:kern w:val="0"/>
                <w:szCs w:val="21"/>
              </w:rPr>
            </w:pPr>
            <w:r>
              <w:rPr>
                <w:rFonts w:ascii="宋体" w:hAnsi="宋体" w:cs="宋体" w:hint="eastAsia"/>
                <w:kern w:val="0"/>
                <w:szCs w:val="21"/>
              </w:rPr>
              <w:t>15-25元/株</w:t>
            </w:r>
          </w:p>
        </w:tc>
        <w:tc>
          <w:tcPr>
            <w:tcW w:w="1861" w:type="pct"/>
            <w:vMerge w:val="restart"/>
            <w:tcBorders>
              <w:top w:val="nil"/>
              <w:left w:val="single" w:sz="4" w:space="0" w:color="auto"/>
              <w:bottom w:val="single" w:sz="4" w:space="0" w:color="auto"/>
              <w:right w:val="single" w:sz="4" w:space="0" w:color="auto"/>
            </w:tcBorders>
            <w:vAlign w:val="center"/>
          </w:tcPr>
          <w:p w14:paraId="2D958F1B" w14:textId="77777777" w:rsidR="00A320E6" w:rsidRDefault="00000000" w:rsidP="00EC50E9">
            <w:pPr>
              <w:jc w:val="left"/>
              <w:rPr>
                <w:rFonts w:ascii="宋体" w:hAnsi="宋体" w:cs="宋体"/>
                <w:kern w:val="0"/>
                <w:szCs w:val="21"/>
              </w:rPr>
            </w:pPr>
            <w:r>
              <w:rPr>
                <w:rFonts w:ascii="宋体" w:hAnsi="宋体" w:cs="宋体" w:hint="eastAsia"/>
                <w:kern w:val="0"/>
                <w:szCs w:val="21"/>
              </w:rPr>
              <w:t>1、指用材林种，沿海防护林基干林带、山丘地区防护林乔木补偿标准可提高40%-60%</w:t>
            </w:r>
            <w:r>
              <w:rPr>
                <w:rFonts w:ascii="宋体" w:hAnsi="宋体" w:cs="宋体" w:hint="eastAsia"/>
                <w:kern w:val="0"/>
                <w:szCs w:val="21"/>
              </w:rPr>
              <w:br/>
              <w:t>2、零星乔木补偿标准：</w:t>
            </w:r>
            <w:r>
              <w:rPr>
                <w:rFonts w:ascii="宋体" w:hAnsi="宋体" w:cs="宋体" w:hint="eastAsia"/>
                <w:kern w:val="0"/>
                <w:szCs w:val="21"/>
              </w:rPr>
              <w:br/>
              <w:t>胸径5-10CM（松柏树3-6CM)：60-90元/株</w:t>
            </w:r>
            <w:r>
              <w:rPr>
                <w:rFonts w:ascii="宋体" w:hAnsi="宋体" w:cs="宋体" w:hint="eastAsia"/>
                <w:kern w:val="0"/>
                <w:szCs w:val="21"/>
              </w:rPr>
              <w:br/>
              <w:t>胸径10-20CM（松柏树6-10CM)：160-270元/株</w:t>
            </w:r>
            <w:r>
              <w:rPr>
                <w:rFonts w:ascii="宋体" w:hAnsi="宋体" w:cs="宋体" w:hint="eastAsia"/>
                <w:kern w:val="0"/>
                <w:szCs w:val="21"/>
              </w:rPr>
              <w:br/>
              <w:t>胸径20-30CM（松柏树10-15CM）：180-320元/株</w:t>
            </w:r>
            <w:r>
              <w:rPr>
                <w:rFonts w:ascii="宋体" w:hAnsi="宋体" w:cs="宋体" w:hint="eastAsia"/>
                <w:kern w:val="0"/>
                <w:szCs w:val="21"/>
              </w:rPr>
              <w:br/>
              <w:t>胸径30CM（松柏树15CM）以上成材树按照市场价格评估确定</w:t>
            </w:r>
            <w:r>
              <w:rPr>
                <w:rFonts w:ascii="宋体" w:hAnsi="宋体" w:cs="宋体" w:hint="eastAsia"/>
                <w:kern w:val="0"/>
                <w:szCs w:val="21"/>
              </w:rPr>
              <w:br/>
              <w:t>3、经济、观赏、绿化类等特殊树种由园林部门根据实际情况认定，补偿标准可委托有资质的机构评估或认证</w:t>
            </w:r>
            <w:r>
              <w:rPr>
                <w:rFonts w:ascii="宋体" w:hAnsi="宋体" w:cs="宋体" w:hint="eastAsia"/>
                <w:kern w:val="0"/>
                <w:szCs w:val="21"/>
              </w:rPr>
              <w:br/>
              <w:t>4、树归原主</w:t>
            </w:r>
          </w:p>
        </w:tc>
      </w:tr>
      <w:tr w:rsidR="00A320E6" w14:paraId="7D3118B4" w14:textId="77777777" w:rsidTr="00EC50E9">
        <w:trPr>
          <w:trHeight w:val="939"/>
          <w:jc w:val="center"/>
        </w:trPr>
        <w:tc>
          <w:tcPr>
            <w:tcW w:w="621" w:type="pct"/>
            <w:vMerge/>
            <w:tcBorders>
              <w:top w:val="nil"/>
              <w:left w:val="single" w:sz="4" w:space="0" w:color="auto"/>
              <w:bottom w:val="single" w:sz="4" w:space="0" w:color="auto"/>
              <w:right w:val="single" w:sz="4" w:space="0" w:color="auto"/>
            </w:tcBorders>
            <w:vAlign w:val="center"/>
          </w:tcPr>
          <w:p w14:paraId="5481556E"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00B739F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1036E2B7" w14:textId="77777777" w:rsidR="00A320E6" w:rsidRDefault="00000000" w:rsidP="00EC50E9">
            <w:pPr>
              <w:jc w:val="left"/>
              <w:rPr>
                <w:rFonts w:ascii="宋体" w:hAnsi="宋体" w:cs="宋体"/>
                <w:kern w:val="0"/>
                <w:szCs w:val="21"/>
              </w:rPr>
            </w:pPr>
            <w:r>
              <w:rPr>
                <w:rFonts w:ascii="宋体" w:hAnsi="宋体" w:cs="宋体" w:hint="eastAsia"/>
                <w:kern w:val="0"/>
                <w:szCs w:val="21"/>
              </w:rPr>
              <w:t>胸径5-10CM（松柏树3-6CM)</w:t>
            </w:r>
          </w:p>
        </w:tc>
        <w:tc>
          <w:tcPr>
            <w:tcW w:w="919" w:type="pct"/>
            <w:tcBorders>
              <w:top w:val="nil"/>
              <w:left w:val="nil"/>
              <w:bottom w:val="single" w:sz="4" w:space="0" w:color="auto"/>
              <w:right w:val="single" w:sz="4" w:space="0" w:color="auto"/>
            </w:tcBorders>
            <w:vAlign w:val="center"/>
          </w:tcPr>
          <w:p w14:paraId="24A44C3E" w14:textId="77777777" w:rsidR="00A320E6" w:rsidRDefault="00000000" w:rsidP="00EC50E9">
            <w:pPr>
              <w:jc w:val="center"/>
              <w:rPr>
                <w:rFonts w:ascii="宋体" w:hAnsi="宋体" w:cs="宋体"/>
                <w:kern w:val="0"/>
                <w:szCs w:val="21"/>
              </w:rPr>
            </w:pPr>
            <w:r>
              <w:rPr>
                <w:rFonts w:ascii="宋体" w:hAnsi="宋体" w:cs="宋体" w:hint="eastAsia"/>
                <w:kern w:val="0"/>
                <w:szCs w:val="21"/>
              </w:rPr>
              <w:t>6500-10000元/亩</w:t>
            </w:r>
          </w:p>
        </w:tc>
        <w:tc>
          <w:tcPr>
            <w:tcW w:w="1861" w:type="pct"/>
            <w:vMerge/>
            <w:tcBorders>
              <w:top w:val="nil"/>
              <w:left w:val="single" w:sz="4" w:space="0" w:color="auto"/>
              <w:bottom w:val="single" w:sz="4" w:space="0" w:color="auto"/>
              <w:right w:val="single" w:sz="4" w:space="0" w:color="auto"/>
            </w:tcBorders>
            <w:vAlign w:val="center"/>
          </w:tcPr>
          <w:p w14:paraId="4E0DA99F" w14:textId="77777777" w:rsidR="00A320E6" w:rsidRDefault="00A320E6" w:rsidP="00EC50E9">
            <w:pPr>
              <w:jc w:val="left"/>
              <w:rPr>
                <w:rFonts w:ascii="宋体" w:hAnsi="宋体" w:cs="宋体"/>
                <w:kern w:val="0"/>
                <w:szCs w:val="21"/>
              </w:rPr>
            </w:pPr>
          </w:p>
        </w:tc>
      </w:tr>
      <w:tr w:rsidR="00A320E6" w14:paraId="074CF611" w14:textId="77777777" w:rsidTr="00EC50E9">
        <w:trPr>
          <w:trHeight w:val="939"/>
          <w:jc w:val="center"/>
        </w:trPr>
        <w:tc>
          <w:tcPr>
            <w:tcW w:w="621" w:type="pct"/>
            <w:vMerge/>
            <w:tcBorders>
              <w:top w:val="nil"/>
              <w:left w:val="single" w:sz="4" w:space="0" w:color="auto"/>
              <w:bottom w:val="single" w:sz="4" w:space="0" w:color="auto"/>
              <w:right w:val="single" w:sz="4" w:space="0" w:color="auto"/>
            </w:tcBorders>
            <w:vAlign w:val="center"/>
          </w:tcPr>
          <w:p w14:paraId="5F8DB51D"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A69FFF6"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F8D65D2" w14:textId="77777777" w:rsidR="00A320E6" w:rsidRDefault="00000000" w:rsidP="00EC50E9">
            <w:pPr>
              <w:jc w:val="left"/>
              <w:rPr>
                <w:rFonts w:ascii="宋体" w:hAnsi="宋体" w:cs="宋体"/>
                <w:kern w:val="0"/>
                <w:szCs w:val="21"/>
              </w:rPr>
            </w:pPr>
            <w:r>
              <w:rPr>
                <w:rFonts w:ascii="宋体" w:hAnsi="宋体" w:cs="宋体" w:hint="eastAsia"/>
                <w:kern w:val="0"/>
                <w:szCs w:val="21"/>
              </w:rPr>
              <w:t>胸径10-20CM（松柏树6-10CM)</w:t>
            </w:r>
          </w:p>
        </w:tc>
        <w:tc>
          <w:tcPr>
            <w:tcW w:w="919" w:type="pct"/>
            <w:tcBorders>
              <w:top w:val="nil"/>
              <w:left w:val="nil"/>
              <w:bottom w:val="single" w:sz="4" w:space="0" w:color="auto"/>
              <w:right w:val="single" w:sz="4" w:space="0" w:color="auto"/>
            </w:tcBorders>
            <w:vAlign w:val="center"/>
          </w:tcPr>
          <w:p w14:paraId="5E8800E1" w14:textId="77777777" w:rsidR="00A320E6" w:rsidRDefault="00000000" w:rsidP="00EC50E9">
            <w:pPr>
              <w:jc w:val="center"/>
              <w:rPr>
                <w:rFonts w:ascii="宋体" w:hAnsi="宋体" w:cs="宋体"/>
                <w:kern w:val="0"/>
                <w:szCs w:val="21"/>
              </w:rPr>
            </w:pPr>
            <w:r>
              <w:rPr>
                <w:rFonts w:ascii="宋体" w:hAnsi="宋体" w:cs="宋体" w:hint="eastAsia"/>
                <w:kern w:val="0"/>
                <w:szCs w:val="21"/>
              </w:rPr>
              <w:t>18000-30000元/亩</w:t>
            </w:r>
          </w:p>
        </w:tc>
        <w:tc>
          <w:tcPr>
            <w:tcW w:w="1861" w:type="pct"/>
            <w:vMerge/>
            <w:tcBorders>
              <w:top w:val="nil"/>
              <w:left w:val="single" w:sz="4" w:space="0" w:color="auto"/>
              <w:bottom w:val="single" w:sz="4" w:space="0" w:color="auto"/>
              <w:right w:val="single" w:sz="4" w:space="0" w:color="auto"/>
            </w:tcBorders>
            <w:vAlign w:val="center"/>
          </w:tcPr>
          <w:p w14:paraId="22969E8B" w14:textId="77777777" w:rsidR="00A320E6" w:rsidRDefault="00A320E6" w:rsidP="00EC50E9">
            <w:pPr>
              <w:jc w:val="left"/>
              <w:rPr>
                <w:rFonts w:ascii="宋体" w:hAnsi="宋体" w:cs="宋体"/>
                <w:kern w:val="0"/>
                <w:szCs w:val="21"/>
              </w:rPr>
            </w:pPr>
          </w:p>
        </w:tc>
      </w:tr>
      <w:tr w:rsidR="00A320E6" w14:paraId="5ECEA63E" w14:textId="77777777" w:rsidTr="00EC50E9">
        <w:trPr>
          <w:trHeight w:val="939"/>
          <w:jc w:val="center"/>
        </w:trPr>
        <w:tc>
          <w:tcPr>
            <w:tcW w:w="621" w:type="pct"/>
            <w:vMerge/>
            <w:tcBorders>
              <w:top w:val="nil"/>
              <w:left w:val="single" w:sz="4" w:space="0" w:color="auto"/>
              <w:bottom w:val="single" w:sz="4" w:space="0" w:color="auto"/>
              <w:right w:val="single" w:sz="4" w:space="0" w:color="auto"/>
            </w:tcBorders>
            <w:vAlign w:val="center"/>
          </w:tcPr>
          <w:p w14:paraId="2E88AD2A"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4C67E692"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49053F5D" w14:textId="77777777" w:rsidR="00A320E6" w:rsidRDefault="00000000" w:rsidP="00EC50E9">
            <w:pPr>
              <w:jc w:val="left"/>
              <w:rPr>
                <w:rFonts w:ascii="宋体" w:hAnsi="宋体" w:cs="宋体"/>
                <w:kern w:val="0"/>
                <w:szCs w:val="21"/>
              </w:rPr>
            </w:pPr>
            <w:r>
              <w:rPr>
                <w:rFonts w:ascii="宋体" w:hAnsi="宋体" w:cs="宋体" w:hint="eastAsia"/>
                <w:kern w:val="0"/>
                <w:szCs w:val="21"/>
              </w:rPr>
              <w:t>胸径大于20CM（松柏树10CM）以上成材树</w:t>
            </w:r>
          </w:p>
        </w:tc>
        <w:tc>
          <w:tcPr>
            <w:tcW w:w="919" w:type="pct"/>
            <w:tcBorders>
              <w:top w:val="nil"/>
              <w:left w:val="nil"/>
              <w:bottom w:val="single" w:sz="4" w:space="0" w:color="auto"/>
              <w:right w:val="single" w:sz="4" w:space="0" w:color="auto"/>
            </w:tcBorders>
            <w:vAlign w:val="center"/>
          </w:tcPr>
          <w:p w14:paraId="695CA1D5" w14:textId="77777777" w:rsidR="00A320E6" w:rsidRDefault="00000000" w:rsidP="00EC50E9">
            <w:pPr>
              <w:jc w:val="center"/>
              <w:rPr>
                <w:rFonts w:ascii="宋体" w:hAnsi="宋体" w:cs="宋体"/>
                <w:kern w:val="0"/>
                <w:szCs w:val="21"/>
              </w:rPr>
            </w:pPr>
            <w:r>
              <w:rPr>
                <w:rFonts w:ascii="宋体" w:hAnsi="宋体" w:cs="宋体" w:hint="eastAsia"/>
                <w:kern w:val="0"/>
                <w:szCs w:val="21"/>
              </w:rPr>
              <w:t>20000-35000元/亩</w:t>
            </w:r>
          </w:p>
        </w:tc>
        <w:tc>
          <w:tcPr>
            <w:tcW w:w="1861" w:type="pct"/>
            <w:vMerge/>
            <w:tcBorders>
              <w:top w:val="nil"/>
              <w:left w:val="single" w:sz="4" w:space="0" w:color="auto"/>
              <w:bottom w:val="single" w:sz="4" w:space="0" w:color="auto"/>
              <w:right w:val="single" w:sz="4" w:space="0" w:color="auto"/>
            </w:tcBorders>
            <w:vAlign w:val="center"/>
          </w:tcPr>
          <w:p w14:paraId="21B95A6C" w14:textId="77777777" w:rsidR="00A320E6" w:rsidRDefault="00A320E6" w:rsidP="00EC50E9">
            <w:pPr>
              <w:jc w:val="left"/>
              <w:rPr>
                <w:rFonts w:ascii="宋体" w:hAnsi="宋体" w:cs="宋体"/>
                <w:kern w:val="0"/>
                <w:szCs w:val="21"/>
              </w:rPr>
            </w:pPr>
          </w:p>
        </w:tc>
      </w:tr>
      <w:tr w:rsidR="00A320E6" w14:paraId="1259122A" w14:textId="77777777" w:rsidTr="00EC50E9">
        <w:trPr>
          <w:trHeight w:val="600"/>
          <w:jc w:val="center"/>
        </w:trPr>
        <w:tc>
          <w:tcPr>
            <w:tcW w:w="621" w:type="pct"/>
            <w:vMerge w:val="restart"/>
            <w:tcBorders>
              <w:top w:val="nil"/>
              <w:left w:val="single" w:sz="4" w:space="0" w:color="auto"/>
              <w:bottom w:val="single" w:sz="4" w:space="0" w:color="auto"/>
              <w:right w:val="single" w:sz="4" w:space="0" w:color="auto"/>
            </w:tcBorders>
            <w:vAlign w:val="center"/>
          </w:tcPr>
          <w:p w14:paraId="38CC7D87" w14:textId="77777777" w:rsidR="00A320E6" w:rsidRDefault="00000000" w:rsidP="00EC50E9">
            <w:pPr>
              <w:jc w:val="center"/>
              <w:rPr>
                <w:rFonts w:ascii="宋体" w:hAnsi="宋体" w:cs="宋体"/>
                <w:kern w:val="0"/>
                <w:szCs w:val="21"/>
              </w:rPr>
            </w:pPr>
            <w:r>
              <w:rPr>
                <w:rFonts w:ascii="宋体" w:hAnsi="宋体" w:cs="宋体" w:hint="eastAsia"/>
                <w:kern w:val="0"/>
                <w:szCs w:val="21"/>
              </w:rPr>
              <w:t>22</w:t>
            </w:r>
          </w:p>
        </w:tc>
        <w:tc>
          <w:tcPr>
            <w:tcW w:w="472" w:type="pct"/>
            <w:vMerge w:val="restart"/>
            <w:tcBorders>
              <w:top w:val="nil"/>
              <w:left w:val="single" w:sz="4" w:space="0" w:color="auto"/>
              <w:bottom w:val="single" w:sz="4" w:space="0" w:color="auto"/>
              <w:right w:val="single" w:sz="4" w:space="0" w:color="auto"/>
            </w:tcBorders>
            <w:vAlign w:val="center"/>
          </w:tcPr>
          <w:p w14:paraId="17F87831" w14:textId="77777777" w:rsidR="00A320E6" w:rsidRDefault="00000000" w:rsidP="00EC50E9">
            <w:pPr>
              <w:jc w:val="center"/>
              <w:rPr>
                <w:rFonts w:ascii="宋体" w:hAnsi="宋体" w:cs="宋体"/>
                <w:kern w:val="0"/>
                <w:szCs w:val="21"/>
              </w:rPr>
            </w:pPr>
            <w:r>
              <w:rPr>
                <w:rFonts w:ascii="宋体" w:hAnsi="宋体" w:cs="宋体" w:hint="eastAsia"/>
                <w:kern w:val="0"/>
                <w:szCs w:val="21"/>
              </w:rPr>
              <w:t>灌木</w:t>
            </w:r>
          </w:p>
        </w:tc>
        <w:tc>
          <w:tcPr>
            <w:tcW w:w="1127" w:type="pct"/>
            <w:tcBorders>
              <w:top w:val="nil"/>
              <w:left w:val="nil"/>
              <w:bottom w:val="single" w:sz="4" w:space="0" w:color="auto"/>
              <w:right w:val="single" w:sz="4" w:space="0" w:color="auto"/>
            </w:tcBorders>
            <w:vAlign w:val="center"/>
          </w:tcPr>
          <w:p w14:paraId="3227A29A" w14:textId="77777777" w:rsidR="00A320E6" w:rsidRDefault="00000000" w:rsidP="00EC50E9">
            <w:pPr>
              <w:jc w:val="left"/>
              <w:rPr>
                <w:rFonts w:ascii="宋体" w:hAnsi="宋体" w:cs="宋体"/>
                <w:kern w:val="0"/>
                <w:szCs w:val="21"/>
              </w:rPr>
            </w:pPr>
            <w:r>
              <w:rPr>
                <w:rFonts w:ascii="宋体" w:hAnsi="宋体" w:cs="宋体" w:hint="eastAsia"/>
                <w:kern w:val="0"/>
                <w:szCs w:val="21"/>
              </w:rPr>
              <w:t>一年以内灌木（每敦出条数10-20根计算）</w:t>
            </w:r>
          </w:p>
        </w:tc>
        <w:tc>
          <w:tcPr>
            <w:tcW w:w="919" w:type="pct"/>
            <w:tcBorders>
              <w:top w:val="nil"/>
              <w:left w:val="nil"/>
              <w:bottom w:val="single" w:sz="4" w:space="0" w:color="auto"/>
              <w:right w:val="single" w:sz="4" w:space="0" w:color="auto"/>
            </w:tcBorders>
            <w:vAlign w:val="center"/>
          </w:tcPr>
          <w:p w14:paraId="3595CDA1" w14:textId="77777777" w:rsidR="00A320E6" w:rsidRDefault="00000000" w:rsidP="00EC50E9">
            <w:pPr>
              <w:jc w:val="center"/>
              <w:rPr>
                <w:rFonts w:ascii="宋体" w:hAnsi="宋体" w:cs="宋体"/>
                <w:kern w:val="0"/>
                <w:szCs w:val="21"/>
              </w:rPr>
            </w:pPr>
            <w:r>
              <w:rPr>
                <w:rFonts w:ascii="宋体" w:hAnsi="宋体" w:cs="宋体" w:hint="eastAsia"/>
                <w:kern w:val="0"/>
                <w:szCs w:val="21"/>
              </w:rPr>
              <w:t>3500-5000元/亩</w:t>
            </w:r>
          </w:p>
        </w:tc>
        <w:tc>
          <w:tcPr>
            <w:tcW w:w="1861" w:type="pct"/>
            <w:vMerge w:val="restart"/>
            <w:tcBorders>
              <w:top w:val="nil"/>
              <w:left w:val="single" w:sz="4" w:space="0" w:color="auto"/>
              <w:bottom w:val="single" w:sz="4" w:space="0" w:color="auto"/>
              <w:right w:val="single" w:sz="4" w:space="0" w:color="auto"/>
            </w:tcBorders>
            <w:vAlign w:val="center"/>
          </w:tcPr>
          <w:p w14:paraId="4EFE719A" w14:textId="77777777" w:rsidR="00A320E6" w:rsidRDefault="00000000" w:rsidP="00EC50E9">
            <w:pPr>
              <w:jc w:val="left"/>
              <w:rPr>
                <w:rFonts w:ascii="宋体" w:hAnsi="宋体" w:cs="宋体"/>
                <w:kern w:val="0"/>
                <w:szCs w:val="21"/>
              </w:rPr>
            </w:pPr>
            <w:r>
              <w:rPr>
                <w:rFonts w:ascii="宋体" w:hAnsi="宋体" w:cs="宋体" w:hint="eastAsia"/>
                <w:kern w:val="0"/>
                <w:szCs w:val="21"/>
              </w:rPr>
              <w:t>1、零星灌木补偿标准：</w:t>
            </w:r>
            <w:r>
              <w:rPr>
                <w:rFonts w:ascii="宋体" w:hAnsi="宋体" w:cs="宋体" w:hint="eastAsia"/>
                <w:kern w:val="0"/>
                <w:szCs w:val="21"/>
              </w:rPr>
              <w:br/>
              <w:t>一年以内灌木：10-20元/墩</w:t>
            </w:r>
            <w:r>
              <w:rPr>
                <w:rFonts w:ascii="宋体" w:hAnsi="宋体" w:cs="宋体" w:hint="eastAsia"/>
                <w:kern w:val="0"/>
                <w:szCs w:val="21"/>
              </w:rPr>
              <w:br/>
              <w:t>一年以上灌木：20-35元/墩</w:t>
            </w:r>
            <w:r>
              <w:rPr>
                <w:rFonts w:ascii="宋体" w:hAnsi="宋体" w:cs="宋体" w:hint="eastAsia"/>
                <w:kern w:val="0"/>
                <w:szCs w:val="21"/>
              </w:rPr>
              <w:br/>
              <w:t>2、观赏经济类可提高40%-60%</w:t>
            </w:r>
          </w:p>
        </w:tc>
      </w:tr>
      <w:tr w:rsidR="00A320E6" w14:paraId="3D4A5645" w14:textId="77777777" w:rsidTr="00EC50E9">
        <w:trPr>
          <w:trHeight w:val="600"/>
          <w:jc w:val="center"/>
        </w:trPr>
        <w:tc>
          <w:tcPr>
            <w:tcW w:w="621" w:type="pct"/>
            <w:vMerge/>
            <w:tcBorders>
              <w:top w:val="nil"/>
              <w:left w:val="single" w:sz="4" w:space="0" w:color="auto"/>
              <w:bottom w:val="single" w:sz="4" w:space="0" w:color="auto"/>
              <w:right w:val="single" w:sz="4" w:space="0" w:color="auto"/>
            </w:tcBorders>
            <w:vAlign w:val="center"/>
          </w:tcPr>
          <w:p w14:paraId="7E1A9A57"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5D9FE793"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5A83E8DD" w14:textId="77777777" w:rsidR="00A320E6" w:rsidRDefault="00000000" w:rsidP="00EC50E9">
            <w:pPr>
              <w:jc w:val="left"/>
              <w:rPr>
                <w:rFonts w:ascii="宋体" w:hAnsi="宋体" w:cs="宋体"/>
                <w:kern w:val="0"/>
                <w:szCs w:val="21"/>
              </w:rPr>
            </w:pPr>
            <w:r>
              <w:rPr>
                <w:rFonts w:ascii="宋体" w:hAnsi="宋体" w:cs="宋体" w:hint="eastAsia"/>
                <w:kern w:val="0"/>
                <w:szCs w:val="21"/>
              </w:rPr>
              <w:t>一年以上灌木（每敦出条数10-20根计算）</w:t>
            </w:r>
          </w:p>
        </w:tc>
        <w:tc>
          <w:tcPr>
            <w:tcW w:w="919" w:type="pct"/>
            <w:tcBorders>
              <w:top w:val="nil"/>
              <w:left w:val="nil"/>
              <w:bottom w:val="single" w:sz="4" w:space="0" w:color="auto"/>
              <w:right w:val="single" w:sz="4" w:space="0" w:color="auto"/>
            </w:tcBorders>
            <w:vAlign w:val="center"/>
          </w:tcPr>
          <w:p w14:paraId="118946CC" w14:textId="77777777" w:rsidR="00A320E6" w:rsidRDefault="00000000" w:rsidP="00EC50E9">
            <w:pPr>
              <w:jc w:val="center"/>
              <w:rPr>
                <w:rFonts w:ascii="宋体" w:hAnsi="宋体" w:cs="宋体"/>
                <w:kern w:val="0"/>
                <w:szCs w:val="21"/>
              </w:rPr>
            </w:pPr>
            <w:r>
              <w:rPr>
                <w:rFonts w:ascii="宋体" w:hAnsi="宋体" w:cs="宋体" w:hint="eastAsia"/>
                <w:kern w:val="0"/>
                <w:szCs w:val="21"/>
              </w:rPr>
              <w:t>6500-9500元/亩</w:t>
            </w:r>
          </w:p>
        </w:tc>
        <w:tc>
          <w:tcPr>
            <w:tcW w:w="1861" w:type="pct"/>
            <w:vMerge/>
            <w:tcBorders>
              <w:top w:val="nil"/>
              <w:left w:val="single" w:sz="4" w:space="0" w:color="auto"/>
              <w:bottom w:val="single" w:sz="4" w:space="0" w:color="auto"/>
              <w:right w:val="single" w:sz="4" w:space="0" w:color="auto"/>
            </w:tcBorders>
            <w:vAlign w:val="center"/>
          </w:tcPr>
          <w:p w14:paraId="5A6DB1C9" w14:textId="77777777" w:rsidR="00A320E6" w:rsidRDefault="00A320E6" w:rsidP="00EC50E9">
            <w:pPr>
              <w:jc w:val="left"/>
              <w:rPr>
                <w:rFonts w:ascii="宋体" w:hAnsi="宋体" w:cs="宋体"/>
                <w:kern w:val="0"/>
                <w:szCs w:val="21"/>
              </w:rPr>
            </w:pPr>
          </w:p>
        </w:tc>
      </w:tr>
      <w:tr w:rsidR="00A320E6" w14:paraId="66E2FC8E" w14:textId="77777777" w:rsidTr="00EC50E9">
        <w:trPr>
          <w:trHeight w:val="1359"/>
          <w:jc w:val="center"/>
        </w:trPr>
        <w:tc>
          <w:tcPr>
            <w:tcW w:w="621" w:type="pct"/>
            <w:tcBorders>
              <w:top w:val="nil"/>
              <w:left w:val="single" w:sz="4" w:space="0" w:color="auto"/>
              <w:bottom w:val="single" w:sz="4" w:space="0" w:color="auto"/>
              <w:right w:val="single" w:sz="4" w:space="0" w:color="auto"/>
            </w:tcBorders>
            <w:vAlign w:val="center"/>
          </w:tcPr>
          <w:p w14:paraId="67DC5E45" w14:textId="77777777" w:rsidR="00A320E6" w:rsidRDefault="00000000" w:rsidP="00EC50E9">
            <w:pPr>
              <w:jc w:val="center"/>
              <w:rPr>
                <w:rFonts w:ascii="宋体" w:hAnsi="宋体" w:cs="宋体"/>
                <w:kern w:val="0"/>
                <w:szCs w:val="21"/>
              </w:rPr>
            </w:pPr>
            <w:r>
              <w:rPr>
                <w:rFonts w:ascii="宋体" w:hAnsi="宋体" w:cs="宋体" w:hint="eastAsia"/>
                <w:kern w:val="0"/>
                <w:szCs w:val="21"/>
              </w:rPr>
              <w:t>23</w:t>
            </w:r>
          </w:p>
        </w:tc>
        <w:tc>
          <w:tcPr>
            <w:tcW w:w="472" w:type="pct"/>
            <w:tcBorders>
              <w:top w:val="nil"/>
              <w:left w:val="nil"/>
              <w:bottom w:val="single" w:sz="4" w:space="0" w:color="auto"/>
              <w:right w:val="single" w:sz="4" w:space="0" w:color="auto"/>
            </w:tcBorders>
            <w:vAlign w:val="center"/>
          </w:tcPr>
          <w:p w14:paraId="0C1968AB" w14:textId="77777777" w:rsidR="00A320E6" w:rsidRDefault="00000000" w:rsidP="00EC50E9">
            <w:pPr>
              <w:jc w:val="center"/>
              <w:rPr>
                <w:rFonts w:ascii="宋体" w:hAnsi="宋体" w:cs="宋体"/>
                <w:kern w:val="0"/>
                <w:szCs w:val="21"/>
              </w:rPr>
            </w:pPr>
            <w:r>
              <w:rPr>
                <w:rFonts w:ascii="宋体" w:hAnsi="宋体" w:cs="宋体" w:hint="eastAsia"/>
                <w:kern w:val="0"/>
                <w:szCs w:val="21"/>
              </w:rPr>
              <w:t>苗圃</w:t>
            </w:r>
            <w:r>
              <w:rPr>
                <w:rFonts w:ascii="宋体" w:hAnsi="宋体" w:cs="宋体" w:hint="eastAsia"/>
                <w:kern w:val="0"/>
                <w:szCs w:val="21"/>
              </w:rPr>
              <w:br/>
              <w:t>苗木</w:t>
            </w:r>
          </w:p>
        </w:tc>
        <w:tc>
          <w:tcPr>
            <w:tcW w:w="1127" w:type="pct"/>
            <w:tcBorders>
              <w:top w:val="nil"/>
              <w:left w:val="nil"/>
              <w:bottom w:val="single" w:sz="4" w:space="0" w:color="auto"/>
              <w:right w:val="single" w:sz="4" w:space="0" w:color="auto"/>
            </w:tcBorders>
            <w:vAlign w:val="center"/>
          </w:tcPr>
          <w:p w14:paraId="45D1154E" w14:textId="77777777" w:rsidR="00A320E6" w:rsidRDefault="00000000" w:rsidP="00EC50E9">
            <w:pPr>
              <w:jc w:val="left"/>
              <w:rPr>
                <w:rFonts w:ascii="宋体" w:hAnsi="宋体" w:cs="宋体"/>
                <w:kern w:val="0"/>
                <w:szCs w:val="21"/>
              </w:rPr>
            </w:pPr>
            <w:r>
              <w:rPr>
                <w:rFonts w:ascii="宋体" w:hAnsi="宋体" w:cs="宋体" w:hint="eastAsia"/>
                <w:kern w:val="0"/>
                <w:szCs w:val="21"/>
              </w:rPr>
              <w:t xml:space="preserve">　</w:t>
            </w:r>
          </w:p>
        </w:tc>
        <w:tc>
          <w:tcPr>
            <w:tcW w:w="919" w:type="pct"/>
            <w:tcBorders>
              <w:top w:val="nil"/>
              <w:left w:val="nil"/>
              <w:bottom w:val="single" w:sz="4" w:space="0" w:color="auto"/>
              <w:right w:val="single" w:sz="4" w:space="0" w:color="auto"/>
            </w:tcBorders>
            <w:vAlign w:val="center"/>
          </w:tcPr>
          <w:p w14:paraId="012B191F" w14:textId="77777777" w:rsidR="00A320E6" w:rsidRDefault="00000000" w:rsidP="00EC50E9">
            <w:pPr>
              <w:jc w:val="center"/>
              <w:rPr>
                <w:rFonts w:ascii="宋体" w:hAnsi="宋体" w:cs="宋体"/>
                <w:kern w:val="0"/>
                <w:szCs w:val="21"/>
              </w:rPr>
            </w:pPr>
            <w:r>
              <w:rPr>
                <w:rFonts w:ascii="宋体" w:hAnsi="宋体" w:cs="宋体" w:hint="eastAsia"/>
                <w:kern w:val="0"/>
                <w:szCs w:val="21"/>
              </w:rPr>
              <w:t>19000-35000元/亩</w:t>
            </w:r>
          </w:p>
        </w:tc>
        <w:tc>
          <w:tcPr>
            <w:tcW w:w="1861" w:type="pct"/>
            <w:tcBorders>
              <w:top w:val="nil"/>
              <w:left w:val="nil"/>
              <w:bottom w:val="single" w:sz="4" w:space="0" w:color="auto"/>
              <w:right w:val="single" w:sz="4" w:space="0" w:color="auto"/>
            </w:tcBorders>
            <w:vAlign w:val="center"/>
          </w:tcPr>
          <w:p w14:paraId="6D6F6E2F" w14:textId="77777777" w:rsidR="00A320E6" w:rsidRDefault="00000000" w:rsidP="00EC50E9">
            <w:pPr>
              <w:jc w:val="left"/>
              <w:rPr>
                <w:rFonts w:ascii="宋体" w:hAnsi="宋体" w:cs="宋体"/>
                <w:kern w:val="0"/>
                <w:szCs w:val="21"/>
              </w:rPr>
            </w:pPr>
            <w:r>
              <w:rPr>
                <w:rFonts w:ascii="宋体" w:hAnsi="宋体" w:cs="宋体" w:hint="eastAsia"/>
                <w:kern w:val="0"/>
                <w:szCs w:val="21"/>
              </w:rPr>
              <w:t>1、果树类、花卉类苗木苗圃可适当上浮，原则上不超过30%</w:t>
            </w:r>
            <w:r>
              <w:rPr>
                <w:rFonts w:ascii="宋体" w:hAnsi="宋体" w:cs="宋体" w:hint="eastAsia"/>
                <w:kern w:val="0"/>
                <w:szCs w:val="21"/>
              </w:rPr>
              <w:br/>
              <w:t>2、对于稀有珍贵苗木可以委托有资质的机构进行评估、认证</w:t>
            </w:r>
            <w:r>
              <w:rPr>
                <w:rFonts w:ascii="宋体" w:hAnsi="宋体" w:cs="宋体" w:hint="eastAsia"/>
                <w:kern w:val="0"/>
                <w:szCs w:val="21"/>
              </w:rPr>
              <w:br/>
              <w:t>3、该费用含迁移费</w:t>
            </w:r>
          </w:p>
        </w:tc>
      </w:tr>
      <w:tr w:rsidR="00A320E6" w14:paraId="189A37EF" w14:textId="77777777" w:rsidTr="00EC50E9">
        <w:trPr>
          <w:trHeight w:val="561"/>
          <w:jc w:val="center"/>
        </w:trPr>
        <w:tc>
          <w:tcPr>
            <w:tcW w:w="621" w:type="pct"/>
            <w:vMerge w:val="restart"/>
            <w:tcBorders>
              <w:top w:val="nil"/>
              <w:left w:val="single" w:sz="4" w:space="0" w:color="auto"/>
              <w:bottom w:val="single" w:sz="4" w:space="0" w:color="auto"/>
              <w:right w:val="single" w:sz="4" w:space="0" w:color="auto"/>
            </w:tcBorders>
            <w:vAlign w:val="center"/>
          </w:tcPr>
          <w:p w14:paraId="2CFFC627" w14:textId="77777777" w:rsidR="00A320E6" w:rsidRDefault="00000000" w:rsidP="00EC50E9">
            <w:pPr>
              <w:jc w:val="center"/>
              <w:rPr>
                <w:rFonts w:ascii="宋体" w:hAnsi="宋体" w:cs="宋体"/>
                <w:kern w:val="0"/>
                <w:szCs w:val="21"/>
              </w:rPr>
            </w:pPr>
            <w:r>
              <w:rPr>
                <w:rFonts w:ascii="宋体" w:hAnsi="宋体" w:cs="宋体" w:hint="eastAsia"/>
                <w:kern w:val="0"/>
                <w:szCs w:val="21"/>
              </w:rPr>
              <w:t>24</w:t>
            </w:r>
          </w:p>
        </w:tc>
        <w:tc>
          <w:tcPr>
            <w:tcW w:w="472" w:type="pct"/>
            <w:vMerge w:val="restart"/>
            <w:tcBorders>
              <w:top w:val="nil"/>
              <w:left w:val="single" w:sz="4" w:space="0" w:color="auto"/>
              <w:bottom w:val="single" w:sz="4" w:space="0" w:color="auto"/>
              <w:right w:val="single" w:sz="4" w:space="0" w:color="auto"/>
            </w:tcBorders>
            <w:vAlign w:val="center"/>
          </w:tcPr>
          <w:p w14:paraId="6B619597" w14:textId="77777777" w:rsidR="00A320E6" w:rsidRDefault="00000000" w:rsidP="00EC50E9">
            <w:pPr>
              <w:jc w:val="center"/>
              <w:rPr>
                <w:rFonts w:ascii="宋体" w:hAnsi="宋体" w:cs="宋体"/>
                <w:kern w:val="0"/>
                <w:szCs w:val="21"/>
              </w:rPr>
            </w:pPr>
            <w:r>
              <w:rPr>
                <w:rFonts w:ascii="宋体" w:hAnsi="宋体" w:cs="宋体" w:hint="eastAsia"/>
                <w:kern w:val="0"/>
                <w:szCs w:val="21"/>
              </w:rPr>
              <w:t>桑树</w:t>
            </w:r>
          </w:p>
        </w:tc>
        <w:tc>
          <w:tcPr>
            <w:tcW w:w="1127" w:type="pct"/>
            <w:tcBorders>
              <w:top w:val="nil"/>
              <w:left w:val="nil"/>
              <w:bottom w:val="single" w:sz="4" w:space="0" w:color="auto"/>
              <w:right w:val="single" w:sz="4" w:space="0" w:color="auto"/>
            </w:tcBorders>
            <w:vAlign w:val="center"/>
          </w:tcPr>
          <w:p w14:paraId="19B4B061" w14:textId="77777777" w:rsidR="00A320E6" w:rsidRDefault="00000000" w:rsidP="00EC50E9">
            <w:pPr>
              <w:jc w:val="left"/>
              <w:rPr>
                <w:rFonts w:ascii="宋体" w:hAnsi="宋体" w:cs="宋体"/>
                <w:kern w:val="0"/>
                <w:szCs w:val="21"/>
              </w:rPr>
            </w:pPr>
            <w:r>
              <w:rPr>
                <w:rFonts w:ascii="宋体" w:hAnsi="宋体" w:cs="宋体" w:hint="eastAsia"/>
                <w:kern w:val="0"/>
                <w:szCs w:val="21"/>
              </w:rPr>
              <w:t>树龄3年以内</w:t>
            </w:r>
          </w:p>
        </w:tc>
        <w:tc>
          <w:tcPr>
            <w:tcW w:w="919" w:type="pct"/>
            <w:tcBorders>
              <w:top w:val="nil"/>
              <w:left w:val="nil"/>
              <w:bottom w:val="single" w:sz="4" w:space="0" w:color="auto"/>
              <w:right w:val="single" w:sz="4" w:space="0" w:color="auto"/>
            </w:tcBorders>
            <w:vAlign w:val="center"/>
          </w:tcPr>
          <w:p w14:paraId="43DF29B8" w14:textId="77777777" w:rsidR="00A320E6" w:rsidRDefault="00000000" w:rsidP="00EC50E9">
            <w:pPr>
              <w:jc w:val="center"/>
              <w:rPr>
                <w:rFonts w:ascii="宋体" w:hAnsi="宋体" w:cs="宋体"/>
                <w:kern w:val="0"/>
                <w:szCs w:val="21"/>
              </w:rPr>
            </w:pPr>
            <w:r>
              <w:rPr>
                <w:rFonts w:ascii="宋体" w:hAnsi="宋体" w:cs="宋体" w:hint="eastAsia"/>
                <w:kern w:val="0"/>
                <w:szCs w:val="21"/>
              </w:rPr>
              <w:t>4000-7000元/亩</w:t>
            </w:r>
          </w:p>
        </w:tc>
        <w:tc>
          <w:tcPr>
            <w:tcW w:w="1861" w:type="pct"/>
            <w:vMerge w:val="restart"/>
            <w:tcBorders>
              <w:top w:val="nil"/>
              <w:left w:val="single" w:sz="4" w:space="0" w:color="auto"/>
              <w:bottom w:val="single" w:sz="4" w:space="0" w:color="auto"/>
              <w:right w:val="single" w:sz="4" w:space="0" w:color="auto"/>
            </w:tcBorders>
            <w:vAlign w:val="center"/>
          </w:tcPr>
          <w:p w14:paraId="63503F53" w14:textId="77777777" w:rsidR="00A320E6" w:rsidRDefault="00000000" w:rsidP="00EC50E9">
            <w:pPr>
              <w:jc w:val="left"/>
              <w:rPr>
                <w:rFonts w:ascii="宋体" w:hAnsi="宋体" w:cs="宋体"/>
                <w:kern w:val="0"/>
                <w:szCs w:val="21"/>
              </w:rPr>
            </w:pPr>
            <w:r>
              <w:rPr>
                <w:rFonts w:ascii="宋体" w:hAnsi="宋体" w:cs="宋体" w:hint="eastAsia"/>
                <w:kern w:val="0"/>
                <w:szCs w:val="21"/>
              </w:rPr>
              <w:t>1、指大面积种植养蚕用桑</w:t>
            </w:r>
            <w:r>
              <w:rPr>
                <w:rFonts w:ascii="宋体" w:hAnsi="宋体" w:cs="宋体" w:hint="eastAsia"/>
                <w:kern w:val="0"/>
                <w:szCs w:val="21"/>
              </w:rPr>
              <w:br/>
              <w:t>2、零星桑树补偿标准：</w:t>
            </w:r>
            <w:r>
              <w:rPr>
                <w:rFonts w:ascii="宋体" w:hAnsi="宋体" w:cs="宋体" w:hint="eastAsia"/>
                <w:kern w:val="0"/>
                <w:szCs w:val="21"/>
              </w:rPr>
              <w:br/>
              <w:t>地径5cm以下：10-100元/棵</w:t>
            </w:r>
            <w:r>
              <w:rPr>
                <w:rFonts w:ascii="宋体" w:hAnsi="宋体" w:cs="宋体" w:hint="eastAsia"/>
                <w:kern w:val="0"/>
                <w:szCs w:val="21"/>
              </w:rPr>
              <w:br/>
              <w:t>地径5-10cm：100-200元/棵</w:t>
            </w:r>
            <w:r>
              <w:rPr>
                <w:rFonts w:ascii="宋体" w:hAnsi="宋体" w:cs="宋体" w:hint="eastAsia"/>
                <w:kern w:val="0"/>
                <w:szCs w:val="21"/>
              </w:rPr>
              <w:br/>
              <w:t>地径10cm以上：200-300元/棵</w:t>
            </w:r>
            <w:r>
              <w:rPr>
                <w:rFonts w:ascii="宋体" w:hAnsi="宋体" w:cs="宋体" w:hint="eastAsia"/>
                <w:kern w:val="0"/>
                <w:szCs w:val="21"/>
              </w:rPr>
              <w:br/>
              <w:t>3、树归原主。</w:t>
            </w:r>
          </w:p>
        </w:tc>
      </w:tr>
      <w:tr w:rsidR="00A320E6" w14:paraId="5487B3E1" w14:textId="77777777" w:rsidTr="00EC50E9">
        <w:trPr>
          <w:trHeight w:val="561"/>
          <w:jc w:val="center"/>
        </w:trPr>
        <w:tc>
          <w:tcPr>
            <w:tcW w:w="621" w:type="pct"/>
            <w:vMerge/>
            <w:tcBorders>
              <w:top w:val="nil"/>
              <w:left w:val="single" w:sz="4" w:space="0" w:color="auto"/>
              <w:bottom w:val="single" w:sz="4" w:space="0" w:color="auto"/>
              <w:right w:val="single" w:sz="4" w:space="0" w:color="auto"/>
            </w:tcBorders>
            <w:vAlign w:val="center"/>
          </w:tcPr>
          <w:p w14:paraId="6F608B1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65C3CA57"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23364A3E" w14:textId="77777777" w:rsidR="00A320E6" w:rsidRDefault="00000000" w:rsidP="00EC50E9">
            <w:pPr>
              <w:jc w:val="left"/>
              <w:rPr>
                <w:rFonts w:ascii="宋体" w:hAnsi="宋体" w:cs="宋体"/>
                <w:kern w:val="0"/>
                <w:szCs w:val="21"/>
              </w:rPr>
            </w:pPr>
            <w:r>
              <w:rPr>
                <w:rFonts w:ascii="宋体" w:hAnsi="宋体" w:cs="宋体" w:hint="eastAsia"/>
                <w:kern w:val="0"/>
                <w:szCs w:val="21"/>
              </w:rPr>
              <w:t>树龄3-5年</w:t>
            </w:r>
          </w:p>
        </w:tc>
        <w:tc>
          <w:tcPr>
            <w:tcW w:w="919" w:type="pct"/>
            <w:tcBorders>
              <w:top w:val="nil"/>
              <w:left w:val="nil"/>
              <w:bottom w:val="single" w:sz="4" w:space="0" w:color="auto"/>
              <w:right w:val="single" w:sz="4" w:space="0" w:color="auto"/>
            </w:tcBorders>
            <w:vAlign w:val="center"/>
          </w:tcPr>
          <w:p w14:paraId="74CAEFCE" w14:textId="77777777" w:rsidR="00A320E6" w:rsidRDefault="00000000" w:rsidP="00EC50E9">
            <w:pPr>
              <w:jc w:val="center"/>
              <w:rPr>
                <w:rFonts w:ascii="宋体" w:hAnsi="宋体" w:cs="宋体"/>
                <w:kern w:val="0"/>
                <w:szCs w:val="21"/>
              </w:rPr>
            </w:pPr>
            <w:r>
              <w:rPr>
                <w:rFonts w:ascii="宋体" w:hAnsi="宋体" w:cs="宋体" w:hint="eastAsia"/>
                <w:kern w:val="0"/>
                <w:szCs w:val="21"/>
              </w:rPr>
              <w:t>8000-11000元/亩</w:t>
            </w:r>
          </w:p>
        </w:tc>
        <w:tc>
          <w:tcPr>
            <w:tcW w:w="1861" w:type="pct"/>
            <w:vMerge/>
            <w:tcBorders>
              <w:top w:val="nil"/>
              <w:left w:val="single" w:sz="4" w:space="0" w:color="auto"/>
              <w:bottom w:val="single" w:sz="4" w:space="0" w:color="auto"/>
              <w:right w:val="single" w:sz="4" w:space="0" w:color="auto"/>
            </w:tcBorders>
            <w:vAlign w:val="center"/>
          </w:tcPr>
          <w:p w14:paraId="285EB663" w14:textId="77777777" w:rsidR="00A320E6" w:rsidRDefault="00A320E6" w:rsidP="00EC50E9">
            <w:pPr>
              <w:jc w:val="left"/>
              <w:rPr>
                <w:rFonts w:ascii="宋体" w:hAnsi="宋体" w:cs="宋体"/>
                <w:kern w:val="0"/>
                <w:szCs w:val="21"/>
              </w:rPr>
            </w:pPr>
          </w:p>
        </w:tc>
      </w:tr>
      <w:tr w:rsidR="00A320E6" w14:paraId="6FDA8603" w14:textId="77777777" w:rsidTr="00EC50E9">
        <w:trPr>
          <w:trHeight w:val="561"/>
          <w:jc w:val="center"/>
        </w:trPr>
        <w:tc>
          <w:tcPr>
            <w:tcW w:w="621" w:type="pct"/>
            <w:vMerge/>
            <w:tcBorders>
              <w:top w:val="nil"/>
              <w:left w:val="single" w:sz="4" w:space="0" w:color="auto"/>
              <w:bottom w:val="single" w:sz="4" w:space="0" w:color="auto"/>
              <w:right w:val="single" w:sz="4" w:space="0" w:color="auto"/>
            </w:tcBorders>
            <w:vAlign w:val="center"/>
          </w:tcPr>
          <w:p w14:paraId="750C9640" w14:textId="77777777" w:rsidR="00A320E6" w:rsidRDefault="00A320E6" w:rsidP="00EC50E9">
            <w:pPr>
              <w:jc w:val="left"/>
              <w:rPr>
                <w:rFonts w:ascii="宋体" w:hAnsi="宋体" w:cs="宋体"/>
                <w:kern w:val="0"/>
                <w:szCs w:val="21"/>
              </w:rPr>
            </w:pPr>
          </w:p>
        </w:tc>
        <w:tc>
          <w:tcPr>
            <w:tcW w:w="472" w:type="pct"/>
            <w:vMerge/>
            <w:tcBorders>
              <w:top w:val="nil"/>
              <w:left w:val="single" w:sz="4" w:space="0" w:color="auto"/>
              <w:bottom w:val="single" w:sz="4" w:space="0" w:color="auto"/>
              <w:right w:val="single" w:sz="4" w:space="0" w:color="auto"/>
            </w:tcBorders>
            <w:vAlign w:val="center"/>
          </w:tcPr>
          <w:p w14:paraId="7EED1B71" w14:textId="77777777" w:rsidR="00A320E6" w:rsidRDefault="00A320E6" w:rsidP="00EC50E9">
            <w:pPr>
              <w:jc w:val="left"/>
              <w:rPr>
                <w:rFonts w:ascii="宋体" w:hAnsi="宋体" w:cs="宋体"/>
                <w:kern w:val="0"/>
                <w:szCs w:val="21"/>
              </w:rPr>
            </w:pPr>
          </w:p>
        </w:tc>
        <w:tc>
          <w:tcPr>
            <w:tcW w:w="1127" w:type="pct"/>
            <w:tcBorders>
              <w:top w:val="nil"/>
              <w:left w:val="nil"/>
              <w:bottom w:val="single" w:sz="4" w:space="0" w:color="auto"/>
              <w:right w:val="single" w:sz="4" w:space="0" w:color="auto"/>
            </w:tcBorders>
            <w:vAlign w:val="center"/>
          </w:tcPr>
          <w:p w14:paraId="6942CA8A" w14:textId="77777777" w:rsidR="00A320E6" w:rsidRDefault="00000000" w:rsidP="00EC50E9">
            <w:pPr>
              <w:jc w:val="left"/>
              <w:rPr>
                <w:rFonts w:ascii="宋体" w:hAnsi="宋体" w:cs="宋体"/>
                <w:kern w:val="0"/>
                <w:szCs w:val="21"/>
              </w:rPr>
            </w:pPr>
            <w:r>
              <w:rPr>
                <w:rFonts w:ascii="宋体" w:hAnsi="宋体" w:cs="宋体" w:hint="eastAsia"/>
                <w:kern w:val="0"/>
                <w:szCs w:val="21"/>
              </w:rPr>
              <w:t>树龄5年以上</w:t>
            </w:r>
          </w:p>
        </w:tc>
        <w:tc>
          <w:tcPr>
            <w:tcW w:w="919" w:type="pct"/>
            <w:tcBorders>
              <w:top w:val="nil"/>
              <w:left w:val="nil"/>
              <w:bottom w:val="single" w:sz="4" w:space="0" w:color="auto"/>
              <w:right w:val="single" w:sz="4" w:space="0" w:color="auto"/>
            </w:tcBorders>
            <w:vAlign w:val="center"/>
          </w:tcPr>
          <w:p w14:paraId="42610027" w14:textId="77777777" w:rsidR="00A320E6" w:rsidRDefault="00000000" w:rsidP="00EC50E9">
            <w:pPr>
              <w:jc w:val="center"/>
              <w:rPr>
                <w:rFonts w:ascii="宋体" w:hAnsi="宋体" w:cs="宋体"/>
                <w:kern w:val="0"/>
                <w:szCs w:val="21"/>
              </w:rPr>
            </w:pPr>
            <w:r>
              <w:rPr>
                <w:rFonts w:ascii="宋体" w:hAnsi="宋体" w:cs="宋体" w:hint="eastAsia"/>
                <w:kern w:val="0"/>
                <w:szCs w:val="21"/>
              </w:rPr>
              <w:t>8500-13000元/亩</w:t>
            </w:r>
          </w:p>
        </w:tc>
        <w:tc>
          <w:tcPr>
            <w:tcW w:w="1861" w:type="pct"/>
            <w:vMerge/>
            <w:tcBorders>
              <w:top w:val="nil"/>
              <w:left w:val="single" w:sz="4" w:space="0" w:color="auto"/>
              <w:bottom w:val="single" w:sz="4" w:space="0" w:color="auto"/>
              <w:right w:val="single" w:sz="4" w:space="0" w:color="auto"/>
            </w:tcBorders>
            <w:vAlign w:val="center"/>
          </w:tcPr>
          <w:p w14:paraId="1E4FA0DA" w14:textId="77777777" w:rsidR="00A320E6" w:rsidRDefault="00A320E6" w:rsidP="00EC50E9">
            <w:pPr>
              <w:jc w:val="left"/>
              <w:rPr>
                <w:rFonts w:ascii="宋体" w:hAnsi="宋体" w:cs="宋体"/>
                <w:kern w:val="0"/>
                <w:szCs w:val="21"/>
              </w:rPr>
            </w:pPr>
          </w:p>
        </w:tc>
      </w:tr>
      <w:tr w:rsidR="00A320E6" w14:paraId="0D2F8736" w14:textId="77777777" w:rsidTr="00EC50E9">
        <w:trPr>
          <w:trHeight w:val="3399"/>
          <w:jc w:val="center"/>
        </w:trPr>
        <w:tc>
          <w:tcPr>
            <w:tcW w:w="5000" w:type="pct"/>
            <w:gridSpan w:val="5"/>
            <w:tcBorders>
              <w:top w:val="single" w:sz="4" w:space="0" w:color="auto"/>
              <w:left w:val="single" w:sz="4" w:space="0" w:color="auto"/>
              <w:bottom w:val="single" w:sz="4" w:space="0" w:color="auto"/>
              <w:right w:val="single" w:sz="4" w:space="0" w:color="000000"/>
            </w:tcBorders>
            <w:vAlign w:val="center"/>
          </w:tcPr>
          <w:p w14:paraId="2D54117C" w14:textId="77777777" w:rsidR="00A320E6" w:rsidRDefault="00000000" w:rsidP="00EC50E9">
            <w:pPr>
              <w:ind w:firstLineChars="300" w:firstLine="720"/>
              <w:jc w:val="left"/>
              <w:rPr>
                <w:rFonts w:ascii="宋体" w:hAnsi="宋体" w:cs="宋体"/>
                <w:kern w:val="0"/>
                <w:szCs w:val="21"/>
              </w:rPr>
            </w:pPr>
            <w:r>
              <w:rPr>
                <w:rFonts w:ascii="宋体" w:hAnsi="宋体" w:cs="宋体" w:hint="eastAsia"/>
                <w:kern w:val="0"/>
                <w:sz w:val="24"/>
                <w:szCs w:val="24"/>
              </w:rPr>
              <w:t>说明：1、青苗补偿标准按一季作物产值补偿，露天蔬菜按蔬菜作物产值补偿一季，大棚蔬菜原则上不超过露天蔬菜补偿标准的3倍，相关作物产值由各县（市、区）根据市场价格进行协商或评估认证。</w:t>
            </w:r>
            <w:r>
              <w:rPr>
                <w:rFonts w:ascii="宋体" w:hAnsi="宋体" w:cs="宋体" w:hint="eastAsia"/>
                <w:kern w:val="0"/>
                <w:sz w:val="24"/>
                <w:szCs w:val="24"/>
              </w:rPr>
              <w:br/>
              <w:t>2、标准中的上限数含本数。</w:t>
            </w:r>
            <w:r>
              <w:rPr>
                <w:rFonts w:ascii="宋体" w:hAnsi="宋体" w:cs="宋体" w:hint="eastAsia"/>
                <w:kern w:val="0"/>
                <w:sz w:val="24"/>
                <w:szCs w:val="24"/>
              </w:rPr>
              <w:br/>
              <w:t>3、在政府土地征收预公告下达之日起，凡在拟征土地上抢建（包括打井）、抢栽、抢种的各类地上附着物和青苗，征地时一律不予补偿。</w:t>
            </w:r>
            <w:r>
              <w:rPr>
                <w:rFonts w:ascii="宋体" w:hAnsi="宋体" w:cs="宋体" w:hint="eastAsia"/>
                <w:kern w:val="0"/>
                <w:sz w:val="24"/>
                <w:szCs w:val="24"/>
              </w:rPr>
              <w:br/>
              <w:t>4、幼龄期、初果期果园间种的农作物可参照青苗类补偿标准补偿。</w:t>
            </w:r>
            <w:r>
              <w:rPr>
                <w:rFonts w:ascii="宋体" w:hAnsi="宋体" w:cs="宋体" w:hint="eastAsia"/>
                <w:kern w:val="0"/>
                <w:sz w:val="24"/>
                <w:szCs w:val="24"/>
              </w:rPr>
              <w:br/>
              <w:t>5、乔木胸径是指距根茎1.3m处的树木直径。</w:t>
            </w:r>
            <w:r>
              <w:rPr>
                <w:rFonts w:ascii="宋体" w:hAnsi="宋体" w:cs="宋体" w:hint="eastAsia"/>
                <w:kern w:val="0"/>
                <w:sz w:val="24"/>
                <w:szCs w:val="24"/>
              </w:rPr>
              <w:br/>
              <w:t>6、对本规定中未包括的品种可参照相近的其他类品种补偿，不能参照的可双方协商。协商不成的，可委托有资质的机构进行评估或认证，作为征地补偿的依据。</w:t>
            </w:r>
            <w:r>
              <w:rPr>
                <w:rFonts w:ascii="宋体" w:hAnsi="宋体" w:cs="宋体" w:hint="eastAsia"/>
                <w:kern w:val="0"/>
                <w:sz w:val="24"/>
                <w:szCs w:val="24"/>
              </w:rPr>
              <w:br/>
              <w:t>7、国家和省确定的铁路、公路、机场、航道港口、水利工程、能源工程等重大基础设施项目征收土地地上附着物和青苗补偿等标准另有规定的，从其规定。</w:t>
            </w:r>
            <w:r>
              <w:rPr>
                <w:rFonts w:ascii="宋体" w:hAnsi="宋体" w:cs="宋体" w:hint="eastAsia"/>
                <w:kern w:val="0"/>
                <w:sz w:val="24"/>
                <w:szCs w:val="24"/>
              </w:rPr>
              <w:br/>
              <w:t>8、本标准为合法条件下的补偿标准。</w:t>
            </w:r>
          </w:p>
        </w:tc>
      </w:tr>
    </w:tbl>
    <w:p w14:paraId="2FBF5F48" w14:textId="77777777" w:rsidR="00A320E6" w:rsidRDefault="00000000" w:rsidP="00F67407">
      <w:pPr>
        <w:keepNext/>
        <w:spacing w:beforeLines="50" w:before="156" w:afterLines="20" w:after="62" w:line="360" w:lineRule="auto"/>
        <w:jc w:val="center"/>
        <w:outlineLvl w:val="2"/>
        <w:rPr>
          <w:b/>
          <w:bCs/>
          <w:sz w:val="24"/>
          <w:lang w:eastAsia="zh-Hans"/>
        </w:rPr>
      </w:pPr>
      <w:bookmarkStart w:id="112" w:name="_Toc112227415"/>
      <w:r>
        <w:rPr>
          <w:rFonts w:hint="eastAsia"/>
          <w:b/>
          <w:bCs/>
          <w:sz w:val="24"/>
          <w:lang w:eastAsia="zh-Hans"/>
        </w:rPr>
        <w:t>关于青岛市征地地上附着物和青苗补偿标准的批复</w:t>
      </w:r>
      <w:bookmarkEnd w:id="112"/>
    </w:p>
    <w:p w14:paraId="5BB72725" w14:textId="77777777" w:rsidR="00A320E6" w:rsidRDefault="00000000" w:rsidP="00AE0286">
      <w:pPr>
        <w:pStyle w:val="10"/>
        <w:ind w:firstLineChars="0" w:firstLine="0"/>
        <w:rPr>
          <w:rFonts w:ascii="宋体" w:hAnsi="宋体" w:cs="宋体"/>
          <w:lang w:eastAsia="zh-Hans"/>
        </w:rPr>
      </w:pPr>
      <w:r>
        <w:rPr>
          <w:rFonts w:ascii="宋体" w:hAnsi="宋体" w:cs="宋体" w:hint="eastAsia"/>
          <w:lang w:eastAsia="zh-Hans"/>
        </w:rPr>
        <w:t>青岛市自然资源和规划局、财政局：</w:t>
      </w:r>
    </w:p>
    <w:p w14:paraId="1C65960D"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你市《关于青岛市地上附着物和青苗补偿标准调整的请示》（青自然资规呈〔2021〕216号）收悉。经研究，同意你市制定的征地地上附着物和青苗补偿标准（详见附件）。</w:t>
      </w:r>
    </w:p>
    <w:p w14:paraId="003A41E0"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标准自批复之日起执行。</w:t>
      </w:r>
    </w:p>
    <w:p w14:paraId="55FDD6FC" w14:textId="77777777" w:rsidR="00A320E6" w:rsidRDefault="00000000" w:rsidP="00AE0286">
      <w:pPr>
        <w:pStyle w:val="10"/>
        <w:ind w:firstLine="480"/>
        <w:rPr>
          <w:rFonts w:ascii="宋体" w:hAnsi="宋体" w:cs="宋体"/>
          <w:lang w:eastAsia="zh-Hans"/>
        </w:rPr>
      </w:pPr>
      <w:r>
        <w:rPr>
          <w:rFonts w:ascii="宋体" w:hAnsi="宋体" w:cs="宋体" w:hint="eastAsia"/>
          <w:lang w:eastAsia="zh-Hans"/>
        </w:rPr>
        <w:t>附件：青岛市征地地上附着物和青苗补偿标准</w:t>
      </w:r>
    </w:p>
    <w:p w14:paraId="062D6CA0" w14:textId="77777777" w:rsidR="00A320E6" w:rsidRDefault="00000000" w:rsidP="00AE0286">
      <w:pPr>
        <w:pStyle w:val="10"/>
        <w:ind w:firstLine="480"/>
        <w:jc w:val="right"/>
        <w:rPr>
          <w:rFonts w:ascii="宋体" w:hAnsi="宋体" w:cs="宋体"/>
          <w:lang w:eastAsia="zh-Hans"/>
        </w:rPr>
      </w:pPr>
      <w:r>
        <w:rPr>
          <w:rFonts w:ascii="宋体" w:hAnsi="宋体" w:cs="宋体" w:hint="eastAsia"/>
          <w:lang w:eastAsia="zh-Hans"/>
        </w:rPr>
        <w:t>                                山东省自然资源厅山东省财政厅</w:t>
      </w:r>
    </w:p>
    <w:p w14:paraId="17ACE748" w14:textId="77777777" w:rsidR="00A320E6" w:rsidRDefault="00000000" w:rsidP="00AE0286">
      <w:pPr>
        <w:pStyle w:val="10"/>
        <w:ind w:firstLine="480"/>
        <w:jc w:val="right"/>
        <w:rPr>
          <w:rFonts w:ascii="宋体" w:hAnsi="宋体" w:cs="宋体"/>
          <w:lang w:eastAsia="zh-Hans"/>
        </w:rPr>
      </w:pPr>
      <w:r>
        <w:rPr>
          <w:rFonts w:ascii="宋体" w:hAnsi="宋体" w:cs="宋体" w:hint="eastAsia"/>
          <w:lang w:eastAsia="zh-Hans"/>
        </w:rPr>
        <w:t>                              2021年12月20日</w:t>
      </w:r>
    </w:p>
    <w:p w14:paraId="066DD62E" w14:textId="28F6B97E" w:rsidR="00A320E6" w:rsidRDefault="00000000" w:rsidP="00AE0286">
      <w:pPr>
        <w:spacing w:afterLines="50" w:after="156" w:line="560" w:lineRule="exact"/>
        <w:jc w:val="center"/>
        <w:rPr>
          <w:rFonts w:ascii="宋体" w:hAnsi="宋体"/>
          <w:sz w:val="24"/>
          <w:szCs w:val="24"/>
        </w:rPr>
      </w:pPr>
      <w:r>
        <w:rPr>
          <w:rFonts w:ascii="宋体" w:hAnsi="宋体" w:hint="eastAsia"/>
          <w:sz w:val="24"/>
          <w:szCs w:val="24"/>
        </w:rPr>
        <w:t>青岛市征地地上附着物和青苗补偿标准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13"/>
        <w:gridCol w:w="2124"/>
        <w:gridCol w:w="2411"/>
        <w:gridCol w:w="2646"/>
      </w:tblGrid>
      <w:tr w:rsidR="00A320E6" w14:paraId="202DCA8C" w14:textId="77777777" w:rsidTr="00EC50E9">
        <w:trPr>
          <w:trHeight w:val="340"/>
          <w:tblHeader/>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BE6553" w14:textId="77777777" w:rsidR="00A320E6" w:rsidRPr="00EC50E9" w:rsidRDefault="00000000" w:rsidP="00EC50E9">
            <w:pPr>
              <w:jc w:val="center"/>
              <w:textAlignment w:val="center"/>
              <w:rPr>
                <w:rFonts w:ascii="宋体" w:hAnsi="宋体" w:cs="宋体"/>
                <w:b/>
                <w:color w:val="000000"/>
                <w:szCs w:val="21"/>
              </w:rPr>
            </w:pPr>
            <w:r w:rsidRPr="00EC50E9">
              <w:rPr>
                <w:rFonts w:ascii="宋体" w:hAnsi="宋体" w:cs="宋体" w:hint="eastAsia"/>
                <w:b/>
                <w:color w:val="000000"/>
                <w:kern w:val="0"/>
                <w:szCs w:val="21"/>
              </w:rPr>
              <w:t>序号</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41E6FD" w14:textId="77777777" w:rsidR="00A320E6" w:rsidRPr="00EC50E9" w:rsidRDefault="00000000" w:rsidP="00EC50E9">
            <w:pPr>
              <w:jc w:val="center"/>
              <w:textAlignment w:val="center"/>
              <w:rPr>
                <w:rFonts w:ascii="宋体" w:hAnsi="宋体" w:cs="宋体"/>
                <w:b/>
                <w:color w:val="000000"/>
                <w:szCs w:val="21"/>
              </w:rPr>
            </w:pPr>
            <w:r w:rsidRPr="00EC50E9">
              <w:rPr>
                <w:rFonts w:ascii="宋体" w:hAnsi="宋体" w:cs="宋体" w:hint="eastAsia"/>
                <w:b/>
                <w:color w:val="000000"/>
                <w:kern w:val="0"/>
                <w:szCs w:val="21"/>
              </w:rPr>
              <w:t>名称</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473679" w14:textId="77777777" w:rsidR="00A320E6" w:rsidRPr="00EC50E9" w:rsidRDefault="00000000" w:rsidP="00EC50E9">
            <w:pPr>
              <w:jc w:val="center"/>
              <w:textAlignment w:val="center"/>
              <w:rPr>
                <w:rFonts w:ascii="宋体" w:hAnsi="宋体" w:cs="宋体"/>
                <w:b/>
                <w:color w:val="000000"/>
                <w:szCs w:val="21"/>
              </w:rPr>
            </w:pPr>
            <w:r w:rsidRPr="00EC50E9">
              <w:rPr>
                <w:rFonts w:ascii="宋体" w:hAnsi="宋体" w:cs="宋体" w:hint="eastAsia"/>
                <w:b/>
                <w:color w:val="000000"/>
                <w:kern w:val="0"/>
                <w:szCs w:val="21"/>
              </w:rPr>
              <w:t>类别</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01B380" w14:textId="77777777" w:rsidR="00A320E6" w:rsidRPr="00EC50E9" w:rsidRDefault="00000000" w:rsidP="00EC50E9">
            <w:pPr>
              <w:jc w:val="center"/>
              <w:textAlignment w:val="center"/>
              <w:rPr>
                <w:rFonts w:ascii="宋体" w:hAnsi="宋体" w:cs="宋体"/>
                <w:b/>
                <w:color w:val="000000"/>
                <w:szCs w:val="21"/>
              </w:rPr>
            </w:pPr>
            <w:r w:rsidRPr="00EC50E9">
              <w:rPr>
                <w:rFonts w:ascii="宋体" w:hAnsi="宋体" w:cs="宋体" w:hint="eastAsia"/>
                <w:b/>
                <w:color w:val="000000"/>
                <w:kern w:val="0"/>
                <w:szCs w:val="21"/>
              </w:rPr>
              <w:t>补偿标准</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4FEC6D" w14:textId="77777777" w:rsidR="00A320E6" w:rsidRPr="00EC50E9" w:rsidRDefault="00000000" w:rsidP="00EC50E9">
            <w:pPr>
              <w:jc w:val="center"/>
              <w:textAlignment w:val="center"/>
              <w:rPr>
                <w:rFonts w:ascii="宋体" w:hAnsi="宋体" w:cs="宋体"/>
                <w:b/>
                <w:color w:val="000000"/>
                <w:szCs w:val="21"/>
              </w:rPr>
            </w:pPr>
            <w:r w:rsidRPr="00EC50E9">
              <w:rPr>
                <w:rFonts w:ascii="宋体" w:hAnsi="宋体" w:cs="宋体" w:hint="eastAsia"/>
                <w:b/>
                <w:color w:val="000000"/>
                <w:kern w:val="0"/>
                <w:szCs w:val="21"/>
              </w:rPr>
              <w:t>备注</w:t>
            </w:r>
          </w:p>
        </w:tc>
      </w:tr>
      <w:tr w:rsidR="00A320E6" w14:paraId="0C34449E"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C01223" w14:textId="77777777" w:rsidR="00A320E6" w:rsidRDefault="00000000" w:rsidP="00EC50E9">
            <w:pPr>
              <w:jc w:val="center"/>
              <w:textAlignment w:val="center"/>
              <w:rPr>
                <w:rFonts w:ascii="宋体" w:hAnsi="宋体" w:cs="宋体"/>
                <w:b/>
                <w:bCs/>
                <w:color w:val="000000"/>
                <w:szCs w:val="21"/>
              </w:rPr>
            </w:pPr>
            <w:r>
              <w:rPr>
                <w:rFonts w:ascii="宋体" w:hAnsi="宋体" w:cs="宋体" w:hint="eastAsia"/>
                <w:b/>
                <w:bCs/>
                <w:color w:val="000000"/>
                <w:kern w:val="0"/>
                <w:szCs w:val="21"/>
              </w:rPr>
              <w:t>一</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8481D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房屋</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74CBC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乱石基、砖石墙、钢筋混凝土预制或现浇平屋顶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BA422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850-1250元/m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886FC4"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1、表中面积系指建筑面积；</w:t>
            </w:r>
          </w:p>
          <w:p w14:paraId="20348261"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2、钢筋混凝土基础加100元/㎡；</w:t>
            </w:r>
          </w:p>
          <w:p w14:paraId="197A845B"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3、旧料归原主。</w:t>
            </w:r>
          </w:p>
        </w:tc>
      </w:tr>
      <w:tr w:rsidR="00A320E6" w14:paraId="4343536D"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C3925A8"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7668A14"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CBF84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乱石基、砖石墙、木结构斜坡瓦屋顶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FFD16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690-890元/m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2B10EC3B" w14:textId="77777777" w:rsidR="00A320E6" w:rsidRDefault="00A320E6" w:rsidP="00EC50E9">
            <w:pPr>
              <w:jc w:val="left"/>
              <w:rPr>
                <w:rFonts w:ascii="宋体" w:hAnsi="宋体" w:cs="宋体"/>
                <w:color w:val="000000"/>
                <w:szCs w:val="21"/>
              </w:rPr>
            </w:pPr>
          </w:p>
        </w:tc>
      </w:tr>
      <w:tr w:rsidR="00A320E6" w14:paraId="073DBAF2"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8E44BBA"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939CADB"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27F47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乱石基、砖垛、坯墙、木结构斜坡草或瓦屋顶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D99EC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500-800元/m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13ADA272" w14:textId="77777777" w:rsidR="00A320E6" w:rsidRDefault="00A320E6" w:rsidP="00EC50E9">
            <w:pPr>
              <w:jc w:val="left"/>
              <w:rPr>
                <w:rFonts w:ascii="宋体" w:hAnsi="宋体" w:cs="宋体"/>
                <w:color w:val="000000"/>
                <w:szCs w:val="21"/>
              </w:rPr>
            </w:pPr>
          </w:p>
        </w:tc>
      </w:tr>
      <w:tr w:rsidR="00A320E6" w14:paraId="1AAA2218"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6398CFC"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8E28CCB"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401B24"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乱石基、土坯墙、木结构斜坡草或瓦屋顶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5E144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500-800元/m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383D170D" w14:textId="77777777" w:rsidR="00A320E6" w:rsidRDefault="00A320E6" w:rsidP="00EC50E9">
            <w:pPr>
              <w:jc w:val="left"/>
              <w:rPr>
                <w:rFonts w:ascii="宋体" w:hAnsi="宋体" w:cs="宋体"/>
                <w:color w:val="000000"/>
                <w:szCs w:val="21"/>
              </w:rPr>
            </w:pPr>
          </w:p>
        </w:tc>
      </w:tr>
      <w:tr w:rsidR="00A320E6" w14:paraId="7CA28CD4"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BEABA6E"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6FEBAEB"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55A29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砖垛、苇箔、草顶简易平房</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4C2153"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300-600元/m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A74125" w14:textId="77777777" w:rsidR="00A320E6" w:rsidRDefault="00000000" w:rsidP="00EC50E9">
            <w:pPr>
              <w:rPr>
                <w:rFonts w:ascii="宋体" w:hAnsi="宋体" w:cs="宋体"/>
                <w:color w:val="000000"/>
                <w:szCs w:val="21"/>
              </w:rPr>
            </w:pPr>
            <w:r>
              <w:rPr>
                <w:rFonts w:ascii="宋体" w:hAnsi="宋体" w:cs="宋体" w:hint="eastAsia"/>
                <w:color w:val="000000"/>
                <w:szCs w:val="21"/>
              </w:rPr>
              <w:t>1、表中面积系指建筑面积；</w:t>
            </w:r>
          </w:p>
          <w:p w14:paraId="3B7B1A09" w14:textId="77777777" w:rsidR="00A320E6" w:rsidRDefault="00000000" w:rsidP="00EC50E9">
            <w:pPr>
              <w:rPr>
                <w:rFonts w:ascii="宋体" w:hAnsi="宋体" w:cs="宋体"/>
                <w:color w:val="000000"/>
                <w:szCs w:val="21"/>
              </w:rPr>
            </w:pPr>
            <w:r>
              <w:rPr>
                <w:rFonts w:ascii="宋体" w:hAnsi="宋体" w:cs="宋体" w:hint="eastAsia"/>
                <w:color w:val="000000"/>
                <w:szCs w:val="21"/>
              </w:rPr>
              <w:t>2、旧料归原主。</w:t>
            </w:r>
          </w:p>
        </w:tc>
      </w:tr>
      <w:tr w:rsidR="00A320E6" w14:paraId="091DCB0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3019EC0"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033D76E"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DC9333"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办公营业楼</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07B5D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1200-1800元/m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6ED8AACF" w14:textId="77777777" w:rsidR="00A320E6" w:rsidRDefault="00A320E6" w:rsidP="00EC50E9">
            <w:pPr>
              <w:jc w:val="left"/>
              <w:rPr>
                <w:rFonts w:ascii="宋体" w:hAnsi="宋体" w:cs="宋体"/>
                <w:color w:val="000000"/>
                <w:szCs w:val="21"/>
              </w:rPr>
            </w:pPr>
          </w:p>
        </w:tc>
      </w:tr>
      <w:tr w:rsidR="00A320E6" w14:paraId="38D2FC85"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70185F5"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07CE25D"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050C3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职工宿舍楼</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B33CC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1100-1700元/m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752F761C" w14:textId="77777777" w:rsidR="00A320E6" w:rsidRDefault="00A320E6" w:rsidP="00EC50E9">
            <w:pPr>
              <w:jc w:val="left"/>
              <w:rPr>
                <w:rFonts w:ascii="宋体" w:hAnsi="宋体" w:cs="宋体"/>
                <w:color w:val="000000"/>
                <w:szCs w:val="21"/>
              </w:rPr>
            </w:pPr>
          </w:p>
        </w:tc>
      </w:tr>
      <w:tr w:rsidR="00A320E6" w14:paraId="5FEF3E8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12E46F9"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7656AF7"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C55B8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厂房：钢混结构，檐高7米以下</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54FCB2"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1000-1600元/m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156F0A6A" w14:textId="77777777" w:rsidR="00A320E6" w:rsidRDefault="00A320E6" w:rsidP="00EC50E9">
            <w:pPr>
              <w:jc w:val="left"/>
              <w:rPr>
                <w:rFonts w:ascii="宋体" w:hAnsi="宋体" w:cs="宋体"/>
                <w:color w:val="000000"/>
                <w:szCs w:val="21"/>
              </w:rPr>
            </w:pPr>
          </w:p>
        </w:tc>
      </w:tr>
      <w:tr w:rsidR="00A320E6" w14:paraId="0FEBF73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83DA4F7"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FEE8A38"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39752A"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厂房：钢混结构，檐高8－15米</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50989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1100-1800元/m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7EFB7607" w14:textId="77777777" w:rsidR="00A320E6" w:rsidRDefault="00A320E6" w:rsidP="00EC50E9">
            <w:pPr>
              <w:jc w:val="left"/>
              <w:rPr>
                <w:rFonts w:ascii="宋体" w:hAnsi="宋体" w:cs="宋体"/>
                <w:color w:val="000000"/>
                <w:szCs w:val="21"/>
              </w:rPr>
            </w:pPr>
          </w:p>
        </w:tc>
      </w:tr>
      <w:tr w:rsidR="00A320E6" w14:paraId="29B3C143"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A769DAA"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38B698F"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5D74E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厂房：钢结构，彩钢夹心板</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9C51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550-900元/m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60EAC5D1" w14:textId="77777777" w:rsidR="00A320E6" w:rsidRDefault="00A320E6" w:rsidP="00EC50E9">
            <w:pPr>
              <w:jc w:val="left"/>
              <w:rPr>
                <w:rFonts w:ascii="宋体" w:hAnsi="宋体" w:cs="宋体"/>
                <w:color w:val="000000"/>
                <w:szCs w:val="21"/>
              </w:rPr>
            </w:pPr>
          </w:p>
        </w:tc>
      </w:tr>
      <w:tr w:rsidR="00A320E6" w14:paraId="65BD10DB"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009F51D"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90D4834"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97D7AC"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厂房：简易结构</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39A0B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300-500元/m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6ED7BEBB" w14:textId="77777777" w:rsidR="00A320E6" w:rsidRDefault="00A320E6" w:rsidP="00EC50E9">
            <w:pPr>
              <w:jc w:val="left"/>
              <w:rPr>
                <w:rFonts w:ascii="宋体" w:hAnsi="宋体" w:cs="宋体"/>
                <w:color w:val="000000"/>
                <w:szCs w:val="21"/>
              </w:rPr>
            </w:pPr>
          </w:p>
        </w:tc>
      </w:tr>
      <w:tr w:rsidR="00A320E6" w14:paraId="423C7735"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13C8464"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9AFBA3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8760D7"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活动板房（拆建费）</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9AECE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160-280元/m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63800B40" w14:textId="77777777" w:rsidR="00A320E6" w:rsidRDefault="00A320E6" w:rsidP="00EC50E9">
            <w:pPr>
              <w:jc w:val="left"/>
              <w:rPr>
                <w:rFonts w:ascii="宋体" w:hAnsi="宋体" w:cs="宋体"/>
                <w:color w:val="000000"/>
                <w:szCs w:val="21"/>
              </w:rPr>
            </w:pPr>
          </w:p>
        </w:tc>
      </w:tr>
      <w:tr w:rsidR="00A320E6" w14:paraId="69B9630E"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B607BE" w14:textId="77777777" w:rsidR="00A320E6" w:rsidRDefault="00000000" w:rsidP="00EC50E9">
            <w:pPr>
              <w:jc w:val="center"/>
              <w:textAlignment w:val="center"/>
              <w:rPr>
                <w:rFonts w:ascii="宋体" w:hAnsi="宋体" w:cs="宋体"/>
                <w:b/>
                <w:bCs/>
                <w:color w:val="000000"/>
                <w:szCs w:val="21"/>
              </w:rPr>
            </w:pPr>
            <w:r>
              <w:rPr>
                <w:rFonts w:ascii="宋体" w:hAnsi="宋体" w:cs="宋体" w:hint="eastAsia"/>
                <w:b/>
                <w:bCs/>
                <w:color w:val="000000"/>
                <w:kern w:val="0"/>
                <w:szCs w:val="21"/>
              </w:rPr>
              <w:t>二</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53D58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围墙</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34275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砖墙高2.5m以上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D4FE9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200-350元/m</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385247"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旧料归原主</w:t>
            </w:r>
          </w:p>
        </w:tc>
      </w:tr>
      <w:tr w:rsidR="00A320E6" w14:paraId="185F6253"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819F445"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6BCA8EC"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A945D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砖墙高2－2.5m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EA313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190-320元/m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296EBD42" w14:textId="77777777" w:rsidR="00A320E6" w:rsidRDefault="00A320E6" w:rsidP="00EC50E9">
            <w:pPr>
              <w:jc w:val="left"/>
              <w:rPr>
                <w:rFonts w:ascii="宋体" w:hAnsi="宋体" w:cs="宋体"/>
                <w:color w:val="000000"/>
                <w:szCs w:val="21"/>
              </w:rPr>
            </w:pPr>
          </w:p>
        </w:tc>
      </w:tr>
      <w:tr w:rsidR="00A320E6" w14:paraId="2E65D964"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E4BB95C"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A12C288"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BDB98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砖墙高1.5－2m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82DC3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170-270元/m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7845F21A" w14:textId="77777777" w:rsidR="00A320E6" w:rsidRDefault="00A320E6" w:rsidP="00EC50E9">
            <w:pPr>
              <w:jc w:val="left"/>
              <w:rPr>
                <w:rFonts w:ascii="宋体" w:hAnsi="宋体" w:cs="宋体"/>
                <w:color w:val="000000"/>
                <w:szCs w:val="21"/>
              </w:rPr>
            </w:pPr>
          </w:p>
        </w:tc>
      </w:tr>
      <w:tr w:rsidR="00A320E6" w14:paraId="5EA90671"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451943E"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18B0C9DF"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3D1E1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土坯墙高1.5－2m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B84D6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130-190元/m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297DEAE4" w14:textId="77777777" w:rsidR="00A320E6" w:rsidRDefault="00A320E6" w:rsidP="00EC50E9">
            <w:pPr>
              <w:jc w:val="left"/>
              <w:rPr>
                <w:rFonts w:ascii="宋体" w:hAnsi="宋体" w:cs="宋体"/>
                <w:color w:val="000000"/>
                <w:szCs w:val="21"/>
              </w:rPr>
            </w:pPr>
          </w:p>
        </w:tc>
      </w:tr>
      <w:tr w:rsidR="00A320E6" w14:paraId="779EC85E"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569002F"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838CA7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BC045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铁艺围墙</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FF074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120-180元/m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3AC6CC77" w14:textId="77777777" w:rsidR="00A320E6" w:rsidRDefault="00A320E6" w:rsidP="00EC50E9">
            <w:pPr>
              <w:jc w:val="left"/>
              <w:rPr>
                <w:rFonts w:ascii="宋体" w:hAnsi="宋体" w:cs="宋体"/>
                <w:color w:val="000000"/>
                <w:szCs w:val="21"/>
              </w:rPr>
            </w:pPr>
          </w:p>
        </w:tc>
      </w:tr>
      <w:tr w:rsidR="00A320E6" w14:paraId="7607060C"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179C7DE" w14:textId="77777777" w:rsidR="00A320E6" w:rsidRDefault="00A320E6" w:rsidP="00EC50E9">
            <w:pPr>
              <w:jc w:val="left"/>
              <w:rPr>
                <w:rFonts w:ascii="宋体" w:hAnsi="宋体" w:cs="宋体"/>
                <w:b/>
                <w:bCs/>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7F56417"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0DBB64"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彩钢板围墙</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DAE0E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100-150元/m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28F26485" w14:textId="77777777" w:rsidR="00A320E6" w:rsidRDefault="00A320E6" w:rsidP="00EC50E9">
            <w:pPr>
              <w:jc w:val="left"/>
              <w:rPr>
                <w:rFonts w:ascii="宋体" w:hAnsi="宋体" w:cs="宋体"/>
                <w:color w:val="000000"/>
                <w:szCs w:val="21"/>
              </w:rPr>
            </w:pPr>
          </w:p>
        </w:tc>
      </w:tr>
      <w:tr w:rsidR="00A320E6" w14:paraId="087465B0"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80025C" w14:textId="77777777" w:rsidR="00A320E6" w:rsidRDefault="00000000" w:rsidP="00EC50E9">
            <w:pPr>
              <w:jc w:val="center"/>
              <w:textAlignment w:val="center"/>
              <w:rPr>
                <w:rFonts w:ascii="宋体" w:hAnsi="宋体" w:cs="宋体"/>
                <w:b/>
                <w:bCs/>
                <w:color w:val="000000"/>
                <w:szCs w:val="21"/>
              </w:rPr>
            </w:pPr>
            <w:r>
              <w:rPr>
                <w:rFonts w:ascii="宋体" w:hAnsi="宋体" w:cs="宋体" w:hint="eastAsia"/>
                <w:b/>
                <w:bCs/>
                <w:color w:val="000000"/>
                <w:kern w:val="0"/>
                <w:szCs w:val="21"/>
              </w:rPr>
              <w:t>三</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E72A9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门垛</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A7C6F" w14:textId="77777777" w:rsidR="00A320E6" w:rsidRDefault="00000000" w:rsidP="00EC50E9">
            <w:pPr>
              <w:rPr>
                <w:rFonts w:ascii="宋体" w:hAnsi="宋体" w:cs="宋体"/>
                <w:color w:val="000000"/>
                <w:szCs w:val="21"/>
              </w:rPr>
            </w:pPr>
            <w:r>
              <w:rPr>
                <w:rFonts w:ascii="宋体" w:hAnsi="宋体" w:cs="宋体" w:hint="eastAsia"/>
                <w:color w:val="000000"/>
                <w:szCs w:val="21"/>
              </w:rPr>
              <w:t>砖砌抹灰</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649F8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450-650元/m</w:t>
            </w:r>
            <w:r>
              <w:rPr>
                <w:rFonts w:ascii="宋体" w:hAnsi="宋体" w:cs="宋体" w:hint="eastAsia"/>
                <w:color w:val="000000"/>
                <w:kern w:val="0"/>
                <w:szCs w:val="21"/>
                <w:vertAlign w:val="superscript"/>
              </w:rPr>
              <w:t>3</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495CA8" w14:textId="77777777" w:rsidR="00A320E6" w:rsidRDefault="00000000" w:rsidP="00EC50E9">
            <w:pPr>
              <w:rPr>
                <w:rFonts w:ascii="宋体" w:hAnsi="宋体" w:cs="宋体"/>
                <w:b/>
                <w:bCs/>
                <w:color w:val="000000"/>
                <w:szCs w:val="21"/>
              </w:rPr>
            </w:pPr>
            <w:r>
              <w:rPr>
                <w:rFonts w:ascii="宋体" w:hAnsi="宋体" w:cs="宋体" w:hint="eastAsia"/>
                <w:color w:val="000000"/>
                <w:kern w:val="0"/>
                <w:szCs w:val="21"/>
              </w:rPr>
              <w:t>旧料归原主</w:t>
            </w:r>
          </w:p>
        </w:tc>
      </w:tr>
      <w:tr w:rsidR="00A320E6" w14:paraId="636AA50A"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6DBD71"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四</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09943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厂区大门</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878E5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铁质大门</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6C9EB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130-200元/m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107BD0" w14:textId="77777777" w:rsidR="00A320E6" w:rsidRDefault="00000000" w:rsidP="00EC50E9">
            <w:pPr>
              <w:rPr>
                <w:rFonts w:ascii="宋体" w:hAnsi="宋体" w:cs="宋体"/>
                <w:b/>
                <w:bCs/>
                <w:color w:val="000000"/>
                <w:szCs w:val="21"/>
              </w:rPr>
            </w:pPr>
            <w:r>
              <w:rPr>
                <w:rFonts w:ascii="宋体" w:hAnsi="宋体" w:cs="宋体" w:hint="eastAsia"/>
                <w:color w:val="000000"/>
                <w:kern w:val="0"/>
                <w:szCs w:val="21"/>
              </w:rPr>
              <w:t>旧料归原主</w:t>
            </w:r>
          </w:p>
        </w:tc>
      </w:tr>
      <w:tr w:rsidR="00A320E6" w14:paraId="3FFDE088"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D4A5F9B"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9427128"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FC000C"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不锈钢大门</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9A913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350-480元/m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0EC1E86A" w14:textId="77777777" w:rsidR="00A320E6" w:rsidRDefault="00A320E6" w:rsidP="00EC50E9">
            <w:pPr>
              <w:jc w:val="left"/>
              <w:rPr>
                <w:rFonts w:ascii="宋体" w:hAnsi="宋体" w:cs="宋体"/>
                <w:b/>
                <w:bCs/>
                <w:color w:val="000000"/>
                <w:szCs w:val="21"/>
              </w:rPr>
            </w:pPr>
          </w:p>
        </w:tc>
      </w:tr>
      <w:tr w:rsidR="00A320E6" w14:paraId="2CA7FB1C"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99B99D3"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168F404"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66186B"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电动大门</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C387F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270-750元/m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05446A20" w14:textId="77777777" w:rsidR="00A320E6" w:rsidRDefault="00A320E6" w:rsidP="00EC50E9">
            <w:pPr>
              <w:jc w:val="left"/>
              <w:rPr>
                <w:rFonts w:ascii="宋体" w:hAnsi="宋体" w:cs="宋体"/>
                <w:b/>
                <w:bCs/>
                <w:color w:val="000000"/>
                <w:szCs w:val="21"/>
              </w:rPr>
            </w:pPr>
          </w:p>
        </w:tc>
      </w:tr>
      <w:tr w:rsidR="00A320E6" w14:paraId="1E2940B1"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591E77"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五</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F2850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外楼梯</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E680E4" w14:textId="77777777" w:rsidR="00A320E6" w:rsidRDefault="00A320E6" w:rsidP="00EC50E9">
            <w:pP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EB5D6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240-360元/m</w:t>
            </w:r>
            <w:r>
              <w:rPr>
                <w:rFonts w:ascii="宋体" w:hAnsi="宋体" w:cs="宋体" w:hint="eastAsia"/>
                <w:color w:val="000000"/>
                <w:kern w:val="0"/>
                <w:szCs w:val="21"/>
                <w:vertAlign w:val="superscript"/>
              </w:rPr>
              <w:t>2</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6B298F" w14:textId="77777777" w:rsidR="00A320E6" w:rsidRDefault="00000000" w:rsidP="00EC50E9">
            <w:pPr>
              <w:rPr>
                <w:rFonts w:ascii="宋体" w:hAnsi="宋体" w:cs="宋体"/>
                <w:color w:val="000000"/>
                <w:kern w:val="0"/>
                <w:szCs w:val="21"/>
              </w:rPr>
            </w:pPr>
            <w:r>
              <w:rPr>
                <w:rFonts w:ascii="宋体" w:hAnsi="宋体" w:cs="宋体" w:hint="eastAsia"/>
                <w:color w:val="000000"/>
                <w:kern w:val="0"/>
                <w:szCs w:val="21"/>
              </w:rPr>
              <w:t>1、旧料归原主；</w:t>
            </w:r>
          </w:p>
          <w:p w14:paraId="5D26376D" w14:textId="77777777" w:rsidR="00A320E6" w:rsidRDefault="00000000" w:rsidP="00EC50E9">
            <w:pPr>
              <w:rPr>
                <w:rFonts w:ascii="宋体" w:hAnsi="宋体" w:cs="宋体"/>
                <w:b/>
                <w:bCs/>
                <w:color w:val="000000"/>
                <w:szCs w:val="21"/>
              </w:rPr>
            </w:pPr>
            <w:r>
              <w:rPr>
                <w:rFonts w:ascii="宋体" w:hAnsi="宋体" w:cs="宋体" w:hint="eastAsia"/>
                <w:color w:val="000000"/>
                <w:kern w:val="0"/>
                <w:szCs w:val="21"/>
              </w:rPr>
              <w:t>2、以投影面积计算。</w:t>
            </w:r>
          </w:p>
        </w:tc>
      </w:tr>
      <w:tr w:rsidR="00A320E6" w14:paraId="27961B0F" w14:textId="77777777" w:rsidTr="00EC50E9">
        <w:trPr>
          <w:trHeight w:val="769"/>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A395F3"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六</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BC6857"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地面</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FB9C03"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水泥硬化（厚度10cm）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9CE0B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40-80元/m</w:t>
            </w:r>
            <w:r>
              <w:rPr>
                <w:rFonts w:ascii="宋体" w:hAnsi="宋体" w:cs="宋体" w:hint="eastAsia"/>
                <w:color w:val="000000"/>
                <w:kern w:val="0"/>
                <w:szCs w:val="21"/>
                <w:vertAlign w:val="superscript"/>
              </w:rPr>
              <w:t>2</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661DE8" w14:textId="77777777" w:rsidR="00A320E6" w:rsidRDefault="00000000" w:rsidP="00EC50E9">
            <w:pPr>
              <w:rPr>
                <w:rFonts w:ascii="宋体" w:hAnsi="宋体" w:cs="宋体"/>
                <w:b/>
                <w:bCs/>
                <w:color w:val="000000"/>
                <w:szCs w:val="21"/>
              </w:rPr>
            </w:pPr>
            <w:r>
              <w:rPr>
                <w:rFonts w:ascii="宋体" w:hAnsi="宋体" w:cs="宋体" w:hint="eastAsia"/>
                <w:color w:val="000000"/>
                <w:kern w:val="0"/>
                <w:szCs w:val="21"/>
              </w:rPr>
              <w:t>厚度每增加1cm，单价增加5元/㎡</w:t>
            </w:r>
          </w:p>
        </w:tc>
      </w:tr>
      <w:tr w:rsidR="00A320E6" w14:paraId="28543168" w14:textId="77777777" w:rsidTr="00EC50E9">
        <w:trPr>
          <w:trHeight w:val="539"/>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498D6C1"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6738ED1"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3AC690"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花砖</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E0459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40-70元/m</w:t>
            </w:r>
            <w:r>
              <w:rPr>
                <w:rFonts w:ascii="宋体" w:hAnsi="宋体" w:cs="宋体" w:hint="eastAsia"/>
                <w:color w:val="000000"/>
                <w:kern w:val="0"/>
                <w:szCs w:val="21"/>
                <w:vertAlign w:val="superscript"/>
              </w:rPr>
              <w:t>2</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DADCC5" w14:textId="77777777" w:rsidR="00A320E6" w:rsidRDefault="00A320E6" w:rsidP="00EC50E9">
            <w:pPr>
              <w:rPr>
                <w:rFonts w:ascii="宋体" w:hAnsi="宋体" w:cs="宋体"/>
                <w:b/>
                <w:bCs/>
                <w:color w:val="000000"/>
                <w:szCs w:val="21"/>
              </w:rPr>
            </w:pPr>
          </w:p>
        </w:tc>
      </w:tr>
      <w:tr w:rsidR="00A320E6" w14:paraId="513A6FCE"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F8335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七</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D6017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路面</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033E4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沥青（厚度10cm含基础垫层）</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78C99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120-180元/m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D973C1" w14:textId="77777777" w:rsidR="00A320E6" w:rsidRDefault="00000000" w:rsidP="00EC50E9">
            <w:pPr>
              <w:rPr>
                <w:rFonts w:ascii="宋体" w:hAnsi="宋体" w:cs="宋体"/>
                <w:b/>
                <w:bCs/>
                <w:color w:val="000000"/>
                <w:szCs w:val="21"/>
              </w:rPr>
            </w:pPr>
            <w:r>
              <w:rPr>
                <w:rFonts w:ascii="宋体" w:hAnsi="宋体" w:cs="宋体" w:hint="eastAsia"/>
                <w:color w:val="000000"/>
                <w:kern w:val="0"/>
                <w:szCs w:val="21"/>
              </w:rPr>
              <w:t>厚度每增加1cm，单价增加5元/㎡</w:t>
            </w:r>
          </w:p>
        </w:tc>
      </w:tr>
      <w:tr w:rsidR="00A320E6" w14:paraId="514D0FFD"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9E0109F"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3EA74FC"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96BD7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水泥（厚度15cm）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F04B5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70-110元/m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4E87F84A" w14:textId="77777777" w:rsidR="00A320E6" w:rsidRDefault="00A320E6" w:rsidP="00EC50E9">
            <w:pPr>
              <w:jc w:val="left"/>
              <w:rPr>
                <w:rFonts w:ascii="宋体" w:hAnsi="宋体" w:cs="宋体"/>
                <w:b/>
                <w:bCs/>
                <w:color w:val="000000"/>
                <w:szCs w:val="21"/>
              </w:rPr>
            </w:pPr>
          </w:p>
        </w:tc>
      </w:tr>
      <w:tr w:rsidR="00A320E6" w14:paraId="38AF6B3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46B4656"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2761A8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E452E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砼块</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4C779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50-90元/m</w:t>
            </w:r>
            <w:r>
              <w:rPr>
                <w:rFonts w:ascii="宋体" w:hAnsi="宋体" w:cs="宋体" w:hint="eastAsia"/>
                <w:color w:val="000000"/>
                <w:kern w:val="0"/>
                <w:szCs w:val="21"/>
                <w:vertAlign w:val="superscript"/>
              </w:rPr>
              <w:t>2</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951E13" w14:textId="77777777" w:rsidR="00A320E6" w:rsidRDefault="00A320E6" w:rsidP="00EC50E9">
            <w:pPr>
              <w:rPr>
                <w:rFonts w:ascii="宋体" w:hAnsi="宋体" w:cs="宋体"/>
                <w:b/>
                <w:bCs/>
                <w:color w:val="000000"/>
                <w:szCs w:val="21"/>
              </w:rPr>
            </w:pPr>
          </w:p>
        </w:tc>
      </w:tr>
      <w:tr w:rsidR="00A320E6" w14:paraId="5280F4E4"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AFD153"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八</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FE428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畜禽舍</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4B2C0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砖混结构</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E4F37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180-380元/m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5CFDC9"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旧料归原主</w:t>
            </w:r>
          </w:p>
        </w:tc>
      </w:tr>
      <w:tr w:rsidR="00A320E6" w14:paraId="145B51BF"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83FA5BF"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CC65ED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31186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简易结构</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81E72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80-180元/m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198EBFA8" w14:textId="77777777" w:rsidR="00A320E6" w:rsidRDefault="00A320E6" w:rsidP="00EC50E9">
            <w:pPr>
              <w:jc w:val="left"/>
              <w:rPr>
                <w:rFonts w:ascii="宋体" w:hAnsi="宋体" w:cs="宋体"/>
                <w:color w:val="000000"/>
                <w:szCs w:val="21"/>
              </w:rPr>
            </w:pPr>
          </w:p>
        </w:tc>
      </w:tr>
      <w:tr w:rsidR="00A320E6" w14:paraId="3013B112"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5BCB5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九</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941F2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迁坟</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7CA3AA"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棺木、拾骨、骨灰盒</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9F9217"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1500-2200元/座</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B45452" w14:textId="77777777" w:rsidR="00A320E6" w:rsidRDefault="00000000" w:rsidP="00EC50E9">
            <w:pPr>
              <w:textAlignment w:val="center"/>
              <w:rPr>
                <w:rFonts w:ascii="宋体" w:hAnsi="宋体" w:cs="宋体"/>
                <w:color w:val="000000"/>
                <w:szCs w:val="21"/>
              </w:rPr>
            </w:pPr>
            <w:r>
              <w:rPr>
                <w:rStyle w:val="150"/>
                <w:rFonts w:cs="宋体" w:hint="default"/>
                <w:sz w:val="21"/>
                <w:szCs w:val="21"/>
              </w:rPr>
              <w:t>包括迁葬、工料费，每增加一棺加500元</w:t>
            </w:r>
          </w:p>
        </w:tc>
      </w:tr>
      <w:tr w:rsidR="00A320E6" w14:paraId="501EDA60"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7CCCD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CC2583"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温室</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C7C35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钢、砼骨架、玻璃顶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9ED08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150-380元/m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B1B94F"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旧料归原主</w:t>
            </w:r>
          </w:p>
        </w:tc>
      </w:tr>
      <w:tr w:rsidR="00A320E6" w14:paraId="2EF5BBB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AAC6413"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2880684"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6ED91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钢、砼骨架、砖砌墙体、塑料薄膜顶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8AE063"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80-190元/m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24CEDCB4" w14:textId="77777777" w:rsidR="00A320E6" w:rsidRDefault="00A320E6" w:rsidP="00EC50E9">
            <w:pPr>
              <w:jc w:val="left"/>
              <w:rPr>
                <w:rFonts w:ascii="宋体" w:hAnsi="宋体" w:cs="宋体"/>
                <w:color w:val="000000"/>
                <w:szCs w:val="21"/>
              </w:rPr>
            </w:pPr>
          </w:p>
        </w:tc>
      </w:tr>
      <w:tr w:rsidR="00A320E6" w14:paraId="04AC9A07"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42F0930"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B8048A2"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6F52A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简易塑料薄膜棚</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C2CEC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35-70元/m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6C83504D" w14:textId="77777777" w:rsidR="00A320E6" w:rsidRDefault="00A320E6" w:rsidP="00EC50E9">
            <w:pPr>
              <w:jc w:val="left"/>
              <w:rPr>
                <w:rFonts w:ascii="宋体" w:hAnsi="宋体" w:cs="宋体"/>
                <w:color w:val="000000"/>
                <w:szCs w:val="21"/>
              </w:rPr>
            </w:pPr>
          </w:p>
        </w:tc>
      </w:tr>
      <w:tr w:rsidR="00A320E6" w14:paraId="13D6D348"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9DC25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十一</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35DF4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小桥</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C42FF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钢筋混凝土矩形板桥</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70E9F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1800-2950元/m</w:t>
            </w:r>
            <w:r>
              <w:rPr>
                <w:rFonts w:ascii="宋体" w:hAnsi="宋体" w:cs="宋体" w:hint="eastAsia"/>
                <w:color w:val="000000"/>
                <w:kern w:val="0"/>
                <w:szCs w:val="21"/>
                <w:vertAlign w:val="superscript"/>
              </w:rPr>
              <w:t>2</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CCEE1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按桥面面积计算</w:t>
            </w:r>
          </w:p>
        </w:tc>
      </w:tr>
      <w:tr w:rsidR="00A320E6" w14:paraId="7409C257"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3742C5A"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AD63F3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4384CE"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平坦石拱桥</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4AC7A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1800-2750元/m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1CDA0BF7" w14:textId="77777777" w:rsidR="00A320E6" w:rsidRDefault="00A320E6" w:rsidP="00EC50E9">
            <w:pPr>
              <w:jc w:val="left"/>
              <w:rPr>
                <w:rFonts w:ascii="宋体" w:hAnsi="宋体" w:cs="宋体"/>
                <w:color w:val="000000"/>
                <w:szCs w:val="21"/>
              </w:rPr>
            </w:pPr>
          </w:p>
        </w:tc>
      </w:tr>
      <w:tr w:rsidR="00A320E6" w14:paraId="2D7E5C51"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5718BFA"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013BFC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B0F37B"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石拱桥</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79ACBE"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2650-4000元/m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09E4E6FE" w14:textId="77777777" w:rsidR="00A320E6" w:rsidRDefault="00A320E6" w:rsidP="00EC50E9">
            <w:pPr>
              <w:jc w:val="left"/>
              <w:rPr>
                <w:rFonts w:ascii="宋体" w:hAnsi="宋体" w:cs="宋体"/>
                <w:color w:val="000000"/>
                <w:szCs w:val="21"/>
              </w:rPr>
            </w:pPr>
          </w:p>
        </w:tc>
      </w:tr>
      <w:tr w:rsidR="00A320E6" w14:paraId="02C2D9C7"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3A8522F"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B65CF3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CB00F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简易小桥</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EFEB7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900-1400元/m</w:t>
            </w:r>
            <w:r>
              <w:rPr>
                <w:rFonts w:ascii="宋体" w:hAnsi="宋体" w:cs="宋体" w:hint="eastAsia"/>
                <w:color w:val="000000"/>
                <w:kern w:val="0"/>
                <w:szCs w:val="21"/>
                <w:vertAlign w:val="superscript"/>
              </w:rPr>
              <w:t>2</w:t>
            </w:r>
          </w:p>
        </w:tc>
        <w:tc>
          <w:tcPr>
            <w:tcW w:w="1511" w:type="pct"/>
            <w:vMerge/>
            <w:tcBorders>
              <w:top w:val="single" w:sz="4" w:space="0" w:color="auto"/>
              <w:left w:val="single" w:sz="4" w:space="0" w:color="auto"/>
              <w:bottom w:val="single" w:sz="4" w:space="0" w:color="auto"/>
              <w:right w:val="single" w:sz="4" w:space="0" w:color="auto"/>
            </w:tcBorders>
            <w:vAlign w:val="center"/>
          </w:tcPr>
          <w:p w14:paraId="70297D8F" w14:textId="77777777" w:rsidR="00A320E6" w:rsidRDefault="00A320E6" w:rsidP="00EC50E9">
            <w:pPr>
              <w:jc w:val="left"/>
              <w:rPr>
                <w:rFonts w:ascii="宋体" w:hAnsi="宋体" w:cs="宋体"/>
                <w:color w:val="000000"/>
                <w:szCs w:val="21"/>
              </w:rPr>
            </w:pPr>
          </w:p>
        </w:tc>
      </w:tr>
      <w:tr w:rsidR="00A320E6" w14:paraId="7A4FC2C9"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29607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十二</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667F6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涵洞</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32C93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简易涵洞</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5ED52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450-800元/m</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23B7D2" w14:textId="77777777" w:rsidR="00A320E6" w:rsidRDefault="00A320E6" w:rsidP="00EC50E9">
            <w:pPr>
              <w:rPr>
                <w:rFonts w:ascii="宋体" w:hAnsi="宋体" w:cs="宋体"/>
                <w:color w:val="000000"/>
                <w:szCs w:val="21"/>
              </w:rPr>
            </w:pPr>
          </w:p>
        </w:tc>
      </w:tr>
      <w:tr w:rsidR="00A320E6" w14:paraId="793E4B2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0F08E81"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797E3E0"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0DC943"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石盖板涵跨径1-2m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EEF4B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800-1200元/m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7A2F0777" w14:textId="77777777" w:rsidR="00A320E6" w:rsidRDefault="00A320E6" w:rsidP="00EC50E9">
            <w:pPr>
              <w:jc w:val="left"/>
              <w:rPr>
                <w:rFonts w:ascii="宋体" w:hAnsi="宋体" w:cs="宋体"/>
                <w:color w:val="000000"/>
                <w:szCs w:val="21"/>
              </w:rPr>
            </w:pPr>
          </w:p>
        </w:tc>
      </w:tr>
      <w:tr w:rsidR="00A320E6" w14:paraId="02F1918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5D5F8CC"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CB69E0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D925F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石拱涵跨径1-4m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917F9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1500-3700元/m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5DD9ADE8" w14:textId="77777777" w:rsidR="00A320E6" w:rsidRDefault="00A320E6" w:rsidP="00EC50E9">
            <w:pPr>
              <w:jc w:val="left"/>
              <w:rPr>
                <w:rFonts w:ascii="宋体" w:hAnsi="宋体" w:cs="宋体"/>
                <w:color w:val="000000"/>
                <w:szCs w:val="21"/>
              </w:rPr>
            </w:pPr>
          </w:p>
        </w:tc>
      </w:tr>
      <w:tr w:rsidR="00A320E6" w14:paraId="1DEF10DA"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867846A"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64F90BC"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702593"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钢筋混凝土圆管涵跨径1-2m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5E463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950-3200元/m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7DB82EF9" w14:textId="77777777" w:rsidR="00A320E6" w:rsidRDefault="00A320E6" w:rsidP="00EC50E9">
            <w:pPr>
              <w:jc w:val="left"/>
              <w:rPr>
                <w:rFonts w:ascii="宋体" w:hAnsi="宋体" w:cs="宋体"/>
                <w:color w:val="000000"/>
                <w:szCs w:val="21"/>
              </w:rPr>
            </w:pPr>
          </w:p>
        </w:tc>
      </w:tr>
      <w:tr w:rsidR="00A320E6" w14:paraId="2165F712"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766418D"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8EDAD91"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286A8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钢筋混凝土盖板涵跨径1.5-4m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8B37C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1500-4800元/m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65E871E3" w14:textId="77777777" w:rsidR="00A320E6" w:rsidRDefault="00A320E6" w:rsidP="00EC50E9">
            <w:pPr>
              <w:jc w:val="left"/>
              <w:rPr>
                <w:rFonts w:ascii="宋体" w:hAnsi="宋体" w:cs="宋体"/>
                <w:color w:val="000000"/>
                <w:szCs w:val="21"/>
              </w:rPr>
            </w:pPr>
          </w:p>
        </w:tc>
      </w:tr>
      <w:tr w:rsidR="00A320E6" w14:paraId="21363B1D"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C42CB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十三</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F3D3F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台田台堰</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16F3F5" w14:textId="77777777" w:rsidR="00A320E6" w:rsidRDefault="00A320E6" w:rsidP="00EC50E9">
            <w:pP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99E04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80-190元/m</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3F1C87" w14:textId="77777777" w:rsidR="00A320E6" w:rsidRDefault="00A320E6" w:rsidP="00EC50E9">
            <w:pPr>
              <w:rPr>
                <w:rFonts w:ascii="宋体" w:hAnsi="宋体" w:cs="宋体"/>
                <w:b/>
                <w:bCs/>
                <w:color w:val="000000"/>
                <w:szCs w:val="21"/>
              </w:rPr>
            </w:pPr>
          </w:p>
        </w:tc>
      </w:tr>
      <w:tr w:rsidR="00A320E6" w14:paraId="4708F22A"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8699B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十四</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C47EBE"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水渠水池</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3EF06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土筑水渠、水池</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996DC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40-110元/m</w:t>
            </w:r>
            <w:r>
              <w:rPr>
                <w:rFonts w:ascii="宋体" w:hAnsi="宋体" w:cs="宋体" w:hint="eastAsia"/>
                <w:color w:val="000000"/>
                <w:kern w:val="0"/>
                <w:szCs w:val="21"/>
                <w:vertAlign w:val="superscript"/>
              </w:rPr>
              <w:t>3</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15DE9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不包括田间毛渠</w:t>
            </w:r>
          </w:p>
        </w:tc>
      </w:tr>
      <w:tr w:rsidR="00A320E6" w14:paraId="496BB9B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D3F0EA6"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721C488"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7D6129"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石砌水渠、水池</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052DD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150-260元/m</w:t>
            </w:r>
            <w:r>
              <w:rPr>
                <w:rFonts w:ascii="宋体" w:hAnsi="宋体" w:cs="宋体" w:hint="eastAsia"/>
                <w:color w:val="000000"/>
                <w:kern w:val="0"/>
                <w:szCs w:val="21"/>
                <w:vertAlign w:val="superscript"/>
              </w:rPr>
              <w:t>3</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BDA4E5" w14:textId="77777777" w:rsidR="00A320E6" w:rsidRDefault="00A320E6" w:rsidP="00EC50E9">
            <w:pPr>
              <w:textAlignment w:val="center"/>
              <w:rPr>
                <w:rFonts w:ascii="宋体" w:hAnsi="宋体" w:cs="宋体"/>
                <w:color w:val="000000"/>
                <w:szCs w:val="21"/>
              </w:rPr>
            </w:pPr>
          </w:p>
        </w:tc>
      </w:tr>
      <w:tr w:rsidR="00A320E6" w14:paraId="5EF5E50F"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4C050C3"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0E713EC"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F3F85C"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砖砌水渠、水池</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8BC10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160-260元/m</w:t>
            </w:r>
            <w:r>
              <w:rPr>
                <w:rFonts w:ascii="宋体" w:hAnsi="宋体" w:cs="宋体" w:hint="eastAsia"/>
                <w:color w:val="000000"/>
                <w:kern w:val="0"/>
                <w:szCs w:val="21"/>
                <w:vertAlign w:val="superscript"/>
              </w:rPr>
              <w:t>3</w:t>
            </w:r>
          </w:p>
        </w:tc>
        <w:tc>
          <w:tcPr>
            <w:tcW w:w="1511" w:type="pct"/>
            <w:vMerge/>
            <w:tcBorders>
              <w:top w:val="single" w:sz="4" w:space="0" w:color="auto"/>
              <w:left w:val="single" w:sz="4" w:space="0" w:color="auto"/>
              <w:bottom w:val="single" w:sz="4" w:space="0" w:color="auto"/>
              <w:right w:val="single" w:sz="4" w:space="0" w:color="auto"/>
            </w:tcBorders>
            <w:vAlign w:val="center"/>
          </w:tcPr>
          <w:p w14:paraId="4179210E" w14:textId="77777777" w:rsidR="00A320E6" w:rsidRDefault="00A320E6" w:rsidP="00EC50E9">
            <w:pPr>
              <w:jc w:val="left"/>
              <w:rPr>
                <w:rFonts w:ascii="宋体" w:hAnsi="宋体" w:cs="宋体"/>
                <w:color w:val="000000"/>
                <w:szCs w:val="21"/>
              </w:rPr>
            </w:pPr>
          </w:p>
        </w:tc>
      </w:tr>
      <w:tr w:rsidR="00A320E6" w14:paraId="10282FFF"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A615B86"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400ECD0"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89A5D4"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水库堤坝</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AB8DB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185-330元/m</w:t>
            </w:r>
            <w:r>
              <w:rPr>
                <w:rFonts w:ascii="宋体" w:hAnsi="宋体" w:cs="宋体" w:hint="eastAsia"/>
                <w:color w:val="000000"/>
                <w:kern w:val="0"/>
                <w:szCs w:val="21"/>
                <w:vertAlign w:val="superscript"/>
              </w:rPr>
              <w:t>3</w:t>
            </w:r>
          </w:p>
        </w:tc>
        <w:tc>
          <w:tcPr>
            <w:tcW w:w="1511" w:type="pct"/>
            <w:vMerge/>
            <w:tcBorders>
              <w:top w:val="single" w:sz="4" w:space="0" w:color="auto"/>
              <w:left w:val="single" w:sz="4" w:space="0" w:color="auto"/>
              <w:bottom w:val="single" w:sz="4" w:space="0" w:color="auto"/>
              <w:right w:val="single" w:sz="4" w:space="0" w:color="auto"/>
            </w:tcBorders>
            <w:vAlign w:val="center"/>
          </w:tcPr>
          <w:p w14:paraId="216739FC" w14:textId="77777777" w:rsidR="00A320E6" w:rsidRDefault="00A320E6" w:rsidP="00EC50E9">
            <w:pPr>
              <w:jc w:val="left"/>
              <w:rPr>
                <w:rFonts w:ascii="宋体" w:hAnsi="宋体" w:cs="宋体"/>
                <w:color w:val="000000"/>
                <w:szCs w:val="21"/>
              </w:rPr>
            </w:pPr>
          </w:p>
        </w:tc>
      </w:tr>
      <w:tr w:rsidR="00A320E6" w14:paraId="5C50DC2A"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C60CF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十五</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ED77C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水井</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19629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手压井</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E8FFF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500-600元/口</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B0AC41"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1、土井补偿包括开凿工程、用料及用工等费用；</w:t>
            </w:r>
          </w:p>
          <w:p w14:paraId="7ACD0776"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2、废、枯井按同类井补偿标准30-50%补偿；</w:t>
            </w:r>
          </w:p>
          <w:p w14:paraId="26A42F82"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3、机井按井深分段计算补偿；</w:t>
            </w:r>
          </w:p>
          <w:p w14:paraId="03BF489A"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4、面积小于5亩每户认定1口机井。机井密度不高于1口/5亩。</w:t>
            </w:r>
          </w:p>
        </w:tc>
      </w:tr>
      <w:tr w:rsidR="00A320E6" w14:paraId="558F01D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51B1525"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1B06F6C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35C49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土井：直径1.2m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C4040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280-350元/m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3CDBC12F" w14:textId="77777777" w:rsidR="00A320E6" w:rsidRDefault="00A320E6" w:rsidP="00EC50E9">
            <w:pPr>
              <w:jc w:val="left"/>
              <w:rPr>
                <w:rFonts w:ascii="宋体" w:hAnsi="宋体" w:cs="宋体"/>
                <w:color w:val="000000"/>
                <w:szCs w:val="21"/>
              </w:rPr>
            </w:pPr>
          </w:p>
        </w:tc>
      </w:tr>
      <w:tr w:rsidR="00A320E6" w14:paraId="4E9582CA" w14:textId="77777777" w:rsidTr="00EC50E9">
        <w:trPr>
          <w:trHeight w:val="1118"/>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A465FCF"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8D665B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08C4F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砖井（包括乱石井）</w:t>
            </w:r>
            <w:r>
              <w:rPr>
                <w:rFonts w:ascii="宋体" w:hAnsi="宋体" w:cs="宋体" w:hint="eastAsia"/>
                <w:color w:val="000000"/>
                <w:kern w:val="0"/>
                <w:szCs w:val="21"/>
              </w:rPr>
              <w:br/>
              <w:t>深5-10m直径1.5m</w:t>
            </w:r>
            <w:r>
              <w:rPr>
                <w:rFonts w:ascii="宋体" w:hAnsi="宋体" w:cs="宋体" w:hint="eastAsia"/>
                <w:color w:val="000000"/>
                <w:kern w:val="0"/>
                <w:szCs w:val="21"/>
              </w:rPr>
              <w:br/>
              <w:t>深10-20m直径2.5m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792D5F" w14:textId="77777777" w:rsidR="00A320E6" w:rsidRDefault="00A320E6" w:rsidP="00EC50E9">
            <w:pPr>
              <w:jc w:val="center"/>
              <w:textAlignment w:val="center"/>
              <w:rPr>
                <w:rFonts w:ascii="宋体" w:hAnsi="宋体" w:cs="宋体"/>
                <w:color w:val="000000"/>
                <w:kern w:val="0"/>
                <w:szCs w:val="21"/>
              </w:rPr>
            </w:pPr>
          </w:p>
          <w:p w14:paraId="06CE4FBC"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3500-7400元/口</w:t>
            </w:r>
          </w:p>
          <w:p w14:paraId="33D597F2"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7000-16000元/口</w:t>
            </w:r>
          </w:p>
        </w:tc>
        <w:tc>
          <w:tcPr>
            <w:tcW w:w="1511" w:type="pct"/>
            <w:vMerge/>
            <w:tcBorders>
              <w:top w:val="single" w:sz="4" w:space="0" w:color="auto"/>
              <w:left w:val="single" w:sz="4" w:space="0" w:color="auto"/>
              <w:bottom w:val="single" w:sz="4" w:space="0" w:color="auto"/>
              <w:right w:val="single" w:sz="4" w:space="0" w:color="auto"/>
            </w:tcBorders>
            <w:vAlign w:val="center"/>
          </w:tcPr>
          <w:p w14:paraId="2432DEAE" w14:textId="77777777" w:rsidR="00A320E6" w:rsidRDefault="00A320E6" w:rsidP="00EC50E9">
            <w:pPr>
              <w:jc w:val="left"/>
              <w:rPr>
                <w:rFonts w:ascii="宋体" w:hAnsi="宋体" w:cs="宋体"/>
                <w:color w:val="000000"/>
                <w:szCs w:val="21"/>
              </w:rPr>
            </w:pPr>
          </w:p>
        </w:tc>
      </w:tr>
      <w:tr w:rsidR="00A320E6" w14:paraId="3B597D0A"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8C76775"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4D8D8CE"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0246DB"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下管井</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65085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120-180元/m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56FCCD36" w14:textId="77777777" w:rsidR="00A320E6" w:rsidRDefault="00A320E6" w:rsidP="00EC50E9">
            <w:pPr>
              <w:jc w:val="left"/>
              <w:rPr>
                <w:rFonts w:ascii="宋体" w:hAnsi="宋体" w:cs="宋体"/>
                <w:color w:val="000000"/>
                <w:szCs w:val="21"/>
              </w:rPr>
            </w:pPr>
          </w:p>
        </w:tc>
      </w:tr>
      <w:tr w:rsidR="00A320E6" w14:paraId="08BCB082"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31EBC1A"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D23189E"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746A3F"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机井：深20-100m</w:t>
            </w:r>
            <w:r>
              <w:rPr>
                <w:rFonts w:ascii="宋体" w:hAnsi="宋体" w:cs="宋体" w:hint="eastAsia"/>
                <w:color w:val="000000"/>
                <w:kern w:val="0"/>
                <w:szCs w:val="21"/>
              </w:rPr>
              <w:br/>
              <w:t>深100m以上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1CCEAC"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100-160元/m</w:t>
            </w:r>
          </w:p>
          <w:p w14:paraId="1B3189E2"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160-200元/m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56835E12" w14:textId="77777777" w:rsidR="00A320E6" w:rsidRDefault="00A320E6" w:rsidP="00EC50E9">
            <w:pPr>
              <w:jc w:val="left"/>
              <w:rPr>
                <w:rFonts w:ascii="宋体" w:hAnsi="宋体" w:cs="宋体"/>
                <w:color w:val="000000"/>
                <w:szCs w:val="21"/>
              </w:rPr>
            </w:pPr>
          </w:p>
        </w:tc>
      </w:tr>
      <w:tr w:rsidR="00A320E6" w14:paraId="4A8D7FDB"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9CC2825"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82CE0C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B7AA6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污水井</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11EEA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520-1600元/m</w:t>
            </w:r>
          </w:p>
        </w:tc>
        <w:tc>
          <w:tcPr>
            <w:tcW w:w="1511" w:type="pct"/>
            <w:vMerge/>
            <w:tcBorders>
              <w:top w:val="single" w:sz="4" w:space="0" w:color="auto"/>
              <w:left w:val="single" w:sz="4" w:space="0" w:color="auto"/>
              <w:bottom w:val="single" w:sz="4" w:space="0" w:color="auto"/>
              <w:right w:val="single" w:sz="4" w:space="0" w:color="auto"/>
            </w:tcBorders>
            <w:vAlign w:val="center"/>
          </w:tcPr>
          <w:p w14:paraId="53FDCC25" w14:textId="77777777" w:rsidR="00A320E6" w:rsidRDefault="00A320E6" w:rsidP="00EC50E9">
            <w:pPr>
              <w:jc w:val="left"/>
              <w:rPr>
                <w:rFonts w:ascii="宋体" w:hAnsi="宋体" w:cs="宋体"/>
                <w:color w:val="000000"/>
                <w:szCs w:val="21"/>
              </w:rPr>
            </w:pPr>
          </w:p>
        </w:tc>
      </w:tr>
      <w:tr w:rsidR="00A320E6" w14:paraId="548CE56B"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6EDB4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十六</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DF5A7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电力、通讯线路</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9F0E2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低压线路</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EED677"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1800-2800元/杆</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A68D71"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旧料归原主</w:t>
            </w:r>
          </w:p>
        </w:tc>
      </w:tr>
      <w:tr w:rsidR="00A320E6" w14:paraId="77C84A74"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C4A0AA5"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F872E6F"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0D580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通讯广播线路</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F5E59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1800-2700元/杆</w:t>
            </w:r>
          </w:p>
        </w:tc>
        <w:tc>
          <w:tcPr>
            <w:tcW w:w="1511" w:type="pct"/>
            <w:vMerge/>
            <w:tcBorders>
              <w:top w:val="single" w:sz="4" w:space="0" w:color="auto"/>
              <w:left w:val="single" w:sz="4" w:space="0" w:color="auto"/>
              <w:bottom w:val="single" w:sz="4" w:space="0" w:color="auto"/>
              <w:right w:val="single" w:sz="4" w:space="0" w:color="auto"/>
            </w:tcBorders>
            <w:vAlign w:val="center"/>
          </w:tcPr>
          <w:p w14:paraId="6676D4A2" w14:textId="77777777" w:rsidR="00A320E6" w:rsidRDefault="00A320E6" w:rsidP="00EC50E9">
            <w:pPr>
              <w:jc w:val="left"/>
              <w:rPr>
                <w:rFonts w:ascii="宋体" w:hAnsi="宋体" w:cs="宋体"/>
                <w:color w:val="000000"/>
                <w:szCs w:val="21"/>
              </w:rPr>
            </w:pPr>
          </w:p>
        </w:tc>
      </w:tr>
      <w:tr w:rsidR="00A320E6" w14:paraId="763F6A1D"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9DD2ACB"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14BF81E5"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E6E0FF"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变压器10kv及以下</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524FF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25000-35000元/台</w:t>
            </w:r>
          </w:p>
        </w:tc>
        <w:tc>
          <w:tcPr>
            <w:tcW w:w="1511" w:type="pct"/>
            <w:vMerge/>
            <w:tcBorders>
              <w:top w:val="single" w:sz="4" w:space="0" w:color="auto"/>
              <w:left w:val="single" w:sz="4" w:space="0" w:color="auto"/>
              <w:bottom w:val="single" w:sz="4" w:space="0" w:color="auto"/>
              <w:right w:val="single" w:sz="4" w:space="0" w:color="auto"/>
            </w:tcBorders>
            <w:vAlign w:val="center"/>
          </w:tcPr>
          <w:p w14:paraId="2DD2421F" w14:textId="77777777" w:rsidR="00A320E6" w:rsidRDefault="00A320E6" w:rsidP="00EC50E9">
            <w:pPr>
              <w:jc w:val="left"/>
              <w:rPr>
                <w:rFonts w:ascii="宋体" w:hAnsi="宋体" w:cs="宋体"/>
                <w:color w:val="000000"/>
                <w:szCs w:val="21"/>
              </w:rPr>
            </w:pPr>
          </w:p>
        </w:tc>
      </w:tr>
      <w:tr w:rsidR="00A320E6" w14:paraId="5544DBD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9D6C5FB"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F761A4E"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DC005F"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变压器10kv以上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0714C8"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35000-50000元/台</w:t>
            </w:r>
          </w:p>
        </w:tc>
        <w:tc>
          <w:tcPr>
            <w:tcW w:w="1511" w:type="pct"/>
            <w:vMerge/>
            <w:tcBorders>
              <w:top w:val="single" w:sz="4" w:space="0" w:color="auto"/>
              <w:left w:val="single" w:sz="4" w:space="0" w:color="auto"/>
              <w:bottom w:val="single" w:sz="4" w:space="0" w:color="auto"/>
              <w:right w:val="single" w:sz="4" w:space="0" w:color="auto"/>
            </w:tcBorders>
            <w:vAlign w:val="center"/>
          </w:tcPr>
          <w:p w14:paraId="41B4EF15" w14:textId="77777777" w:rsidR="00A320E6" w:rsidRDefault="00A320E6" w:rsidP="00EC50E9">
            <w:pPr>
              <w:jc w:val="left"/>
              <w:rPr>
                <w:rFonts w:ascii="宋体" w:hAnsi="宋体" w:cs="宋体"/>
                <w:color w:val="000000"/>
                <w:szCs w:val="21"/>
              </w:rPr>
            </w:pPr>
          </w:p>
        </w:tc>
      </w:tr>
      <w:tr w:rsidR="00A320E6" w14:paraId="4EA9258C"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DB27E1A"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39C91B9"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8F3DB9"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光伏发电</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3FC20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3-4元/瓦</w:t>
            </w:r>
          </w:p>
        </w:tc>
        <w:tc>
          <w:tcPr>
            <w:tcW w:w="1511" w:type="pct"/>
            <w:vMerge/>
            <w:tcBorders>
              <w:top w:val="single" w:sz="4" w:space="0" w:color="auto"/>
              <w:left w:val="single" w:sz="4" w:space="0" w:color="auto"/>
              <w:bottom w:val="single" w:sz="4" w:space="0" w:color="auto"/>
              <w:right w:val="single" w:sz="4" w:space="0" w:color="auto"/>
            </w:tcBorders>
            <w:vAlign w:val="center"/>
          </w:tcPr>
          <w:p w14:paraId="2B03DFB0" w14:textId="77777777" w:rsidR="00A320E6" w:rsidRDefault="00A320E6" w:rsidP="00EC50E9">
            <w:pPr>
              <w:jc w:val="left"/>
              <w:rPr>
                <w:rFonts w:ascii="宋体" w:hAnsi="宋体" w:cs="宋体"/>
                <w:color w:val="000000"/>
                <w:szCs w:val="21"/>
              </w:rPr>
            </w:pPr>
          </w:p>
        </w:tc>
      </w:tr>
      <w:tr w:rsidR="00A320E6" w14:paraId="77FDF7CB"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12580E"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十七</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C8F604"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砖窑</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92C4A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18、20、22、32门轮窑</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8E31C7"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13575-19350元/门</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18583E"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废弃砖窑按标准的30-50%补偿</w:t>
            </w:r>
          </w:p>
        </w:tc>
      </w:tr>
      <w:tr w:rsidR="00A320E6" w14:paraId="7D409478"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5182C91"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B72A066"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804E3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老式土窑</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45297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5875-15500元/门</w:t>
            </w:r>
          </w:p>
        </w:tc>
        <w:tc>
          <w:tcPr>
            <w:tcW w:w="1511" w:type="pct"/>
            <w:vMerge/>
            <w:tcBorders>
              <w:top w:val="single" w:sz="4" w:space="0" w:color="auto"/>
              <w:left w:val="single" w:sz="4" w:space="0" w:color="auto"/>
              <w:bottom w:val="single" w:sz="4" w:space="0" w:color="auto"/>
              <w:right w:val="single" w:sz="4" w:space="0" w:color="auto"/>
            </w:tcBorders>
            <w:vAlign w:val="center"/>
          </w:tcPr>
          <w:p w14:paraId="785558E7" w14:textId="77777777" w:rsidR="00A320E6" w:rsidRDefault="00A320E6" w:rsidP="00EC50E9">
            <w:pPr>
              <w:jc w:val="left"/>
              <w:rPr>
                <w:rFonts w:ascii="宋体" w:hAnsi="宋体" w:cs="宋体"/>
                <w:color w:val="000000"/>
                <w:szCs w:val="21"/>
              </w:rPr>
            </w:pPr>
          </w:p>
        </w:tc>
      </w:tr>
      <w:tr w:rsidR="00A320E6" w14:paraId="2C163E6C" w14:textId="77777777" w:rsidTr="00EC50E9">
        <w:trPr>
          <w:trHeight w:val="763"/>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8CC63E"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十八</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9DFBBD"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果树</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CF3283"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零星苗木</w:t>
            </w:r>
          </w:p>
          <w:p w14:paraId="72D1B5E9"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成片苗木</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3CADA4"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8-20元/株</w:t>
            </w:r>
          </w:p>
          <w:p w14:paraId="1CDE727A"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不高于4500元/亩</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DA7C94"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1、果树包括：苹果、梨、桃、杏、核桃、樱桃、柿、枣、葡萄等树种；</w:t>
            </w:r>
          </w:p>
          <w:p w14:paraId="04E9ED78"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2、树归原主；</w:t>
            </w:r>
          </w:p>
          <w:p w14:paraId="1D47D4CF"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3、葡萄合理栽种数量不低于200株/亩；其他果树合理栽种数量60-120棵/亩；</w:t>
            </w:r>
          </w:p>
          <w:p w14:paraId="67BBD639"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4、在补偿区域内生长期需超过1年。</w:t>
            </w:r>
          </w:p>
        </w:tc>
      </w:tr>
      <w:tr w:rsidR="00A320E6" w14:paraId="4D4F5D8A" w14:textId="77777777" w:rsidTr="00EC50E9">
        <w:trPr>
          <w:trHeight w:val="2079"/>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C65766B"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B7CE820"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E1D3D6"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零星果树</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88AC21"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幼龄期:60-80元/棵</w:t>
            </w:r>
          </w:p>
          <w:p w14:paraId="194063B4"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初果期:200-330元/棵</w:t>
            </w:r>
          </w:p>
          <w:p w14:paraId="563DB194"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盛果期:330-430元/棵</w:t>
            </w:r>
          </w:p>
          <w:p w14:paraId="17D255A8"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衰果期:130-260元/棵</w:t>
            </w:r>
          </w:p>
          <w:p w14:paraId="7B2CCE2B"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（葡萄按上述标准的50%计算）</w:t>
            </w:r>
          </w:p>
        </w:tc>
        <w:tc>
          <w:tcPr>
            <w:tcW w:w="1511" w:type="pct"/>
            <w:vMerge/>
            <w:tcBorders>
              <w:top w:val="single" w:sz="4" w:space="0" w:color="auto"/>
              <w:left w:val="single" w:sz="4" w:space="0" w:color="auto"/>
              <w:bottom w:val="single" w:sz="4" w:space="0" w:color="auto"/>
              <w:right w:val="single" w:sz="4" w:space="0" w:color="auto"/>
            </w:tcBorders>
            <w:vAlign w:val="center"/>
          </w:tcPr>
          <w:p w14:paraId="00EE340C" w14:textId="77777777" w:rsidR="00A320E6" w:rsidRDefault="00A320E6" w:rsidP="00EC50E9">
            <w:pPr>
              <w:jc w:val="left"/>
              <w:rPr>
                <w:rFonts w:ascii="宋体" w:hAnsi="宋体" w:cs="宋体"/>
                <w:color w:val="000000"/>
                <w:kern w:val="0"/>
                <w:szCs w:val="21"/>
              </w:rPr>
            </w:pPr>
          </w:p>
        </w:tc>
      </w:tr>
      <w:tr w:rsidR="00A320E6" w14:paraId="39C9F308" w14:textId="77777777" w:rsidTr="00EC50E9">
        <w:trPr>
          <w:trHeight w:val="394"/>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8C46547"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16E3A8C"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C8DA1D"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幼龄期（区分树种）</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64486D"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7100-11800元/亩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023B58CA" w14:textId="77777777" w:rsidR="00A320E6" w:rsidRDefault="00A320E6" w:rsidP="00EC50E9">
            <w:pPr>
              <w:jc w:val="left"/>
              <w:rPr>
                <w:rFonts w:ascii="宋体" w:hAnsi="宋体" w:cs="宋体"/>
                <w:color w:val="000000"/>
                <w:kern w:val="0"/>
                <w:szCs w:val="21"/>
              </w:rPr>
            </w:pPr>
          </w:p>
        </w:tc>
      </w:tr>
      <w:tr w:rsidR="00A320E6" w14:paraId="3AC9385D" w14:textId="77777777" w:rsidTr="00EC50E9">
        <w:trPr>
          <w:trHeight w:val="386"/>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37D55D9"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A532B71"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B65E1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初果期（区分树种）</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43D871"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24500-41500元/亩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63D34349" w14:textId="77777777" w:rsidR="00A320E6" w:rsidRDefault="00A320E6" w:rsidP="00EC50E9">
            <w:pPr>
              <w:jc w:val="left"/>
              <w:rPr>
                <w:rFonts w:ascii="宋体" w:hAnsi="宋体" w:cs="宋体"/>
                <w:color w:val="000000"/>
                <w:kern w:val="0"/>
                <w:szCs w:val="21"/>
              </w:rPr>
            </w:pPr>
          </w:p>
        </w:tc>
      </w:tr>
      <w:tr w:rsidR="00A320E6" w14:paraId="134079BA" w14:textId="77777777" w:rsidTr="00EC50E9">
        <w:trPr>
          <w:trHeight w:val="392"/>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4841064"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6975A68A"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82F0A5"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盛果期（区分树种）</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56D516"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40000-52000元/亩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5939A374" w14:textId="77777777" w:rsidR="00A320E6" w:rsidRDefault="00A320E6" w:rsidP="00EC50E9">
            <w:pPr>
              <w:jc w:val="left"/>
              <w:rPr>
                <w:rFonts w:ascii="宋体" w:hAnsi="宋体" w:cs="宋体"/>
                <w:color w:val="000000"/>
                <w:kern w:val="0"/>
                <w:szCs w:val="21"/>
              </w:rPr>
            </w:pPr>
          </w:p>
        </w:tc>
      </w:tr>
      <w:tr w:rsidR="00A320E6" w14:paraId="4CC99497" w14:textId="77777777" w:rsidTr="00EC50E9">
        <w:trPr>
          <w:trHeight w:val="37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B8A8D38"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D585D1B"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F8C4C0"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衰老期（区分树种）</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A0E1F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16000-31000元/亩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5A0A00B2" w14:textId="77777777" w:rsidR="00A320E6" w:rsidRDefault="00A320E6" w:rsidP="00EC50E9">
            <w:pPr>
              <w:jc w:val="left"/>
              <w:rPr>
                <w:rFonts w:ascii="宋体" w:hAnsi="宋体" w:cs="宋体"/>
                <w:color w:val="000000"/>
                <w:kern w:val="0"/>
                <w:szCs w:val="21"/>
              </w:rPr>
            </w:pPr>
          </w:p>
        </w:tc>
      </w:tr>
      <w:tr w:rsidR="00A320E6" w14:paraId="097D9325" w14:textId="77777777" w:rsidTr="00EC50E9">
        <w:trPr>
          <w:trHeight w:val="2148"/>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C563C38" w14:textId="77777777" w:rsidR="00A320E6" w:rsidRDefault="00A320E6" w:rsidP="00EC50E9">
            <w:pPr>
              <w:jc w:val="left"/>
              <w:rPr>
                <w:rFonts w:ascii="宋体" w:hAnsi="宋体" w:cs="宋体"/>
                <w:color w:val="000000"/>
                <w:kern w:val="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4351289B" w14:textId="77777777" w:rsidR="00A320E6" w:rsidRDefault="00A320E6" w:rsidP="00EC50E9">
            <w:pPr>
              <w:jc w:val="left"/>
              <w:rPr>
                <w:rFonts w:ascii="宋体" w:hAnsi="宋体" w:cs="宋体"/>
                <w:color w:val="000000"/>
                <w:kern w:val="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8F8A51"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蓝莓</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BA0E41"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初果期:30000-42000元/亩</w:t>
            </w:r>
          </w:p>
          <w:p w14:paraId="38C1C2B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盛果期:42000-54000元/亩</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586828" w14:textId="77777777" w:rsidR="00A320E6" w:rsidRDefault="00000000" w:rsidP="00EC50E9">
            <w:pPr>
              <w:rPr>
                <w:rFonts w:ascii="宋体" w:hAnsi="宋体" w:cs="宋体"/>
                <w:color w:val="000000"/>
                <w:kern w:val="0"/>
                <w:szCs w:val="21"/>
              </w:rPr>
            </w:pPr>
            <w:r>
              <w:rPr>
                <w:rFonts w:ascii="宋体" w:hAnsi="宋体" w:cs="宋体" w:hint="eastAsia"/>
                <w:color w:val="000000"/>
                <w:kern w:val="0"/>
                <w:szCs w:val="21"/>
              </w:rPr>
              <w:t>1、树归原主；</w:t>
            </w:r>
          </w:p>
          <w:p w14:paraId="66A0B9C5" w14:textId="77777777" w:rsidR="00A320E6" w:rsidRDefault="00000000" w:rsidP="00EC50E9">
            <w:pPr>
              <w:rPr>
                <w:rFonts w:ascii="宋体" w:hAnsi="宋体" w:cs="宋体"/>
                <w:color w:val="000000"/>
                <w:kern w:val="0"/>
                <w:szCs w:val="21"/>
              </w:rPr>
            </w:pPr>
            <w:r>
              <w:rPr>
                <w:rFonts w:ascii="宋体" w:hAnsi="宋体" w:cs="宋体" w:hint="eastAsia"/>
                <w:color w:val="000000"/>
                <w:kern w:val="0"/>
                <w:szCs w:val="21"/>
              </w:rPr>
              <w:t>2、合理栽种数量不低于150棵/亩；</w:t>
            </w:r>
          </w:p>
          <w:p w14:paraId="3F03A27E" w14:textId="77777777" w:rsidR="00A320E6" w:rsidRDefault="00000000" w:rsidP="00EC50E9">
            <w:pPr>
              <w:rPr>
                <w:rFonts w:ascii="宋体" w:hAnsi="宋体" w:cs="宋体"/>
                <w:color w:val="000000"/>
                <w:szCs w:val="21"/>
              </w:rPr>
            </w:pPr>
            <w:r>
              <w:rPr>
                <w:rFonts w:ascii="宋体" w:hAnsi="宋体" w:cs="宋体" w:hint="eastAsia"/>
                <w:color w:val="000000"/>
                <w:kern w:val="0"/>
                <w:szCs w:val="21"/>
              </w:rPr>
              <w:t>3、在补偿区域内生长期需超过1年。</w:t>
            </w:r>
          </w:p>
        </w:tc>
      </w:tr>
      <w:tr w:rsidR="00A320E6" w14:paraId="73D7F62E" w14:textId="77777777" w:rsidTr="00EC50E9">
        <w:trPr>
          <w:trHeight w:val="87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829DFA"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十九</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F347C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乔木</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1478F9"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胸径小于5cm</w:t>
            </w:r>
          </w:p>
          <w:p w14:paraId="4671DBC6"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（幼树，松柏树小于3cm）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090350"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8-20元/株</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D0D960"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1、乔木指用材林种，沿海防护林基干林带、山丘地区防护林乔木补偿标准可提高40-60%；</w:t>
            </w:r>
          </w:p>
          <w:p w14:paraId="2C2FEC07"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2、一般栽植密度不高于110棵/亩；</w:t>
            </w:r>
          </w:p>
          <w:p w14:paraId="457E8C34"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3、树归原主；</w:t>
            </w:r>
          </w:p>
          <w:p w14:paraId="22D5818E"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4、用于观赏、绿化等特殊用途的树种，补偿标准可委托有资质的机构评估或认证。</w:t>
            </w:r>
          </w:p>
        </w:tc>
      </w:tr>
      <w:tr w:rsidR="00A320E6" w14:paraId="6CEF61CE" w14:textId="77777777" w:rsidTr="00EC50E9">
        <w:trPr>
          <w:trHeight w:val="532"/>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F0C3B7F"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5353497B"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36E56D"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胸径5-10cm</w:t>
            </w:r>
          </w:p>
          <w:p w14:paraId="7E0C561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（松柏树3-6cm）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4FCC35"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70-95元/株</w:t>
            </w:r>
          </w:p>
        </w:tc>
        <w:tc>
          <w:tcPr>
            <w:tcW w:w="1511" w:type="pct"/>
            <w:vMerge/>
            <w:tcBorders>
              <w:top w:val="single" w:sz="4" w:space="0" w:color="auto"/>
              <w:left w:val="single" w:sz="4" w:space="0" w:color="auto"/>
              <w:bottom w:val="single" w:sz="4" w:space="0" w:color="auto"/>
              <w:right w:val="single" w:sz="4" w:space="0" w:color="auto"/>
            </w:tcBorders>
            <w:vAlign w:val="center"/>
          </w:tcPr>
          <w:p w14:paraId="2259DFE7" w14:textId="77777777" w:rsidR="00A320E6" w:rsidRDefault="00A320E6" w:rsidP="00EC50E9">
            <w:pPr>
              <w:jc w:val="left"/>
              <w:rPr>
                <w:rFonts w:ascii="宋体" w:hAnsi="宋体" w:cs="宋体"/>
                <w:color w:val="000000"/>
                <w:szCs w:val="21"/>
              </w:rPr>
            </w:pPr>
          </w:p>
        </w:tc>
      </w:tr>
      <w:tr w:rsidR="00A320E6" w14:paraId="487970D5" w14:textId="77777777" w:rsidTr="00EC50E9">
        <w:trPr>
          <w:trHeight w:val="569"/>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6880137"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1AA36BAE"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66BDBE"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胸径10-20cm</w:t>
            </w:r>
          </w:p>
          <w:p w14:paraId="2289D919"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（松柏树6-10cm）</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5A5AF7"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85-150元/株</w:t>
            </w:r>
          </w:p>
        </w:tc>
        <w:tc>
          <w:tcPr>
            <w:tcW w:w="1511" w:type="pct"/>
            <w:vMerge/>
            <w:tcBorders>
              <w:top w:val="single" w:sz="4" w:space="0" w:color="auto"/>
              <w:left w:val="single" w:sz="4" w:space="0" w:color="auto"/>
              <w:bottom w:val="single" w:sz="4" w:space="0" w:color="auto"/>
              <w:right w:val="single" w:sz="4" w:space="0" w:color="auto"/>
            </w:tcBorders>
            <w:vAlign w:val="center"/>
          </w:tcPr>
          <w:p w14:paraId="2E608921" w14:textId="77777777" w:rsidR="00A320E6" w:rsidRDefault="00A320E6" w:rsidP="00EC50E9">
            <w:pPr>
              <w:jc w:val="left"/>
              <w:rPr>
                <w:rFonts w:ascii="宋体" w:hAnsi="宋体" w:cs="宋体"/>
                <w:color w:val="000000"/>
                <w:szCs w:val="21"/>
              </w:rPr>
            </w:pPr>
          </w:p>
        </w:tc>
      </w:tr>
      <w:tr w:rsidR="00A320E6" w14:paraId="07B6BB60" w14:textId="77777777" w:rsidTr="00EC50E9">
        <w:trPr>
          <w:trHeight w:val="466"/>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5EA7DE8"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3FED2804"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24E950"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胸径大于20cm</w:t>
            </w:r>
          </w:p>
          <w:p w14:paraId="0B175CF6"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（松柏树10cm）成材树</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55F401"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130-160元/株</w:t>
            </w:r>
          </w:p>
        </w:tc>
        <w:tc>
          <w:tcPr>
            <w:tcW w:w="1511" w:type="pct"/>
            <w:vMerge/>
            <w:tcBorders>
              <w:top w:val="single" w:sz="4" w:space="0" w:color="auto"/>
              <w:left w:val="single" w:sz="4" w:space="0" w:color="auto"/>
              <w:bottom w:val="single" w:sz="4" w:space="0" w:color="auto"/>
              <w:right w:val="single" w:sz="4" w:space="0" w:color="auto"/>
            </w:tcBorders>
            <w:vAlign w:val="center"/>
          </w:tcPr>
          <w:p w14:paraId="6E7E8B66" w14:textId="77777777" w:rsidR="00A320E6" w:rsidRDefault="00A320E6" w:rsidP="00EC50E9">
            <w:pPr>
              <w:jc w:val="left"/>
              <w:rPr>
                <w:rFonts w:ascii="宋体" w:hAnsi="宋体" w:cs="宋体"/>
                <w:color w:val="000000"/>
                <w:szCs w:val="21"/>
              </w:rPr>
            </w:pPr>
          </w:p>
        </w:tc>
      </w:tr>
      <w:tr w:rsidR="00A320E6" w14:paraId="1667C8ED"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3EF3F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223D5E"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灌木</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993BE8" w14:textId="77777777" w:rsidR="00A320E6" w:rsidRDefault="00000000" w:rsidP="00EC50E9">
            <w:pPr>
              <w:rPr>
                <w:rFonts w:ascii="宋体" w:hAnsi="宋体" w:cs="宋体"/>
                <w:color w:val="000000"/>
                <w:szCs w:val="21"/>
              </w:rPr>
            </w:pPr>
            <w:r>
              <w:rPr>
                <w:rFonts w:ascii="宋体" w:hAnsi="宋体" w:cs="宋体" w:hint="eastAsia"/>
                <w:color w:val="000000"/>
                <w:szCs w:val="21"/>
              </w:rPr>
              <w:t>一年生以内</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9BF76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10-15元/墩</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6E956F"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每墩出条数按10-20根计算</w:t>
            </w:r>
          </w:p>
        </w:tc>
      </w:tr>
      <w:tr w:rsidR="00A320E6" w14:paraId="3A321E75"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693DA7B"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113164DF"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F77DBA" w14:textId="77777777" w:rsidR="00A320E6" w:rsidRDefault="00000000" w:rsidP="00EC50E9">
            <w:pPr>
              <w:rPr>
                <w:rFonts w:ascii="宋体" w:hAnsi="宋体" w:cs="宋体"/>
                <w:color w:val="000000"/>
                <w:szCs w:val="21"/>
              </w:rPr>
            </w:pPr>
            <w:r>
              <w:rPr>
                <w:rFonts w:ascii="宋体" w:hAnsi="宋体" w:cs="宋体" w:hint="eastAsia"/>
                <w:color w:val="000000"/>
                <w:szCs w:val="21"/>
              </w:rPr>
              <w:t>一年生以上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9F23AE"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12-22元/墩</w:t>
            </w:r>
          </w:p>
        </w:tc>
        <w:tc>
          <w:tcPr>
            <w:tcW w:w="1511" w:type="pct"/>
            <w:vMerge/>
            <w:tcBorders>
              <w:top w:val="single" w:sz="4" w:space="0" w:color="auto"/>
              <w:left w:val="single" w:sz="4" w:space="0" w:color="auto"/>
              <w:bottom w:val="single" w:sz="4" w:space="0" w:color="auto"/>
              <w:right w:val="single" w:sz="4" w:space="0" w:color="auto"/>
            </w:tcBorders>
            <w:vAlign w:val="center"/>
          </w:tcPr>
          <w:p w14:paraId="5F28C59E" w14:textId="77777777" w:rsidR="00A320E6" w:rsidRDefault="00A320E6" w:rsidP="00EC50E9">
            <w:pPr>
              <w:jc w:val="left"/>
              <w:rPr>
                <w:rFonts w:ascii="宋体" w:hAnsi="宋体" w:cs="宋体"/>
                <w:color w:val="000000"/>
                <w:szCs w:val="21"/>
              </w:rPr>
            </w:pPr>
          </w:p>
        </w:tc>
      </w:tr>
      <w:tr w:rsidR="00A320E6" w14:paraId="0252FC03" w14:textId="77777777" w:rsidTr="00EC50E9">
        <w:trPr>
          <w:trHeight w:val="9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C7431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二十一</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65F2B2"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苗圃苗木</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1C5DA0" w14:textId="77777777" w:rsidR="00A320E6" w:rsidRDefault="00000000" w:rsidP="00EC50E9">
            <w:pPr>
              <w:rPr>
                <w:rFonts w:ascii="宋体" w:hAnsi="宋体" w:cs="宋体"/>
                <w:color w:val="000000"/>
                <w:szCs w:val="21"/>
              </w:rPr>
            </w:pPr>
            <w:r>
              <w:rPr>
                <w:rFonts w:ascii="宋体" w:hAnsi="宋体" w:cs="宋体" w:hint="eastAsia"/>
                <w:color w:val="000000"/>
                <w:szCs w:val="21"/>
              </w:rPr>
              <w:t>三年生及以下</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40772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4500-9000元/亩</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26E2B5"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1、树归原主；</w:t>
            </w:r>
          </w:p>
          <w:p w14:paraId="29D44306"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2、零星稀有珍贵苗木可委托有资质的评估机构评估或认证；</w:t>
            </w:r>
          </w:p>
          <w:p w14:paraId="4F1C0E07"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3、针对合理套种苗圃补偿标准可上浮30%-50%。</w:t>
            </w:r>
          </w:p>
        </w:tc>
      </w:tr>
      <w:tr w:rsidR="00A320E6" w14:paraId="73908F12" w14:textId="77777777" w:rsidTr="00EC50E9">
        <w:trPr>
          <w:trHeight w:val="9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449AADEC"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D0EFE5D"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413F81" w14:textId="77777777" w:rsidR="00A320E6" w:rsidRDefault="00000000" w:rsidP="00EC50E9">
            <w:pPr>
              <w:rPr>
                <w:rFonts w:ascii="宋体" w:hAnsi="宋体" w:cs="宋体"/>
                <w:color w:val="000000"/>
                <w:szCs w:val="21"/>
              </w:rPr>
            </w:pPr>
            <w:r>
              <w:rPr>
                <w:rFonts w:ascii="宋体" w:hAnsi="宋体" w:cs="宋体" w:hint="eastAsia"/>
                <w:color w:val="000000"/>
                <w:szCs w:val="21"/>
              </w:rPr>
              <w:t>三年生以上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2E0C4F"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9000-15000元/亩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369B0160" w14:textId="77777777" w:rsidR="00A320E6" w:rsidRDefault="00A320E6" w:rsidP="00EC50E9">
            <w:pPr>
              <w:jc w:val="left"/>
              <w:rPr>
                <w:rFonts w:ascii="宋体" w:hAnsi="宋体" w:cs="宋体"/>
                <w:color w:val="000000"/>
                <w:szCs w:val="21"/>
              </w:rPr>
            </w:pPr>
          </w:p>
        </w:tc>
      </w:tr>
      <w:tr w:rsidR="00A320E6" w14:paraId="38F40478"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CDA58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二十二</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539C1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种植草坪</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97B763" w14:textId="77777777" w:rsidR="00A320E6" w:rsidRDefault="00A320E6" w:rsidP="00EC50E9">
            <w:pP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62F7D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25-65元/㎡</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CB4A73" w14:textId="77777777" w:rsidR="00A320E6" w:rsidRDefault="00A320E6" w:rsidP="00EC50E9">
            <w:pPr>
              <w:textAlignment w:val="center"/>
              <w:rPr>
                <w:rFonts w:ascii="宋体" w:hAnsi="宋体" w:cs="宋体"/>
                <w:color w:val="000000"/>
                <w:szCs w:val="21"/>
              </w:rPr>
            </w:pPr>
          </w:p>
        </w:tc>
      </w:tr>
      <w:tr w:rsidR="00A320E6" w14:paraId="1A86729F"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5C33EF"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二十三</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40FE1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茶园</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617168"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三龄茶及以下</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487894"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42000-46000元/亩</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46786B"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树归原主</w:t>
            </w:r>
          </w:p>
        </w:tc>
      </w:tr>
      <w:tr w:rsidR="00A320E6" w14:paraId="6275D356"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2E7F7C2"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8189796"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7BFB42"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四龄茶</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62DB6E"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47000-51000元/亩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4088FD9A" w14:textId="77777777" w:rsidR="00A320E6" w:rsidRDefault="00A320E6" w:rsidP="00EC50E9">
            <w:pPr>
              <w:jc w:val="left"/>
              <w:rPr>
                <w:rFonts w:ascii="宋体" w:hAnsi="宋体" w:cs="宋体"/>
                <w:color w:val="000000"/>
                <w:szCs w:val="21"/>
              </w:rPr>
            </w:pPr>
          </w:p>
        </w:tc>
      </w:tr>
      <w:tr w:rsidR="00A320E6" w14:paraId="2EB2B1F1"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D3974A4"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003C8EB9"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3C0C33"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五龄茶及以上</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ACD4D3"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52000-66000元/亩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116D71C8" w14:textId="77777777" w:rsidR="00A320E6" w:rsidRDefault="00A320E6" w:rsidP="00EC50E9">
            <w:pPr>
              <w:jc w:val="left"/>
              <w:rPr>
                <w:rFonts w:ascii="宋体" w:hAnsi="宋体" w:cs="宋体"/>
                <w:color w:val="000000"/>
                <w:szCs w:val="21"/>
              </w:rPr>
            </w:pPr>
          </w:p>
        </w:tc>
      </w:tr>
      <w:tr w:rsidR="00A320E6" w14:paraId="1094ADBE" w14:textId="77777777" w:rsidTr="00EC50E9">
        <w:trPr>
          <w:trHeight w:val="340"/>
          <w:jc w:val="center"/>
        </w:trPr>
        <w:tc>
          <w:tcPr>
            <w:tcW w:w="49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612B71"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二十四</w:t>
            </w:r>
          </w:p>
        </w:tc>
        <w:tc>
          <w:tcPr>
            <w:tcW w:w="40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CC4D10"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水产养殖池</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B555CC" w14:textId="77777777" w:rsidR="00A320E6" w:rsidRDefault="00000000" w:rsidP="00EC50E9">
            <w:pPr>
              <w:textAlignment w:val="center"/>
              <w:rPr>
                <w:rFonts w:ascii="宋体" w:hAnsi="宋体" w:cs="宋体"/>
                <w:color w:val="000000"/>
                <w:szCs w:val="21"/>
              </w:rPr>
            </w:pPr>
            <w:r>
              <w:rPr>
                <w:rFonts w:ascii="宋体" w:hAnsi="宋体" w:cs="宋体" w:hint="eastAsia"/>
                <w:color w:val="000000"/>
                <w:kern w:val="0"/>
                <w:szCs w:val="21"/>
              </w:rPr>
              <w:t>淡水养殖池</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A95E09"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8500-23000元/亩</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893A77"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养殖产品归原主</w:t>
            </w:r>
          </w:p>
        </w:tc>
      </w:tr>
      <w:tr w:rsidR="00A320E6" w14:paraId="6984EC20"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2DA0294"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70A1B637"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D83CA4"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海水养殖池（土筑）</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9B1F58"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15000-25000元/亩</w:t>
            </w:r>
          </w:p>
        </w:tc>
        <w:tc>
          <w:tcPr>
            <w:tcW w:w="15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0E3C8C" w14:textId="77777777" w:rsidR="00A320E6" w:rsidRDefault="00000000" w:rsidP="00EC50E9">
            <w:pPr>
              <w:rPr>
                <w:rFonts w:ascii="宋体" w:hAnsi="宋体" w:cs="宋体"/>
                <w:color w:val="000000"/>
                <w:szCs w:val="21"/>
              </w:rPr>
            </w:pPr>
            <w:r>
              <w:rPr>
                <w:rFonts w:ascii="宋体" w:hAnsi="宋体" w:cs="宋体" w:hint="eastAsia"/>
                <w:color w:val="000000"/>
                <w:szCs w:val="21"/>
              </w:rPr>
              <w:t>1、养殖产品归原主；</w:t>
            </w:r>
          </w:p>
          <w:p w14:paraId="1F35AEF0" w14:textId="77777777" w:rsidR="00A320E6" w:rsidRDefault="00000000" w:rsidP="00EC50E9">
            <w:pPr>
              <w:rPr>
                <w:rFonts w:ascii="宋体" w:hAnsi="宋体" w:cs="宋体"/>
                <w:color w:val="000000"/>
                <w:szCs w:val="21"/>
              </w:rPr>
            </w:pPr>
            <w:r>
              <w:rPr>
                <w:rFonts w:ascii="宋体" w:hAnsi="宋体" w:cs="宋体" w:hint="eastAsia"/>
                <w:color w:val="000000"/>
                <w:szCs w:val="21"/>
              </w:rPr>
              <w:t>2、海岸线向陆一侧。</w:t>
            </w:r>
          </w:p>
        </w:tc>
      </w:tr>
      <w:tr w:rsidR="00A320E6" w14:paraId="300FF07B" w14:textId="77777777" w:rsidTr="00EC50E9">
        <w:trPr>
          <w:trHeight w:val="34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B6377A5" w14:textId="77777777" w:rsidR="00A320E6" w:rsidRDefault="00A320E6" w:rsidP="00EC50E9">
            <w:pPr>
              <w:jc w:val="left"/>
              <w:rPr>
                <w:rFonts w:ascii="宋体" w:hAnsi="宋体" w:cs="宋体"/>
                <w:color w:val="000000"/>
                <w:szCs w:val="21"/>
              </w:rPr>
            </w:pPr>
          </w:p>
        </w:tc>
        <w:tc>
          <w:tcPr>
            <w:tcW w:w="407" w:type="pct"/>
            <w:vMerge/>
            <w:tcBorders>
              <w:top w:val="single" w:sz="4" w:space="0" w:color="auto"/>
              <w:left w:val="single" w:sz="4" w:space="0" w:color="auto"/>
              <w:bottom w:val="single" w:sz="4" w:space="0" w:color="auto"/>
              <w:right w:val="single" w:sz="4" w:space="0" w:color="auto"/>
            </w:tcBorders>
            <w:vAlign w:val="center"/>
          </w:tcPr>
          <w:p w14:paraId="21F1BDA0" w14:textId="77777777" w:rsidR="00A320E6" w:rsidRDefault="00A320E6" w:rsidP="00EC50E9">
            <w:pPr>
              <w:jc w:val="left"/>
              <w:rPr>
                <w:rFonts w:ascii="宋体" w:hAnsi="宋体" w:cs="宋体"/>
                <w:color w:val="000000"/>
                <w:szCs w:val="21"/>
              </w:rPr>
            </w:pP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045DF1" w14:textId="77777777" w:rsidR="00A320E6" w:rsidRDefault="00000000" w:rsidP="00EC50E9">
            <w:pPr>
              <w:textAlignment w:val="center"/>
              <w:rPr>
                <w:rFonts w:ascii="宋体" w:hAnsi="宋体" w:cs="宋体"/>
                <w:color w:val="000000"/>
                <w:kern w:val="0"/>
                <w:szCs w:val="21"/>
              </w:rPr>
            </w:pPr>
            <w:r>
              <w:rPr>
                <w:rFonts w:ascii="宋体" w:hAnsi="宋体" w:cs="宋体" w:hint="eastAsia"/>
                <w:color w:val="000000"/>
                <w:kern w:val="0"/>
                <w:szCs w:val="21"/>
              </w:rPr>
              <w:t>海水养殖池（石砌）</w:t>
            </w: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94D6F2"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40000-65000元/亩</w:t>
            </w:r>
          </w:p>
        </w:tc>
        <w:tc>
          <w:tcPr>
            <w:tcW w:w="1511" w:type="pct"/>
            <w:vMerge/>
            <w:tcBorders>
              <w:top w:val="single" w:sz="4" w:space="0" w:color="auto"/>
              <w:left w:val="single" w:sz="4" w:space="0" w:color="auto"/>
              <w:bottom w:val="single" w:sz="4" w:space="0" w:color="auto"/>
              <w:right w:val="single" w:sz="4" w:space="0" w:color="auto"/>
            </w:tcBorders>
            <w:vAlign w:val="center"/>
          </w:tcPr>
          <w:p w14:paraId="4506C713" w14:textId="77777777" w:rsidR="00A320E6" w:rsidRDefault="00A320E6" w:rsidP="00EC50E9">
            <w:pPr>
              <w:jc w:val="left"/>
              <w:rPr>
                <w:rFonts w:ascii="宋体" w:hAnsi="宋体" w:cs="宋体"/>
                <w:color w:val="000000"/>
                <w:szCs w:val="21"/>
              </w:rPr>
            </w:pPr>
          </w:p>
        </w:tc>
      </w:tr>
      <w:tr w:rsidR="00A320E6" w14:paraId="7DEA5475"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896A95"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二十五</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CAD66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藕塘</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902C6D" w14:textId="77777777" w:rsidR="00A320E6" w:rsidRDefault="00A320E6" w:rsidP="00EC50E9">
            <w:pPr>
              <w:textAlignment w:val="cente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050081"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6200-12500元/亩</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F12377" w14:textId="77777777" w:rsidR="00A320E6" w:rsidRDefault="00000000" w:rsidP="00EC50E9">
            <w:pPr>
              <w:textAlignment w:val="center"/>
              <w:rPr>
                <w:rFonts w:ascii="宋体" w:hAnsi="宋体" w:cs="宋体"/>
                <w:color w:val="000000"/>
                <w:szCs w:val="21"/>
              </w:rPr>
            </w:pPr>
            <w:r>
              <w:rPr>
                <w:rFonts w:ascii="宋体" w:hAnsi="宋体" w:cs="宋体" w:hint="eastAsia"/>
                <w:color w:val="000000"/>
                <w:szCs w:val="21"/>
              </w:rPr>
              <w:t>藕归原主</w:t>
            </w:r>
          </w:p>
        </w:tc>
      </w:tr>
      <w:tr w:rsidR="00A320E6" w14:paraId="54941313"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B7109B"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kern w:val="0"/>
                <w:szCs w:val="21"/>
              </w:rPr>
              <w:t>二十六</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04C6C8"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szCs w:val="21"/>
              </w:rPr>
              <w:t>坑塘</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4A8A2C" w14:textId="77777777" w:rsidR="00A320E6" w:rsidRDefault="00A320E6" w:rsidP="00EC50E9">
            <w:pPr>
              <w:textAlignment w:val="cente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A39793" w14:textId="77777777" w:rsidR="00A320E6" w:rsidRDefault="00000000" w:rsidP="00EC50E9">
            <w:pPr>
              <w:jc w:val="center"/>
              <w:textAlignment w:val="center"/>
              <w:rPr>
                <w:rFonts w:ascii="宋体" w:hAnsi="宋体" w:cs="宋体"/>
                <w:color w:val="000000"/>
                <w:kern w:val="0"/>
                <w:szCs w:val="21"/>
              </w:rPr>
            </w:pPr>
            <w:r>
              <w:rPr>
                <w:rFonts w:ascii="宋体" w:hAnsi="宋体" w:cs="宋体" w:hint="eastAsia"/>
                <w:color w:val="000000"/>
                <w:kern w:val="0"/>
                <w:szCs w:val="21"/>
              </w:rPr>
              <w:t>4000-11000元/亩</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FA90DC" w14:textId="77777777" w:rsidR="00A320E6" w:rsidRDefault="00A320E6" w:rsidP="00EC50E9">
            <w:pPr>
              <w:textAlignment w:val="center"/>
              <w:rPr>
                <w:rFonts w:ascii="宋体" w:hAnsi="宋体" w:cs="宋体"/>
                <w:color w:val="000000"/>
                <w:szCs w:val="21"/>
              </w:rPr>
            </w:pPr>
          </w:p>
        </w:tc>
      </w:tr>
      <w:tr w:rsidR="00A320E6" w14:paraId="7C24A603" w14:textId="77777777" w:rsidTr="00EC50E9">
        <w:trPr>
          <w:trHeight w:val="340"/>
          <w:jc w:val="center"/>
        </w:trPr>
        <w:tc>
          <w:tcPr>
            <w:tcW w:w="49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ACA0DC"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szCs w:val="21"/>
              </w:rPr>
              <w:t>二十七</w:t>
            </w:r>
          </w:p>
        </w:tc>
        <w:tc>
          <w:tcPr>
            <w:tcW w:w="4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A3F369"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szCs w:val="21"/>
              </w:rPr>
              <w:t>青苗补偿</w:t>
            </w:r>
          </w:p>
        </w:tc>
        <w:tc>
          <w:tcPr>
            <w:tcW w:w="121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BDD4AB" w14:textId="77777777" w:rsidR="00A320E6" w:rsidRDefault="00A320E6" w:rsidP="00EC50E9">
            <w:pPr>
              <w:textAlignment w:val="center"/>
              <w:rPr>
                <w:rFonts w:ascii="宋体" w:hAnsi="宋体" w:cs="宋体"/>
                <w:color w:val="000000"/>
                <w:szCs w:val="21"/>
              </w:rPr>
            </w:pPr>
          </w:p>
        </w:tc>
        <w:tc>
          <w:tcPr>
            <w:tcW w:w="13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946F94" w14:textId="77777777" w:rsidR="00A320E6" w:rsidRDefault="00000000" w:rsidP="00EC50E9">
            <w:pPr>
              <w:jc w:val="center"/>
              <w:textAlignment w:val="center"/>
              <w:rPr>
                <w:rFonts w:ascii="宋体" w:hAnsi="宋体" w:cs="宋体"/>
                <w:color w:val="000000"/>
                <w:szCs w:val="21"/>
              </w:rPr>
            </w:pPr>
            <w:r>
              <w:rPr>
                <w:rFonts w:ascii="宋体" w:hAnsi="宋体" w:cs="宋体" w:hint="eastAsia"/>
                <w:color w:val="000000"/>
                <w:szCs w:val="21"/>
              </w:rPr>
              <w:t>黄岛区、城阳区、即墨区、胶州市、平度市、莱西市耕地年产值标准为2800-3600元/亩，李沧区、崂山区4000-5000元/亩。按一季作物产值标准补偿，其他土地年产值参照耕地执行。</w:t>
            </w:r>
          </w:p>
        </w:tc>
        <w:tc>
          <w:tcPr>
            <w:tcW w:w="15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8930DE" w14:textId="77777777" w:rsidR="00A320E6" w:rsidRDefault="00A320E6" w:rsidP="00EC50E9">
            <w:pPr>
              <w:rPr>
                <w:rFonts w:ascii="宋体" w:hAnsi="宋体" w:cs="宋体"/>
                <w:color w:val="000000"/>
                <w:szCs w:val="21"/>
              </w:rPr>
            </w:pPr>
          </w:p>
        </w:tc>
      </w:tr>
    </w:tbl>
    <w:p w14:paraId="2501BA8D"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说明：</w:t>
      </w:r>
    </w:p>
    <w:p w14:paraId="4E5E77A2"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1.此表适用于青岛市地上附着物和青苗补偿标准。</w:t>
      </w:r>
    </w:p>
    <w:p w14:paraId="19205579"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2.征收土地上的住宅房屋补偿标准按现行有关规定执行。</w:t>
      </w:r>
    </w:p>
    <w:p w14:paraId="087BD1B6"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3.青苗补偿标准根据当地耕作制度和熟制按一季作物产值补偿。</w:t>
      </w:r>
    </w:p>
    <w:p w14:paraId="1128E2ED"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4.对征地范围已确定，自征收土地预公告发布之日起，任何单位和个人不得在拟征收范围内抢栽抢建；违反规定抢栽抢建的，对抢栽抢建部分不予补偿。</w:t>
      </w:r>
    </w:p>
    <w:p w14:paraId="68964D3A"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5.国家和省确定的铁路、公路、机场、航道港口、水利工程、能源工程等重大基础设施项目征收土地地上附着物和青苗补偿等标准另有规定的，从其规定。</w:t>
      </w:r>
    </w:p>
    <w:p w14:paraId="691D8D93"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6.本补偿标准未涉及或者无法参照补偿的以及在征地过程中遇到特殊情况的，由各区、市委托有资质的机构进行评估或认证，评估或认证结果经过依法依规确认后，按照确认结果进行补偿。</w:t>
      </w:r>
    </w:p>
    <w:p w14:paraId="2DCD22A3"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7.各区、市政府可根据当地实际情况及项目情况，选择合理补偿方式，在不低于以上规定补偿标准的基础上，制定具体补偿标准。在国家征地拆迁过程中，要严格按照规定进行补偿，切实保护被征地群众的合法权益。</w:t>
      </w:r>
    </w:p>
    <w:p w14:paraId="31B67FB6" w14:textId="77777777" w:rsidR="00A320E6" w:rsidRDefault="00000000" w:rsidP="00AE0286">
      <w:pPr>
        <w:pStyle w:val="10"/>
        <w:ind w:firstLine="480"/>
        <w:rPr>
          <w:rFonts w:ascii="宋体" w:hAnsi="宋体" w:cs="宋体"/>
          <w:lang w:eastAsia="zh-Hans"/>
        </w:rPr>
      </w:pPr>
      <w:r>
        <w:rPr>
          <w:rFonts w:ascii="宋体" w:hAnsi="宋体" w:cs="宋体" w:hint="eastAsia"/>
          <w:kern w:val="0"/>
          <w:szCs w:val="24"/>
        </w:rPr>
        <w:t>8.本标准具体实施时间以上级部门批复为准。</w:t>
      </w:r>
    </w:p>
    <w:p w14:paraId="414E414F" w14:textId="77777777" w:rsidR="00A320E6" w:rsidRDefault="00000000" w:rsidP="00F67407">
      <w:pPr>
        <w:keepNext/>
        <w:spacing w:beforeLines="50" w:before="156" w:afterLines="20" w:after="62" w:line="360" w:lineRule="auto"/>
        <w:jc w:val="center"/>
        <w:outlineLvl w:val="2"/>
        <w:rPr>
          <w:b/>
          <w:bCs/>
          <w:sz w:val="24"/>
          <w:lang w:eastAsia="zh-Hans"/>
        </w:rPr>
      </w:pPr>
      <w:bookmarkStart w:id="113" w:name="_Toc112227416"/>
      <w:r>
        <w:rPr>
          <w:rFonts w:hint="eastAsia"/>
          <w:b/>
          <w:bCs/>
          <w:sz w:val="24"/>
          <w:lang w:eastAsia="zh-Hans"/>
        </w:rPr>
        <w:t>关于枣庄市征地地上附着物和青苗补偿标准的批复</w:t>
      </w:r>
      <w:bookmarkEnd w:id="113"/>
    </w:p>
    <w:p w14:paraId="722C4585" w14:textId="77777777" w:rsidR="00A320E6" w:rsidRDefault="00000000" w:rsidP="00AE0286">
      <w:pPr>
        <w:pStyle w:val="10"/>
        <w:ind w:firstLineChars="0" w:firstLine="0"/>
        <w:rPr>
          <w:szCs w:val="24"/>
          <w:lang w:eastAsia="zh-Hans"/>
        </w:rPr>
      </w:pPr>
      <w:r>
        <w:rPr>
          <w:rFonts w:hint="eastAsia"/>
          <w:szCs w:val="24"/>
          <w:lang w:eastAsia="zh-Hans"/>
        </w:rPr>
        <w:t>枣庄市自然资源和规划局、财政局：</w:t>
      </w:r>
    </w:p>
    <w:p w14:paraId="2773E6A5" w14:textId="77777777" w:rsidR="00A320E6" w:rsidRDefault="00000000" w:rsidP="00AE0286">
      <w:pPr>
        <w:pStyle w:val="10"/>
        <w:ind w:firstLine="480"/>
        <w:rPr>
          <w:szCs w:val="24"/>
          <w:lang w:eastAsia="zh-Hans"/>
        </w:rPr>
      </w:pPr>
      <w:r>
        <w:rPr>
          <w:rFonts w:hint="eastAsia"/>
          <w:szCs w:val="24"/>
          <w:lang w:eastAsia="zh-Hans"/>
        </w:rPr>
        <w:t>你市《关于调整枣庄市征地地上附着物和青苗补偿标准的请示》（枣自资规呈〔</w:t>
      </w:r>
      <w:r>
        <w:rPr>
          <w:rFonts w:hint="eastAsia"/>
          <w:szCs w:val="24"/>
          <w:lang w:eastAsia="zh-Hans"/>
        </w:rPr>
        <w:t>2021</w:t>
      </w:r>
      <w:r>
        <w:rPr>
          <w:rFonts w:hint="eastAsia"/>
          <w:szCs w:val="24"/>
          <w:lang w:eastAsia="zh-Hans"/>
        </w:rPr>
        <w:t>〕</w:t>
      </w:r>
      <w:r>
        <w:rPr>
          <w:rFonts w:hint="eastAsia"/>
          <w:szCs w:val="24"/>
          <w:lang w:eastAsia="zh-Hans"/>
        </w:rPr>
        <w:t>142</w:t>
      </w:r>
      <w:r>
        <w:rPr>
          <w:rFonts w:hint="eastAsia"/>
          <w:szCs w:val="24"/>
          <w:lang w:eastAsia="zh-Hans"/>
        </w:rPr>
        <w:t>号）收悉。经研究，同意你市制定的征地地上附着物和青苗补偿标准（详见附件）。</w:t>
      </w:r>
    </w:p>
    <w:p w14:paraId="24640E00" w14:textId="77777777" w:rsidR="00A320E6" w:rsidRDefault="00000000" w:rsidP="00AE0286">
      <w:pPr>
        <w:pStyle w:val="10"/>
        <w:ind w:firstLine="480"/>
        <w:rPr>
          <w:szCs w:val="24"/>
          <w:lang w:eastAsia="zh-Hans"/>
        </w:rPr>
      </w:pPr>
      <w:r>
        <w:rPr>
          <w:rFonts w:hint="eastAsia"/>
          <w:szCs w:val="24"/>
          <w:lang w:eastAsia="zh-Hans"/>
        </w:rPr>
        <w:t>标准自批复之日起执行。</w:t>
      </w:r>
    </w:p>
    <w:p w14:paraId="2D79E979" w14:textId="77777777" w:rsidR="00A320E6" w:rsidRDefault="00000000" w:rsidP="00AE0286">
      <w:pPr>
        <w:pStyle w:val="10"/>
        <w:ind w:firstLine="480"/>
        <w:rPr>
          <w:szCs w:val="24"/>
          <w:lang w:eastAsia="zh-Hans"/>
        </w:rPr>
      </w:pPr>
      <w:r>
        <w:rPr>
          <w:rFonts w:hint="eastAsia"/>
          <w:szCs w:val="24"/>
          <w:lang w:eastAsia="zh-Hans"/>
        </w:rPr>
        <w:t>附件：枣庄市征地地上附着物和青苗补偿标准</w:t>
      </w:r>
    </w:p>
    <w:p w14:paraId="45E325B7" w14:textId="1FD03613" w:rsidR="00AA2FAF" w:rsidRDefault="00000000" w:rsidP="00AE0286">
      <w:pPr>
        <w:pStyle w:val="10"/>
        <w:ind w:firstLine="480"/>
        <w:jc w:val="right"/>
        <w:rPr>
          <w:szCs w:val="24"/>
          <w:lang w:eastAsia="zh-Hans"/>
        </w:rPr>
      </w:pPr>
      <w:r>
        <w:rPr>
          <w:rFonts w:hint="eastAsia"/>
          <w:szCs w:val="24"/>
          <w:lang w:eastAsia="zh-Hans"/>
        </w:rPr>
        <w:t>山东省自然资源厅</w:t>
      </w:r>
      <w:r w:rsidR="00AA2FAF">
        <w:rPr>
          <w:rFonts w:hint="eastAsia"/>
          <w:szCs w:val="24"/>
        </w:rPr>
        <w:t xml:space="preserve"> </w:t>
      </w:r>
      <w:r>
        <w:rPr>
          <w:rFonts w:hint="eastAsia"/>
          <w:szCs w:val="24"/>
          <w:lang w:eastAsia="zh-Hans"/>
        </w:rPr>
        <w:t>山东省财政厅</w:t>
      </w:r>
    </w:p>
    <w:p w14:paraId="38FE87C5" w14:textId="30D065EE" w:rsidR="00A320E6" w:rsidRDefault="00000000" w:rsidP="00AE0286">
      <w:pPr>
        <w:pStyle w:val="10"/>
        <w:ind w:firstLine="480"/>
        <w:jc w:val="right"/>
        <w:rPr>
          <w:szCs w:val="24"/>
          <w:lang w:eastAsia="zh-Hans"/>
        </w:rPr>
      </w:pPr>
      <w:r>
        <w:rPr>
          <w:rFonts w:hint="eastAsia"/>
          <w:szCs w:val="24"/>
          <w:lang w:eastAsia="zh-Hans"/>
        </w:rPr>
        <w:t>2021</w:t>
      </w:r>
      <w:r>
        <w:rPr>
          <w:rFonts w:hint="eastAsia"/>
          <w:szCs w:val="24"/>
          <w:lang w:eastAsia="zh-Hans"/>
        </w:rPr>
        <w:t>年</w:t>
      </w:r>
      <w:r>
        <w:rPr>
          <w:rFonts w:hint="eastAsia"/>
          <w:szCs w:val="24"/>
          <w:lang w:eastAsia="zh-Hans"/>
        </w:rPr>
        <w:t>12</w:t>
      </w:r>
      <w:r>
        <w:rPr>
          <w:rFonts w:hint="eastAsia"/>
          <w:szCs w:val="24"/>
          <w:lang w:eastAsia="zh-Hans"/>
        </w:rPr>
        <w:t>月</w:t>
      </w:r>
      <w:r>
        <w:rPr>
          <w:rFonts w:hint="eastAsia"/>
          <w:szCs w:val="24"/>
          <w:lang w:eastAsia="zh-Hans"/>
        </w:rPr>
        <w:t>24</w:t>
      </w:r>
      <w:r>
        <w:rPr>
          <w:rFonts w:hint="eastAsia"/>
          <w:szCs w:val="24"/>
          <w:lang w:eastAsia="zh-Hans"/>
        </w:rPr>
        <w:t>日</w:t>
      </w:r>
    </w:p>
    <w:p w14:paraId="17AB6EFB" w14:textId="77777777" w:rsidR="00A320E6" w:rsidRDefault="00000000" w:rsidP="00AE0286">
      <w:pPr>
        <w:jc w:val="center"/>
        <w:rPr>
          <w:rFonts w:ascii="宋体" w:hAnsi="宋体" w:cs="宋体"/>
          <w:sz w:val="24"/>
          <w:szCs w:val="24"/>
        </w:rPr>
      </w:pPr>
      <w:r>
        <w:rPr>
          <w:rFonts w:ascii="宋体" w:hAnsi="宋体" w:cs="宋体" w:hint="eastAsia"/>
          <w:sz w:val="24"/>
          <w:szCs w:val="24"/>
        </w:rPr>
        <w:t>枣庄市征地地上附着物和青苗补偿标准</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80"/>
        <w:gridCol w:w="836"/>
        <w:gridCol w:w="2264"/>
        <w:gridCol w:w="1754"/>
        <w:gridCol w:w="2564"/>
      </w:tblGrid>
      <w:tr w:rsidR="00A320E6" w14:paraId="3DFEB5D3" w14:textId="77777777">
        <w:trPr>
          <w:trHeight w:val="369"/>
          <w:tblHeader/>
          <w:jc w:val="center"/>
        </w:trPr>
        <w:tc>
          <w:tcPr>
            <w:tcW w:w="364" w:type="pct"/>
            <w:shd w:val="clear" w:color="000000" w:fill="FFFFFF"/>
            <w:vAlign w:val="center"/>
          </w:tcPr>
          <w:p w14:paraId="26CD4191"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序号</w:t>
            </w:r>
          </w:p>
        </w:tc>
        <w:tc>
          <w:tcPr>
            <w:tcW w:w="441" w:type="pct"/>
            <w:shd w:val="clear" w:color="000000" w:fill="FFFFFF"/>
            <w:vAlign w:val="center"/>
          </w:tcPr>
          <w:p w14:paraId="2B591BDD"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名称</w:t>
            </w:r>
          </w:p>
        </w:tc>
        <w:tc>
          <w:tcPr>
            <w:tcW w:w="1752" w:type="pct"/>
            <w:gridSpan w:val="2"/>
            <w:shd w:val="clear" w:color="000000" w:fill="FFFFFF"/>
            <w:vAlign w:val="center"/>
          </w:tcPr>
          <w:p w14:paraId="148EAC01"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类别</w:t>
            </w:r>
          </w:p>
        </w:tc>
        <w:tc>
          <w:tcPr>
            <w:tcW w:w="992" w:type="pct"/>
            <w:shd w:val="clear" w:color="000000" w:fill="FFFFFF"/>
            <w:vAlign w:val="center"/>
          </w:tcPr>
          <w:p w14:paraId="4069571D"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补偿标准</w:t>
            </w:r>
          </w:p>
        </w:tc>
        <w:tc>
          <w:tcPr>
            <w:tcW w:w="1450" w:type="pct"/>
            <w:shd w:val="clear" w:color="000000" w:fill="FFFFFF"/>
            <w:vAlign w:val="center"/>
          </w:tcPr>
          <w:p w14:paraId="243FC895" w14:textId="77777777" w:rsidR="00A320E6" w:rsidRDefault="00000000" w:rsidP="00EC50E9">
            <w:pPr>
              <w:jc w:val="center"/>
              <w:rPr>
                <w:rFonts w:ascii="宋体" w:hAnsi="宋体" w:cs="宋体"/>
                <w:b/>
                <w:bCs/>
                <w:kern w:val="0"/>
                <w:szCs w:val="21"/>
              </w:rPr>
            </w:pPr>
            <w:r>
              <w:rPr>
                <w:rFonts w:ascii="宋体" w:hAnsi="宋体" w:cs="宋体" w:hint="eastAsia"/>
                <w:b/>
                <w:bCs/>
                <w:kern w:val="0"/>
                <w:szCs w:val="21"/>
              </w:rPr>
              <w:t>备注</w:t>
            </w:r>
          </w:p>
        </w:tc>
      </w:tr>
      <w:tr w:rsidR="00A320E6" w14:paraId="07637E21" w14:textId="77777777">
        <w:trPr>
          <w:trHeight w:val="369"/>
          <w:jc w:val="center"/>
        </w:trPr>
        <w:tc>
          <w:tcPr>
            <w:tcW w:w="364" w:type="pct"/>
            <w:vMerge w:val="restart"/>
            <w:shd w:val="clear" w:color="000000" w:fill="FFFFFF"/>
            <w:noWrap/>
            <w:vAlign w:val="center"/>
          </w:tcPr>
          <w:p w14:paraId="6F92343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一</w:t>
            </w:r>
          </w:p>
        </w:tc>
        <w:tc>
          <w:tcPr>
            <w:tcW w:w="441" w:type="pct"/>
            <w:vMerge w:val="restart"/>
            <w:shd w:val="clear" w:color="000000" w:fill="FFFFFF"/>
            <w:vAlign w:val="center"/>
          </w:tcPr>
          <w:p w14:paraId="56EB317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砖混</w:t>
            </w:r>
          </w:p>
          <w:p w14:paraId="17D6C27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楼房</w:t>
            </w:r>
          </w:p>
        </w:tc>
        <w:tc>
          <w:tcPr>
            <w:tcW w:w="473" w:type="pct"/>
            <w:shd w:val="clear" w:color="000000" w:fill="FFFFFF"/>
            <w:vAlign w:val="center"/>
          </w:tcPr>
          <w:p w14:paraId="24EEDCD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一级</w:t>
            </w:r>
          </w:p>
        </w:tc>
        <w:tc>
          <w:tcPr>
            <w:tcW w:w="1279" w:type="pct"/>
            <w:shd w:val="clear" w:color="000000" w:fill="FFFFFF"/>
            <w:vAlign w:val="center"/>
          </w:tcPr>
          <w:p w14:paraId="7A9C0CB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有钢筋混凝土地梁、圈梁</w:t>
            </w:r>
          </w:p>
        </w:tc>
        <w:tc>
          <w:tcPr>
            <w:tcW w:w="992" w:type="pct"/>
            <w:shd w:val="clear" w:color="000000" w:fill="FFFFFF"/>
            <w:vAlign w:val="center"/>
          </w:tcPr>
          <w:p w14:paraId="4FA16B3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1050-1250元/m</w:t>
            </w:r>
            <w:r>
              <w:rPr>
                <w:rFonts w:ascii="宋体" w:hAnsi="宋体" w:cs="宋体" w:hint="eastAsia"/>
                <w:snapToGrid w:val="0"/>
                <w:kern w:val="0"/>
                <w:szCs w:val="21"/>
                <w:vertAlign w:val="superscript"/>
              </w:rPr>
              <w:t>2</w:t>
            </w:r>
          </w:p>
        </w:tc>
        <w:tc>
          <w:tcPr>
            <w:tcW w:w="1450" w:type="pct"/>
            <w:vMerge w:val="restart"/>
            <w:shd w:val="clear" w:color="000000" w:fill="FFFFFF"/>
            <w:vAlign w:val="center"/>
          </w:tcPr>
          <w:p w14:paraId="7E9A7ABC"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1、表中面积系指建筑面积；</w:t>
            </w:r>
            <w:r>
              <w:rPr>
                <w:rFonts w:ascii="宋体" w:hAnsi="宋体" w:cs="宋体" w:hint="eastAsia"/>
                <w:snapToGrid w:val="0"/>
                <w:kern w:val="0"/>
                <w:szCs w:val="21"/>
              </w:rPr>
              <w:br/>
              <w:t>2、楼房系指二层及以上房屋；</w:t>
            </w:r>
            <w:r>
              <w:rPr>
                <w:rFonts w:ascii="宋体" w:hAnsi="宋体" w:cs="宋体" w:hint="eastAsia"/>
                <w:snapToGrid w:val="0"/>
                <w:kern w:val="0"/>
                <w:szCs w:val="21"/>
              </w:rPr>
              <w:br/>
              <w:t>3、层高超过4米的砖混、砖木结构房屋，高度每增加1米，相对应补偿单价上浮50元；</w:t>
            </w:r>
            <w:r>
              <w:rPr>
                <w:rFonts w:ascii="宋体" w:hAnsi="宋体" w:cs="宋体" w:hint="eastAsia"/>
                <w:snapToGrid w:val="0"/>
                <w:kern w:val="0"/>
                <w:szCs w:val="21"/>
              </w:rPr>
              <w:br/>
              <w:t>4、全封闭的前出厦按建筑面积的100%计算，有柱子未封闭的前出厦按建筑面积的50%计算；</w:t>
            </w:r>
            <w:r>
              <w:rPr>
                <w:rFonts w:ascii="宋体" w:hAnsi="宋体" w:cs="宋体" w:hint="eastAsia"/>
                <w:snapToGrid w:val="0"/>
                <w:kern w:val="0"/>
                <w:szCs w:val="21"/>
              </w:rPr>
              <w:br/>
              <w:t>5、楼房和平房门窗水电等配套设施不齐全的参照同类标准下限执行；</w:t>
            </w:r>
            <w:r>
              <w:rPr>
                <w:rFonts w:ascii="宋体" w:hAnsi="宋体" w:cs="宋体" w:hint="eastAsia"/>
                <w:snapToGrid w:val="0"/>
                <w:kern w:val="0"/>
                <w:szCs w:val="21"/>
              </w:rPr>
              <w:br/>
              <w:t>6、本补偿标准不包含装饰装修价值；</w:t>
            </w:r>
            <w:r>
              <w:rPr>
                <w:rFonts w:ascii="宋体" w:hAnsi="宋体" w:cs="宋体" w:hint="eastAsia"/>
                <w:snapToGrid w:val="0"/>
                <w:kern w:val="0"/>
                <w:szCs w:val="21"/>
              </w:rPr>
              <w:br/>
              <w:t>7、其他类钢结构厂房可根据实际情况另行评估。</w:t>
            </w:r>
          </w:p>
        </w:tc>
      </w:tr>
      <w:tr w:rsidR="00A320E6" w14:paraId="67FE2D99" w14:textId="77777777">
        <w:trPr>
          <w:trHeight w:val="369"/>
          <w:jc w:val="center"/>
        </w:trPr>
        <w:tc>
          <w:tcPr>
            <w:tcW w:w="364" w:type="pct"/>
            <w:vMerge/>
            <w:vAlign w:val="center"/>
          </w:tcPr>
          <w:p w14:paraId="0EEA66F9" w14:textId="77777777" w:rsidR="00A320E6" w:rsidRDefault="00A320E6" w:rsidP="00EC50E9">
            <w:pPr>
              <w:jc w:val="center"/>
              <w:rPr>
                <w:rFonts w:ascii="宋体" w:hAnsi="宋体" w:cs="宋体"/>
                <w:snapToGrid w:val="0"/>
                <w:kern w:val="0"/>
                <w:szCs w:val="21"/>
              </w:rPr>
            </w:pPr>
          </w:p>
        </w:tc>
        <w:tc>
          <w:tcPr>
            <w:tcW w:w="441" w:type="pct"/>
            <w:vMerge/>
            <w:vAlign w:val="center"/>
          </w:tcPr>
          <w:p w14:paraId="517D0DA9" w14:textId="77777777" w:rsidR="00A320E6" w:rsidRDefault="00A320E6" w:rsidP="00EC50E9">
            <w:pPr>
              <w:jc w:val="center"/>
              <w:rPr>
                <w:rFonts w:ascii="宋体" w:hAnsi="宋体" w:cs="宋体"/>
                <w:snapToGrid w:val="0"/>
                <w:kern w:val="0"/>
                <w:szCs w:val="21"/>
              </w:rPr>
            </w:pPr>
          </w:p>
        </w:tc>
        <w:tc>
          <w:tcPr>
            <w:tcW w:w="473" w:type="pct"/>
            <w:shd w:val="clear" w:color="000000" w:fill="FFFFFF"/>
            <w:vAlign w:val="center"/>
          </w:tcPr>
          <w:p w14:paraId="4581F6D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二级</w:t>
            </w:r>
          </w:p>
        </w:tc>
        <w:tc>
          <w:tcPr>
            <w:tcW w:w="1279" w:type="pct"/>
            <w:shd w:val="clear" w:color="000000" w:fill="FFFFFF"/>
            <w:vAlign w:val="center"/>
          </w:tcPr>
          <w:p w14:paraId="25E880C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无地梁或圈梁</w:t>
            </w:r>
          </w:p>
        </w:tc>
        <w:tc>
          <w:tcPr>
            <w:tcW w:w="992" w:type="pct"/>
            <w:shd w:val="clear" w:color="000000" w:fill="FFFFFF"/>
            <w:vAlign w:val="center"/>
          </w:tcPr>
          <w:p w14:paraId="63A071B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950-1050元/m</w:t>
            </w:r>
            <w:r>
              <w:rPr>
                <w:rFonts w:ascii="宋体" w:hAnsi="宋体" w:cs="宋体" w:hint="eastAsia"/>
                <w:snapToGrid w:val="0"/>
                <w:kern w:val="0"/>
                <w:szCs w:val="21"/>
                <w:vertAlign w:val="superscript"/>
              </w:rPr>
              <w:t>2</w:t>
            </w:r>
          </w:p>
        </w:tc>
        <w:tc>
          <w:tcPr>
            <w:tcW w:w="1450" w:type="pct"/>
            <w:vMerge/>
            <w:vAlign w:val="center"/>
          </w:tcPr>
          <w:p w14:paraId="1D3727CA" w14:textId="77777777" w:rsidR="00A320E6" w:rsidRDefault="00A320E6" w:rsidP="00EC50E9">
            <w:pPr>
              <w:jc w:val="left"/>
              <w:rPr>
                <w:rFonts w:ascii="宋体" w:hAnsi="宋体" w:cs="宋体"/>
                <w:snapToGrid w:val="0"/>
                <w:kern w:val="0"/>
                <w:szCs w:val="21"/>
              </w:rPr>
            </w:pPr>
          </w:p>
        </w:tc>
      </w:tr>
      <w:tr w:rsidR="00A320E6" w14:paraId="4115F3B4" w14:textId="77777777">
        <w:trPr>
          <w:trHeight w:val="369"/>
          <w:jc w:val="center"/>
        </w:trPr>
        <w:tc>
          <w:tcPr>
            <w:tcW w:w="364" w:type="pct"/>
            <w:vMerge/>
            <w:vAlign w:val="center"/>
          </w:tcPr>
          <w:p w14:paraId="1D282FC9" w14:textId="77777777" w:rsidR="00A320E6" w:rsidRDefault="00A320E6" w:rsidP="00EC50E9">
            <w:pPr>
              <w:jc w:val="center"/>
              <w:rPr>
                <w:rFonts w:ascii="宋体" w:hAnsi="宋体" w:cs="宋体"/>
                <w:snapToGrid w:val="0"/>
                <w:kern w:val="0"/>
                <w:szCs w:val="21"/>
              </w:rPr>
            </w:pPr>
          </w:p>
        </w:tc>
        <w:tc>
          <w:tcPr>
            <w:tcW w:w="441" w:type="pct"/>
            <w:vMerge w:val="restart"/>
            <w:shd w:val="clear" w:color="000000" w:fill="FFFFFF"/>
            <w:vAlign w:val="center"/>
          </w:tcPr>
          <w:p w14:paraId="29BDE66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砖混</w:t>
            </w:r>
          </w:p>
          <w:p w14:paraId="753C894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平房</w:t>
            </w:r>
          </w:p>
        </w:tc>
        <w:tc>
          <w:tcPr>
            <w:tcW w:w="473" w:type="pct"/>
            <w:shd w:val="clear" w:color="000000" w:fill="FFFFFF"/>
            <w:vAlign w:val="center"/>
          </w:tcPr>
          <w:p w14:paraId="2E6A774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一级</w:t>
            </w:r>
          </w:p>
        </w:tc>
        <w:tc>
          <w:tcPr>
            <w:tcW w:w="1279" w:type="pct"/>
            <w:shd w:val="clear" w:color="000000" w:fill="FFFFFF"/>
            <w:vAlign w:val="center"/>
          </w:tcPr>
          <w:p w14:paraId="456EB19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层高3米及以上，砖墙承重，水泥砂浆砌筑，平屋顶，上下圈梁，现浇或预制板屋面，有保温防水层。</w:t>
            </w:r>
          </w:p>
        </w:tc>
        <w:tc>
          <w:tcPr>
            <w:tcW w:w="992" w:type="pct"/>
            <w:shd w:val="clear" w:color="000000" w:fill="FFFFFF"/>
            <w:vAlign w:val="center"/>
          </w:tcPr>
          <w:p w14:paraId="429FBCA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750-850元/m</w:t>
            </w:r>
            <w:r>
              <w:rPr>
                <w:rFonts w:ascii="宋体" w:hAnsi="宋体" w:cs="宋体" w:hint="eastAsia"/>
                <w:snapToGrid w:val="0"/>
                <w:kern w:val="0"/>
                <w:szCs w:val="21"/>
                <w:vertAlign w:val="superscript"/>
              </w:rPr>
              <w:t>2</w:t>
            </w:r>
          </w:p>
        </w:tc>
        <w:tc>
          <w:tcPr>
            <w:tcW w:w="1450" w:type="pct"/>
            <w:vMerge/>
            <w:vAlign w:val="center"/>
          </w:tcPr>
          <w:p w14:paraId="05163C5A" w14:textId="77777777" w:rsidR="00A320E6" w:rsidRDefault="00A320E6" w:rsidP="00EC50E9">
            <w:pPr>
              <w:jc w:val="left"/>
              <w:rPr>
                <w:rFonts w:ascii="宋体" w:hAnsi="宋体" w:cs="宋体"/>
                <w:snapToGrid w:val="0"/>
                <w:kern w:val="0"/>
                <w:szCs w:val="21"/>
              </w:rPr>
            </w:pPr>
          </w:p>
        </w:tc>
      </w:tr>
      <w:tr w:rsidR="00A320E6" w14:paraId="6E284AF4" w14:textId="77777777">
        <w:trPr>
          <w:trHeight w:val="369"/>
          <w:jc w:val="center"/>
        </w:trPr>
        <w:tc>
          <w:tcPr>
            <w:tcW w:w="364" w:type="pct"/>
            <w:vMerge/>
            <w:vAlign w:val="center"/>
          </w:tcPr>
          <w:p w14:paraId="02332446" w14:textId="77777777" w:rsidR="00A320E6" w:rsidRDefault="00A320E6" w:rsidP="00EC50E9">
            <w:pPr>
              <w:jc w:val="center"/>
              <w:rPr>
                <w:rFonts w:ascii="宋体" w:hAnsi="宋体" w:cs="宋体"/>
                <w:snapToGrid w:val="0"/>
                <w:kern w:val="0"/>
                <w:szCs w:val="21"/>
              </w:rPr>
            </w:pPr>
          </w:p>
        </w:tc>
        <w:tc>
          <w:tcPr>
            <w:tcW w:w="441" w:type="pct"/>
            <w:vMerge/>
            <w:vAlign w:val="center"/>
          </w:tcPr>
          <w:p w14:paraId="7F0349C6" w14:textId="77777777" w:rsidR="00A320E6" w:rsidRDefault="00A320E6" w:rsidP="00EC50E9">
            <w:pPr>
              <w:jc w:val="center"/>
              <w:rPr>
                <w:rFonts w:ascii="宋体" w:hAnsi="宋体" w:cs="宋体"/>
                <w:snapToGrid w:val="0"/>
                <w:kern w:val="0"/>
                <w:szCs w:val="21"/>
              </w:rPr>
            </w:pPr>
          </w:p>
        </w:tc>
        <w:tc>
          <w:tcPr>
            <w:tcW w:w="473" w:type="pct"/>
            <w:shd w:val="clear" w:color="000000" w:fill="FFFFFF"/>
            <w:vAlign w:val="center"/>
          </w:tcPr>
          <w:p w14:paraId="3C32218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二级</w:t>
            </w:r>
          </w:p>
        </w:tc>
        <w:tc>
          <w:tcPr>
            <w:tcW w:w="1279" w:type="pct"/>
            <w:shd w:val="clear" w:color="000000" w:fill="FFFFFF"/>
            <w:vAlign w:val="center"/>
          </w:tcPr>
          <w:p w14:paraId="6A3DE8E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层高不足3米，砖墙承重，水泥砂浆砌筑，平屋顶，上下圈梁，现浇或预制板屋面，有保温防水层。</w:t>
            </w:r>
          </w:p>
        </w:tc>
        <w:tc>
          <w:tcPr>
            <w:tcW w:w="992" w:type="pct"/>
            <w:shd w:val="clear" w:color="000000" w:fill="FFFFFF"/>
            <w:vAlign w:val="center"/>
          </w:tcPr>
          <w:p w14:paraId="641DA99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650-750元/m</w:t>
            </w:r>
            <w:r>
              <w:rPr>
                <w:rFonts w:ascii="宋体" w:hAnsi="宋体" w:cs="宋体" w:hint="eastAsia"/>
                <w:snapToGrid w:val="0"/>
                <w:kern w:val="0"/>
                <w:szCs w:val="21"/>
                <w:vertAlign w:val="superscript"/>
              </w:rPr>
              <w:t>2</w:t>
            </w:r>
          </w:p>
        </w:tc>
        <w:tc>
          <w:tcPr>
            <w:tcW w:w="1450" w:type="pct"/>
            <w:vMerge/>
            <w:vAlign w:val="center"/>
          </w:tcPr>
          <w:p w14:paraId="61009385" w14:textId="77777777" w:rsidR="00A320E6" w:rsidRDefault="00A320E6" w:rsidP="00EC50E9">
            <w:pPr>
              <w:jc w:val="left"/>
              <w:rPr>
                <w:rFonts w:ascii="宋体" w:hAnsi="宋体" w:cs="宋体"/>
                <w:snapToGrid w:val="0"/>
                <w:kern w:val="0"/>
                <w:szCs w:val="21"/>
              </w:rPr>
            </w:pPr>
          </w:p>
        </w:tc>
      </w:tr>
      <w:tr w:rsidR="00A320E6" w14:paraId="55ED00E1" w14:textId="77777777">
        <w:trPr>
          <w:trHeight w:val="369"/>
          <w:jc w:val="center"/>
        </w:trPr>
        <w:tc>
          <w:tcPr>
            <w:tcW w:w="364" w:type="pct"/>
            <w:vMerge/>
            <w:vAlign w:val="center"/>
          </w:tcPr>
          <w:p w14:paraId="1AD0533A" w14:textId="77777777" w:rsidR="00A320E6" w:rsidRDefault="00A320E6" w:rsidP="00EC50E9">
            <w:pPr>
              <w:jc w:val="center"/>
              <w:rPr>
                <w:rFonts w:ascii="宋体" w:hAnsi="宋体" w:cs="宋体"/>
                <w:snapToGrid w:val="0"/>
                <w:kern w:val="0"/>
                <w:szCs w:val="21"/>
              </w:rPr>
            </w:pPr>
          </w:p>
        </w:tc>
        <w:tc>
          <w:tcPr>
            <w:tcW w:w="441" w:type="pct"/>
            <w:vMerge/>
            <w:vAlign w:val="center"/>
          </w:tcPr>
          <w:p w14:paraId="451590CB" w14:textId="77777777" w:rsidR="00A320E6" w:rsidRDefault="00A320E6" w:rsidP="00EC50E9">
            <w:pPr>
              <w:jc w:val="center"/>
              <w:rPr>
                <w:rFonts w:ascii="宋体" w:hAnsi="宋体" w:cs="宋体"/>
                <w:snapToGrid w:val="0"/>
                <w:kern w:val="0"/>
                <w:szCs w:val="21"/>
              </w:rPr>
            </w:pPr>
          </w:p>
        </w:tc>
        <w:tc>
          <w:tcPr>
            <w:tcW w:w="473" w:type="pct"/>
            <w:shd w:val="clear" w:color="000000" w:fill="FFFFFF"/>
            <w:vAlign w:val="center"/>
          </w:tcPr>
          <w:p w14:paraId="6760827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三级</w:t>
            </w:r>
          </w:p>
        </w:tc>
        <w:tc>
          <w:tcPr>
            <w:tcW w:w="1279" w:type="pct"/>
            <w:shd w:val="clear" w:color="000000" w:fill="FFFFFF"/>
            <w:vAlign w:val="center"/>
          </w:tcPr>
          <w:p w14:paraId="7C7A6E2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砌块墙承重，无上下圈梁，预制板顶，屋面无保温防水层，清水外墙。</w:t>
            </w:r>
          </w:p>
        </w:tc>
        <w:tc>
          <w:tcPr>
            <w:tcW w:w="992" w:type="pct"/>
            <w:shd w:val="clear" w:color="000000" w:fill="FFFFFF"/>
            <w:vAlign w:val="center"/>
          </w:tcPr>
          <w:p w14:paraId="7FE0438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300-350元/m</w:t>
            </w:r>
            <w:r>
              <w:rPr>
                <w:rFonts w:ascii="宋体" w:hAnsi="宋体" w:cs="宋体" w:hint="eastAsia"/>
                <w:snapToGrid w:val="0"/>
                <w:kern w:val="0"/>
                <w:szCs w:val="21"/>
                <w:vertAlign w:val="superscript"/>
              </w:rPr>
              <w:t>2</w:t>
            </w:r>
          </w:p>
        </w:tc>
        <w:tc>
          <w:tcPr>
            <w:tcW w:w="1450" w:type="pct"/>
            <w:vMerge/>
            <w:vAlign w:val="center"/>
          </w:tcPr>
          <w:p w14:paraId="598B73F9" w14:textId="77777777" w:rsidR="00A320E6" w:rsidRDefault="00A320E6" w:rsidP="00EC50E9">
            <w:pPr>
              <w:jc w:val="left"/>
              <w:rPr>
                <w:rFonts w:ascii="宋体" w:hAnsi="宋体" w:cs="宋体"/>
                <w:snapToGrid w:val="0"/>
                <w:kern w:val="0"/>
                <w:szCs w:val="21"/>
              </w:rPr>
            </w:pPr>
          </w:p>
        </w:tc>
      </w:tr>
      <w:tr w:rsidR="00A320E6" w14:paraId="1BBBB5CD" w14:textId="77777777">
        <w:trPr>
          <w:trHeight w:val="369"/>
          <w:jc w:val="center"/>
        </w:trPr>
        <w:tc>
          <w:tcPr>
            <w:tcW w:w="364" w:type="pct"/>
            <w:vMerge/>
            <w:vAlign w:val="center"/>
          </w:tcPr>
          <w:p w14:paraId="0047A763" w14:textId="77777777" w:rsidR="00A320E6" w:rsidRDefault="00A320E6" w:rsidP="00EC50E9">
            <w:pPr>
              <w:jc w:val="center"/>
              <w:rPr>
                <w:rFonts w:ascii="宋体" w:hAnsi="宋体" w:cs="宋体"/>
                <w:snapToGrid w:val="0"/>
                <w:kern w:val="0"/>
                <w:szCs w:val="21"/>
              </w:rPr>
            </w:pPr>
          </w:p>
        </w:tc>
        <w:tc>
          <w:tcPr>
            <w:tcW w:w="441" w:type="pct"/>
            <w:vMerge w:val="restart"/>
            <w:shd w:val="clear" w:color="000000" w:fill="FFFFFF"/>
            <w:vAlign w:val="center"/>
          </w:tcPr>
          <w:p w14:paraId="57ED26C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砖木</w:t>
            </w:r>
          </w:p>
          <w:p w14:paraId="3FF67C4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房屋</w:t>
            </w:r>
          </w:p>
        </w:tc>
        <w:tc>
          <w:tcPr>
            <w:tcW w:w="473" w:type="pct"/>
            <w:shd w:val="clear" w:color="000000" w:fill="FFFFFF"/>
            <w:vAlign w:val="center"/>
          </w:tcPr>
          <w:p w14:paraId="6E09ECE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一级</w:t>
            </w:r>
          </w:p>
        </w:tc>
        <w:tc>
          <w:tcPr>
            <w:tcW w:w="1279" w:type="pct"/>
            <w:shd w:val="clear" w:color="000000" w:fill="FFFFFF"/>
            <w:vAlign w:val="center"/>
          </w:tcPr>
          <w:p w14:paraId="0DD16C1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层高3米及以上，砖墙或石墙承重，水泥砂浆砌筑，木屋架，木（预制）檩条，起脊瓦屋面。</w:t>
            </w:r>
          </w:p>
        </w:tc>
        <w:tc>
          <w:tcPr>
            <w:tcW w:w="992" w:type="pct"/>
            <w:shd w:val="clear" w:color="000000" w:fill="FFFFFF"/>
            <w:vAlign w:val="center"/>
          </w:tcPr>
          <w:p w14:paraId="362BE3F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550-650元/m</w:t>
            </w:r>
            <w:r>
              <w:rPr>
                <w:rFonts w:ascii="宋体" w:hAnsi="宋体" w:cs="宋体" w:hint="eastAsia"/>
                <w:snapToGrid w:val="0"/>
                <w:kern w:val="0"/>
                <w:szCs w:val="21"/>
                <w:vertAlign w:val="superscript"/>
              </w:rPr>
              <w:t>2</w:t>
            </w:r>
          </w:p>
        </w:tc>
        <w:tc>
          <w:tcPr>
            <w:tcW w:w="1450" w:type="pct"/>
            <w:vMerge/>
            <w:vAlign w:val="center"/>
          </w:tcPr>
          <w:p w14:paraId="4CD4D351" w14:textId="77777777" w:rsidR="00A320E6" w:rsidRDefault="00A320E6" w:rsidP="00EC50E9">
            <w:pPr>
              <w:jc w:val="left"/>
              <w:rPr>
                <w:rFonts w:ascii="宋体" w:hAnsi="宋体" w:cs="宋体"/>
                <w:snapToGrid w:val="0"/>
                <w:kern w:val="0"/>
                <w:szCs w:val="21"/>
              </w:rPr>
            </w:pPr>
          </w:p>
        </w:tc>
      </w:tr>
      <w:tr w:rsidR="00A320E6" w14:paraId="2A59B311" w14:textId="77777777">
        <w:trPr>
          <w:trHeight w:val="369"/>
          <w:jc w:val="center"/>
        </w:trPr>
        <w:tc>
          <w:tcPr>
            <w:tcW w:w="364" w:type="pct"/>
            <w:vMerge/>
            <w:vAlign w:val="center"/>
          </w:tcPr>
          <w:p w14:paraId="0B3A381E" w14:textId="77777777" w:rsidR="00A320E6" w:rsidRDefault="00A320E6" w:rsidP="00EC50E9">
            <w:pPr>
              <w:jc w:val="center"/>
              <w:rPr>
                <w:rFonts w:ascii="宋体" w:hAnsi="宋体" w:cs="宋体"/>
                <w:snapToGrid w:val="0"/>
                <w:kern w:val="0"/>
                <w:szCs w:val="21"/>
              </w:rPr>
            </w:pPr>
          </w:p>
        </w:tc>
        <w:tc>
          <w:tcPr>
            <w:tcW w:w="441" w:type="pct"/>
            <w:vMerge/>
            <w:vAlign w:val="center"/>
          </w:tcPr>
          <w:p w14:paraId="538784AE" w14:textId="77777777" w:rsidR="00A320E6" w:rsidRDefault="00A320E6" w:rsidP="00EC50E9">
            <w:pPr>
              <w:jc w:val="center"/>
              <w:rPr>
                <w:rFonts w:ascii="宋体" w:hAnsi="宋体" w:cs="宋体"/>
                <w:snapToGrid w:val="0"/>
                <w:kern w:val="0"/>
                <w:szCs w:val="21"/>
              </w:rPr>
            </w:pPr>
          </w:p>
        </w:tc>
        <w:tc>
          <w:tcPr>
            <w:tcW w:w="473" w:type="pct"/>
            <w:shd w:val="clear" w:color="000000" w:fill="FFFFFF"/>
            <w:vAlign w:val="center"/>
          </w:tcPr>
          <w:p w14:paraId="10F9E06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二级</w:t>
            </w:r>
          </w:p>
        </w:tc>
        <w:tc>
          <w:tcPr>
            <w:tcW w:w="1279" w:type="pct"/>
            <w:shd w:val="clear" w:color="000000" w:fill="FFFFFF"/>
            <w:vAlign w:val="center"/>
          </w:tcPr>
          <w:p w14:paraId="5D21A28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层高不足3米，砖墙或石墙承重，水泥砂砌筑，木屋架，木（预制）檩条，起脊瓦屋面。</w:t>
            </w:r>
          </w:p>
        </w:tc>
        <w:tc>
          <w:tcPr>
            <w:tcW w:w="992" w:type="pct"/>
            <w:shd w:val="clear" w:color="000000" w:fill="FFFFFF"/>
            <w:vAlign w:val="center"/>
          </w:tcPr>
          <w:p w14:paraId="6E66201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450-550元/m</w:t>
            </w:r>
            <w:r>
              <w:rPr>
                <w:rFonts w:ascii="宋体" w:hAnsi="宋体" w:cs="宋体" w:hint="eastAsia"/>
                <w:snapToGrid w:val="0"/>
                <w:kern w:val="0"/>
                <w:szCs w:val="21"/>
                <w:vertAlign w:val="superscript"/>
              </w:rPr>
              <w:t>2</w:t>
            </w:r>
          </w:p>
        </w:tc>
        <w:tc>
          <w:tcPr>
            <w:tcW w:w="1450" w:type="pct"/>
            <w:vMerge/>
            <w:vAlign w:val="center"/>
          </w:tcPr>
          <w:p w14:paraId="5EE8F707" w14:textId="77777777" w:rsidR="00A320E6" w:rsidRDefault="00A320E6" w:rsidP="00EC50E9">
            <w:pPr>
              <w:jc w:val="left"/>
              <w:rPr>
                <w:rFonts w:ascii="宋体" w:hAnsi="宋体" w:cs="宋体"/>
                <w:snapToGrid w:val="0"/>
                <w:kern w:val="0"/>
                <w:szCs w:val="21"/>
              </w:rPr>
            </w:pPr>
          </w:p>
        </w:tc>
      </w:tr>
      <w:tr w:rsidR="00A320E6" w14:paraId="08BE8F6C" w14:textId="77777777">
        <w:trPr>
          <w:trHeight w:val="369"/>
          <w:jc w:val="center"/>
        </w:trPr>
        <w:tc>
          <w:tcPr>
            <w:tcW w:w="364" w:type="pct"/>
            <w:vMerge/>
            <w:vAlign w:val="center"/>
          </w:tcPr>
          <w:p w14:paraId="4E375FC1" w14:textId="77777777" w:rsidR="00A320E6" w:rsidRDefault="00A320E6" w:rsidP="00EC50E9">
            <w:pPr>
              <w:jc w:val="center"/>
              <w:rPr>
                <w:rFonts w:ascii="宋体" w:hAnsi="宋体" w:cs="宋体"/>
                <w:snapToGrid w:val="0"/>
                <w:kern w:val="0"/>
                <w:szCs w:val="21"/>
              </w:rPr>
            </w:pPr>
          </w:p>
        </w:tc>
        <w:tc>
          <w:tcPr>
            <w:tcW w:w="441" w:type="pct"/>
            <w:vMerge w:val="restart"/>
            <w:shd w:val="clear" w:color="000000" w:fill="FFFFFF"/>
            <w:vAlign w:val="center"/>
          </w:tcPr>
          <w:p w14:paraId="3D613B0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钢结构</w:t>
            </w:r>
          </w:p>
        </w:tc>
        <w:tc>
          <w:tcPr>
            <w:tcW w:w="1752" w:type="pct"/>
            <w:gridSpan w:val="2"/>
            <w:shd w:val="clear" w:color="auto" w:fill="auto"/>
            <w:vAlign w:val="center"/>
          </w:tcPr>
          <w:p w14:paraId="5621E2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跨度8米及以上</w:t>
            </w:r>
          </w:p>
        </w:tc>
        <w:tc>
          <w:tcPr>
            <w:tcW w:w="992" w:type="pct"/>
            <w:shd w:val="clear" w:color="000000" w:fill="FFFFFF"/>
            <w:vAlign w:val="center"/>
          </w:tcPr>
          <w:p w14:paraId="6CF608C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450-550元/m</w:t>
            </w:r>
            <w:r>
              <w:rPr>
                <w:rFonts w:ascii="宋体" w:hAnsi="宋体" w:cs="宋体" w:hint="eastAsia"/>
                <w:snapToGrid w:val="0"/>
                <w:kern w:val="0"/>
                <w:szCs w:val="21"/>
                <w:vertAlign w:val="superscript"/>
              </w:rPr>
              <w:t>2</w:t>
            </w:r>
          </w:p>
        </w:tc>
        <w:tc>
          <w:tcPr>
            <w:tcW w:w="1450" w:type="pct"/>
            <w:vMerge/>
            <w:vAlign w:val="center"/>
          </w:tcPr>
          <w:p w14:paraId="35BC02A7" w14:textId="77777777" w:rsidR="00A320E6" w:rsidRDefault="00A320E6" w:rsidP="00EC50E9">
            <w:pPr>
              <w:jc w:val="left"/>
              <w:rPr>
                <w:rFonts w:ascii="宋体" w:hAnsi="宋体" w:cs="宋体"/>
                <w:snapToGrid w:val="0"/>
                <w:kern w:val="0"/>
                <w:szCs w:val="21"/>
              </w:rPr>
            </w:pPr>
          </w:p>
        </w:tc>
      </w:tr>
      <w:tr w:rsidR="00A320E6" w14:paraId="198787F4" w14:textId="77777777">
        <w:trPr>
          <w:trHeight w:val="369"/>
          <w:jc w:val="center"/>
        </w:trPr>
        <w:tc>
          <w:tcPr>
            <w:tcW w:w="364" w:type="pct"/>
            <w:vMerge/>
            <w:vAlign w:val="center"/>
          </w:tcPr>
          <w:p w14:paraId="1190D20B" w14:textId="77777777" w:rsidR="00A320E6" w:rsidRDefault="00A320E6" w:rsidP="00EC50E9">
            <w:pPr>
              <w:jc w:val="center"/>
              <w:rPr>
                <w:rFonts w:ascii="宋体" w:hAnsi="宋体" w:cs="宋体"/>
                <w:snapToGrid w:val="0"/>
                <w:kern w:val="0"/>
                <w:szCs w:val="21"/>
              </w:rPr>
            </w:pPr>
          </w:p>
        </w:tc>
        <w:tc>
          <w:tcPr>
            <w:tcW w:w="441" w:type="pct"/>
            <w:vMerge/>
            <w:vAlign w:val="center"/>
          </w:tcPr>
          <w:p w14:paraId="7BD69F1F" w14:textId="77777777" w:rsidR="00A320E6" w:rsidRDefault="00A320E6" w:rsidP="00EC50E9">
            <w:pPr>
              <w:jc w:val="center"/>
              <w:rPr>
                <w:rFonts w:ascii="宋体" w:hAnsi="宋体" w:cs="宋体"/>
                <w:snapToGrid w:val="0"/>
                <w:kern w:val="0"/>
                <w:szCs w:val="21"/>
              </w:rPr>
            </w:pPr>
          </w:p>
        </w:tc>
        <w:tc>
          <w:tcPr>
            <w:tcW w:w="1752" w:type="pct"/>
            <w:gridSpan w:val="2"/>
            <w:shd w:val="clear" w:color="auto" w:fill="auto"/>
            <w:vAlign w:val="center"/>
          </w:tcPr>
          <w:p w14:paraId="73A3722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跨度8米以下</w:t>
            </w:r>
          </w:p>
        </w:tc>
        <w:tc>
          <w:tcPr>
            <w:tcW w:w="992" w:type="pct"/>
            <w:shd w:val="clear" w:color="000000" w:fill="FFFFFF"/>
            <w:vAlign w:val="center"/>
          </w:tcPr>
          <w:p w14:paraId="605E3E3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350-450元/m</w:t>
            </w:r>
            <w:r>
              <w:rPr>
                <w:rFonts w:ascii="宋体" w:hAnsi="宋体" w:cs="宋体" w:hint="eastAsia"/>
                <w:snapToGrid w:val="0"/>
                <w:kern w:val="0"/>
                <w:szCs w:val="21"/>
                <w:vertAlign w:val="superscript"/>
              </w:rPr>
              <w:t>2</w:t>
            </w:r>
          </w:p>
        </w:tc>
        <w:tc>
          <w:tcPr>
            <w:tcW w:w="1450" w:type="pct"/>
            <w:vMerge/>
            <w:vAlign w:val="center"/>
          </w:tcPr>
          <w:p w14:paraId="1A85C948" w14:textId="77777777" w:rsidR="00A320E6" w:rsidRDefault="00A320E6" w:rsidP="00EC50E9">
            <w:pPr>
              <w:jc w:val="left"/>
              <w:rPr>
                <w:rFonts w:ascii="宋体" w:hAnsi="宋体" w:cs="宋体"/>
                <w:snapToGrid w:val="0"/>
                <w:kern w:val="0"/>
                <w:szCs w:val="21"/>
              </w:rPr>
            </w:pPr>
          </w:p>
        </w:tc>
      </w:tr>
      <w:tr w:rsidR="00A320E6" w14:paraId="04376B58" w14:textId="77777777">
        <w:trPr>
          <w:trHeight w:val="369"/>
          <w:jc w:val="center"/>
        </w:trPr>
        <w:tc>
          <w:tcPr>
            <w:tcW w:w="364" w:type="pct"/>
            <w:vMerge/>
            <w:vAlign w:val="center"/>
          </w:tcPr>
          <w:p w14:paraId="7F776956" w14:textId="77777777" w:rsidR="00A320E6" w:rsidRDefault="00A320E6" w:rsidP="00EC50E9">
            <w:pPr>
              <w:jc w:val="center"/>
              <w:rPr>
                <w:rFonts w:ascii="宋体" w:hAnsi="宋体" w:cs="宋体"/>
                <w:snapToGrid w:val="0"/>
                <w:kern w:val="0"/>
                <w:szCs w:val="21"/>
              </w:rPr>
            </w:pPr>
          </w:p>
        </w:tc>
        <w:tc>
          <w:tcPr>
            <w:tcW w:w="2194" w:type="pct"/>
            <w:gridSpan w:val="3"/>
            <w:shd w:val="clear" w:color="000000" w:fill="FFFFFF"/>
            <w:vAlign w:val="center"/>
          </w:tcPr>
          <w:p w14:paraId="2311164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彩钢板房、板房、简易结构房</w:t>
            </w:r>
          </w:p>
        </w:tc>
        <w:tc>
          <w:tcPr>
            <w:tcW w:w="992" w:type="pct"/>
            <w:shd w:val="clear" w:color="000000" w:fill="FFFFFF"/>
            <w:vAlign w:val="center"/>
          </w:tcPr>
          <w:p w14:paraId="6191972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250-350元/m</w:t>
            </w:r>
            <w:r>
              <w:rPr>
                <w:rFonts w:ascii="宋体" w:hAnsi="宋体" w:cs="宋体" w:hint="eastAsia"/>
                <w:snapToGrid w:val="0"/>
                <w:kern w:val="0"/>
                <w:szCs w:val="21"/>
                <w:vertAlign w:val="superscript"/>
              </w:rPr>
              <w:t>2</w:t>
            </w:r>
          </w:p>
        </w:tc>
        <w:tc>
          <w:tcPr>
            <w:tcW w:w="1450" w:type="pct"/>
            <w:vMerge/>
            <w:vAlign w:val="center"/>
          </w:tcPr>
          <w:p w14:paraId="2960DE28" w14:textId="77777777" w:rsidR="00A320E6" w:rsidRDefault="00A320E6" w:rsidP="00EC50E9">
            <w:pPr>
              <w:jc w:val="left"/>
              <w:rPr>
                <w:rFonts w:ascii="宋体" w:hAnsi="宋体" w:cs="宋体"/>
                <w:snapToGrid w:val="0"/>
                <w:kern w:val="0"/>
                <w:szCs w:val="21"/>
              </w:rPr>
            </w:pPr>
          </w:p>
        </w:tc>
      </w:tr>
      <w:tr w:rsidR="00A320E6" w14:paraId="33A554B8" w14:textId="77777777">
        <w:trPr>
          <w:trHeight w:val="369"/>
          <w:jc w:val="center"/>
        </w:trPr>
        <w:tc>
          <w:tcPr>
            <w:tcW w:w="364" w:type="pct"/>
            <w:vMerge/>
            <w:vAlign w:val="center"/>
          </w:tcPr>
          <w:p w14:paraId="5D1DB508" w14:textId="77777777" w:rsidR="00A320E6" w:rsidRDefault="00A320E6" w:rsidP="00EC50E9">
            <w:pPr>
              <w:jc w:val="center"/>
              <w:rPr>
                <w:rFonts w:ascii="宋体" w:hAnsi="宋体" w:cs="宋体"/>
                <w:snapToGrid w:val="0"/>
                <w:kern w:val="0"/>
                <w:szCs w:val="21"/>
              </w:rPr>
            </w:pPr>
          </w:p>
        </w:tc>
        <w:tc>
          <w:tcPr>
            <w:tcW w:w="2194" w:type="pct"/>
            <w:gridSpan w:val="3"/>
            <w:shd w:val="clear" w:color="000000" w:fill="FFFFFF"/>
            <w:vAlign w:val="center"/>
          </w:tcPr>
          <w:p w14:paraId="57B6D83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独立地下室</w:t>
            </w:r>
          </w:p>
        </w:tc>
        <w:tc>
          <w:tcPr>
            <w:tcW w:w="992" w:type="pct"/>
            <w:shd w:val="clear" w:color="000000" w:fill="FFFFFF"/>
            <w:vAlign w:val="center"/>
          </w:tcPr>
          <w:p w14:paraId="1C9257F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250-350元/m</w:t>
            </w:r>
            <w:r>
              <w:rPr>
                <w:rFonts w:ascii="宋体" w:hAnsi="宋体" w:cs="宋体" w:hint="eastAsia"/>
                <w:snapToGrid w:val="0"/>
                <w:kern w:val="0"/>
                <w:szCs w:val="21"/>
                <w:vertAlign w:val="superscript"/>
              </w:rPr>
              <w:t>2</w:t>
            </w:r>
          </w:p>
        </w:tc>
        <w:tc>
          <w:tcPr>
            <w:tcW w:w="1450" w:type="pct"/>
            <w:vMerge/>
            <w:vAlign w:val="center"/>
          </w:tcPr>
          <w:p w14:paraId="35450388" w14:textId="77777777" w:rsidR="00A320E6" w:rsidRDefault="00A320E6" w:rsidP="00EC50E9">
            <w:pPr>
              <w:jc w:val="left"/>
              <w:rPr>
                <w:rFonts w:ascii="宋体" w:hAnsi="宋体" w:cs="宋体"/>
                <w:snapToGrid w:val="0"/>
                <w:kern w:val="0"/>
                <w:szCs w:val="21"/>
              </w:rPr>
            </w:pPr>
          </w:p>
        </w:tc>
      </w:tr>
      <w:tr w:rsidR="00A320E6" w14:paraId="56330592" w14:textId="77777777">
        <w:trPr>
          <w:trHeight w:val="369"/>
          <w:jc w:val="center"/>
        </w:trPr>
        <w:tc>
          <w:tcPr>
            <w:tcW w:w="364" w:type="pct"/>
            <w:vMerge w:val="restart"/>
            <w:shd w:val="clear" w:color="000000" w:fill="FFFFFF"/>
            <w:noWrap/>
            <w:vAlign w:val="center"/>
          </w:tcPr>
          <w:p w14:paraId="68AFE84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w:t>
            </w:r>
          </w:p>
        </w:tc>
        <w:tc>
          <w:tcPr>
            <w:tcW w:w="441" w:type="pct"/>
            <w:vMerge w:val="restart"/>
            <w:shd w:val="clear" w:color="000000" w:fill="FFFFFF"/>
            <w:vAlign w:val="center"/>
          </w:tcPr>
          <w:p w14:paraId="3F6F49B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围墙</w:t>
            </w:r>
          </w:p>
        </w:tc>
        <w:tc>
          <w:tcPr>
            <w:tcW w:w="1752" w:type="pct"/>
            <w:gridSpan w:val="2"/>
            <w:shd w:val="clear" w:color="000000" w:fill="FFFFFF"/>
            <w:vAlign w:val="center"/>
          </w:tcPr>
          <w:p w14:paraId="2B6C658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乱石基砖墙</w:t>
            </w:r>
          </w:p>
        </w:tc>
        <w:tc>
          <w:tcPr>
            <w:tcW w:w="992" w:type="pct"/>
            <w:shd w:val="clear" w:color="000000" w:fill="FFFFFF"/>
            <w:vAlign w:val="center"/>
          </w:tcPr>
          <w:p w14:paraId="787F904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90-120元/m</w:t>
            </w:r>
            <w:r>
              <w:rPr>
                <w:rFonts w:ascii="宋体" w:hAnsi="宋体" w:cs="宋体" w:hint="eastAsia"/>
                <w:snapToGrid w:val="0"/>
                <w:kern w:val="0"/>
                <w:szCs w:val="21"/>
                <w:vertAlign w:val="superscript"/>
              </w:rPr>
              <w:t>2</w:t>
            </w:r>
          </w:p>
        </w:tc>
        <w:tc>
          <w:tcPr>
            <w:tcW w:w="1450" w:type="pct"/>
            <w:vMerge w:val="restart"/>
            <w:shd w:val="clear" w:color="000000" w:fill="FFFFFF"/>
            <w:vAlign w:val="center"/>
          </w:tcPr>
          <w:p w14:paraId="50CFFD3E"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1、围墙墙体属于水泥砌块的按围墙的同类补偿标准下限执行；</w:t>
            </w:r>
            <w:r>
              <w:rPr>
                <w:rFonts w:ascii="宋体" w:hAnsi="宋体" w:cs="宋体" w:hint="eastAsia"/>
                <w:snapToGrid w:val="0"/>
                <w:kern w:val="0"/>
                <w:szCs w:val="21"/>
              </w:rPr>
              <w:br/>
              <w:t>2、影壁墙参照乱石基砖墙同类补偿标准上浮30%（包含瓷砖贴面等一般装饰材料，如有特殊装饰另行评估）。</w:t>
            </w:r>
          </w:p>
        </w:tc>
      </w:tr>
      <w:tr w:rsidR="00A320E6" w14:paraId="21DA268B" w14:textId="77777777">
        <w:trPr>
          <w:trHeight w:val="369"/>
          <w:jc w:val="center"/>
        </w:trPr>
        <w:tc>
          <w:tcPr>
            <w:tcW w:w="364" w:type="pct"/>
            <w:vMerge/>
            <w:vAlign w:val="center"/>
          </w:tcPr>
          <w:p w14:paraId="7E6987E7" w14:textId="77777777" w:rsidR="00A320E6" w:rsidRDefault="00A320E6" w:rsidP="00EC50E9">
            <w:pPr>
              <w:jc w:val="center"/>
              <w:rPr>
                <w:rFonts w:ascii="宋体" w:hAnsi="宋体" w:cs="宋体"/>
                <w:snapToGrid w:val="0"/>
                <w:kern w:val="0"/>
                <w:szCs w:val="21"/>
              </w:rPr>
            </w:pPr>
          </w:p>
        </w:tc>
        <w:tc>
          <w:tcPr>
            <w:tcW w:w="441" w:type="pct"/>
            <w:vMerge/>
            <w:vAlign w:val="center"/>
          </w:tcPr>
          <w:p w14:paraId="318FAF44"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043916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乱石基石围墙</w:t>
            </w:r>
          </w:p>
        </w:tc>
        <w:tc>
          <w:tcPr>
            <w:tcW w:w="992" w:type="pct"/>
            <w:shd w:val="clear" w:color="000000" w:fill="FFFFFF"/>
            <w:vAlign w:val="center"/>
          </w:tcPr>
          <w:p w14:paraId="6B2E041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80-90元/m</w:t>
            </w:r>
            <w:r>
              <w:rPr>
                <w:rFonts w:ascii="宋体" w:hAnsi="宋体" w:cs="宋体" w:hint="eastAsia"/>
                <w:snapToGrid w:val="0"/>
                <w:kern w:val="0"/>
                <w:szCs w:val="21"/>
                <w:vertAlign w:val="superscript"/>
              </w:rPr>
              <w:t>2</w:t>
            </w:r>
          </w:p>
        </w:tc>
        <w:tc>
          <w:tcPr>
            <w:tcW w:w="1450" w:type="pct"/>
            <w:vMerge/>
            <w:vAlign w:val="center"/>
          </w:tcPr>
          <w:p w14:paraId="5F60DBB9" w14:textId="77777777" w:rsidR="00A320E6" w:rsidRDefault="00A320E6" w:rsidP="00EC50E9">
            <w:pPr>
              <w:jc w:val="left"/>
              <w:rPr>
                <w:rFonts w:ascii="宋体" w:hAnsi="宋体" w:cs="宋体"/>
                <w:snapToGrid w:val="0"/>
                <w:kern w:val="0"/>
                <w:szCs w:val="21"/>
              </w:rPr>
            </w:pPr>
          </w:p>
        </w:tc>
      </w:tr>
      <w:tr w:rsidR="00A320E6" w14:paraId="4EE324D6" w14:textId="77777777">
        <w:trPr>
          <w:trHeight w:val="369"/>
          <w:jc w:val="center"/>
        </w:trPr>
        <w:tc>
          <w:tcPr>
            <w:tcW w:w="364" w:type="pct"/>
            <w:vMerge/>
            <w:vAlign w:val="center"/>
          </w:tcPr>
          <w:p w14:paraId="49057045" w14:textId="77777777" w:rsidR="00A320E6" w:rsidRDefault="00A320E6" w:rsidP="00EC50E9">
            <w:pPr>
              <w:jc w:val="center"/>
              <w:rPr>
                <w:rFonts w:ascii="宋体" w:hAnsi="宋体" w:cs="宋体"/>
                <w:snapToGrid w:val="0"/>
                <w:kern w:val="0"/>
                <w:szCs w:val="21"/>
              </w:rPr>
            </w:pPr>
          </w:p>
        </w:tc>
        <w:tc>
          <w:tcPr>
            <w:tcW w:w="441" w:type="pct"/>
            <w:vMerge/>
            <w:vAlign w:val="center"/>
          </w:tcPr>
          <w:p w14:paraId="70B0F5BC"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FD0120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乱石基土坯墙</w:t>
            </w:r>
          </w:p>
        </w:tc>
        <w:tc>
          <w:tcPr>
            <w:tcW w:w="992" w:type="pct"/>
            <w:shd w:val="clear" w:color="000000" w:fill="FFFFFF"/>
            <w:vAlign w:val="center"/>
          </w:tcPr>
          <w:p w14:paraId="7C4F68A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50-60元/m</w:t>
            </w:r>
            <w:r>
              <w:rPr>
                <w:rFonts w:ascii="宋体" w:hAnsi="宋体" w:cs="宋体" w:hint="eastAsia"/>
                <w:snapToGrid w:val="0"/>
                <w:kern w:val="0"/>
                <w:szCs w:val="21"/>
                <w:vertAlign w:val="superscript"/>
              </w:rPr>
              <w:t>2</w:t>
            </w:r>
          </w:p>
        </w:tc>
        <w:tc>
          <w:tcPr>
            <w:tcW w:w="1450" w:type="pct"/>
            <w:vMerge/>
            <w:vAlign w:val="center"/>
          </w:tcPr>
          <w:p w14:paraId="0D6DF881" w14:textId="77777777" w:rsidR="00A320E6" w:rsidRDefault="00A320E6" w:rsidP="00EC50E9">
            <w:pPr>
              <w:jc w:val="left"/>
              <w:rPr>
                <w:rFonts w:ascii="宋体" w:hAnsi="宋体" w:cs="宋体"/>
                <w:snapToGrid w:val="0"/>
                <w:kern w:val="0"/>
                <w:szCs w:val="21"/>
              </w:rPr>
            </w:pPr>
          </w:p>
        </w:tc>
      </w:tr>
      <w:tr w:rsidR="00A320E6" w14:paraId="67A43A36" w14:textId="77777777">
        <w:trPr>
          <w:trHeight w:val="369"/>
          <w:jc w:val="center"/>
        </w:trPr>
        <w:tc>
          <w:tcPr>
            <w:tcW w:w="364" w:type="pct"/>
            <w:vMerge/>
            <w:vAlign w:val="center"/>
          </w:tcPr>
          <w:p w14:paraId="7B08F384" w14:textId="77777777" w:rsidR="00A320E6" w:rsidRDefault="00A320E6" w:rsidP="00EC50E9">
            <w:pPr>
              <w:jc w:val="center"/>
              <w:rPr>
                <w:rFonts w:ascii="宋体" w:hAnsi="宋体" w:cs="宋体"/>
                <w:snapToGrid w:val="0"/>
                <w:kern w:val="0"/>
                <w:szCs w:val="21"/>
              </w:rPr>
            </w:pPr>
          </w:p>
        </w:tc>
        <w:tc>
          <w:tcPr>
            <w:tcW w:w="441" w:type="pct"/>
            <w:vMerge/>
            <w:vAlign w:val="center"/>
          </w:tcPr>
          <w:p w14:paraId="2172FDA0"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5378A18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女儿墙</w:t>
            </w:r>
          </w:p>
        </w:tc>
        <w:tc>
          <w:tcPr>
            <w:tcW w:w="992" w:type="pct"/>
            <w:shd w:val="clear" w:color="000000" w:fill="FFFFFF"/>
            <w:vAlign w:val="center"/>
          </w:tcPr>
          <w:p w14:paraId="55DA10B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50-60元/m</w:t>
            </w:r>
            <w:r>
              <w:rPr>
                <w:rFonts w:ascii="宋体" w:hAnsi="宋体" w:cs="宋体" w:hint="eastAsia"/>
                <w:snapToGrid w:val="0"/>
                <w:kern w:val="0"/>
                <w:szCs w:val="21"/>
                <w:vertAlign w:val="superscript"/>
              </w:rPr>
              <w:t>2</w:t>
            </w:r>
          </w:p>
        </w:tc>
        <w:tc>
          <w:tcPr>
            <w:tcW w:w="1450" w:type="pct"/>
            <w:vMerge/>
            <w:vAlign w:val="center"/>
          </w:tcPr>
          <w:p w14:paraId="29C0E1D4" w14:textId="77777777" w:rsidR="00A320E6" w:rsidRDefault="00A320E6" w:rsidP="00EC50E9">
            <w:pPr>
              <w:jc w:val="left"/>
              <w:rPr>
                <w:rFonts w:ascii="宋体" w:hAnsi="宋体" w:cs="宋体"/>
                <w:snapToGrid w:val="0"/>
                <w:kern w:val="0"/>
                <w:szCs w:val="21"/>
              </w:rPr>
            </w:pPr>
          </w:p>
        </w:tc>
      </w:tr>
      <w:tr w:rsidR="00A320E6" w14:paraId="212D350B" w14:textId="77777777">
        <w:trPr>
          <w:trHeight w:val="369"/>
          <w:jc w:val="center"/>
        </w:trPr>
        <w:tc>
          <w:tcPr>
            <w:tcW w:w="364" w:type="pct"/>
            <w:vMerge/>
            <w:vAlign w:val="center"/>
          </w:tcPr>
          <w:p w14:paraId="225A0C4D" w14:textId="77777777" w:rsidR="00A320E6" w:rsidRDefault="00A320E6" w:rsidP="00EC50E9">
            <w:pPr>
              <w:jc w:val="center"/>
              <w:rPr>
                <w:rFonts w:ascii="宋体" w:hAnsi="宋体" w:cs="宋体"/>
                <w:snapToGrid w:val="0"/>
                <w:kern w:val="0"/>
                <w:szCs w:val="21"/>
              </w:rPr>
            </w:pPr>
          </w:p>
        </w:tc>
        <w:tc>
          <w:tcPr>
            <w:tcW w:w="441" w:type="pct"/>
            <w:vMerge/>
            <w:vAlign w:val="center"/>
          </w:tcPr>
          <w:p w14:paraId="7396A1EA"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4CE73D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彩钢板围墙</w:t>
            </w:r>
          </w:p>
        </w:tc>
        <w:tc>
          <w:tcPr>
            <w:tcW w:w="992" w:type="pct"/>
            <w:shd w:val="clear" w:color="000000" w:fill="FFFFFF"/>
            <w:vAlign w:val="center"/>
          </w:tcPr>
          <w:p w14:paraId="2F3EACE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40-70元/m</w:t>
            </w:r>
            <w:r>
              <w:rPr>
                <w:rFonts w:ascii="宋体" w:hAnsi="宋体" w:cs="宋体" w:hint="eastAsia"/>
                <w:snapToGrid w:val="0"/>
                <w:kern w:val="0"/>
                <w:szCs w:val="21"/>
                <w:vertAlign w:val="superscript"/>
              </w:rPr>
              <w:t>2</w:t>
            </w:r>
          </w:p>
        </w:tc>
        <w:tc>
          <w:tcPr>
            <w:tcW w:w="1450" w:type="pct"/>
            <w:vMerge/>
            <w:vAlign w:val="center"/>
          </w:tcPr>
          <w:p w14:paraId="127B59B5" w14:textId="77777777" w:rsidR="00A320E6" w:rsidRDefault="00A320E6" w:rsidP="00EC50E9">
            <w:pPr>
              <w:jc w:val="left"/>
              <w:rPr>
                <w:rFonts w:ascii="宋体" w:hAnsi="宋体" w:cs="宋体"/>
                <w:snapToGrid w:val="0"/>
                <w:kern w:val="0"/>
                <w:szCs w:val="21"/>
              </w:rPr>
            </w:pPr>
          </w:p>
        </w:tc>
      </w:tr>
      <w:tr w:rsidR="00A320E6" w14:paraId="3B6F407F" w14:textId="77777777">
        <w:trPr>
          <w:trHeight w:val="369"/>
          <w:jc w:val="center"/>
        </w:trPr>
        <w:tc>
          <w:tcPr>
            <w:tcW w:w="364" w:type="pct"/>
            <w:vMerge/>
            <w:vAlign w:val="center"/>
          </w:tcPr>
          <w:p w14:paraId="5E58BAFD" w14:textId="77777777" w:rsidR="00A320E6" w:rsidRDefault="00A320E6" w:rsidP="00EC50E9">
            <w:pPr>
              <w:jc w:val="center"/>
              <w:rPr>
                <w:rFonts w:ascii="宋体" w:hAnsi="宋体" w:cs="宋体"/>
                <w:snapToGrid w:val="0"/>
                <w:kern w:val="0"/>
                <w:szCs w:val="21"/>
              </w:rPr>
            </w:pPr>
          </w:p>
        </w:tc>
        <w:tc>
          <w:tcPr>
            <w:tcW w:w="441" w:type="pct"/>
            <w:vMerge/>
            <w:vAlign w:val="center"/>
          </w:tcPr>
          <w:p w14:paraId="0D0A6D81"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417AF6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铁艺围墙</w:t>
            </w:r>
          </w:p>
        </w:tc>
        <w:tc>
          <w:tcPr>
            <w:tcW w:w="992" w:type="pct"/>
            <w:shd w:val="clear" w:color="000000" w:fill="FFFFFF"/>
            <w:vAlign w:val="center"/>
          </w:tcPr>
          <w:p w14:paraId="7BB1BFF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80-100元/m</w:t>
            </w:r>
            <w:r>
              <w:rPr>
                <w:rFonts w:ascii="宋体" w:hAnsi="宋体" w:cs="宋体" w:hint="eastAsia"/>
                <w:snapToGrid w:val="0"/>
                <w:kern w:val="0"/>
                <w:szCs w:val="21"/>
                <w:vertAlign w:val="superscript"/>
              </w:rPr>
              <w:t>2</w:t>
            </w:r>
          </w:p>
        </w:tc>
        <w:tc>
          <w:tcPr>
            <w:tcW w:w="1450" w:type="pct"/>
            <w:vMerge/>
            <w:vAlign w:val="center"/>
          </w:tcPr>
          <w:p w14:paraId="6D1E38A0" w14:textId="77777777" w:rsidR="00A320E6" w:rsidRDefault="00A320E6" w:rsidP="00EC50E9">
            <w:pPr>
              <w:jc w:val="left"/>
              <w:rPr>
                <w:rFonts w:ascii="宋体" w:hAnsi="宋体" w:cs="宋体"/>
                <w:snapToGrid w:val="0"/>
                <w:kern w:val="0"/>
                <w:szCs w:val="21"/>
              </w:rPr>
            </w:pPr>
          </w:p>
        </w:tc>
      </w:tr>
      <w:tr w:rsidR="00A320E6" w14:paraId="7D55F097" w14:textId="77777777">
        <w:trPr>
          <w:trHeight w:val="369"/>
          <w:jc w:val="center"/>
        </w:trPr>
        <w:tc>
          <w:tcPr>
            <w:tcW w:w="364" w:type="pct"/>
            <w:vMerge/>
            <w:vAlign w:val="center"/>
          </w:tcPr>
          <w:p w14:paraId="360A110B" w14:textId="77777777" w:rsidR="00A320E6" w:rsidRDefault="00A320E6" w:rsidP="00EC50E9">
            <w:pPr>
              <w:jc w:val="center"/>
              <w:rPr>
                <w:rFonts w:ascii="宋体" w:hAnsi="宋体" w:cs="宋体"/>
                <w:snapToGrid w:val="0"/>
                <w:kern w:val="0"/>
                <w:szCs w:val="21"/>
              </w:rPr>
            </w:pPr>
          </w:p>
        </w:tc>
        <w:tc>
          <w:tcPr>
            <w:tcW w:w="441" w:type="pct"/>
            <w:vMerge/>
            <w:vAlign w:val="center"/>
          </w:tcPr>
          <w:p w14:paraId="3B3CA2B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03B50E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金属围网（含立柱）</w:t>
            </w:r>
          </w:p>
        </w:tc>
        <w:tc>
          <w:tcPr>
            <w:tcW w:w="992" w:type="pct"/>
            <w:shd w:val="clear" w:color="000000" w:fill="FFFFFF"/>
            <w:vAlign w:val="center"/>
          </w:tcPr>
          <w:p w14:paraId="1E9A67A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15-25元/m</w:t>
            </w:r>
            <w:r>
              <w:rPr>
                <w:rFonts w:ascii="宋体" w:hAnsi="宋体" w:cs="宋体" w:hint="eastAsia"/>
                <w:snapToGrid w:val="0"/>
                <w:kern w:val="0"/>
                <w:szCs w:val="21"/>
                <w:vertAlign w:val="superscript"/>
              </w:rPr>
              <w:t>2</w:t>
            </w:r>
          </w:p>
        </w:tc>
        <w:tc>
          <w:tcPr>
            <w:tcW w:w="1450" w:type="pct"/>
            <w:vMerge/>
            <w:vAlign w:val="center"/>
          </w:tcPr>
          <w:p w14:paraId="24878069" w14:textId="77777777" w:rsidR="00A320E6" w:rsidRDefault="00A320E6" w:rsidP="00EC50E9">
            <w:pPr>
              <w:jc w:val="left"/>
              <w:rPr>
                <w:rFonts w:ascii="宋体" w:hAnsi="宋体" w:cs="宋体"/>
                <w:snapToGrid w:val="0"/>
                <w:kern w:val="0"/>
                <w:szCs w:val="21"/>
              </w:rPr>
            </w:pPr>
          </w:p>
        </w:tc>
      </w:tr>
      <w:tr w:rsidR="00A320E6" w14:paraId="34323827" w14:textId="77777777">
        <w:trPr>
          <w:trHeight w:val="369"/>
          <w:jc w:val="center"/>
        </w:trPr>
        <w:tc>
          <w:tcPr>
            <w:tcW w:w="364" w:type="pct"/>
            <w:vMerge w:val="restart"/>
            <w:shd w:val="clear" w:color="000000" w:fill="FFFFFF"/>
            <w:vAlign w:val="center"/>
          </w:tcPr>
          <w:p w14:paraId="64FBD6C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三</w:t>
            </w:r>
          </w:p>
        </w:tc>
        <w:tc>
          <w:tcPr>
            <w:tcW w:w="441" w:type="pct"/>
            <w:vMerge w:val="restart"/>
            <w:shd w:val="clear" w:color="000000" w:fill="FFFFFF"/>
            <w:vAlign w:val="center"/>
          </w:tcPr>
          <w:p w14:paraId="2C6A74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畜禽舍</w:t>
            </w:r>
          </w:p>
        </w:tc>
        <w:tc>
          <w:tcPr>
            <w:tcW w:w="1752" w:type="pct"/>
            <w:gridSpan w:val="2"/>
            <w:shd w:val="clear" w:color="000000" w:fill="FFFFFF"/>
            <w:vAlign w:val="center"/>
          </w:tcPr>
          <w:p w14:paraId="0AFF143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砖混结构</w:t>
            </w:r>
          </w:p>
        </w:tc>
        <w:tc>
          <w:tcPr>
            <w:tcW w:w="992" w:type="pct"/>
            <w:shd w:val="clear" w:color="000000" w:fill="FFFFFF"/>
            <w:vAlign w:val="center"/>
          </w:tcPr>
          <w:p w14:paraId="76B7423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260-280元/m</w:t>
            </w:r>
            <w:r>
              <w:rPr>
                <w:rFonts w:ascii="宋体" w:hAnsi="宋体" w:cs="宋体" w:hint="eastAsia"/>
                <w:snapToGrid w:val="0"/>
                <w:kern w:val="0"/>
                <w:szCs w:val="21"/>
                <w:vertAlign w:val="superscript"/>
              </w:rPr>
              <w:t>2</w:t>
            </w:r>
          </w:p>
        </w:tc>
        <w:tc>
          <w:tcPr>
            <w:tcW w:w="1450" w:type="pct"/>
            <w:vMerge w:val="restart"/>
            <w:shd w:val="clear" w:color="000000" w:fill="FFFFFF"/>
            <w:noWrap/>
            <w:vAlign w:val="bottom"/>
          </w:tcPr>
          <w:p w14:paraId="6F734530" w14:textId="77777777" w:rsidR="00A320E6" w:rsidRDefault="00A320E6" w:rsidP="00EC50E9">
            <w:pPr>
              <w:jc w:val="left"/>
              <w:rPr>
                <w:rFonts w:ascii="宋体" w:hAnsi="宋体" w:cs="宋体"/>
                <w:snapToGrid w:val="0"/>
                <w:kern w:val="0"/>
                <w:szCs w:val="21"/>
              </w:rPr>
            </w:pPr>
          </w:p>
        </w:tc>
      </w:tr>
      <w:tr w:rsidR="00A320E6" w14:paraId="6321F78B" w14:textId="77777777">
        <w:trPr>
          <w:trHeight w:val="369"/>
          <w:jc w:val="center"/>
        </w:trPr>
        <w:tc>
          <w:tcPr>
            <w:tcW w:w="364" w:type="pct"/>
            <w:vMerge/>
            <w:vAlign w:val="center"/>
          </w:tcPr>
          <w:p w14:paraId="05A0F16F" w14:textId="77777777" w:rsidR="00A320E6" w:rsidRDefault="00A320E6" w:rsidP="00EC50E9">
            <w:pPr>
              <w:jc w:val="center"/>
              <w:rPr>
                <w:rFonts w:ascii="宋体" w:hAnsi="宋体" w:cs="宋体"/>
                <w:snapToGrid w:val="0"/>
                <w:kern w:val="0"/>
                <w:szCs w:val="21"/>
              </w:rPr>
            </w:pPr>
          </w:p>
        </w:tc>
        <w:tc>
          <w:tcPr>
            <w:tcW w:w="441" w:type="pct"/>
            <w:vMerge/>
            <w:vAlign w:val="center"/>
          </w:tcPr>
          <w:p w14:paraId="0A5AEAD2"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5CEF364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砖木结构</w:t>
            </w:r>
          </w:p>
        </w:tc>
        <w:tc>
          <w:tcPr>
            <w:tcW w:w="992" w:type="pct"/>
            <w:shd w:val="clear" w:color="000000" w:fill="FFFFFF"/>
            <w:vAlign w:val="center"/>
          </w:tcPr>
          <w:p w14:paraId="60033B2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200-260元/m</w:t>
            </w:r>
            <w:r>
              <w:rPr>
                <w:rFonts w:ascii="宋体" w:hAnsi="宋体" w:cs="宋体" w:hint="eastAsia"/>
                <w:snapToGrid w:val="0"/>
                <w:kern w:val="0"/>
                <w:szCs w:val="21"/>
                <w:vertAlign w:val="superscript"/>
              </w:rPr>
              <w:t>2</w:t>
            </w:r>
          </w:p>
        </w:tc>
        <w:tc>
          <w:tcPr>
            <w:tcW w:w="1450" w:type="pct"/>
            <w:vMerge/>
            <w:vAlign w:val="center"/>
          </w:tcPr>
          <w:p w14:paraId="7700574C" w14:textId="77777777" w:rsidR="00A320E6" w:rsidRDefault="00A320E6" w:rsidP="00EC50E9">
            <w:pPr>
              <w:jc w:val="left"/>
              <w:rPr>
                <w:rFonts w:ascii="宋体" w:hAnsi="宋体" w:cs="宋体"/>
                <w:snapToGrid w:val="0"/>
                <w:kern w:val="0"/>
                <w:szCs w:val="21"/>
              </w:rPr>
            </w:pPr>
          </w:p>
        </w:tc>
      </w:tr>
      <w:tr w:rsidR="00A320E6" w14:paraId="092DA165" w14:textId="77777777">
        <w:trPr>
          <w:trHeight w:val="369"/>
          <w:jc w:val="center"/>
        </w:trPr>
        <w:tc>
          <w:tcPr>
            <w:tcW w:w="364" w:type="pct"/>
            <w:vMerge/>
            <w:vAlign w:val="center"/>
          </w:tcPr>
          <w:p w14:paraId="29226FEE" w14:textId="77777777" w:rsidR="00A320E6" w:rsidRDefault="00A320E6" w:rsidP="00EC50E9">
            <w:pPr>
              <w:jc w:val="center"/>
              <w:rPr>
                <w:rFonts w:ascii="宋体" w:hAnsi="宋体" w:cs="宋体"/>
                <w:snapToGrid w:val="0"/>
                <w:kern w:val="0"/>
                <w:szCs w:val="21"/>
              </w:rPr>
            </w:pPr>
          </w:p>
        </w:tc>
        <w:tc>
          <w:tcPr>
            <w:tcW w:w="441" w:type="pct"/>
            <w:vMerge/>
            <w:vAlign w:val="center"/>
          </w:tcPr>
          <w:p w14:paraId="292CCE89"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36FC25C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简易结构</w:t>
            </w:r>
          </w:p>
        </w:tc>
        <w:tc>
          <w:tcPr>
            <w:tcW w:w="992" w:type="pct"/>
            <w:shd w:val="clear" w:color="000000" w:fill="FFFFFF"/>
            <w:vAlign w:val="center"/>
          </w:tcPr>
          <w:p w14:paraId="02420C2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90-120元/m</w:t>
            </w:r>
            <w:r>
              <w:rPr>
                <w:rFonts w:ascii="宋体" w:hAnsi="宋体" w:cs="宋体" w:hint="eastAsia"/>
                <w:snapToGrid w:val="0"/>
                <w:kern w:val="0"/>
                <w:szCs w:val="21"/>
                <w:vertAlign w:val="superscript"/>
              </w:rPr>
              <w:t>2</w:t>
            </w:r>
          </w:p>
        </w:tc>
        <w:tc>
          <w:tcPr>
            <w:tcW w:w="1450" w:type="pct"/>
            <w:vMerge/>
            <w:vAlign w:val="center"/>
          </w:tcPr>
          <w:p w14:paraId="3AD7F062" w14:textId="77777777" w:rsidR="00A320E6" w:rsidRDefault="00A320E6" w:rsidP="00EC50E9">
            <w:pPr>
              <w:jc w:val="left"/>
              <w:rPr>
                <w:rFonts w:ascii="宋体" w:hAnsi="宋体" w:cs="宋体"/>
                <w:snapToGrid w:val="0"/>
                <w:kern w:val="0"/>
                <w:szCs w:val="21"/>
              </w:rPr>
            </w:pPr>
          </w:p>
        </w:tc>
      </w:tr>
      <w:tr w:rsidR="00A320E6" w14:paraId="194B1EDA" w14:textId="77777777">
        <w:trPr>
          <w:trHeight w:val="369"/>
          <w:jc w:val="center"/>
        </w:trPr>
        <w:tc>
          <w:tcPr>
            <w:tcW w:w="364" w:type="pct"/>
            <w:vMerge w:val="restart"/>
            <w:shd w:val="clear" w:color="000000" w:fill="FFFFFF"/>
            <w:noWrap/>
            <w:vAlign w:val="center"/>
          </w:tcPr>
          <w:p w14:paraId="3695563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四</w:t>
            </w:r>
          </w:p>
        </w:tc>
        <w:tc>
          <w:tcPr>
            <w:tcW w:w="441" w:type="pct"/>
            <w:vMerge w:val="restart"/>
            <w:shd w:val="clear" w:color="000000" w:fill="FFFFFF"/>
            <w:vAlign w:val="center"/>
          </w:tcPr>
          <w:p w14:paraId="1A1A44F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独立厕所</w:t>
            </w:r>
          </w:p>
        </w:tc>
        <w:tc>
          <w:tcPr>
            <w:tcW w:w="1752" w:type="pct"/>
            <w:gridSpan w:val="2"/>
            <w:shd w:val="clear" w:color="000000" w:fill="FFFFFF"/>
            <w:vAlign w:val="center"/>
          </w:tcPr>
          <w:p w14:paraId="7CD58E2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砖砌有顶</w:t>
            </w:r>
          </w:p>
        </w:tc>
        <w:tc>
          <w:tcPr>
            <w:tcW w:w="992" w:type="pct"/>
            <w:shd w:val="clear" w:color="000000" w:fill="FFFFFF"/>
            <w:vAlign w:val="center"/>
          </w:tcPr>
          <w:p w14:paraId="27BB4BC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260-300元/m</w:t>
            </w:r>
            <w:r>
              <w:rPr>
                <w:rFonts w:ascii="宋体" w:hAnsi="宋体" w:cs="宋体" w:hint="eastAsia"/>
                <w:snapToGrid w:val="0"/>
                <w:kern w:val="0"/>
                <w:szCs w:val="21"/>
                <w:vertAlign w:val="superscript"/>
              </w:rPr>
              <w:t>2</w:t>
            </w:r>
          </w:p>
        </w:tc>
        <w:tc>
          <w:tcPr>
            <w:tcW w:w="1450" w:type="pct"/>
            <w:vMerge w:val="restart"/>
            <w:shd w:val="clear" w:color="000000" w:fill="FFFFFF"/>
            <w:noWrap/>
            <w:vAlign w:val="center"/>
          </w:tcPr>
          <w:p w14:paraId="57560002"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旱厕改造每座加500元。</w:t>
            </w:r>
          </w:p>
        </w:tc>
      </w:tr>
      <w:tr w:rsidR="00A320E6" w14:paraId="4A13ECE7" w14:textId="77777777">
        <w:trPr>
          <w:trHeight w:val="369"/>
          <w:jc w:val="center"/>
        </w:trPr>
        <w:tc>
          <w:tcPr>
            <w:tcW w:w="364" w:type="pct"/>
            <w:vMerge/>
            <w:vAlign w:val="center"/>
          </w:tcPr>
          <w:p w14:paraId="71EB47AA" w14:textId="77777777" w:rsidR="00A320E6" w:rsidRDefault="00A320E6" w:rsidP="00EC50E9">
            <w:pPr>
              <w:jc w:val="center"/>
              <w:rPr>
                <w:rFonts w:ascii="宋体" w:hAnsi="宋体" w:cs="宋体"/>
                <w:snapToGrid w:val="0"/>
                <w:kern w:val="0"/>
                <w:szCs w:val="21"/>
              </w:rPr>
            </w:pPr>
          </w:p>
        </w:tc>
        <w:tc>
          <w:tcPr>
            <w:tcW w:w="441" w:type="pct"/>
            <w:vMerge/>
            <w:vAlign w:val="center"/>
          </w:tcPr>
          <w:p w14:paraId="6A2946FB"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C94FFB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砖砌无顶</w:t>
            </w:r>
          </w:p>
        </w:tc>
        <w:tc>
          <w:tcPr>
            <w:tcW w:w="992" w:type="pct"/>
            <w:shd w:val="clear" w:color="000000" w:fill="FFFFFF"/>
            <w:vAlign w:val="center"/>
          </w:tcPr>
          <w:p w14:paraId="0B223AD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100-150元/m</w:t>
            </w:r>
            <w:r>
              <w:rPr>
                <w:rFonts w:ascii="宋体" w:hAnsi="宋体" w:cs="宋体" w:hint="eastAsia"/>
                <w:snapToGrid w:val="0"/>
                <w:kern w:val="0"/>
                <w:szCs w:val="21"/>
                <w:vertAlign w:val="superscript"/>
              </w:rPr>
              <w:t>2</w:t>
            </w:r>
          </w:p>
        </w:tc>
        <w:tc>
          <w:tcPr>
            <w:tcW w:w="1450" w:type="pct"/>
            <w:vMerge/>
            <w:shd w:val="clear" w:color="000000" w:fill="FFFFFF"/>
            <w:noWrap/>
            <w:vAlign w:val="center"/>
          </w:tcPr>
          <w:p w14:paraId="3B370DA9" w14:textId="77777777" w:rsidR="00A320E6" w:rsidRDefault="00A320E6" w:rsidP="00EC50E9">
            <w:pPr>
              <w:jc w:val="left"/>
              <w:rPr>
                <w:rFonts w:ascii="宋体" w:hAnsi="宋体" w:cs="宋体"/>
                <w:snapToGrid w:val="0"/>
                <w:kern w:val="0"/>
                <w:szCs w:val="21"/>
              </w:rPr>
            </w:pPr>
          </w:p>
        </w:tc>
      </w:tr>
      <w:tr w:rsidR="00A320E6" w14:paraId="3F171C4C" w14:textId="77777777">
        <w:trPr>
          <w:trHeight w:val="369"/>
          <w:jc w:val="center"/>
        </w:trPr>
        <w:tc>
          <w:tcPr>
            <w:tcW w:w="364" w:type="pct"/>
            <w:vMerge/>
            <w:vAlign w:val="center"/>
          </w:tcPr>
          <w:p w14:paraId="797431F5" w14:textId="77777777" w:rsidR="00A320E6" w:rsidRDefault="00A320E6" w:rsidP="00EC50E9">
            <w:pPr>
              <w:jc w:val="center"/>
              <w:rPr>
                <w:rFonts w:ascii="宋体" w:hAnsi="宋体" w:cs="宋体"/>
                <w:snapToGrid w:val="0"/>
                <w:kern w:val="0"/>
                <w:szCs w:val="21"/>
              </w:rPr>
            </w:pPr>
          </w:p>
        </w:tc>
        <w:tc>
          <w:tcPr>
            <w:tcW w:w="441" w:type="pct"/>
            <w:vMerge/>
            <w:vAlign w:val="center"/>
          </w:tcPr>
          <w:p w14:paraId="79AD6E40"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D6B7CF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化粪池</w:t>
            </w:r>
          </w:p>
        </w:tc>
        <w:tc>
          <w:tcPr>
            <w:tcW w:w="992" w:type="pct"/>
            <w:shd w:val="clear" w:color="000000" w:fill="FFFFFF"/>
            <w:vAlign w:val="center"/>
          </w:tcPr>
          <w:p w14:paraId="6FA6095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150-200元/m³</w:t>
            </w:r>
          </w:p>
        </w:tc>
        <w:tc>
          <w:tcPr>
            <w:tcW w:w="1450" w:type="pct"/>
            <w:vMerge/>
            <w:shd w:val="clear" w:color="000000" w:fill="FFFFFF"/>
            <w:noWrap/>
            <w:vAlign w:val="bottom"/>
          </w:tcPr>
          <w:p w14:paraId="4FC120E0" w14:textId="77777777" w:rsidR="00A320E6" w:rsidRDefault="00A320E6" w:rsidP="00EC50E9">
            <w:pPr>
              <w:jc w:val="left"/>
              <w:rPr>
                <w:rFonts w:ascii="宋体" w:hAnsi="宋体" w:cs="宋体"/>
                <w:snapToGrid w:val="0"/>
                <w:kern w:val="0"/>
                <w:szCs w:val="21"/>
              </w:rPr>
            </w:pPr>
          </w:p>
        </w:tc>
      </w:tr>
      <w:tr w:rsidR="00A320E6" w14:paraId="578A441C" w14:textId="77777777">
        <w:trPr>
          <w:trHeight w:val="340"/>
          <w:jc w:val="center"/>
        </w:trPr>
        <w:tc>
          <w:tcPr>
            <w:tcW w:w="364" w:type="pct"/>
            <w:shd w:val="clear" w:color="000000" w:fill="FFFFFF"/>
            <w:vAlign w:val="center"/>
          </w:tcPr>
          <w:p w14:paraId="74A5712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五</w:t>
            </w:r>
          </w:p>
        </w:tc>
        <w:tc>
          <w:tcPr>
            <w:tcW w:w="441" w:type="pct"/>
            <w:shd w:val="clear" w:color="000000" w:fill="FFFFFF"/>
            <w:vAlign w:val="center"/>
          </w:tcPr>
          <w:p w14:paraId="09F3452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迁坟</w:t>
            </w:r>
          </w:p>
        </w:tc>
        <w:tc>
          <w:tcPr>
            <w:tcW w:w="1752" w:type="pct"/>
            <w:gridSpan w:val="2"/>
            <w:shd w:val="clear" w:color="000000" w:fill="FFFFFF"/>
            <w:vAlign w:val="center"/>
          </w:tcPr>
          <w:p w14:paraId="54AFD9F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棺木、拾骨、骨灰盒</w:t>
            </w:r>
          </w:p>
        </w:tc>
        <w:tc>
          <w:tcPr>
            <w:tcW w:w="992" w:type="pct"/>
            <w:shd w:val="clear" w:color="000000" w:fill="FFFFFF"/>
            <w:vAlign w:val="center"/>
          </w:tcPr>
          <w:p w14:paraId="794A479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单棺2000元/座</w:t>
            </w:r>
          </w:p>
        </w:tc>
        <w:tc>
          <w:tcPr>
            <w:tcW w:w="1450" w:type="pct"/>
            <w:shd w:val="clear" w:color="000000" w:fill="FFFFFF"/>
            <w:vAlign w:val="center"/>
          </w:tcPr>
          <w:p w14:paraId="31A9BB7C"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1、包括迁葬工料等所有费用；</w:t>
            </w:r>
            <w:r>
              <w:rPr>
                <w:rFonts w:ascii="宋体" w:hAnsi="宋体" w:cs="宋体" w:hint="eastAsia"/>
                <w:snapToGrid w:val="0"/>
                <w:kern w:val="0"/>
                <w:szCs w:val="21"/>
              </w:rPr>
              <w:br/>
              <w:t>2、每增加一棺增加500元。</w:t>
            </w:r>
          </w:p>
        </w:tc>
      </w:tr>
      <w:tr w:rsidR="00A320E6" w14:paraId="315367D9" w14:textId="77777777">
        <w:trPr>
          <w:trHeight w:val="376"/>
          <w:jc w:val="center"/>
        </w:trPr>
        <w:tc>
          <w:tcPr>
            <w:tcW w:w="364" w:type="pct"/>
            <w:vMerge w:val="restart"/>
            <w:shd w:val="clear" w:color="000000" w:fill="FFFFFF"/>
            <w:noWrap/>
            <w:vAlign w:val="center"/>
          </w:tcPr>
          <w:p w14:paraId="6E63CB9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六</w:t>
            </w:r>
          </w:p>
        </w:tc>
        <w:tc>
          <w:tcPr>
            <w:tcW w:w="441" w:type="pct"/>
            <w:vMerge w:val="restart"/>
            <w:shd w:val="clear" w:color="000000" w:fill="FFFFFF"/>
            <w:vAlign w:val="center"/>
          </w:tcPr>
          <w:p w14:paraId="058790B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温室</w:t>
            </w:r>
          </w:p>
          <w:p w14:paraId="3CC7A35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大棚</w:t>
            </w:r>
          </w:p>
        </w:tc>
        <w:tc>
          <w:tcPr>
            <w:tcW w:w="1752" w:type="pct"/>
            <w:gridSpan w:val="2"/>
            <w:shd w:val="clear" w:color="000000" w:fill="FFFFFF"/>
            <w:vAlign w:val="center"/>
          </w:tcPr>
          <w:p w14:paraId="51D2C2F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钢、砼骨架、玻璃顶</w:t>
            </w:r>
          </w:p>
        </w:tc>
        <w:tc>
          <w:tcPr>
            <w:tcW w:w="992" w:type="pct"/>
            <w:shd w:val="clear" w:color="000000" w:fill="FFFFFF"/>
            <w:vAlign w:val="center"/>
          </w:tcPr>
          <w:p w14:paraId="1D8E163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190-240元/m</w:t>
            </w:r>
            <w:r>
              <w:rPr>
                <w:rFonts w:ascii="宋体" w:hAnsi="宋体" w:cs="宋体" w:hint="eastAsia"/>
                <w:snapToGrid w:val="0"/>
                <w:kern w:val="0"/>
                <w:szCs w:val="21"/>
                <w:vertAlign w:val="superscript"/>
              </w:rPr>
              <w:t>2</w:t>
            </w:r>
          </w:p>
        </w:tc>
        <w:tc>
          <w:tcPr>
            <w:tcW w:w="1450" w:type="pct"/>
            <w:shd w:val="clear" w:color="000000" w:fill="FFFFFF"/>
            <w:noWrap/>
            <w:vAlign w:val="bottom"/>
          </w:tcPr>
          <w:p w14:paraId="6EF7BE7B" w14:textId="77777777" w:rsidR="00A320E6" w:rsidRDefault="00A320E6" w:rsidP="00EC50E9">
            <w:pPr>
              <w:jc w:val="left"/>
              <w:rPr>
                <w:rFonts w:ascii="宋体" w:hAnsi="宋体" w:cs="宋体"/>
                <w:snapToGrid w:val="0"/>
                <w:kern w:val="0"/>
                <w:szCs w:val="21"/>
              </w:rPr>
            </w:pPr>
          </w:p>
        </w:tc>
      </w:tr>
      <w:tr w:rsidR="00A320E6" w14:paraId="0A2C8A73" w14:textId="77777777">
        <w:trPr>
          <w:trHeight w:val="340"/>
          <w:jc w:val="center"/>
        </w:trPr>
        <w:tc>
          <w:tcPr>
            <w:tcW w:w="364" w:type="pct"/>
            <w:vMerge/>
            <w:vAlign w:val="center"/>
          </w:tcPr>
          <w:p w14:paraId="67C3D0B6" w14:textId="77777777" w:rsidR="00A320E6" w:rsidRDefault="00A320E6" w:rsidP="00EC50E9">
            <w:pPr>
              <w:jc w:val="center"/>
              <w:rPr>
                <w:rFonts w:ascii="宋体" w:hAnsi="宋体" w:cs="宋体"/>
                <w:snapToGrid w:val="0"/>
                <w:kern w:val="0"/>
                <w:szCs w:val="21"/>
              </w:rPr>
            </w:pPr>
          </w:p>
        </w:tc>
        <w:tc>
          <w:tcPr>
            <w:tcW w:w="441" w:type="pct"/>
            <w:vMerge/>
            <w:vAlign w:val="center"/>
          </w:tcPr>
          <w:p w14:paraId="5E2AD100"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BA0C2A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钢、砼骨架，塑料薄膜棚</w:t>
            </w:r>
          </w:p>
        </w:tc>
        <w:tc>
          <w:tcPr>
            <w:tcW w:w="992" w:type="pct"/>
            <w:shd w:val="clear" w:color="000000" w:fill="FFFFFF"/>
            <w:vAlign w:val="center"/>
          </w:tcPr>
          <w:p w14:paraId="5157FF0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130-160元/m</w:t>
            </w:r>
            <w:r>
              <w:rPr>
                <w:rFonts w:ascii="宋体" w:hAnsi="宋体" w:cs="宋体" w:hint="eastAsia"/>
                <w:snapToGrid w:val="0"/>
                <w:kern w:val="0"/>
                <w:szCs w:val="21"/>
                <w:vertAlign w:val="superscript"/>
              </w:rPr>
              <w:t>2</w:t>
            </w:r>
          </w:p>
        </w:tc>
        <w:tc>
          <w:tcPr>
            <w:tcW w:w="1450" w:type="pct"/>
            <w:shd w:val="clear" w:color="000000" w:fill="FFFFFF"/>
            <w:vAlign w:val="center"/>
          </w:tcPr>
          <w:p w14:paraId="37DF3CCE"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1、包括机械、草棚及其他保温覆盖物；</w:t>
            </w:r>
            <w:r>
              <w:rPr>
                <w:rFonts w:ascii="宋体" w:hAnsi="宋体" w:cs="宋体" w:hint="eastAsia"/>
                <w:snapToGrid w:val="0"/>
                <w:kern w:val="0"/>
                <w:szCs w:val="21"/>
              </w:rPr>
              <w:br/>
              <w:t>2、有墙体的，按补偿标准上限执行；无墙体的，按补偿标准下限执行。</w:t>
            </w:r>
          </w:p>
        </w:tc>
      </w:tr>
      <w:tr w:rsidR="00A320E6" w14:paraId="2517591C" w14:textId="77777777">
        <w:trPr>
          <w:trHeight w:val="312"/>
          <w:jc w:val="center"/>
        </w:trPr>
        <w:tc>
          <w:tcPr>
            <w:tcW w:w="364" w:type="pct"/>
            <w:vMerge/>
            <w:vAlign w:val="center"/>
          </w:tcPr>
          <w:p w14:paraId="69C8088F" w14:textId="77777777" w:rsidR="00A320E6" w:rsidRDefault="00A320E6" w:rsidP="00EC50E9">
            <w:pPr>
              <w:jc w:val="center"/>
              <w:rPr>
                <w:rFonts w:ascii="宋体" w:hAnsi="宋体" w:cs="宋体"/>
                <w:snapToGrid w:val="0"/>
                <w:kern w:val="0"/>
                <w:szCs w:val="21"/>
              </w:rPr>
            </w:pPr>
          </w:p>
        </w:tc>
        <w:tc>
          <w:tcPr>
            <w:tcW w:w="441" w:type="pct"/>
            <w:vMerge/>
            <w:vAlign w:val="center"/>
          </w:tcPr>
          <w:p w14:paraId="39FD4B4A"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53E1A9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简易塑料薄膜棚</w:t>
            </w:r>
          </w:p>
        </w:tc>
        <w:tc>
          <w:tcPr>
            <w:tcW w:w="992" w:type="pct"/>
            <w:shd w:val="clear" w:color="000000" w:fill="FFFFFF"/>
            <w:vAlign w:val="center"/>
          </w:tcPr>
          <w:p w14:paraId="7A8F025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40-60元/m</w:t>
            </w:r>
            <w:r>
              <w:rPr>
                <w:rFonts w:ascii="宋体" w:hAnsi="宋体" w:cs="宋体" w:hint="eastAsia"/>
                <w:snapToGrid w:val="0"/>
                <w:kern w:val="0"/>
                <w:szCs w:val="21"/>
                <w:vertAlign w:val="superscript"/>
              </w:rPr>
              <w:t>2</w:t>
            </w:r>
          </w:p>
        </w:tc>
        <w:tc>
          <w:tcPr>
            <w:tcW w:w="1450" w:type="pct"/>
            <w:shd w:val="clear" w:color="000000" w:fill="FFFFFF"/>
            <w:vAlign w:val="center"/>
          </w:tcPr>
          <w:p w14:paraId="5B59F4F6"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竹骨架。</w:t>
            </w:r>
          </w:p>
        </w:tc>
      </w:tr>
      <w:tr w:rsidR="00A320E6" w14:paraId="6D79FC18" w14:textId="77777777">
        <w:trPr>
          <w:trHeight w:val="312"/>
          <w:jc w:val="center"/>
        </w:trPr>
        <w:tc>
          <w:tcPr>
            <w:tcW w:w="364" w:type="pct"/>
            <w:vMerge/>
            <w:vAlign w:val="center"/>
          </w:tcPr>
          <w:p w14:paraId="0BC2558D" w14:textId="77777777" w:rsidR="00A320E6" w:rsidRDefault="00A320E6" w:rsidP="00EC50E9">
            <w:pPr>
              <w:jc w:val="center"/>
              <w:rPr>
                <w:rFonts w:ascii="宋体" w:hAnsi="宋体" w:cs="宋体"/>
                <w:snapToGrid w:val="0"/>
                <w:kern w:val="0"/>
                <w:szCs w:val="21"/>
              </w:rPr>
            </w:pPr>
          </w:p>
        </w:tc>
        <w:tc>
          <w:tcPr>
            <w:tcW w:w="441" w:type="pct"/>
            <w:vMerge/>
            <w:vAlign w:val="center"/>
          </w:tcPr>
          <w:p w14:paraId="3958B58D"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1B39A5F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地棚（小拱棚）</w:t>
            </w:r>
          </w:p>
        </w:tc>
        <w:tc>
          <w:tcPr>
            <w:tcW w:w="992" w:type="pct"/>
            <w:shd w:val="clear" w:color="000000" w:fill="FFFFFF"/>
            <w:vAlign w:val="center"/>
          </w:tcPr>
          <w:p w14:paraId="0DA089A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6-10元/m</w:t>
            </w:r>
            <w:r>
              <w:rPr>
                <w:rFonts w:ascii="宋体" w:hAnsi="宋体" w:cs="宋体" w:hint="eastAsia"/>
                <w:snapToGrid w:val="0"/>
                <w:kern w:val="0"/>
                <w:szCs w:val="21"/>
                <w:vertAlign w:val="superscript"/>
              </w:rPr>
              <w:t>2</w:t>
            </w:r>
          </w:p>
        </w:tc>
        <w:tc>
          <w:tcPr>
            <w:tcW w:w="1450" w:type="pct"/>
            <w:shd w:val="clear" w:color="000000" w:fill="FFFFFF"/>
            <w:vAlign w:val="center"/>
          </w:tcPr>
          <w:p w14:paraId="62CCFFB0"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跨度2m、高度1m以下。</w:t>
            </w:r>
          </w:p>
        </w:tc>
      </w:tr>
      <w:tr w:rsidR="00A320E6" w14:paraId="10F2C27D" w14:textId="77777777">
        <w:trPr>
          <w:trHeight w:val="312"/>
          <w:jc w:val="center"/>
        </w:trPr>
        <w:tc>
          <w:tcPr>
            <w:tcW w:w="364" w:type="pct"/>
            <w:vMerge w:val="restart"/>
            <w:shd w:val="clear" w:color="000000" w:fill="FFFFFF"/>
            <w:vAlign w:val="center"/>
          </w:tcPr>
          <w:p w14:paraId="7BC919E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七</w:t>
            </w:r>
          </w:p>
        </w:tc>
        <w:tc>
          <w:tcPr>
            <w:tcW w:w="441" w:type="pct"/>
            <w:vMerge w:val="restart"/>
            <w:shd w:val="clear" w:color="000000" w:fill="FFFFFF"/>
            <w:vAlign w:val="center"/>
          </w:tcPr>
          <w:p w14:paraId="6CF3B66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小桥</w:t>
            </w:r>
          </w:p>
        </w:tc>
        <w:tc>
          <w:tcPr>
            <w:tcW w:w="1752" w:type="pct"/>
            <w:gridSpan w:val="2"/>
            <w:shd w:val="clear" w:color="000000" w:fill="FFFFFF"/>
            <w:vAlign w:val="center"/>
          </w:tcPr>
          <w:p w14:paraId="5CA9F85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钢筋混凝土矩形板桥</w:t>
            </w:r>
          </w:p>
        </w:tc>
        <w:tc>
          <w:tcPr>
            <w:tcW w:w="992" w:type="pct"/>
            <w:shd w:val="clear" w:color="000000" w:fill="FFFFFF"/>
            <w:vAlign w:val="center"/>
          </w:tcPr>
          <w:p w14:paraId="7FA8265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1800－2000元/m</w:t>
            </w:r>
            <w:r>
              <w:rPr>
                <w:rFonts w:ascii="宋体" w:hAnsi="宋体" w:cs="宋体" w:hint="eastAsia"/>
                <w:snapToGrid w:val="0"/>
                <w:kern w:val="0"/>
                <w:szCs w:val="21"/>
                <w:vertAlign w:val="superscript"/>
              </w:rPr>
              <w:t>2</w:t>
            </w:r>
          </w:p>
        </w:tc>
        <w:tc>
          <w:tcPr>
            <w:tcW w:w="1450" w:type="pct"/>
            <w:vMerge w:val="restart"/>
            <w:shd w:val="clear" w:color="000000" w:fill="FFFFFF"/>
            <w:vAlign w:val="center"/>
          </w:tcPr>
          <w:p w14:paraId="70D405E3"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按桥面面积计算。</w:t>
            </w:r>
          </w:p>
        </w:tc>
      </w:tr>
      <w:tr w:rsidR="00A320E6" w14:paraId="1AA1F150" w14:textId="77777777">
        <w:trPr>
          <w:trHeight w:val="312"/>
          <w:jc w:val="center"/>
        </w:trPr>
        <w:tc>
          <w:tcPr>
            <w:tcW w:w="364" w:type="pct"/>
            <w:vMerge/>
            <w:vAlign w:val="center"/>
          </w:tcPr>
          <w:p w14:paraId="4C1BF3FA" w14:textId="77777777" w:rsidR="00A320E6" w:rsidRDefault="00A320E6" w:rsidP="00EC50E9">
            <w:pPr>
              <w:jc w:val="center"/>
              <w:rPr>
                <w:rFonts w:ascii="宋体" w:hAnsi="宋体" w:cs="宋体"/>
                <w:snapToGrid w:val="0"/>
                <w:kern w:val="0"/>
                <w:szCs w:val="21"/>
              </w:rPr>
            </w:pPr>
          </w:p>
        </w:tc>
        <w:tc>
          <w:tcPr>
            <w:tcW w:w="441" w:type="pct"/>
            <w:vMerge/>
            <w:vAlign w:val="center"/>
          </w:tcPr>
          <w:p w14:paraId="676B8AFF"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3C035E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平坦石拱桥</w:t>
            </w:r>
          </w:p>
        </w:tc>
        <w:tc>
          <w:tcPr>
            <w:tcW w:w="992" w:type="pct"/>
            <w:shd w:val="clear" w:color="000000" w:fill="FFFFFF"/>
            <w:vAlign w:val="center"/>
          </w:tcPr>
          <w:p w14:paraId="1FE17E0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1400－1600元/m</w:t>
            </w:r>
            <w:r>
              <w:rPr>
                <w:rFonts w:ascii="宋体" w:hAnsi="宋体" w:cs="宋体" w:hint="eastAsia"/>
                <w:snapToGrid w:val="0"/>
                <w:kern w:val="0"/>
                <w:szCs w:val="21"/>
                <w:vertAlign w:val="superscript"/>
              </w:rPr>
              <w:t>2</w:t>
            </w:r>
          </w:p>
        </w:tc>
        <w:tc>
          <w:tcPr>
            <w:tcW w:w="1450" w:type="pct"/>
            <w:vMerge/>
            <w:vAlign w:val="center"/>
          </w:tcPr>
          <w:p w14:paraId="28AD47A3" w14:textId="77777777" w:rsidR="00A320E6" w:rsidRDefault="00A320E6" w:rsidP="00EC50E9">
            <w:pPr>
              <w:jc w:val="left"/>
              <w:rPr>
                <w:rFonts w:ascii="宋体" w:hAnsi="宋体" w:cs="宋体"/>
                <w:snapToGrid w:val="0"/>
                <w:kern w:val="0"/>
                <w:szCs w:val="21"/>
              </w:rPr>
            </w:pPr>
          </w:p>
        </w:tc>
      </w:tr>
      <w:tr w:rsidR="00A320E6" w14:paraId="632C281D" w14:textId="77777777">
        <w:trPr>
          <w:trHeight w:val="312"/>
          <w:jc w:val="center"/>
        </w:trPr>
        <w:tc>
          <w:tcPr>
            <w:tcW w:w="364" w:type="pct"/>
            <w:vMerge/>
            <w:vAlign w:val="center"/>
          </w:tcPr>
          <w:p w14:paraId="51B34D46" w14:textId="77777777" w:rsidR="00A320E6" w:rsidRDefault="00A320E6" w:rsidP="00EC50E9">
            <w:pPr>
              <w:jc w:val="center"/>
              <w:rPr>
                <w:rFonts w:ascii="宋体" w:hAnsi="宋体" w:cs="宋体"/>
                <w:snapToGrid w:val="0"/>
                <w:kern w:val="0"/>
                <w:szCs w:val="21"/>
              </w:rPr>
            </w:pPr>
          </w:p>
        </w:tc>
        <w:tc>
          <w:tcPr>
            <w:tcW w:w="441" w:type="pct"/>
            <w:vMerge/>
            <w:vAlign w:val="center"/>
          </w:tcPr>
          <w:p w14:paraId="66A84DA5"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1B79D4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石拱桥</w:t>
            </w:r>
          </w:p>
        </w:tc>
        <w:tc>
          <w:tcPr>
            <w:tcW w:w="992" w:type="pct"/>
            <w:shd w:val="clear" w:color="000000" w:fill="FFFFFF"/>
            <w:vAlign w:val="center"/>
          </w:tcPr>
          <w:p w14:paraId="5C1909E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2000－2400元/m</w:t>
            </w:r>
            <w:r>
              <w:rPr>
                <w:rFonts w:ascii="宋体" w:hAnsi="宋体" w:cs="宋体" w:hint="eastAsia"/>
                <w:snapToGrid w:val="0"/>
                <w:kern w:val="0"/>
                <w:szCs w:val="21"/>
                <w:vertAlign w:val="superscript"/>
              </w:rPr>
              <w:t>2</w:t>
            </w:r>
          </w:p>
        </w:tc>
        <w:tc>
          <w:tcPr>
            <w:tcW w:w="1450" w:type="pct"/>
            <w:vMerge/>
            <w:vAlign w:val="center"/>
          </w:tcPr>
          <w:p w14:paraId="479CBDDA" w14:textId="77777777" w:rsidR="00A320E6" w:rsidRDefault="00A320E6" w:rsidP="00EC50E9">
            <w:pPr>
              <w:jc w:val="left"/>
              <w:rPr>
                <w:rFonts w:ascii="宋体" w:hAnsi="宋体" w:cs="宋体"/>
                <w:snapToGrid w:val="0"/>
                <w:kern w:val="0"/>
                <w:szCs w:val="21"/>
              </w:rPr>
            </w:pPr>
          </w:p>
        </w:tc>
      </w:tr>
      <w:tr w:rsidR="00A320E6" w14:paraId="5BD08AFF" w14:textId="77777777">
        <w:trPr>
          <w:trHeight w:val="312"/>
          <w:jc w:val="center"/>
        </w:trPr>
        <w:tc>
          <w:tcPr>
            <w:tcW w:w="364" w:type="pct"/>
            <w:vMerge/>
            <w:vAlign w:val="center"/>
          </w:tcPr>
          <w:p w14:paraId="300BCB29" w14:textId="77777777" w:rsidR="00A320E6" w:rsidRDefault="00A320E6" w:rsidP="00EC50E9">
            <w:pPr>
              <w:jc w:val="center"/>
              <w:rPr>
                <w:rFonts w:ascii="宋体" w:hAnsi="宋体" w:cs="宋体"/>
                <w:snapToGrid w:val="0"/>
                <w:kern w:val="0"/>
                <w:szCs w:val="21"/>
              </w:rPr>
            </w:pPr>
          </w:p>
        </w:tc>
        <w:tc>
          <w:tcPr>
            <w:tcW w:w="441" w:type="pct"/>
            <w:vMerge/>
            <w:vAlign w:val="center"/>
          </w:tcPr>
          <w:p w14:paraId="4F7DA994"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2DF69C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简易小桥</w:t>
            </w:r>
          </w:p>
        </w:tc>
        <w:tc>
          <w:tcPr>
            <w:tcW w:w="992" w:type="pct"/>
            <w:shd w:val="clear" w:color="000000" w:fill="FFFFFF"/>
            <w:vAlign w:val="center"/>
          </w:tcPr>
          <w:p w14:paraId="6FE90CE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400-600元/m</w:t>
            </w:r>
            <w:r>
              <w:rPr>
                <w:rFonts w:ascii="宋体" w:hAnsi="宋体" w:cs="宋体" w:hint="eastAsia"/>
                <w:snapToGrid w:val="0"/>
                <w:kern w:val="0"/>
                <w:szCs w:val="21"/>
                <w:vertAlign w:val="superscript"/>
              </w:rPr>
              <w:t>2</w:t>
            </w:r>
          </w:p>
        </w:tc>
        <w:tc>
          <w:tcPr>
            <w:tcW w:w="1450" w:type="pct"/>
            <w:vMerge/>
            <w:vAlign w:val="center"/>
          </w:tcPr>
          <w:p w14:paraId="5AA089BA" w14:textId="77777777" w:rsidR="00A320E6" w:rsidRDefault="00A320E6" w:rsidP="00EC50E9">
            <w:pPr>
              <w:jc w:val="left"/>
              <w:rPr>
                <w:rFonts w:ascii="宋体" w:hAnsi="宋体" w:cs="宋体"/>
                <w:snapToGrid w:val="0"/>
                <w:kern w:val="0"/>
                <w:szCs w:val="21"/>
              </w:rPr>
            </w:pPr>
          </w:p>
        </w:tc>
      </w:tr>
      <w:tr w:rsidR="00A320E6" w14:paraId="280FCA73" w14:textId="77777777">
        <w:trPr>
          <w:trHeight w:val="312"/>
          <w:jc w:val="center"/>
        </w:trPr>
        <w:tc>
          <w:tcPr>
            <w:tcW w:w="364" w:type="pct"/>
            <w:vMerge w:val="restart"/>
            <w:shd w:val="clear" w:color="000000" w:fill="FFFFFF"/>
            <w:vAlign w:val="center"/>
          </w:tcPr>
          <w:p w14:paraId="6A713E1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八</w:t>
            </w:r>
          </w:p>
        </w:tc>
        <w:tc>
          <w:tcPr>
            <w:tcW w:w="441" w:type="pct"/>
            <w:vMerge w:val="restart"/>
            <w:shd w:val="clear" w:color="000000" w:fill="FFFFFF"/>
            <w:vAlign w:val="center"/>
          </w:tcPr>
          <w:p w14:paraId="1567CFF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涵洞</w:t>
            </w:r>
          </w:p>
        </w:tc>
        <w:tc>
          <w:tcPr>
            <w:tcW w:w="1752" w:type="pct"/>
            <w:gridSpan w:val="2"/>
            <w:shd w:val="clear" w:color="000000" w:fill="FFFFFF"/>
            <w:vAlign w:val="center"/>
          </w:tcPr>
          <w:p w14:paraId="4AA15DB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石盖板涵跨径0.75-2m</w:t>
            </w:r>
          </w:p>
        </w:tc>
        <w:tc>
          <w:tcPr>
            <w:tcW w:w="992" w:type="pct"/>
            <w:shd w:val="clear" w:color="000000" w:fill="FFFFFF"/>
            <w:vAlign w:val="center"/>
          </w:tcPr>
          <w:p w14:paraId="2B95176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600－700元/m</w:t>
            </w:r>
          </w:p>
        </w:tc>
        <w:tc>
          <w:tcPr>
            <w:tcW w:w="1450" w:type="pct"/>
            <w:shd w:val="clear" w:color="000000" w:fill="FFFFFF"/>
            <w:vAlign w:val="center"/>
          </w:tcPr>
          <w:p w14:paraId="11B0007F" w14:textId="77777777" w:rsidR="00A320E6" w:rsidRDefault="00A320E6" w:rsidP="00EC50E9">
            <w:pPr>
              <w:jc w:val="left"/>
              <w:rPr>
                <w:rFonts w:ascii="宋体" w:hAnsi="宋体" w:cs="宋体"/>
                <w:snapToGrid w:val="0"/>
                <w:kern w:val="0"/>
                <w:szCs w:val="21"/>
              </w:rPr>
            </w:pPr>
          </w:p>
        </w:tc>
      </w:tr>
      <w:tr w:rsidR="00A320E6" w14:paraId="0C84922D" w14:textId="77777777">
        <w:trPr>
          <w:trHeight w:val="312"/>
          <w:jc w:val="center"/>
        </w:trPr>
        <w:tc>
          <w:tcPr>
            <w:tcW w:w="364" w:type="pct"/>
            <w:vMerge/>
            <w:vAlign w:val="center"/>
          </w:tcPr>
          <w:p w14:paraId="00D66E1B" w14:textId="77777777" w:rsidR="00A320E6" w:rsidRDefault="00A320E6" w:rsidP="00EC50E9">
            <w:pPr>
              <w:jc w:val="center"/>
              <w:rPr>
                <w:rFonts w:ascii="宋体" w:hAnsi="宋体" w:cs="宋体"/>
                <w:snapToGrid w:val="0"/>
                <w:kern w:val="0"/>
                <w:szCs w:val="21"/>
              </w:rPr>
            </w:pPr>
          </w:p>
        </w:tc>
        <w:tc>
          <w:tcPr>
            <w:tcW w:w="441" w:type="pct"/>
            <w:vMerge/>
            <w:vAlign w:val="center"/>
          </w:tcPr>
          <w:p w14:paraId="3D4AAA7F"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47B95D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石拱涵跨径1-5m</w:t>
            </w:r>
          </w:p>
        </w:tc>
        <w:tc>
          <w:tcPr>
            <w:tcW w:w="992" w:type="pct"/>
            <w:shd w:val="clear" w:color="000000" w:fill="FFFFFF"/>
            <w:vAlign w:val="center"/>
          </w:tcPr>
          <w:p w14:paraId="442F436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2200－2600元/m</w:t>
            </w:r>
          </w:p>
        </w:tc>
        <w:tc>
          <w:tcPr>
            <w:tcW w:w="1450" w:type="pct"/>
            <w:shd w:val="clear" w:color="000000" w:fill="FFFFFF"/>
            <w:vAlign w:val="center"/>
          </w:tcPr>
          <w:p w14:paraId="64397D30" w14:textId="77777777" w:rsidR="00A320E6" w:rsidRDefault="00A320E6" w:rsidP="00EC50E9">
            <w:pPr>
              <w:jc w:val="left"/>
              <w:rPr>
                <w:rFonts w:ascii="宋体" w:hAnsi="宋体" w:cs="宋体"/>
                <w:snapToGrid w:val="0"/>
                <w:kern w:val="0"/>
                <w:szCs w:val="21"/>
              </w:rPr>
            </w:pPr>
          </w:p>
        </w:tc>
      </w:tr>
      <w:tr w:rsidR="00A320E6" w14:paraId="43BCFAB3" w14:textId="77777777">
        <w:trPr>
          <w:trHeight w:val="312"/>
          <w:jc w:val="center"/>
        </w:trPr>
        <w:tc>
          <w:tcPr>
            <w:tcW w:w="364" w:type="pct"/>
            <w:vMerge/>
            <w:vAlign w:val="center"/>
          </w:tcPr>
          <w:p w14:paraId="54E885DD" w14:textId="77777777" w:rsidR="00A320E6" w:rsidRDefault="00A320E6" w:rsidP="00EC50E9">
            <w:pPr>
              <w:jc w:val="center"/>
              <w:rPr>
                <w:rFonts w:ascii="宋体" w:hAnsi="宋体" w:cs="宋体"/>
                <w:snapToGrid w:val="0"/>
                <w:kern w:val="0"/>
                <w:szCs w:val="21"/>
              </w:rPr>
            </w:pPr>
          </w:p>
        </w:tc>
        <w:tc>
          <w:tcPr>
            <w:tcW w:w="441" w:type="pct"/>
            <w:vMerge/>
            <w:vAlign w:val="center"/>
          </w:tcPr>
          <w:p w14:paraId="77644DFE"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5E10F9E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钢筋混凝土圆管涵跨径0.75-2m</w:t>
            </w:r>
          </w:p>
        </w:tc>
        <w:tc>
          <w:tcPr>
            <w:tcW w:w="992" w:type="pct"/>
            <w:shd w:val="clear" w:color="000000" w:fill="FFFFFF"/>
            <w:vAlign w:val="center"/>
          </w:tcPr>
          <w:p w14:paraId="4C4F79F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1800－2400元/m</w:t>
            </w:r>
          </w:p>
        </w:tc>
        <w:tc>
          <w:tcPr>
            <w:tcW w:w="1450" w:type="pct"/>
            <w:shd w:val="clear" w:color="000000" w:fill="FFFFFF"/>
            <w:vAlign w:val="center"/>
          </w:tcPr>
          <w:p w14:paraId="2006E647" w14:textId="77777777" w:rsidR="00A320E6" w:rsidRDefault="00A320E6" w:rsidP="00EC50E9">
            <w:pPr>
              <w:jc w:val="left"/>
              <w:rPr>
                <w:rFonts w:ascii="宋体" w:hAnsi="宋体" w:cs="宋体"/>
                <w:snapToGrid w:val="0"/>
                <w:kern w:val="0"/>
                <w:szCs w:val="21"/>
              </w:rPr>
            </w:pPr>
          </w:p>
        </w:tc>
      </w:tr>
      <w:tr w:rsidR="00A320E6" w14:paraId="5D952828" w14:textId="77777777">
        <w:trPr>
          <w:trHeight w:val="439"/>
          <w:jc w:val="center"/>
        </w:trPr>
        <w:tc>
          <w:tcPr>
            <w:tcW w:w="364" w:type="pct"/>
            <w:vMerge/>
            <w:vAlign w:val="center"/>
          </w:tcPr>
          <w:p w14:paraId="43EA74C0" w14:textId="77777777" w:rsidR="00A320E6" w:rsidRDefault="00A320E6" w:rsidP="00EC50E9">
            <w:pPr>
              <w:jc w:val="center"/>
              <w:rPr>
                <w:rFonts w:ascii="宋体" w:hAnsi="宋体" w:cs="宋体"/>
                <w:snapToGrid w:val="0"/>
                <w:kern w:val="0"/>
                <w:szCs w:val="21"/>
              </w:rPr>
            </w:pPr>
          </w:p>
        </w:tc>
        <w:tc>
          <w:tcPr>
            <w:tcW w:w="441" w:type="pct"/>
            <w:vMerge/>
            <w:vAlign w:val="center"/>
          </w:tcPr>
          <w:p w14:paraId="148DCDC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1F1C37F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钢筋混凝土盖板涵跨径1.5-2m</w:t>
            </w:r>
          </w:p>
        </w:tc>
        <w:tc>
          <w:tcPr>
            <w:tcW w:w="992" w:type="pct"/>
            <w:shd w:val="clear" w:color="000000" w:fill="FFFFFF"/>
            <w:vAlign w:val="center"/>
          </w:tcPr>
          <w:p w14:paraId="189ADA9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2400－2800元/m</w:t>
            </w:r>
          </w:p>
        </w:tc>
        <w:tc>
          <w:tcPr>
            <w:tcW w:w="1450" w:type="pct"/>
            <w:shd w:val="clear" w:color="000000" w:fill="FFFFFF"/>
            <w:vAlign w:val="center"/>
          </w:tcPr>
          <w:p w14:paraId="07BFA121" w14:textId="77777777" w:rsidR="00A320E6" w:rsidRDefault="00A320E6" w:rsidP="00EC50E9">
            <w:pPr>
              <w:jc w:val="left"/>
              <w:rPr>
                <w:rFonts w:ascii="宋体" w:hAnsi="宋体" w:cs="宋体"/>
                <w:snapToGrid w:val="0"/>
                <w:kern w:val="0"/>
                <w:szCs w:val="21"/>
              </w:rPr>
            </w:pPr>
          </w:p>
        </w:tc>
      </w:tr>
      <w:tr w:rsidR="00A320E6" w14:paraId="4160219B" w14:textId="77777777">
        <w:trPr>
          <w:trHeight w:val="312"/>
          <w:jc w:val="center"/>
        </w:trPr>
        <w:tc>
          <w:tcPr>
            <w:tcW w:w="364" w:type="pct"/>
            <w:vMerge w:val="restart"/>
            <w:shd w:val="clear" w:color="000000" w:fill="FFFFFF"/>
            <w:vAlign w:val="center"/>
          </w:tcPr>
          <w:p w14:paraId="3E32771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九</w:t>
            </w:r>
          </w:p>
        </w:tc>
        <w:tc>
          <w:tcPr>
            <w:tcW w:w="441" w:type="pct"/>
            <w:vMerge w:val="restart"/>
            <w:shd w:val="clear" w:color="000000" w:fill="FFFFFF"/>
            <w:vAlign w:val="center"/>
          </w:tcPr>
          <w:p w14:paraId="310EE70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水渠、水池</w:t>
            </w:r>
          </w:p>
        </w:tc>
        <w:tc>
          <w:tcPr>
            <w:tcW w:w="1752" w:type="pct"/>
            <w:gridSpan w:val="2"/>
            <w:shd w:val="clear" w:color="000000" w:fill="FFFFFF"/>
            <w:vAlign w:val="center"/>
          </w:tcPr>
          <w:p w14:paraId="23C0AF5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土筑水渠、水池</w:t>
            </w:r>
          </w:p>
        </w:tc>
        <w:tc>
          <w:tcPr>
            <w:tcW w:w="992" w:type="pct"/>
            <w:shd w:val="clear" w:color="000000" w:fill="FFFFFF"/>
            <w:vAlign w:val="center"/>
          </w:tcPr>
          <w:p w14:paraId="321342E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25-35元/m³</w:t>
            </w:r>
          </w:p>
        </w:tc>
        <w:tc>
          <w:tcPr>
            <w:tcW w:w="1450" w:type="pct"/>
            <w:shd w:val="clear" w:color="000000" w:fill="FFFFFF"/>
            <w:vAlign w:val="center"/>
          </w:tcPr>
          <w:p w14:paraId="27FA1E10"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按挖方体积、不包括田间毛渠。</w:t>
            </w:r>
          </w:p>
        </w:tc>
      </w:tr>
      <w:tr w:rsidR="00A320E6" w14:paraId="5A30DD36" w14:textId="77777777">
        <w:trPr>
          <w:trHeight w:val="436"/>
          <w:jc w:val="center"/>
        </w:trPr>
        <w:tc>
          <w:tcPr>
            <w:tcW w:w="364" w:type="pct"/>
            <w:vMerge/>
            <w:vAlign w:val="center"/>
          </w:tcPr>
          <w:p w14:paraId="1FF61053" w14:textId="77777777" w:rsidR="00A320E6" w:rsidRDefault="00A320E6" w:rsidP="00EC50E9">
            <w:pPr>
              <w:jc w:val="center"/>
              <w:rPr>
                <w:rFonts w:ascii="宋体" w:hAnsi="宋体" w:cs="宋体"/>
                <w:snapToGrid w:val="0"/>
                <w:kern w:val="0"/>
                <w:szCs w:val="21"/>
              </w:rPr>
            </w:pPr>
          </w:p>
        </w:tc>
        <w:tc>
          <w:tcPr>
            <w:tcW w:w="441" w:type="pct"/>
            <w:vMerge/>
            <w:vAlign w:val="center"/>
          </w:tcPr>
          <w:p w14:paraId="3DDD11E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50484E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石砌水渠、水池</w:t>
            </w:r>
          </w:p>
        </w:tc>
        <w:tc>
          <w:tcPr>
            <w:tcW w:w="992" w:type="pct"/>
            <w:shd w:val="clear" w:color="000000" w:fill="FFFFFF"/>
            <w:vAlign w:val="center"/>
          </w:tcPr>
          <w:p w14:paraId="796BCF1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70-90元/m</w:t>
            </w:r>
            <w:r>
              <w:rPr>
                <w:rFonts w:ascii="宋体" w:hAnsi="宋体" w:cs="宋体" w:hint="eastAsia"/>
                <w:snapToGrid w:val="0"/>
                <w:kern w:val="0"/>
                <w:szCs w:val="21"/>
                <w:vertAlign w:val="superscript"/>
              </w:rPr>
              <w:t>2</w:t>
            </w:r>
          </w:p>
        </w:tc>
        <w:tc>
          <w:tcPr>
            <w:tcW w:w="1450" w:type="pct"/>
            <w:vMerge w:val="restart"/>
            <w:shd w:val="clear" w:color="000000" w:fill="FFFFFF"/>
            <w:vAlign w:val="center"/>
          </w:tcPr>
          <w:p w14:paraId="37F557AA"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1、土方另计；</w:t>
            </w:r>
            <w:r>
              <w:rPr>
                <w:rFonts w:ascii="宋体" w:hAnsi="宋体" w:cs="宋体" w:hint="eastAsia"/>
                <w:snapToGrid w:val="0"/>
                <w:kern w:val="0"/>
                <w:szCs w:val="21"/>
              </w:rPr>
              <w:br/>
              <w:t>2、水池应按水池四周及底面的平方面积计算；</w:t>
            </w:r>
            <w:r>
              <w:rPr>
                <w:rFonts w:ascii="宋体" w:hAnsi="宋体" w:cs="宋体" w:hint="eastAsia"/>
                <w:snapToGrid w:val="0"/>
                <w:kern w:val="0"/>
                <w:szCs w:val="21"/>
              </w:rPr>
              <w:br/>
              <w:t>3、水渠应按水渠两侧及底面的平方面积计算。</w:t>
            </w:r>
          </w:p>
        </w:tc>
      </w:tr>
      <w:tr w:rsidR="00A320E6" w14:paraId="1325815B" w14:textId="77777777">
        <w:trPr>
          <w:trHeight w:val="312"/>
          <w:jc w:val="center"/>
        </w:trPr>
        <w:tc>
          <w:tcPr>
            <w:tcW w:w="364" w:type="pct"/>
            <w:vMerge/>
            <w:vAlign w:val="center"/>
          </w:tcPr>
          <w:p w14:paraId="1FA35343" w14:textId="77777777" w:rsidR="00A320E6" w:rsidRDefault="00A320E6" w:rsidP="00EC50E9">
            <w:pPr>
              <w:jc w:val="center"/>
              <w:rPr>
                <w:rFonts w:ascii="宋体" w:hAnsi="宋体" w:cs="宋体"/>
                <w:snapToGrid w:val="0"/>
                <w:kern w:val="0"/>
                <w:szCs w:val="21"/>
              </w:rPr>
            </w:pPr>
          </w:p>
        </w:tc>
        <w:tc>
          <w:tcPr>
            <w:tcW w:w="441" w:type="pct"/>
            <w:vMerge/>
            <w:vAlign w:val="center"/>
          </w:tcPr>
          <w:p w14:paraId="57BDE15E"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A7BBD8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砖砌水渠、水池</w:t>
            </w:r>
          </w:p>
        </w:tc>
        <w:tc>
          <w:tcPr>
            <w:tcW w:w="992" w:type="pct"/>
            <w:shd w:val="clear" w:color="000000" w:fill="FFFFFF"/>
            <w:vAlign w:val="center"/>
          </w:tcPr>
          <w:p w14:paraId="68237B0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90-110元/m</w:t>
            </w:r>
            <w:r>
              <w:rPr>
                <w:rFonts w:ascii="宋体" w:hAnsi="宋体" w:cs="宋体" w:hint="eastAsia"/>
                <w:snapToGrid w:val="0"/>
                <w:kern w:val="0"/>
                <w:szCs w:val="21"/>
                <w:vertAlign w:val="superscript"/>
              </w:rPr>
              <w:t>2</w:t>
            </w:r>
          </w:p>
        </w:tc>
        <w:tc>
          <w:tcPr>
            <w:tcW w:w="1450" w:type="pct"/>
            <w:vMerge/>
            <w:vAlign w:val="center"/>
          </w:tcPr>
          <w:p w14:paraId="3432925B" w14:textId="77777777" w:rsidR="00A320E6" w:rsidRDefault="00A320E6" w:rsidP="00EC50E9">
            <w:pPr>
              <w:jc w:val="left"/>
              <w:rPr>
                <w:rFonts w:ascii="宋体" w:hAnsi="宋体" w:cs="宋体"/>
                <w:snapToGrid w:val="0"/>
                <w:kern w:val="0"/>
                <w:szCs w:val="21"/>
              </w:rPr>
            </w:pPr>
          </w:p>
        </w:tc>
      </w:tr>
      <w:tr w:rsidR="00A320E6" w14:paraId="51968947" w14:textId="77777777">
        <w:trPr>
          <w:trHeight w:val="312"/>
          <w:jc w:val="center"/>
        </w:trPr>
        <w:tc>
          <w:tcPr>
            <w:tcW w:w="364" w:type="pct"/>
            <w:vMerge/>
            <w:vAlign w:val="center"/>
          </w:tcPr>
          <w:p w14:paraId="20E040CD" w14:textId="77777777" w:rsidR="00A320E6" w:rsidRDefault="00A320E6" w:rsidP="00EC50E9">
            <w:pPr>
              <w:jc w:val="center"/>
              <w:rPr>
                <w:rFonts w:ascii="宋体" w:hAnsi="宋体" w:cs="宋体"/>
                <w:snapToGrid w:val="0"/>
                <w:kern w:val="0"/>
                <w:szCs w:val="21"/>
              </w:rPr>
            </w:pPr>
          </w:p>
        </w:tc>
        <w:tc>
          <w:tcPr>
            <w:tcW w:w="441" w:type="pct"/>
            <w:vMerge/>
            <w:vAlign w:val="center"/>
          </w:tcPr>
          <w:p w14:paraId="5622A98D"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ACF5F1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自来水管（主管道）</w:t>
            </w:r>
          </w:p>
        </w:tc>
        <w:tc>
          <w:tcPr>
            <w:tcW w:w="992" w:type="pct"/>
            <w:shd w:val="clear" w:color="000000" w:fill="FFFFFF"/>
            <w:vAlign w:val="center"/>
          </w:tcPr>
          <w:p w14:paraId="507FB92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25-45元/m</w:t>
            </w:r>
          </w:p>
        </w:tc>
        <w:tc>
          <w:tcPr>
            <w:tcW w:w="1450" w:type="pct"/>
            <w:shd w:val="clear" w:color="000000" w:fill="FFFFFF"/>
            <w:vAlign w:val="center"/>
          </w:tcPr>
          <w:p w14:paraId="4EEF68DB" w14:textId="77777777" w:rsidR="00A320E6" w:rsidRDefault="00A320E6" w:rsidP="00EC50E9">
            <w:pPr>
              <w:jc w:val="left"/>
              <w:rPr>
                <w:rFonts w:ascii="宋体" w:hAnsi="宋体" w:cs="宋体"/>
                <w:snapToGrid w:val="0"/>
                <w:kern w:val="0"/>
                <w:szCs w:val="21"/>
              </w:rPr>
            </w:pPr>
          </w:p>
        </w:tc>
      </w:tr>
      <w:tr w:rsidR="00A320E6" w14:paraId="00F05A50" w14:textId="77777777">
        <w:trPr>
          <w:trHeight w:val="312"/>
          <w:jc w:val="center"/>
        </w:trPr>
        <w:tc>
          <w:tcPr>
            <w:tcW w:w="364" w:type="pct"/>
            <w:vMerge/>
            <w:vAlign w:val="center"/>
          </w:tcPr>
          <w:p w14:paraId="171D3BF7" w14:textId="77777777" w:rsidR="00A320E6" w:rsidRDefault="00A320E6" w:rsidP="00EC50E9">
            <w:pPr>
              <w:jc w:val="center"/>
              <w:rPr>
                <w:rFonts w:ascii="宋体" w:hAnsi="宋体" w:cs="宋体"/>
                <w:snapToGrid w:val="0"/>
                <w:kern w:val="0"/>
                <w:szCs w:val="21"/>
              </w:rPr>
            </w:pPr>
          </w:p>
        </w:tc>
        <w:tc>
          <w:tcPr>
            <w:tcW w:w="441" w:type="pct"/>
            <w:vMerge/>
            <w:vAlign w:val="center"/>
          </w:tcPr>
          <w:p w14:paraId="57923E0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062A7C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自来水管（户内）</w:t>
            </w:r>
          </w:p>
        </w:tc>
        <w:tc>
          <w:tcPr>
            <w:tcW w:w="992" w:type="pct"/>
            <w:shd w:val="clear" w:color="000000" w:fill="FFFFFF"/>
            <w:vAlign w:val="center"/>
          </w:tcPr>
          <w:p w14:paraId="03CC36B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600元/户</w:t>
            </w:r>
          </w:p>
        </w:tc>
        <w:tc>
          <w:tcPr>
            <w:tcW w:w="1450" w:type="pct"/>
            <w:shd w:val="clear" w:color="000000" w:fill="FFFFFF"/>
            <w:vAlign w:val="center"/>
          </w:tcPr>
          <w:p w14:paraId="4C5C031D"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包含户内水管、水嘴、水表。</w:t>
            </w:r>
          </w:p>
        </w:tc>
      </w:tr>
      <w:tr w:rsidR="00A320E6" w14:paraId="7DF2DC86" w14:textId="77777777">
        <w:trPr>
          <w:trHeight w:val="400"/>
          <w:jc w:val="center"/>
        </w:trPr>
        <w:tc>
          <w:tcPr>
            <w:tcW w:w="364" w:type="pct"/>
            <w:vMerge w:val="restart"/>
            <w:shd w:val="clear" w:color="000000" w:fill="FFFFFF"/>
            <w:vAlign w:val="center"/>
          </w:tcPr>
          <w:p w14:paraId="1FC55C5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w:t>
            </w:r>
          </w:p>
        </w:tc>
        <w:tc>
          <w:tcPr>
            <w:tcW w:w="441" w:type="pct"/>
            <w:vMerge w:val="restart"/>
            <w:shd w:val="clear" w:color="000000" w:fill="FFFFFF"/>
            <w:vAlign w:val="center"/>
          </w:tcPr>
          <w:p w14:paraId="7173848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排污排水沟管</w:t>
            </w:r>
          </w:p>
        </w:tc>
        <w:tc>
          <w:tcPr>
            <w:tcW w:w="473" w:type="pct"/>
            <w:vMerge w:val="restart"/>
            <w:shd w:val="clear" w:color="000000" w:fill="FFFFFF"/>
            <w:vAlign w:val="center"/>
          </w:tcPr>
          <w:p w14:paraId="77B083C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砖砌盖板</w:t>
            </w:r>
          </w:p>
        </w:tc>
        <w:tc>
          <w:tcPr>
            <w:tcW w:w="1279" w:type="pct"/>
            <w:shd w:val="clear" w:color="000000" w:fill="FFFFFF"/>
            <w:vAlign w:val="center"/>
          </w:tcPr>
          <w:p w14:paraId="49BD33A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截面≥0.5m</w:t>
            </w:r>
            <w:r>
              <w:rPr>
                <w:rFonts w:ascii="宋体" w:hAnsi="宋体" w:cs="宋体" w:hint="eastAsia"/>
                <w:snapToGrid w:val="0"/>
                <w:kern w:val="0"/>
                <w:szCs w:val="21"/>
                <w:vertAlign w:val="superscript"/>
              </w:rPr>
              <w:t>2</w:t>
            </w:r>
          </w:p>
        </w:tc>
        <w:tc>
          <w:tcPr>
            <w:tcW w:w="992" w:type="pct"/>
            <w:shd w:val="clear" w:color="000000" w:fill="FFFFFF"/>
            <w:vAlign w:val="center"/>
          </w:tcPr>
          <w:p w14:paraId="7A7361F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100元/m</w:t>
            </w:r>
          </w:p>
        </w:tc>
        <w:tc>
          <w:tcPr>
            <w:tcW w:w="1450" w:type="pct"/>
            <w:vMerge w:val="restart"/>
            <w:shd w:val="clear" w:color="000000" w:fill="FFFFFF"/>
            <w:vAlign w:val="center"/>
          </w:tcPr>
          <w:p w14:paraId="37820178"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1、测量直径为内径；</w:t>
            </w:r>
          </w:p>
          <w:p w14:paraId="117F300A"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br w:type="page"/>
              <w:t>2、含人工材料费及出水口设施等费用；</w:t>
            </w:r>
          </w:p>
          <w:p w14:paraId="5762A222"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br w:type="page"/>
              <w:t>3、旧料归原主。</w:t>
            </w:r>
            <w:r>
              <w:rPr>
                <w:rFonts w:ascii="宋体" w:hAnsi="宋体" w:cs="宋体" w:hint="eastAsia"/>
                <w:snapToGrid w:val="0"/>
                <w:kern w:val="0"/>
                <w:szCs w:val="21"/>
              </w:rPr>
              <w:br w:type="page"/>
            </w:r>
          </w:p>
        </w:tc>
      </w:tr>
      <w:tr w:rsidR="00A320E6" w14:paraId="78B74DA9" w14:textId="77777777">
        <w:trPr>
          <w:trHeight w:val="312"/>
          <w:jc w:val="center"/>
        </w:trPr>
        <w:tc>
          <w:tcPr>
            <w:tcW w:w="364" w:type="pct"/>
            <w:vMerge/>
            <w:vAlign w:val="center"/>
          </w:tcPr>
          <w:p w14:paraId="6902E947" w14:textId="77777777" w:rsidR="00A320E6" w:rsidRDefault="00A320E6" w:rsidP="00EC50E9">
            <w:pPr>
              <w:jc w:val="center"/>
              <w:rPr>
                <w:rFonts w:ascii="宋体" w:hAnsi="宋体" w:cs="宋体"/>
                <w:snapToGrid w:val="0"/>
                <w:kern w:val="0"/>
                <w:szCs w:val="21"/>
              </w:rPr>
            </w:pPr>
          </w:p>
        </w:tc>
        <w:tc>
          <w:tcPr>
            <w:tcW w:w="441" w:type="pct"/>
            <w:vMerge/>
            <w:vAlign w:val="center"/>
          </w:tcPr>
          <w:p w14:paraId="2FBC3883" w14:textId="77777777" w:rsidR="00A320E6" w:rsidRDefault="00A320E6" w:rsidP="00EC50E9">
            <w:pPr>
              <w:jc w:val="center"/>
              <w:rPr>
                <w:rFonts w:ascii="宋体" w:hAnsi="宋体" w:cs="宋体"/>
                <w:snapToGrid w:val="0"/>
                <w:kern w:val="0"/>
                <w:szCs w:val="21"/>
              </w:rPr>
            </w:pPr>
          </w:p>
        </w:tc>
        <w:tc>
          <w:tcPr>
            <w:tcW w:w="473" w:type="pct"/>
            <w:vMerge/>
            <w:vAlign w:val="center"/>
          </w:tcPr>
          <w:p w14:paraId="62D0CCC2"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7F4C202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截面&lt;0.5m</w:t>
            </w:r>
            <w:r>
              <w:rPr>
                <w:rFonts w:ascii="宋体" w:hAnsi="宋体" w:cs="宋体" w:hint="eastAsia"/>
                <w:snapToGrid w:val="0"/>
                <w:kern w:val="0"/>
                <w:szCs w:val="21"/>
                <w:vertAlign w:val="superscript"/>
              </w:rPr>
              <w:t>2</w:t>
            </w:r>
          </w:p>
        </w:tc>
        <w:tc>
          <w:tcPr>
            <w:tcW w:w="992" w:type="pct"/>
            <w:shd w:val="clear" w:color="000000" w:fill="FFFFFF"/>
            <w:vAlign w:val="center"/>
          </w:tcPr>
          <w:p w14:paraId="2679F3F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50元/m</w:t>
            </w:r>
          </w:p>
        </w:tc>
        <w:tc>
          <w:tcPr>
            <w:tcW w:w="1450" w:type="pct"/>
            <w:vMerge/>
            <w:vAlign w:val="center"/>
          </w:tcPr>
          <w:p w14:paraId="2F916AB4" w14:textId="77777777" w:rsidR="00A320E6" w:rsidRDefault="00A320E6" w:rsidP="00EC50E9">
            <w:pPr>
              <w:jc w:val="left"/>
              <w:rPr>
                <w:rFonts w:ascii="宋体" w:hAnsi="宋体" w:cs="宋体"/>
                <w:snapToGrid w:val="0"/>
                <w:kern w:val="0"/>
                <w:szCs w:val="21"/>
              </w:rPr>
            </w:pPr>
          </w:p>
        </w:tc>
      </w:tr>
      <w:tr w:rsidR="00A320E6" w14:paraId="0FFE69EC" w14:textId="77777777">
        <w:trPr>
          <w:trHeight w:val="312"/>
          <w:jc w:val="center"/>
        </w:trPr>
        <w:tc>
          <w:tcPr>
            <w:tcW w:w="364" w:type="pct"/>
            <w:vMerge/>
            <w:vAlign w:val="center"/>
          </w:tcPr>
          <w:p w14:paraId="2B2B372B" w14:textId="77777777" w:rsidR="00A320E6" w:rsidRDefault="00A320E6" w:rsidP="00EC50E9">
            <w:pPr>
              <w:jc w:val="center"/>
              <w:rPr>
                <w:rFonts w:ascii="宋体" w:hAnsi="宋体" w:cs="宋体"/>
                <w:snapToGrid w:val="0"/>
                <w:kern w:val="0"/>
                <w:szCs w:val="21"/>
              </w:rPr>
            </w:pPr>
          </w:p>
        </w:tc>
        <w:tc>
          <w:tcPr>
            <w:tcW w:w="441" w:type="pct"/>
            <w:vMerge/>
            <w:vAlign w:val="center"/>
          </w:tcPr>
          <w:p w14:paraId="33F04051"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22E0392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水泥管（带钢筋）</w:t>
            </w:r>
          </w:p>
        </w:tc>
        <w:tc>
          <w:tcPr>
            <w:tcW w:w="1279" w:type="pct"/>
            <w:shd w:val="clear" w:color="000000" w:fill="FFFFFF"/>
            <w:vAlign w:val="center"/>
          </w:tcPr>
          <w:p w14:paraId="0EFD127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直径&lt;30m</w:t>
            </w:r>
          </w:p>
        </w:tc>
        <w:tc>
          <w:tcPr>
            <w:tcW w:w="992" w:type="pct"/>
            <w:shd w:val="clear" w:color="000000" w:fill="FFFFFF"/>
            <w:vAlign w:val="center"/>
          </w:tcPr>
          <w:p w14:paraId="1DBB1B4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40-60元/m</w:t>
            </w:r>
          </w:p>
        </w:tc>
        <w:tc>
          <w:tcPr>
            <w:tcW w:w="1450" w:type="pct"/>
            <w:vMerge/>
            <w:vAlign w:val="center"/>
          </w:tcPr>
          <w:p w14:paraId="2E1252C7" w14:textId="77777777" w:rsidR="00A320E6" w:rsidRDefault="00A320E6" w:rsidP="00EC50E9">
            <w:pPr>
              <w:jc w:val="left"/>
              <w:rPr>
                <w:rFonts w:ascii="宋体" w:hAnsi="宋体" w:cs="宋体"/>
                <w:snapToGrid w:val="0"/>
                <w:kern w:val="0"/>
                <w:szCs w:val="21"/>
              </w:rPr>
            </w:pPr>
          </w:p>
        </w:tc>
      </w:tr>
      <w:tr w:rsidR="00A320E6" w14:paraId="684941BA" w14:textId="77777777">
        <w:trPr>
          <w:trHeight w:val="418"/>
          <w:jc w:val="center"/>
        </w:trPr>
        <w:tc>
          <w:tcPr>
            <w:tcW w:w="364" w:type="pct"/>
            <w:vMerge/>
            <w:vAlign w:val="center"/>
          </w:tcPr>
          <w:p w14:paraId="2E323D1B" w14:textId="77777777" w:rsidR="00A320E6" w:rsidRDefault="00A320E6" w:rsidP="00EC50E9">
            <w:pPr>
              <w:jc w:val="center"/>
              <w:rPr>
                <w:rFonts w:ascii="宋体" w:hAnsi="宋体" w:cs="宋体"/>
                <w:snapToGrid w:val="0"/>
                <w:kern w:val="0"/>
                <w:szCs w:val="21"/>
              </w:rPr>
            </w:pPr>
          </w:p>
        </w:tc>
        <w:tc>
          <w:tcPr>
            <w:tcW w:w="441" w:type="pct"/>
            <w:vMerge/>
            <w:vAlign w:val="center"/>
          </w:tcPr>
          <w:p w14:paraId="585EFB64" w14:textId="77777777" w:rsidR="00A320E6" w:rsidRDefault="00A320E6" w:rsidP="00EC50E9">
            <w:pPr>
              <w:jc w:val="center"/>
              <w:rPr>
                <w:rFonts w:ascii="宋体" w:hAnsi="宋体" w:cs="宋体"/>
                <w:snapToGrid w:val="0"/>
                <w:kern w:val="0"/>
                <w:szCs w:val="21"/>
              </w:rPr>
            </w:pPr>
          </w:p>
        </w:tc>
        <w:tc>
          <w:tcPr>
            <w:tcW w:w="473" w:type="pct"/>
            <w:vMerge/>
            <w:vAlign w:val="center"/>
          </w:tcPr>
          <w:p w14:paraId="4EDF0936"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5D714D4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30cm≤直径&lt;50cm</w:t>
            </w:r>
          </w:p>
        </w:tc>
        <w:tc>
          <w:tcPr>
            <w:tcW w:w="992" w:type="pct"/>
            <w:shd w:val="clear" w:color="000000" w:fill="FFFFFF"/>
            <w:vAlign w:val="center"/>
          </w:tcPr>
          <w:p w14:paraId="5EAFB0B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80-90元/m</w:t>
            </w:r>
          </w:p>
        </w:tc>
        <w:tc>
          <w:tcPr>
            <w:tcW w:w="1450" w:type="pct"/>
            <w:vMerge/>
            <w:vAlign w:val="center"/>
          </w:tcPr>
          <w:p w14:paraId="151BD864" w14:textId="77777777" w:rsidR="00A320E6" w:rsidRDefault="00A320E6" w:rsidP="00EC50E9">
            <w:pPr>
              <w:jc w:val="left"/>
              <w:rPr>
                <w:rFonts w:ascii="宋体" w:hAnsi="宋体" w:cs="宋体"/>
                <w:snapToGrid w:val="0"/>
                <w:kern w:val="0"/>
                <w:szCs w:val="21"/>
              </w:rPr>
            </w:pPr>
          </w:p>
        </w:tc>
      </w:tr>
      <w:tr w:rsidR="00A320E6" w14:paraId="4847C4FE" w14:textId="77777777">
        <w:trPr>
          <w:trHeight w:val="411"/>
          <w:jc w:val="center"/>
        </w:trPr>
        <w:tc>
          <w:tcPr>
            <w:tcW w:w="364" w:type="pct"/>
            <w:vMerge/>
            <w:vAlign w:val="center"/>
          </w:tcPr>
          <w:p w14:paraId="5D6B6EC2" w14:textId="77777777" w:rsidR="00A320E6" w:rsidRDefault="00A320E6" w:rsidP="00EC50E9">
            <w:pPr>
              <w:jc w:val="center"/>
              <w:rPr>
                <w:rFonts w:ascii="宋体" w:hAnsi="宋体" w:cs="宋体"/>
                <w:snapToGrid w:val="0"/>
                <w:kern w:val="0"/>
                <w:szCs w:val="21"/>
              </w:rPr>
            </w:pPr>
          </w:p>
        </w:tc>
        <w:tc>
          <w:tcPr>
            <w:tcW w:w="441" w:type="pct"/>
            <w:vMerge/>
            <w:vAlign w:val="center"/>
          </w:tcPr>
          <w:p w14:paraId="7D8501C8" w14:textId="77777777" w:rsidR="00A320E6" w:rsidRDefault="00A320E6" w:rsidP="00EC50E9">
            <w:pPr>
              <w:jc w:val="center"/>
              <w:rPr>
                <w:rFonts w:ascii="宋体" w:hAnsi="宋体" w:cs="宋体"/>
                <w:snapToGrid w:val="0"/>
                <w:kern w:val="0"/>
                <w:szCs w:val="21"/>
              </w:rPr>
            </w:pPr>
          </w:p>
        </w:tc>
        <w:tc>
          <w:tcPr>
            <w:tcW w:w="473" w:type="pct"/>
            <w:vMerge/>
            <w:vAlign w:val="center"/>
          </w:tcPr>
          <w:p w14:paraId="72A258C7"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5934C5B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50cm≤直径&lt;80cm</w:t>
            </w:r>
          </w:p>
        </w:tc>
        <w:tc>
          <w:tcPr>
            <w:tcW w:w="992" w:type="pct"/>
            <w:shd w:val="clear" w:color="000000" w:fill="FFFFFF"/>
            <w:vAlign w:val="center"/>
          </w:tcPr>
          <w:p w14:paraId="5891442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120-150元/m</w:t>
            </w:r>
          </w:p>
        </w:tc>
        <w:tc>
          <w:tcPr>
            <w:tcW w:w="1450" w:type="pct"/>
            <w:vMerge/>
            <w:vAlign w:val="center"/>
          </w:tcPr>
          <w:p w14:paraId="57F0B475" w14:textId="77777777" w:rsidR="00A320E6" w:rsidRDefault="00A320E6" w:rsidP="00EC50E9">
            <w:pPr>
              <w:jc w:val="left"/>
              <w:rPr>
                <w:rFonts w:ascii="宋体" w:hAnsi="宋体" w:cs="宋体"/>
                <w:snapToGrid w:val="0"/>
                <w:kern w:val="0"/>
                <w:szCs w:val="21"/>
              </w:rPr>
            </w:pPr>
          </w:p>
        </w:tc>
      </w:tr>
      <w:tr w:rsidR="00A320E6" w14:paraId="6AEE7202" w14:textId="77777777">
        <w:trPr>
          <w:trHeight w:val="312"/>
          <w:jc w:val="center"/>
        </w:trPr>
        <w:tc>
          <w:tcPr>
            <w:tcW w:w="364" w:type="pct"/>
            <w:vMerge/>
            <w:vAlign w:val="center"/>
          </w:tcPr>
          <w:p w14:paraId="045D31F9" w14:textId="77777777" w:rsidR="00A320E6" w:rsidRDefault="00A320E6" w:rsidP="00EC50E9">
            <w:pPr>
              <w:jc w:val="center"/>
              <w:rPr>
                <w:rFonts w:ascii="宋体" w:hAnsi="宋体" w:cs="宋体"/>
                <w:snapToGrid w:val="0"/>
                <w:kern w:val="0"/>
                <w:szCs w:val="21"/>
              </w:rPr>
            </w:pPr>
          </w:p>
        </w:tc>
        <w:tc>
          <w:tcPr>
            <w:tcW w:w="441" w:type="pct"/>
            <w:vMerge/>
            <w:vAlign w:val="center"/>
          </w:tcPr>
          <w:p w14:paraId="0652CDF1" w14:textId="77777777" w:rsidR="00A320E6" w:rsidRDefault="00A320E6" w:rsidP="00EC50E9">
            <w:pPr>
              <w:jc w:val="center"/>
              <w:rPr>
                <w:rFonts w:ascii="宋体" w:hAnsi="宋体" w:cs="宋体"/>
                <w:snapToGrid w:val="0"/>
                <w:kern w:val="0"/>
                <w:szCs w:val="21"/>
              </w:rPr>
            </w:pPr>
          </w:p>
        </w:tc>
        <w:tc>
          <w:tcPr>
            <w:tcW w:w="473" w:type="pct"/>
            <w:vMerge/>
            <w:vAlign w:val="center"/>
          </w:tcPr>
          <w:p w14:paraId="31B337AC"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436B7FE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80cm≤直径&lt;110cm</w:t>
            </w:r>
          </w:p>
        </w:tc>
        <w:tc>
          <w:tcPr>
            <w:tcW w:w="992" w:type="pct"/>
            <w:shd w:val="clear" w:color="000000" w:fill="FFFFFF"/>
            <w:vAlign w:val="center"/>
          </w:tcPr>
          <w:p w14:paraId="0E16802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240-300元/m</w:t>
            </w:r>
          </w:p>
        </w:tc>
        <w:tc>
          <w:tcPr>
            <w:tcW w:w="1450" w:type="pct"/>
            <w:vMerge/>
            <w:vAlign w:val="center"/>
          </w:tcPr>
          <w:p w14:paraId="103F6410" w14:textId="77777777" w:rsidR="00A320E6" w:rsidRDefault="00A320E6" w:rsidP="00EC50E9">
            <w:pPr>
              <w:jc w:val="left"/>
              <w:rPr>
                <w:rFonts w:ascii="宋体" w:hAnsi="宋体" w:cs="宋体"/>
                <w:snapToGrid w:val="0"/>
                <w:kern w:val="0"/>
                <w:szCs w:val="21"/>
              </w:rPr>
            </w:pPr>
          </w:p>
        </w:tc>
      </w:tr>
      <w:tr w:rsidR="00A320E6" w14:paraId="737ACB89" w14:textId="77777777">
        <w:trPr>
          <w:trHeight w:val="312"/>
          <w:jc w:val="center"/>
        </w:trPr>
        <w:tc>
          <w:tcPr>
            <w:tcW w:w="364" w:type="pct"/>
            <w:vMerge/>
            <w:vAlign w:val="center"/>
          </w:tcPr>
          <w:p w14:paraId="58989968" w14:textId="77777777" w:rsidR="00A320E6" w:rsidRDefault="00A320E6" w:rsidP="00EC50E9">
            <w:pPr>
              <w:jc w:val="center"/>
              <w:rPr>
                <w:rFonts w:ascii="宋体" w:hAnsi="宋体" w:cs="宋体"/>
                <w:snapToGrid w:val="0"/>
                <w:kern w:val="0"/>
                <w:szCs w:val="21"/>
              </w:rPr>
            </w:pPr>
          </w:p>
        </w:tc>
        <w:tc>
          <w:tcPr>
            <w:tcW w:w="441" w:type="pct"/>
            <w:vMerge/>
            <w:vAlign w:val="center"/>
          </w:tcPr>
          <w:p w14:paraId="71420D29" w14:textId="77777777" w:rsidR="00A320E6" w:rsidRDefault="00A320E6" w:rsidP="00EC50E9">
            <w:pPr>
              <w:jc w:val="center"/>
              <w:rPr>
                <w:rFonts w:ascii="宋体" w:hAnsi="宋体" w:cs="宋体"/>
                <w:snapToGrid w:val="0"/>
                <w:kern w:val="0"/>
                <w:szCs w:val="21"/>
              </w:rPr>
            </w:pPr>
          </w:p>
        </w:tc>
        <w:tc>
          <w:tcPr>
            <w:tcW w:w="473" w:type="pct"/>
            <w:vMerge/>
            <w:vAlign w:val="center"/>
          </w:tcPr>
          <w:p w14:paraId="0DFFCAB2"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290FB84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直径≥110cm</w:t>
            </w:r>
          </w:p>
        </w:tc>
        <w:tc>
          <w:tcPr>
            <w:tcW w:w="992" w:type="pct"/>
            <w:shd w:val="clear" w:color="000000" w:fill="FFFFFF"/>
            <w:vAlign w:val="center"/>
          </w:tcPr>
          <w:p w14:paraId="5B1C41D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350元/m</w:t>
            </w:r>
          </w:p>
        </w:tc>
        <w:tc>
          <w:tcPr>
            <w:tcW w:w="1450" w:type="pct"/>
            <w:vMerge/>
            <w:vAlign w:val="center"/>
          </w:tcPr>
          <w:p w14:paraId="6615F592" w14:textId="77777777" w:rsidR="00A320E6" w:rsidRDefault="00A320E6" w:rsidP="00EC50E9">
            <w:pPr>
              <w:jc w:val="left"/>
              <w:rPr>
                <w:rFonts w:ascii="宋体" w:hAnsi="宋体" w:cs="宋体"/>
                <w:snapToGrid w:val="0"/>
                <w:kern w:val="0"/>
                <w:szCs w:val="21"/>
              </w:rPr>
            </w:pPr>
          </w:p>
        </w:tc>
      </w:tr>
      <w:tr w:rsidR="00A320E6" w14:paraId="3CAE75B3" w14:textId="77777777">
        <w:trPr>
          <w:trHeight w:val="464"/>
          <w:jc w:val="center"/>
        </w:trPr>
        <w:tc>
          <w:tcPr>
            <w:tcW w:w="364" w:type="pct"/>
            <w:vMerge/>
            <w:vAlign w:val="center"/>
          </w:tcPr>
          <w:p w14:paraId="48DF3D61" w14:textId="77777777" w:rsidR="00A320E6" w:rsidRDefault="00A320E6" w:rsidP="00EC50E9">
            <w:pPr>
              <w:jc w:val="center"/>
              <w:rPr>
                <w:rFonts w:ascii="宋体" w:hAnsi="宋体" w:cs="宋体"/>
                <w:snapToGrid w:val="0"/>
                <w:kern w:val="0"/>
                <w:szCs w:val="21"/>
              </w:rPr>
            </w:pPr>
          </w:p>
        </w:tc>
        <w:tc>
          <w:tcPr>
            <w:tcW w:w="441" w:type="pct"/>
            <w:vMerge/>
            <w:vAlign w:val="center"/>
          </w:tcPr>
          <w:p w14:paraId="3742A0C2"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121E093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水泥管（无钢筋）</w:t>
            </w:r>
          </w:p>
        </w:tc>
        <w:tc>
          <w:tcPr>
            <w:tcW w:w="1279" w:type="pct"/>
            <w:shd w:val="clear" w:color="000000" w:fill="FFFFFF"/>
            <w:vAlign w:val="center"/>
          </w:tcPr>
          <w:p w14:paraId="2555766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直径≤20cm</w:t>
            </w:r>
          </w:p>
        </w:tc>
        <w:tc>
          <w:tcPr>
            <w:tcW w:w="992" w:type="pct"/>
            <w:shd w:val="clear" w:color="000000" w:fill="FFFFFF"/>
            <w:vAlign w:val="center"/>
          </w:tcPr>
          <w:p w14:paraId="5AAC0FF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20-50元/m</w:t>
            </w:r>
          </w:p>
        </w:tc>
        <w:tc>
          <w:tcPr>
            <w:tcW w:w="1450" w:type="pct"/>
            <w:vMerge/>
            <w:vAlign w:val="center"/>
          </w:tcPr>
          <w:p w14:paraId="15ECE8DF" w14:textId="77777777" w:rsidR="00A320E6" w:rsidRDefault="00A320E6" w:rsidP="00EC50E9">
            <w:pPr>
              <w:jc w:val="left"/>
              <w:rPr>
                <w:rFonts w:ascii="宋体" w:hAnsi="宋体" w:cs="宋体"/>
                <w:snapToGrid w:val="0"/>
                <w:kern w:val="0"/>
                <w:szCs w:val="21"/>
              </w:rPr>
            </w:pPr>
          </w:p>
        </w:tc>
      </w:tr>
      <w:tr w:rsidR="00A320E6" w14:paraId="6ECD480C" w14:textId="77777777">
        <w:trPr>
          <w:trHeight w:val="413"/>
          <w:jc w:val="center"/>
        </w:trPr>
        <w:tc>
          <w:tcPr>
            <w:tcW w:w="364" w:type="pct"/>
            <w:vMerge/>
            <w:vAlign w:val="center"/>
          </w:tcPr>
          <w:p w14:paraId="0BE620D5" w14:textId="77777777" w:rsidR="00A320E6" w:rsidRDefault="00A320E6" w:rsidP="00EC50E9">
            <w:pPr>
              <w:jc w:val="center"/>
              <w:rPr>
                <w:rFonts w:ascii="宋体" w:hAnsi="宋体" w:cs="宋体"/>
                <w:snapToGrid w:val="0"/>
                <w:kern w:val="0"/>
                <w:szCs w:val="21"/>
              </w:rPr>
            </w:pPr>
          </w:p>
        </w:tc>
        <w:tc>
          <w:tcPr>
            <w:tcW w:w="441" w:type="pct"/>
            <w:vMerge/>
            <w:vAlign w:val="center"/>
          </w:tcPr>
          <w:p w14:paraId="168645D3" w14:textId="77777777" w:rsidR="00A320E6" w:rsidRDefault="00A320E6" w:rsidP="00EC50E9">
            <w:pPr>
              <w:jc w:val="center"/>
              <w:rPr>
                <w:rFonts w:ascii="宋体" w:hAnsi="宋体" w:cs="宋体"/>
                <w:snapToGrid w:val="0"/>
                <w:kern w:val="0"/>
                <w:szCs w:val="21"/>
              </w:rPr>
            </w:pPr>
          </w:p>
        </w:tc>
        <w:tc>
          <w:tcPr>
            <w:tcW w:w="473" w:type="pct"/>
            <w:vMerge/>
            <w:vAlign w:val="center"/>
          </w:tcPr>
          <w:p w14:paraId="38317D34"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5D9D0DA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直径&gt;20cm</w:t>
            </w:r>
          </w:p>
        </w:tc>
        <w:tc>
          <w:tcPr>
            <w:tcW w:w="992" w:type="pct"/>
            <w:shd w:val="clear" w:color="000000" w:fill="FFFFFF"/>
            <w:vAlign w:val="center"/>
          </w:tcPr>
          <w:p w14:paraId="6D21B0B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50-90元/m</w:t>
            </w:r>
          </w:p>
        </w:tc>
        <w:tc>
          <w:tcPr>
            <w:tcW w:w="1450" w:type="pct"/>
            <w:vMerge/>
            <w:vAlign w:val="center"/>
          </w:tcPr>
          <w:p w14:paraId="4085F9CF" w14:textId="77777777" w:rsidR="00A320E6" w:rsidRDefault="00A320E6" w:rsidP="00EC50E9">
            <w:pPr>
              <w:jc w:val="left"/>
              <w:rPr>
                <w:rFonts w:ascii="宋体" w:hAnsi="宋体" w:cs="宋体"/>
                <w:snapToGrid w:val="0"/>
                <w:kern w:val="0"/>
                <w:szCs w:val="21"/>
              </w:rPr>
            </w:pPr>
          </w:p>
        </w:tc>
      </w:tr>
      <w:tr w:rsidR="00A320E6" w14:paraId="13B79A58" w14:textId="77777777">
        <w:trPr>
          <w:trHeight w:val="312"/>
          <w:jc w:val="center"/>
        </w:trPr>
        <w:tc>
          <w:tcPr>
            <w:tcW w:w="364" w:type="pct"/>
            <w:vMerge/>
            <w:vAlign w:val="center"/>
          </w:tcPr>
          <w:p w14:paraId="5451E9FF" w14:textId="77777777" w:rsidR="00A320E6" w:rsidRDefault="00A320E6" w:rsidP="00EC50E9">
            <w:pPr>
              <w:jc w:val="center"/>
              <w:rPr>
                <w:rFonts w:ascii="宋体" w:hAnsi="宋体" w:cs="宋体"/>
                <w:snapToGrid w:val="0"/>
                <w:kern w:val="0"/>
                <w:szCs w:val="21"/>
              </w:rPr>
            </w:pPr>
          </w:p>
        </w:tc>
        <w:tc>
          <w:tcPr>
            <w:tcW w:w="441" w:type="pct"/>
            <w:vMerge/>
            <w:vAlign w:val="center"/>
          </w:tcPr>
          <w:p w14:paraId="658ABC5E"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16694F1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塑料管</w:t>
            </w:r>
          </w:p>
        </w:tc>
        <w:tc>
          <w:tcPr>
            <w:tcW w:w="1279" w:type="pct"/>
            <w:shd w:val="clear" w:color="000000" w:fill="FFFFFF"/>
            <w:vAlign w:val="center"/>
          </w:tcPr>
          <w:p w14:paraId="610C299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直径≤5cm</w:t>
            </w:r>
          </w:p>
        </w:tc>
        <w:tc>
          <w:tcPr>
            <w:tcW w:w="992" w:type="pct"/>
            <w:shd w:val="clear" w:color="000000" w:fill="FFFFFF"/>
            <w:vAlign w:val="center"/>
          </w:tcPr>
          <w:p w14:paraId="2AA4E9A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10-20元/m</w:t>
            </w:r>
          </w:p>
        </w:tc>
        <w:tc>
          <w:tcPr>
            <w:tcW w:w="1450" w:type="pct"/>
            <w:vMerge/>
            <w:vAlign w:val="center"/>
          </w:tcPr>
          <w:p w14:paraId="13A3F340" w14:textId="77777777" w:rsidR="00A320E6" w:rsidRDefault="00A320E6" w:rsidP="00EC50E9">
            <w:pPr>
              <w:jc w:val="left"/>
              <w:rPr>
                <w:rFonts w:ascii="宋体" w:hAnsi="宋体" w:cs="宋体"/>
                <w:snapToGrid w:val="0"/>
                <w:kern w:val="0"/>
                <w:szCs w:val="21"/>
              </w:rPr>
            </w:pPr>
          </w:p>
        </w:tc>
      </w:tr>
      <w:tr w:rsidR="00A320E6" w14:paraId="598F099A" w14:textId="77777777">
        <w:trPr>
          <w:trHeight w:val="312"/>
          <w:jc w:val="center"/>
        </w:trPr>
        <w:tc>
          <w:tcPr>
            <w:tcW w:w="364" w:type="pct"/>
            <w:vMerge/>
            <w:vAlign w:val="center"/>
          </w:tcPr>
          <w:p w14:paraId="05A8EF60" w14:textId="77777777" w:rsidR="00A320E6" w:rsidRDefault="00A320E6" w:rsidP="00EC50E9">
            <w:pPr>
              <w:jc w:val="center"/>
              <w:rPr>
                <w:rFonts w:ascii="宋体" w:hAnsi="宋体" w:cs="宋体"/>
                <w:snapToGrid w:val="0"/>
                <w:kern w:val="0"/>
                <w:szCs w:val="21"/>
              </w:rPr>
            </w:pPr>
          </w:p>
        </w:tc>
        <w:tc>
          <w:tcPr>
            <w:tcW w:w="441" w:type="pct"/>
            <w:vMerge/>
            <w:vAlign w:val="center"/>
          </w:tcPr>
          <w:p w14:paraId="3CF3DB57" w14:textId="77777777" w:rsidR="00A320E6" w:rsidRDefault="00A320E6" w:rsidP="00EC50E9">
            <w:pPr>
              <w:jc w:val="center"/>
              <w:rPr>
                <w:rFonts w:ascii="宋体" w:hAnsi="宋体" w:cs="宋体"/>
                <w:snapToGrid w:val="0"/>
                <w:kern w:val="0"/>
                <w:szCs w:val="21"/>
              </w:rPr>
            </w:pPr>
          </w:p>
        </w:tc>
        <w:tc>
          <w:tcPr>
            <w:tcW w:w="473" w:type="pct"/>
            <w:vMerge/>
            <w:vAlign w:val="center"/>
          </w:tcPr>
          <w:p w14:paraId="72326B8C"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1354DCF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5cm&lt;直径≤10cm</w:t>
            </w:r>
          </w:p>
        </w:tc>
        <w:tc>
          <w:tcPr>
            <w:tcW w:w="992" w:type="pct"/>
            <w:shd w:val="clear" w:color="000000" w:fill="FFFFFF"/>
            <w:vAlign w:val="center"/>
          </w:tcPr>
          <w:p w14:paraId="39AE849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20-35元/m</w:t>
            </w:r>
          </w:p>
        </w:tc>
        <w:tc>
          <w:tcPr>
            <w:tcW w:w="1450" w:type="pct"/>
            <w:vMerge/>
            <w:vAlign w:val="center"/>
          </w:tcPr>
          <w:p w14:paraId="772174E9" w14:textId="77777777" w:rsidR="00A320E6" w:rsidRDefault="00A320E6" w:rsidP="00EC50E9">
            <w:pPr>
              <w:jc w:val="left"/>
              <w:rPr>
                <w:rFonts w:ascii="宋体" w:hAnsi="宋体" w:cs="宋体"/>
                <w:snapToGrid w:val="0"/>
                <w:kern w:val="0"/>
                <w:szCs w:val="21"/>
              </w:rPr>
            </w:pPr>
          </w:p>
        </w:tc>
      </w:tr>
      <w:tr w:rsidR="00A320E6" w14:paraId="7DD923F1" w14:textId="77777777">
        <w:trPr>
          <w:trHeight w:val="312"/>
          <w:jc w:val="center"/>
        </w:trPr>
        <w:tc>
          <w:tcPr>
            <w:tcW w:w="364" w:type="pct"/>
            <w:vMerge/>
            <w:vAlign w:val="center"/>
          </w:tcPr>
          <w:p w14:paraId="5F7035A1" w14:textId="77777777" w:rsidR="00A320E6" w:rsidRDefault="00A320E6" w:rsidP="00EC50E9">
            <w:pPr>
              <w:jc w:val="center"/>
              <w:rPr>
                <w:rFonts w:ascii="宋体" w:hAnsi="宋体" w:cs="宋体"/>
                <w:snapToGrid w:val="0"/>
                <w:kern w:val="0"/>
                <w:szCs w:val="21"/>
              </w:rPr>
            </w:pPr>
          </w:p>
        </w:tc>
        <w:tc>
          <w:tcPr>
            <w:tcW w:w="441" w:type="pct"/>
            <w:vMerge/>
            <w:vAlign w:val="center"/>
          </w:tcPr>
          <w:p w14:paraId="6EC655C6" w14:textId="77777777" w:rsidR="00A320E6" w:rsidRDefault="00A320E6" w:rsidP="00EC50E9">
            <w:pPr>
              <w:jc w:val="center"/>
              <w:rPr>
                <w:rFonts w:ascii="宋体" w:hAnsi="宋体" w:cs="宋体"/>
                <w:snapToGrid w:val="0"/>
                <w:kern w:val="0"/>
                <w:szCs w:val="21"/>
              </w:rPr>
            </w:pPr>
          </w:p>
        </w:tc>
        <w:tc>
          <w:tcPr>
            <w:tcW w:w="473" w:type="pct"/>
            <w:vMerge/>
            <w:vAlign w:val="center"/>
          </w:tcPr>
          <w:p w14:paraId="49D58989"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200A294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10cm&lt;直径≤15cm</w:t>
            </w:r>
          </w:p>
        </w:tc>
        <w:tc>
          <w:tcPr>
            <w:tcW w:w="992" w:type="pct"/>
            <w:shd w:val="clear" w:color="000000" w:fill="FFFFFF"/>
            <w:vAlign w:val="center"/>
          </w:tcPr>
          <w:p w14:paraId="40DF7BB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35-45元/m</w:t>
            </w:r>
          </w:p>
        </w:tc>
        <w:tc>
          <w:tcPr>
            <w:tcW w:w="1450" w:type="pct"/>
            <w:vMerge/>
            <w:vAlign w:val="center"/>
          </w:tcPr>
          <w:p w14:paraId="5898ED6C" w14:textId="77777777" w:rsidR="00A320E6" w:rsidRDefault="00A320E6" w:rsidP="00EC50E9">
            <w:pPr>
              <w:jc w:val="left"/>
              <w:rPr>
                <w:rFonts w:ascii="宋体" w:hAnsi="宋体" w:cs="宋体"/>
                <w:snapToGrid w:val="0"/>
                <w:kern w:val="0"/>
                <w:szCs w:val="21"/>
              </w:rPr>
            </w:pPr>
          </w:p>
        </w:tc>
      </w:tr>
      <w:tr w:rsidR="00A320E6" w14:paraId="5FB1FBF2" w14:textId="77777777">
        <w:trPr>
          <w:trHeight w:val="312"/>
          <w:jc w:val="center"/>
        </w:trPr>
        <w:tc>
          <w:tcPr>
            <w:tcW w:w="364" w:type="pct"/>
            <w:vMerge/>
            <w:vAlign w:val="center"/>
          </w:tcPr>
          <w:p w14:paraId="0E44E158" w14:textId="77777777" w:rsidR="00A320E6" w:rsidRDefault="00A320E6" w:rsidP="00EC50E9">
            <w:pPr>
              <w:jc w:val="center"/>
              <w:rPr>
                <w:rFonts w:ascii="宋体" w:hAnsi="宋体" w:cs="宋体"/>
                <w:snapToGrid w:val="0"/>
                <w:kern w:val="0"/>
                <w:szCs w:val="21"/>
              </w:rPr>
            </w:pPr>
          </w:p>
        </w:tc>
        <w:tc>
          <w:tcPr>
            <w:tcW w:w="441" w:type="pct"/>
            <w:vMerge/>
            <w:vAlign w:val="center"/>
          </w:tcPr>
          <w:p w14:paraId="0385AC23" w14:textId="77777777" w:rsidR="00A320E6" w:rsidRDefault="00A320E6" w:rsidP="00EC50E9">
            <w:pPr>
              <w:jc w:val="center"/>
              <w:rPr>
                <w:rFonts w:ascii="宋体" w:hAnsi="宋体" w:cs="宋体"/>
                <w:snapToGrid w:val="0"/>
                <w:kern w:val="0"/>
                <w:szCs w:val="21"/>
              </w:rPr>
            </w:pPr>
          </w:p>
        </w:tc>
        <w:tc>
          <w:tcPr>
            <w:tcW w:w="473" w:type="pct"/>
            <w:vMerge/>
            <w:vAlign w:val="center"/>
          </w:tcPr>
          <w:p w14:paraId="3A2972E9"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632A375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直径&gt;15cm</w:t>
            </w:r>
          </w:p>
        </w:tc>
        <w:tc>
          <w:tcPr>
            <w:tcW w:w="992" w:type="pct"/>
            <w:shd w:val="clear" w:color="000000" w:fill="FFFFFF"/>
            <w:vAlign w:val="center"/>
          </w:tcPr>
          <w:p w14:paraId="65994D7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45-55元/m</w:t>
            </w:r>
          </w:p>
        </w:tc>
        <w:tc>
          <w:tcPr>
            <w:tcW w:w="1450" w:type="pct"/>
            <w:vMerge/>
            <w:vAlign w:val="center"/>
          </w:tcPr>
          <w:p w14:paraId="453D6755" w14:textId="77777777" w:rsidR="00A320E6" w:rsidRDefault="00A320E6" w:rsidP="00EC50E9">
            <w:pPr>
              <w:jc w:val="left"/>
              <w:rPr>
                <w:rFonts w:ascii="宋体" w:hAnsi="宋体" w:cs="宋体"/>
                <w:snapToGrid w:val="0"/>
                <w:kern w:val="0"/>
                <w:szCs w:val="21"/>
              </w:rPr>
            </w:pPr>
          </w:p>
        </w:tc>
      </w:tr>
      <w:tr w:rsidR="00A320E6" w14:paraId="625B166B" w14:textId="77777777">
        <w:trPr>
          <w:trHeight w:val="312"/>
          <w:jc w:val="center"/>
        </w:trPr>
        <w:tc>
          <w:tcPr>
            <w:tcW w:w="364" w:type="pct"/>
            <w:vMerge/>
            <w:vAlign w:val="center"/>
          </w:tcPr>
          <w:p w14:paraId="4A1B6B79" w14:textId="77777777" w:rsidR="00A320E6" w:rsidRDefault="00A320E6" w:rsidP="00EC50E9">
            <w:pPr>
              <w:jc w:val="center"/>
              <w:rPr>
                <w:rFonts w:ascii="宋体" w:hAnsi="宋体" w:cs="宋体"/>
                <w:snapToGrid w:val="0"/>
                <w:kern w:val="0"/>
                <w:szCs w:val="21"/>
              </w:rPr>
            </w:pPr>
          </w:p>
        </w:tc>
        <w:tc>
          <w:tcPr>
            <w:tcW w:w="441" w:type="pct"/>
            <w:vMerge/>
            <w:vAlign w:val="center"/>
          </w:tcPr>
          <w:p w14:paraId="18F6E4C4"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52B2E49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铸铁排水管</w:t>
            </w:r>
          </w:p>
        </w:tc>
        <w:tc>
          <w:tcPr>
            <w:tcW w:w="1279" w:type="pct"/>
            <w:shd w:val="clear" w:color="000000" w:fill="FFFFFF"/>
            <w:vAlign w:val="center"/>
          </w:tcPr>
          <w:p w14:paraId="33F7F68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直径≤20cm</w:t>
            </w:r>
          </w:p>
        </w:tc>
        <w:tc>
          <w:tcPr>
            <w:tcW w:w="992" w:type="pct"/>
            <w:shd w:val="clear" w:color="000000" w:fill="FFFFFF"/>
            <w:vAlign w:val="center"/>
          </w:tcPr>
          <w:p w14:paraId="4AB88C8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45-65元/m</w:t>
            </w:r>
          </w:p>
        </w:tc>
        <w:tc>
          <w:tcPr>
            <w:tcW w:w="1450" w:type="pct"/>
            <w:vMerge/>
            <w:vAlign w:val="center"/>
          </w:tcPr>
          <w:p w14:paraId="24F4E753" w14:textId="77777777" w:rsidR="00A320E6" w:rsidRDefault="00A320E6" w:rsidP="00EC50E9">
            <w:pPr>
              <w:jc w:val="left"/>
              <w:rPr>
                <w:rFonts w:ascii="宋体" w:hAnsi="宋体" w:cs="宋体"/>
                <w:snapToGrid w:val="0"/>
                <w:kern w:val="0"/>
                <w:szCs w:val="21"/>
              </w:rPr>
            </w:pPr>
          </w:p>
        </w:tc>
      </w:tr>
      <w:tr w:rsidR="00A320E6" w14:paraId="1CD00F5C" w14:textId="77777777">
        <w:trPr>
          <w:trHeight w:val="340"/>
          <w:jc w:val="center"/>
        </w:trPr>
        <w:tc>
          <w:tcPr>
            <w:tcW w:w="364" w:type="pct"/>
            <w:vMerge/>
            <w:vAlign w:val="center"/>
          </w:tcPr>
          <w:p w14:paraId="5B77FAB5" w14:textId="77777777" w:rsidR="00A320E6" w:rsidRDefault="00A320E6" w:rsidP="00EC50E9">
            <w:pPr>
              <w:jc w:val="center"/>
              <w:rPr>
                <w:rFonts w:ascii="宋体" w:hAnsi="宋体" w:cs="宋体"/>
                <w:snapToGrid w:val="0"/>
                <w:kern w:val="0"/>
                <w:szCs w:val="21"/>
              </w:rPr>
            </w:pPr>
          </w:p>
        </w:tc>
        <w:tc>
          <w:tcPr>
            <w:tcW w:w="441" w:type="pct"/>
            <w:vMerge/>
            <w:vAlign w:val="center"/>
          </w:tcPr>
          <w:p w14:paraId="24D9EAEA" w14:textId="77777777" w:rsidR="00A320E6" w:rsidRDefault="00A320E6" w:rsidP="00EC50E9">
            <w:pPr>
              <w:jc w:val="center"/>
              <w:rPr>
                <w:rFonts w:ascii="宋体" w:hAnsi="宋体" w:cs="宋体"/>
                <w:snapToGrid w:val="0"/>
                <w:kern w:val="0"/>
                <w:szCs w:val="21"/>
              </w:rPr>
            </w:pPr>
          </w:p>
        </w:tc>
        <w:tc>
          <w:tcPr>
            <w:tcW w:w="473" w:type="pct"/>
            <w:vMerge/>
            <w:vAlign w:val="center"/>
          </w:tcPr>
          <w:p w14:paraId="5715E1D5"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7D85858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直径&gt;20cm</w:t>
            </w:r>
          </w:p>
        </w:tc>
        <w:tc>
          <w:tcPr>
            <w:tcW w:w="992" w:type="pct"/>
            <w:shd w:val="clear" w:color="000000" w:fill="FFFFFF"/>
            <w:vAlign w:val="center"/>
          </w:tcPr>
          <w:p w14:paraId="065FEA5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65-90元/m</w:t>
            </w:r>
          </w:p>
        </w:tc>
        <w:tc>
          <w:tcPr>
            <w:tcW w:w="1450" w:type="pct"/>
            <w:vMerge/>
            <w:vAlign w:val="center"/>
          </w:tcPr>
          <w:p w14:paraId="28AD562F" w14:textId="77777777" w:rsidR="00A320E6" w:rsidRDefault="00A320E6" w:rsidP="00EC50E9">
            <w:pPr>
              <w:jc w:val="left"/>
              <w:rPr>
                <w:rFonts w:ascii="宋体" w:hAnsi="宋体" w:cs="宋体"/>
                <w:snapToGrid w:val="0"/>
                <w:kern w:val="0"/>
                <w:szCs w:val="21"/>
              </w:rPr>
            </w:pPr>
          </w:p>
        </w:tc>
      </w:tr>
      <w:tr w:rsidR="00A320E6" w14:paraId="59CDF3AC" w14:textId="77777777">
        <w:trPr>
          <w:trHeight w:hRule="exact" w:val="397"/>
          <w:jc w:val="center"/>
        </w:trPr>
        <w:tc>
          <w:tcPr>
            <w:tcW w:w="364" w:type="pct"/>
            <w:vMerge w:val="restart"/>
            <w:shd w:val="clear" w:color="000000" w:fill="FFFFFF"/>
            <w:noWrap/>
            <w:vAlign w:val="center"/>
          </w:tcPr>
          <w:p w14:paraId="74E9FE6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十一</w:t>
            </w:r>
          </w:p>
        </w:tc>
        <w:tc>
          <w:tcPr>
            <w:tcW w:w="441" w:type="pct"/>
            <w:vMerge w:val="restart"/>
            <w:shd w:val="clear" w:color="000000" w:fill="FFFFFF"/>
            <w:vAlign w:val="center"/>
          </w:tcPr>
          <w:p w14:paraId="4FD2C32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地面硬化</w:t>
            </w:r>
          </w:p>
        </w:tc>
        <w:tc>
          <w:tcPr>
            <w:tcW w:w="473" w:type="pct"/>
            <w:vMerge w:val="restart"/>
            <w:shd w:val="clear" w:color="000000" w:fill="FFFFFF"/>
            <w:vAlign w:val="center"/>
          </w:tcPr>
          <w:p w14:paraId="6394F53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水泥地面</w:t>
            </w:r>
          </w:p>
        </w:tc>
        <w:tc>
          <w:tcPr>
            <w:tcW w:w="1279" w:type="pct"/>
            <w:shd w:val="clear" w:color="000000" w:fill="FFFFFF"/>
            <w:vAlign w:val="center"/>
          </w:tcPr>
          <w:p w14:paraId="6491626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厚度&lt;20cm</w:t>
            </w:r>
          </w:p>
        </w:tc>
        <w:tc>
          <w:tcPr>
            <w:tcW w:w="992" w:type="pct"/>
            <w:shd w:val="clear" w:color="000000" w:fill="FFFFFF"/>
            <w:vAlign w:val="center"/>
          </w:tcPr>
          <w:p w14:paraId="3879E90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50-70元/m</w:t>
            </w:r>
            <w:r>
              <w:rPr>
                <w:rFonts w:ascii="宋体" w:hAnsi="宋体" w:cs="宋体" w:hint="eastAsia"/>
                <w:snapToGrid w:val="0"/>
                <w:kern w:val="0"/>
                <w:szCs w:val="21"/>
                <w:vertAlign w:val="superscript"/>
              </w:rPr>
              <w:t>2</w:t>
            </w:r>
          </w:p>
        </w:tc>
        <w:tc>
          <w:tcPr>
            <w:tcW w:w="1450" w:type="pct"/>
            <w:vMerge w:val="restart"/>
            <w:shd w:val="clear" w:color="000000" w:fill="FFFFFF"/>
            <w:vAlign w:val="center"/>
          </w:tcPr>
          <w:p w14:paraId="37EEA8C9"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沥青路面通常指一般区间道路，公路等特殊要求道路另行评估。</w:t>
            </w:r>
          </w:p>
        </w:tc>
      </w:tr>
      <w:tr w:rsidR="00A320E6" w14:paraId="595900CD" w14:textId="77777777">
        <w:trPr>
          <w:trHeight w:hRule="exact" w:val="397"/>
          <w:jc w:val="center"/>
        </w:trPr>
        <w:tc>
          <w:tcPr>
            <w:tcW w:w="364" w:type="pct"/>
            <w:vMerge/>
            <w:shd w:val="clear" w:color="000000" w:fill="FFFFFF"/>
            <w:noWrap/>
            <w:vAlign w:val="center"/>
          </w:tcPr>
          <w:p w14:paraId="4D09E05B" w14:textId="77777777" w:rsidR="00A320E6" w:rsidRDefault="00A320E6" w:rsidP="00EC50E9">
            <w:pPr>
              <w:jc w:val="center"/>
              <w:rPr>
                <w:rFonts w:ascii="宋体" w:hAnsi="宋体" w:cs="宋体"/>
                <w:snapToGrid w:val="0"/>
                <w:kern w:val="0"/>
                <w:szCs w:val="21"/>
              </w:rPr>
            </w:pPr>
          </w:p>
        </w:tc>
        <w:tc>
          <w:tcPr>
            <w:tcW w:w="441" w:type="pct"/>
            <w:vMerge/>
            <w:shd w:val="clear" w:color="000000" w:fill="FFFFFF"/>
            <w:vAlign w:val="center"/>
          </w:tcPr>
          <w:p w14:paraId="0EF0D8DB" w14:textId="77777777" w:rsidR="00A320E6" w:rsidRDefault="00A320E6" w:rsidP="00EC50E9">
            <w:pPr>
              <w:jc w:val="center"/>
              <w:rPr>
                <w:rFonts w:ascii="宋体" w:hAnsi="宋体" w:cs="宋体"/>
                <w:snapToGrid w:val="0"/>
                <w:kern w:val="0"/>
                <w:szCs w:val="21"/>
              </w:rPr>
            </w:pPr>
          </w:p>
        </w:tc>
        <w:tc>
          <w:tcPr>
            <w:tcW w:w="473" w:type="pct"/>
            <w:vMerge/>
            <w:shd w:val="clear" w:color="000000" w:fill="FFFFFF"/>
            <w:vAlign w:val="center"/>
          </w:tcPr>
          <w:p w14:paraId="48BBFC36"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6EC7755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厚度≥20cm</w:t>
            </w:r>
          </w:p>
        </w:tc>
        <w:tc>
          <w:tcPr>
            <w:tcW w:w="992" w:type="pct"/>
            <w:shd w:val="clear" w:color="000000" w:fill="FFFFFF"/>
            <w:vAlign w:val="center"/>
          </w:tcPr>
          <w:p w14:paraId="74EE512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80-100元/m</w:t>
            </w:r>
            <w:r>
              <w:rPr>
                <w:rFonts w:ascii="宋体" w:hAnsi="宋体" w:cs="宋体" w:hint="eastAsia"/>
                <w:snapToGrid w:val="0"/>
                <w:kern w:val="0"/>
                <w:szCs w:val="21"/>
                <w:vertAlign w:val="superscript"/>
              </w:rPr>
              <w:t>2</w:t>
            </w:r>
          </w:p>
        </w:tc>
        <w:tc>
          <w:tcPr>
            <w:tcW w:w="1450" w:type="pct"/>
            <w:vMerge/>
            <w:shd w:val="clear" w:color="000000" w:fill="FFFFFF"/>
            <w:vAlign w:val="center"/>
          </w:tcPr>
          <w:p w14:paraId="75ABC2B1" w14:textId="77777777" w:rsidR="00A320E6" w:rsidRDefault="00A320E6" w:rsidP="00EC50E9">
            <w:pPr>
              <w:jc w:val="left"/>
              <w:rPr>
                <w:rFonts w:ascii="宋体" w:hAnsi="宋体" w:cs="宋体"/>
                <w:snapToGrid w:val="0"/>
                <w:kern w:val="0"/>
                <w:szCs w:val="21"/>
              </w:rPr>
            </w:pPr>
          </w:p>
        </w:tc>
      </w:tr>
      <w:tr w:rsidR="00A320E6" w14:paraId="79AB285D" w14:textId="77777777">
        <w:trPr>
          <w:trHeight w:hRule="exact" w:val="397"/>
          <w:jc w:val="center"/>
        </w:trPr>
        <w:tc>
          <w:tcPr>
            <w:tcW w:w="364" w:type="pct"/>
            <w:vMerge/>
            <w:vAlign w:val="center"/>
          </w:tcPr>
          <w:p w14:paraId="4680A618" w14:textId="77777777" w:rsidR="00A320E6" w:rsidRDefault="00A320E6" w:rsidP="00EC50E9">
            <w:pPr>
              <w:jc w:val="center"/>
              <w:rPr>
                <w:rFonts w:ascii="宋体" w:hAnsi="宋体" w:cs="宋体"/>
                <w:snapToGrid w:val="0"/>
                <w:kern w:val="0"/>
                <w:szCs w:val="21"/>
              </w:rPr>
            </w:pPr>
          </w:p>
        </w:tc>
        <w:tc>
          <w:tcPr>
            <w:tcW w:w="441" w:type="pct"/>
            <w:vMerge/>
            <w:vAlign w:val="center"/>
          </w:tcPr>
          <w:p w14:paraId="5070B697"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F19B0D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水泥花砖</w:t>
            </w:r>
          </w:p>
        </w:tc>
        <w:tc>
          <w:tcPr>
            <w:tcW w:w="992" w:type="pct"/>
            <w:shd w:val="clear" w:color="000000" w:fill="FFFFFF"/>
            <w:vAlign w:val="center"/>
          </w:tcPr>
          <w:p w14:paraId="67A14CB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50元/m</w:t>
            </w:r>
            <w:r>
              <w:rPr>
                <w:rFonts w:ascii="宋体" w:hAnsi="宋体" w:cs="宋体" w:hint="eastAsia"/>
                <w:snapToGrid w:val="0"/>
                <w:kern w:val="0"/>
                <w:szCs w:val="21"/>
                <w:vertAlign w:val="superscript"/>
              </w:rPr>
              <w:t>2</w:t>
            </w:r>
          </w:p>
        </w:tc>
        <w:tc>
          <w:tcPr>
            <w:tcW w:w="1450" w:type="pct"/>
            <w:vMerge/>
            <w:vAlign w:val="center"/>
          </w:tcPr>
          <w:p w14:paraId="32080B6D" w14:textId="77777777" w:rsidR="00A320E6" w:rsidRDefault="00A320E6" w:rsidP="00EC50E9">
            <w:pPr>
              <w:jc w:val="left"/>
              <w:rPr>
                <w:rFonts w:ascii="宋体" w:hAnsi="宋体" w:cs="宋体"/>
                <w:snapToGrid w:val="0"/>
                <w:kern w:val="0"/>
                <w:szCs w:val="21"/>
              </w:rPr>
            </w:pPr>
          </w:p>
        </w:tc>
      </w:tr>
      <w:tr w:rsidR="00A320E6" w14:paraId="18887BEA" w14:textId="77777777">
        <w:trPr>
          <w:trHeight w:hRule="exact" w:val="397"/>
          <w:jc w:val="center"/>
        </w:trPr>
        <w:tc>
          <w:tcPr>
            <w:tcW w:w="364" w:type="pct"/>
            <w:vMerge/>
            <w:vAlign w:val="center"/>
          </w:tcPr>
          <w:p w14:paraId="36387AD6" w14:textId="77777777" w:rsidR="00A320E6" w:rsidRDefault="00A320E6" w:rsidP="00EC50E9">
            <w:pPr>
              <w:jc w:val="center"/>
              <w:rPr>
                <w:rFonts w:ascii="宋体" w:hAnsi="宋体" w:cs="宋体"/>
                <w:snapToGrid w:val="0"/>
                <w:kern w:val="0"/>
                <w:szCs w:val="21"/>
              </w:rPr>
            </w:pPr>
          </w:p>
        </w:tc>
        <w:tc>
          <w:tcPr>
            <w:tcW w:w="441" w:type="pct"/>
            <w:vMerge/>
            <w:vAlign w:val="center"/>
          </w:tcPr>
          <w:p w14:paraId="2FCD31BE"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DFA233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彩色花砖</w:t>
            </w:r>
          </w:p>
        </w:tc>
        <w:tc>
          <w:tcPr>
            <w:tcW w:w="992" w:type="pct"/>
            <w:shd w:val="clear" w:color="000000" w:fill="FFFFFF"/>
            <w:vAlign w:val="center"/>
          </w:tcPr>
          <w:p w14:paraId="30268D2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80元/m</w:t>
            </w:r>
            <w:r>
              <w:rPr>
                <w:rFonts w:ascii="宋体" w:hAnsi="宋体" w:cs="宋体" w:hint="eastAsia"/>
                <w:snapToGrid w:val="0"/>
                <w:kern w:val="0"/>
                <w:szCs w:val="21"/>
                <w:vertAlign w:val="superscript"/>
              </w:rPr>
              <w:t>2</w:t>
            </w:r>
          </w:p>
        </w:tc>
        <w:tc>
          <w:tcPr>
            <w:tcW w:w="1450" w:type="pct"/>
            <w:vMerge/>
            <w:vAlign w:val="center"/>
          </w:tcPr>
          <w:p w14:paraId="5201578C" w14:textId="77777777" w:rsidR="00A320E6" w:rsidRDefault="00A320E6" w:rsidP="00EC50E9">
            <w:pPr>
              <w:jc w:val="left"/>
              <w:rPr>
                <w:rFonts w:ascii="宋体" w:hAnsi="宋体" w:cs="宋体"/>
                <w:snapToGrid w:val="0"/>
                <w:kern w:val="0"/>
                <w:szCs w:val="21"/>
              </w:rPr>
            </w:pPr>
          </w:p>
        </w:tc>
      </w:tr>
      <w:tr w:rsidR="00A320E6" w14:paraId="762279A4" w14:textId="77777777">
        <w:trPr>
          <w:trHeight w:hRule="exact" w:val="397"/>
          <w:jc w:val="center"/>
        </w:trPr>
        <w:tc>
          <w:tcPr>
            <w:tcW w:w="364" w:type="pct"/>
            <w:vMerge/>
            <w:vAlign w:val="center"/>
          </w:tcPr>
          <w:p w14:paraId="4706829E" w14:textId="77777777" w:rsidR="00A320E6" w:rsidRDefault="00A320E6" w:rsidP="00EC50E9">
            <w:pPr>
              <w:jc w:val="center"/>
              <w:rPr>
                <w:rFonts w:ascii="宋体" w:hAnsi="宋体" w:cs="宋体"/>
                <w:snapToGrid w:val="0"/>
                <w:kern w:val="0"/>
                <w:szCs w:val="21"/>
              </w:rPr>
            </w:pPr>
          </w:p>
        </w:tc>
        <w:tc>
          <w:tcPr>
            <w:tcW w:w="441" w:type="pct"/>
            <w:vMerge/>
            <w:vAlign w:val="center"/>
          </w:tcPr>
          <w:p w14:paraId="5FCDD39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63B532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水泥路面</w:t>
            </w:r>
          </w:p>
        </w:tc>
        <w:tc>
          <w:tcPr>
            <w:tcW w:w="992" w:type="pct"/>
            <w:shd w:val="clear" w:color="000000" w:fill="FFFFFF"/>
            <w:vAlign w:val="center"/>
          </w:tcPr>
          <w:p w14:paraId="5CF1A5F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70-90元/m</w:t>
            </w:r>
            <w:r>
              <w:rPr>
                <w:rFonts w:ascii="宋体" w:hAnsi="宋体" w:cs="宋体" w:hint="eastAsia"/>
                <w:snapToGrid w:val="0"/>
                <w:kern w:val="0"/>
                <w:szCs w:val="21"/>
                <w:vertAlign w:val="superscript"/>
              </w:rPr>
              <w:t>2</w:t>
            </w:r>
          </w:p>
        </w:tc>
        <w:tc>
          <w:tcPr>
            <w:tcW w:w="1450" w:type="pct"/>
            <w:vMerge/>
            <w:vAlign w:val="center"/>
          </w:tcPr>
          <w:p w14:paraId="3D796B9F" w14:textId="77777777" w:rsidR="00A320E6" w:rsidRDefault="00A320E6" w:rsidP="00EC50E9">
            <w:pPr>
              <w:jc w:val="left"/>
              <w:rPr>
                <w:rFonts w:ascii="宋体" w:hAnsi="宋体" w:cs="宋体"/>
                <w:snapToGrid w:val="0"/>
                <w:kern w:val="0"/>
                <w:szCs w:val="21"/>
              </w:rPr>
            </w:pPr>
          </w:p>
        </w:tc>
      </w:tr>
      <w:tr w:rsidR="00A320E6" w14:paraId="6E93B372" w14:textId="77777777">
        <w:trPr>
          <w:trHeight w:hRule="exact" w:val="397"/>
          <w:jc w:val="center"/>
        </w:trPr>
        <w:tc>
          <w:tcPr>
            <w:tcW w:w="364" w:type="pct"/>
            <w:vMerge/>
            <w:vAlign w:val="center"/>
          </w:tcPr>
          <w:p w14:paraId="23A18257" w14:textId="77777777" w:rsidR="00A320E6" w:rsidRDefault="00A320E6" w:rsidP="00EC50E9">
            <w:pPr>
              <w:jc w:val="center"/>
              <w:rPr>
                <w:rFonts w:ascii="宋体" w:hAnsi="宋体" w:cs="宋体"/>
                <w:snapToGrid w:val="0"/>
                <w:kern w:val="0"/>
                <w:szCs w:val="21"/>
              </w:rPr>
            </w:pPr>
          </w:p>
        </w:tc>
        <w:tc>
          <w:tcPr>
            <w:tcW w:w="441" w:type="pct"/>
            <w:vMerge/>
            <w:vAlign w:val="center"/>
          </w:tcPr>
          <w:p w14:paraId="0611FD87"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B37E72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沥青路面</w:t>
            </w:r>
          </w:p>
        </w:tc>
        <w:tc>
          <w:tcPr>
            <w:tcW w:w="992" w:type="pct"/>
            <w:shd w:val="clear" w:color="000000" w:fill="FFFFFF"/>
            <w:vAlign w:val="center"/>
          </w:tcPr>
          <w:p w14:paraId="2AAC9FF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80-100元/m</w:t>
            </w:r>
            <w:r>
              <w:rPr>
                <w:rFonts w:ascii="宋体" w:hAnsi="宋体" w:cs="宋体" w:hint="eastAsia"/>
                <w:snapToGrid w:val="0"/>
                <w:kern w:val="0"/>
                <w:szCs w:val="21"/>
                <w:vertAlign w:val="superscript"/>
              </w:rPr>
              <w:t>2</w:t>
            </w:r>
          </w:p>
        </w:tc>
        <w:tc>
          <w:tcPr>
            <w:tcW w:w="1450" w:type="pct"/>
            <w:vMerge/>
            <w:vAlign w:val="center"/>
          </w:tcPr>
          <w:p w14:paraId="3B816886" w14:textId="77777777" w:rsidR="00A320E6" w:rsidRDefault="00A320E6" w:rsidP="00EC50E9">
            <w:pPr>
              <w:jc w:val="left"/>
              <w:rPr>
                <w:rFonts w:ascii="宋体" w:hAnsi="宋体" w:cs="宋体"/>
                <w:snapToGrid w:val="0"/>
                <w:kern w:val="0"/>
                <w:szCs w:val="21"/>
              </w:rPr>
            </w:pPr>
          </w:p>
        </w:tc>
      </w:tr>
      <w:tr w:rsidR="00A320E6" w14:paraId="1BF2FC46" w14:textId="77777777">
        <w:trPr>
          <w:trHeight w:hRule="exact" w:val="397"/>
          <w:jc w:val="center"/>
        </w:trPr>
        <w:tc>
          <w:tcPr>
            <w:tcW w:w="364" w:type="pct"/>
            <w:vMerge/>
            <w:vAlign w:val="center"/>
          </w:tcPr>
          <w:p w14:paraId="3358034B" w14:textId="77777777" w:rsidR="00A320E6" w:rsidRDefault="00A320E6" w:rsidP="00EC50E9">
            <w:pPr>
              <w:jc w:val="center"/>
              <w:rPr>
                <w:rFonts w:ascii="宋体" w:hAnsi="宋体" w:cs="宋体"/>
                <w:snapToGrid w:val="0"/>
                <w:kern w:val="0"/>
                <w:szCs w:val="21"/>
              </w:rPr>
            </w:pPr>
          </w:p>
        </w:tc>
        <w:tc>
          <w:tcPr>
            <w:tcW w:w="441" w:type="pct"/>
            <w:vMerge/>
            <w:vAlign w:val="center"/>
          </w:tcPr>
          <w:p w14:paraId="528316DB"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A10BBC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沙、石、煤渣硬化路面</w:t>
            </w:r>
          </w:p>
        </w:tc>
        <w:tc>
          <w:tcPr>
            <w:tcW w:w="992" w:type="pct"/>
            <w:shd w:val="clear" w:color="000000" w:fill="FFFFFF"/>
            <w:vAlign w:val="center"/>
          </w:tcPr>
          <w:p w14:paraId="3EFFC00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10-20元/m</w:t>
            </w:r>
            <w:r>
              <w:rPr>
                <w:rFonts w:ascii="宋体" w:hAnsi="宋体" w:cs="宋体" w:hint="eastAsia"/>
                <w:snapToGrid w:val="0"/>
                <w:kern w:val="0"/>
                <w:szCs w:val="21"/>
                <w:vertAlign w:val="superscript"/>
              </w:rPr>
              <w:t>2</w:t>
            </w:r>
          </w:p>
        </w:tc>
        <w:tc>
          <w:tcPr>
            <w:tcW w:w="1450" w:type="pct"/>
            <w:vMerge/>
            <w:vAlign w:val="center"/>
          </w:tcPr>
          <w:p w14:paraId="7477332B" w14:textId="77777777" w:rsidR="00A320E6" w:rsidRDefault="00A320E6" w:rsidP="00EC50E9">
            <w:pPr>
              <w:jc w:val="left"/>
              <w:rPr>
                <w:rFonts w:ascii="宋体" w:hAnsi="宋体" w:cs="宋体"/>
                <w:snapToGrid w:val="0"/>
                <w:kern w:val="0"/>
                <w:szCs w:val="21"/>
              </w:rPr>
            </w:pPr>
          </w:p>
        </w:tc>
      </w:tr>
      <w:tr w:rsidR="00A320E6" w14:paraId="20788EDD" w14:textId="77777777">
        <w:trPr>
          <w:trHeight w:hRule="exact" w:val="397"/>
          <w:jc w:val="center"/>
        </w:trPr>
        <w:tc>
          <w:tcPr>
            <w:tcW w:w="364" w:type="pct"/>
            <w:vMerge w:val="restart"/>
            <w:shd w:val="clear" w:color="000000" w:fill="FFFFFF"/>
            <w:vAlign w:val="center"/>
          </w:tcPr>
          <w:p w14:paraId="53C4C27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十二</w:t>
            </w:r>
          </w:p>
        </w:tc>
        <w:tc>
          <w:tcPr>
            <w:tcW w:w="441" w:type="pct"/>
            <w:vMerge w:val="restart"/>
            <w:shd w:val="clear" w:color="000000" w:fill="FFFFFF"/>
            <w:vAlign w:val="center"/>
          </w:tcPr>
          <w:p w14:paraId="3E64986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水井</w:t>
            </w:r>
          </w:p>
        </w:tc>
        <w:tc>
          <w:tcPr>
            <w:tcW w:w="1752" w:type="pct"/>
            <w:gridSpan w:val="2"/>
            <w:shd w:val="clear" w:color="000000" w:fill="FFFFFF"/>
            <w:vAlign w:val="center"/>
          </w:tcPr>
          <w:p w14:paraId="3436C2F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手压井</w:t>
            </w:r>
          </w:p>
        </w:tc>
        <w:tc>
          <w:tcPr>
            <w:tcW w:w="992" w:type="pct"/>
            <w:shd w:val="clear" w:color="000000" w:fill="FFFFFF"/>
            <w:vAlign w:val="center"/>
          </w:tcPr>
          <w:p w14:paraId="33E15B2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500元/眼</w:t>
            </w:r>
          </w:p>
        </w:tc>
        <w:tc>
          <w:tcPr>
            <w:tcW w:w="1450" w:type="pct"/>
            <w:vMerge w:val="restart"/>
            <w:shd w:val="clear" w:color="000000" w:fill="FFFFFF"/>
            <w:vAlign w:val="center"/>
          </w:tcPr>
          <w:p w14:paraId="67722168"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1、机井按井深分段计算补偿；</w:t>
            </w:r>
            <w:r>
              <w:rPr>
                <w:rFonts w:ascii="宋体" w:hAnsi="宋体" w:cs="宋体" w:hint="eastAsia"/>
                <w:snapToGrid w:val="0"/>
                <w:kern w:val="0"/>
                <w:szCs w:val="21"/>
              </w:rPr>
              <w:br/>
              <w:t>2、水井补偿包括开凿工程、用料及用工等费用，含水泵、水管、供电设施等；</w:t>
            </w:r>
            <w:r>
              <w:rPr>
                <w:rFonts w:ascii="宋体" w:hAnsi="宋体" w:cs="宋体" w:hint="eastAsia"/>
                <w:snapToGrid w:val="0"/>
                <w:kern w:val="0"/>
                <w:szCs w:val="21"/>
              </w:rPr>
              <w:br/>
              <w:t>3、未取得由水利部门出具的合法手续的机井按相应补偿标准下限执行；</w:t>
            </w:r>
            <w:r>
              <w:rPr>
                <w:rFonts w:ascii="宋体" w:hAnsi="宋体" w:cs="宋体" w:hint="eastAsia"/>
                <w:snapToGrid w:val="0"/>
                <w:kern w:val="0"/>
                <w:szCs w:val="21"/>
              </w:rPr>
              <w:br/>
              <w:t>4、废枯井按同类水井补偿标准下限的50%进行补偿。</w:t>
            </w:r>
            <w:r>
              <w:rPr>
                <w:rFonts w:ascii="宋体" w:hAnsi="宋体" w:cs="宋体" w:hint="eastAsia"/>
                <w:snapToGrid w:val="0"/>
                <w:kern w:val="0"/>
                <w:szCs w:val="21"/>
              </w:rPr>
              <w:br/>
              <w:t>5、其他井价格另议。</w:t>
            </w:r>
          </w:p>
        </w:tc>
      </w:tr>
      <w:tr w:rsidR="00A320E6" w14:paraId="0A7CDA5D" w14:textId="77777777">
        <w:trPr>
          <w:trHeight w:hRule="exact" w:val="397"/>
          <w:jc w:val="center"/>
        </w:trPr>
        <w:tc>
          <w:tcPr>
            <w:tcW w:w="364" w:type="pct"/>
            <w:vMerge/>
            <w:vAlign w:val="center"/>
          </w:tcPr>
          <w:p w14:paraId="4C0D8655" w14:textId="77777777" w:rsidR="00A320E6" w:rsidRDefault="00A320E6" w:rsidP="00EC50E9">
            <w:pPr>
              <w:jc w:val="center"/>
              <w:rPr>
                <w:rFonts w:ascii="宋体" w:hAnsi="宋体" w:cs="宋体"/>
                <w:snapToGrid w:val="0"/>
                <w:kern w:val="0"/>
                <w:szCs w:val="21"/>
              </w:rPr>
            </w:pPr>
          </w:p>
        </w:tc>
        <w:tc>
          <w:tcPr>
            <w:tcW w:w="441" w:type="pct"/>
            <w:vMerge/>
            <w:vAlign w:val="center"/>
          </w:tcPr>
          <w:p w14:paraId="3DE740BF"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BABBF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土井</w:t>
            </w:r>
          </w:p>
        </w:tc>
        <w:tc>
          <w:tcPr>
            <w:tcW w:w="992" w:type="pct"/>
            <w:shd w:val="clear" w:color="000000" w:fill="FFFFFF"/>
            <w:vAlign w:val="center"/>
          </w:tcPr>
          <w:p w14:paraId="36D96D2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120－150元/m</w:t>
            </w:r>
          </w:p>
        </w:tc>
        <w:tc>
          <w:tcPr>
            <w:tcW w:w="1450" w:type="pct"/>
            <w:vMerge/>
            <w:vAlign w:val="center"/>
          </w:tcPr>
          <w:p w14:paraId="4E3CB872" w14:textId="77777777" w:rsidR="00A320E6" w:rsidRDefault="00A320E6" w:rsidP="00EC50E9">
            <w:pPr>
              <w:jc w:val="left"/>
              <w:rPr>
                <w:rFonts w:ascii="宋体" w:hAnsi="宋体" w:cs="宋体"/>
                <w:snapToGrid w:val="0"/>
                <w:kern w:val="0"/>
                <w:szCs w:val="21"/>
              </w:rPr>
            </w:pPr>
          </w:p>
        </w:tc>
      </w:tr>
      <w:tr w:rsidR="00A320E6" w14:paraId="09132456" w14:textId="77777777">
        <w:trPr>
          <w:trHeight w:hRule="exact" w:val="397"/>
          <w:jc w:val="center"/>
        </w:trPr>
        <w:tc>
          <w:tcPr>
            <w:tcW w:w="364" w:type="pct"/>
            <w:vMerge/>
            <w:vAlign w:val="center"/>
          </w:tcPr>
          <w:p w14:paraId="72D1D94E" w14:textId="77777777" w:rsidR="00A320E6" w:rsidRDefault="00A320E6" w:rsidP="00EC50E9">
            <w:pPr>
              <w:jc w:val="center"/>
              <w:rPr>
                <w:rFonts w:ascii="宋体" w:hAnsi="宋体" w:cs="宋体"/>
                <w:snapToGrid w:val="0"/>
                <w:kern w:val="0"/>
                <w:szCs w:val="21"/>
              </w:rPr>
            </w:pPr>
          </w:p>
        </w:tc>
        <w:tc>
          <w:tcPr>
            <w:tcW w:w="441" w:type="pct"/>
            <w:vMerge/>
            <w:vAlign w:val="center"/>
          </w:tcPr>
          <w:p w14:paraId="778A7606"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15DECB9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砖井(包括乱石井)</w:t>
            </w:r>
          </w:p>
        </w:tc>
        <w:tc>
          <w:tcPr>
            <w:tcW w:w="1279" w:type="pct"/>
            <w:shd w:val="clear" w:color="000000" w:fill="FFFFFF"/>
            <w:vAlign w:val="center"/>
          </w:tcPr>
          <w:p w14:paraId="1F34A8E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深度&lt;10m</w:t>
            </w:r>
          </w:p>
        </w:tc>
        <w:tc>
          <w:tcPr>
            <w:tcW w:w="992" w:type="pct"/>
            <w:shd w:val="clear" w:color="000000" w:fill="FFFFFF"/>
            <w:vAlign w:val="center"/>
          </w:tcPr>
          <w:p w14:paraId="4241AD3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3400－4500元/口</w:t>
            </w:r>
          </w:p>
        </w:tc>
        <w:tc>
          <w:tcPr>
            <w:tcW w:w="1450" w:type="pct"/>
            <w:vMerge/>
            <w:vAlign w:val="center"/>
          </w:tcPr>
          <w:p w14:paraId="6C9E1EDE" w14:textId="77777777" w:rsidR="00A320E6" w:rsidRDefault="00A320E6" w:rsidP="00EC50E9">
            <w:pPr>
              <w:jc w:val="left"/>
              <w:rPr>
                <w:rFonts w:ascii="宋体" w:hAnsi="宋体" w:cs="宋体"/>
                <w:snapToGrid w:val="0"/>
                <w:kern w:val="0"/>
                <w:szCs w:val="21"/>
              </w:rPr>
            </w:pPr>
          </w:p>
        </w:tc>
      </w:tr>
      <w:tr w:rsidR="00A320E6" w14:paraId="576832FA" w14:textId="77777777">
        <w:trPr>
          <w:trHeight w:hRule="exact" w:val="397"/>
          <w:jc w:val="center"/>
        </w:trPr>
        <w:tc>
          <w:tcPr>
            <w:tcW w:w="364" w:type="pct"/>
            <w:vMerge/>
            <w:vAlign w:val="center"/>
          </w:tcPr>
          <w:p w14:paraId="3E65AA1E" w14:textId="77777777" w:rsidR="00A320E6" w:rsidRDefault="00A320E6" w:rsidP="00EC50E9">
            <w:pPr>
              <w:jc w:val="center"/>
              <w:rPr>
                <w:rFonts w:ascii="宋体" w:hAnsi="宋体" w:cs="宋体"/>
                <w:snapToGrid w:val="0"/>
                <w:kern w:val="0"/>
                <w:szCs w:val="21"/>
              </w:rPr>
            </w:pPr>
          </w:p>
        </w:tc>
        <w:tc>
          <w:tcPr>
            <w:tcW w:w="441" w:type="pct"/>
            <w:vMerge/>
            <w:vAlign w:val="center"/>
          </w:tcPr>
          <w:p w14:paraId="5D3C278C" w14:textId="77777777" w:rsidR="00A320E6" w:rsidRDefault="00A320E6" w:rsidP="00EC50E9">
            <w:pPr>
              <w:jc w:val="center"/>
              <w:rPr>
                <w:rFonts w:ascii="宋体" w:hAnsi="宋体" w:cs="宋体"/>
                <w:snapToGrid w:val="0"/>
                <w:kern w:val="0"/>
                <w:szCs w:val="21"/>
              </w:rPr>
            </w:pPr>
          </w:p>
        </w:tc>
        <w:tc>
          <w:tcPr>
            <w:tcW w:w="473" w:type="pct"/>
            <w:vMerge/>
            <w:vAlign w:val="center"/>
          </w:tcPr>
          <w:p w14:paraId="67C62037"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36CECF9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深度≥10m</w:t>
            </w:r>
          </w:p>
        </w:tc>
        <w:tc>
          <w:tcPr>
            <w:tcW w:w="992" w:type="pct"/>
            <w:shd w:val="clear" w:color="000000" w:fill="FFFFFF"/>
            <w:vAlign w:val="center"/>
          </w:tcPr>
          <w:p w14:paraId="36FDFBF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5400－6100元/口</w:t>
            </w:r>
          </w:p>
        </w:tc>
        <w:tc>
          <w:tcPr>
            <w:tcW w:w="1450" w:type="pct"/>
            <w:vMerge/>
            <w:vAlign w:val="center"/>
          </w:tcPr>
          <w:p w14:paraId="48B80A19" w14:textId="77777777" w:rsidR="00A320E6" w:rsidRDefault="00A320E6" w:rsidP="00EC50E9">
            <w:pPr>
              <w:jc w:val="left"/>
              <w:rPr>
                <w:rFonts w:ascii="宋体" w:hAnsi="宋体" w:cs="宋体"/>
                <w:snapToGrid w:val="0"/>
                <w:kern w:val="0"/>
                <w:szCs w:val="21"/>
              </w:rPr>
            </w:pPr>
          </w:p>
        </w:tc>
      </w:tr>
      <w:tr w:rsidR="00A320E6" w14:paraId="5D2E3CEA" w14:textId="77777777">
        <w:trPr>
          <w:trHeight w:hRule="exact" w:val="397"/>
          <w:jc w:val="center"/>
        </w:trPr>
        <w:tc>
          <w:tcPr>
            <w:tcW w:w="364" w:type="pct"/>
            <w:vMerge/>
            <w:vAlign w:val="center"/>
          </w:tcPr>
          <w:p w14:paraId="53788F1D" w14:textId="77777777" w:rsidR="00A320E6" w:rsidRDefault="00A320E6" w:rsidP="00EC50E9">
            <w:pPr>
              <w:jc w:val="center"/>
              <w:rPr>
                <w:rFonts w:ascii="宋体" w:hAnsi="宋体" w:cs="宋体"/>
                <w:snapToGrid w:val="0"/>
                <w:kern w:val="0"/>
                <w:szCs w:val="21"/>
              </w:rPr>
            </w:pPr>
          </w:p>
        </w:tc>
        <w:tc>
          <w:tcPr>
            <w:tcW w:w="441" w:type="pct"/>
            <w:vMerge/>
            <w:vAlign w:val="center"/>
          </w:tcPr>
          <w:p w14:paraId="531733C2"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3C298CB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机井</w:t>
            </w:r>
          </w:p>
        </w:tc>
        <w:tc>
          <w:tcPr>
            <w:tcW w:w="1279" w:type="pct"/>
            <w:shd w:val="clear" w:color="000000" w:fill="FFFFFF"/>
            <w:vAlign w:val="center"/>
          </w:tcPr>
          <w:p w14:paraId="2108304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深≤20m</w:t>
            </w:r>
          </w:p>
        </w:tc>
        <w:tc>
          <w:tcPr>
            <w:tcW w:w="992" w:type="pct"/>
            <w:shd w:val="clear" w:color="000000" w:fill="FFFFFF"/>
            <w:vAlign w:val="center"/>
          </w:tcPr>
          <w:p w14:paraId="52301D6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160-180元/m</w:t>
            </w:r>
          </w:p>
        </w:tc>
        <w:tc>
          <w:tcPr>
            <w:tcW w:w="1450" w:type="pct"/>
            <w:vMerge/>
            <w:vAlign w:val="center"/>
          </w:tcPr>
          <w:p w14:paraId="1AE4F8EC" w14:textId="77777777" w:rsidR="00A320E6" w:rsidRDefault="00A320E6" w:rsidP="00EC50E9">
            <w:pPr>
              <w:jc w:val="left"/>
              <w:rPr>
                <w:rFonts w:ascii="宋体" w:hAnsi="宋体" w:cs="宋体"/>
                <w:snapToGrid w:val="0"/>
                <w:kern w:val="0"/>
                <w:szCs w:val="21"/>
              </w:rPr>
            </w:pPr>
          </w:p>
        </w:tc>
      </w:tr>
      <w:tr w:rsidR="00A320E6" w14:paraId="1B8BDF9D" w14:textId="77777777">
        <w:trPr>
          <w:trHeight w:hRule="exact" w:val="397"/>
          <w:jc w:val="center"/>
        </w:trPr>
        <w:tc>
          <w:tcPr>
            <w:tcW w:w="364" w:type="pct"/>
            <w:vMerge/>
            <w:vAlign w:val="center"/>
          </w:tcPr>
          <w:p w14:paraId="51E3CC47" w14:textId="77777777" w:rsidR="00A320E6" w:rsidRDefault="00A320E6" w:rsidP="00EC50E9">
            <w:pPr>
              <w:jc w:val="center"/>
              <w:rPr>
                <w:rFonts w:ascii="宋体" w:hAnsi="宋体" w:cs="宋体"/>
                <w:snapToGrid w:val="0"/>
                <w:kern w:val="0"/>
                <w:szCs w:val="21"/>
              </w:rPr>
            </w:pPr>
          </w:p>
        </w:tc>
        <w:tc>
          <w:tcPr>
            <w:tcW w:w="441" w:type="pct"/>
            <w:vMerge/>
            <w:vAlign w:val="center"/>
          </w:tcPr>
          <w:p w14:paraId="2B208F85" w14:textId="77777777" w:rsidR="00A320E6" w:rsidRDefault="00A320E6" w:rsidP="00EC50E9">
            <w:pPr>
              <w:jc w:val="center"/>
              <w:rPr>
                <w:rFonts w:ascii="宋体" w:hAnsi="宋体" w:cs="宋体"/>
                <w:snapToGrid w:val="0"/>
                <w:kern w:val="0"/>
                <w:szCs w:val="21"/>
              </w:rPr>
            </w:pPr>
          </w:p>
        </w:tc>
        <w:tc>
          <w:tcPr>
            <w:tcW w:w="473" w:type="pct"/>
            <w:vMerge/>
            <w:vAlign w:val="center"/>
          </w:tcPr>
          <w:p w14:paraId="1B2E9EFC"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6695EFD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20m&lt;深≤50m</w:t>
            </w:r>
          </w:p>
        </w:tc>
        <w:tc>
          <w:tcPr>
            <w:tcW w:w="992" w:type="pct"/>
            <w:shd w:val="clear" w:color="000000" w:fill="FFFFFF"/>
            <w:vAlign w:val="center"/>
          </w:tcPr>
          <w:p w14:paraId="211E806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250－300元/m</w:t>
            </w:r>
          </w:p>
        </w:tc>
        <w:tc>
          <w:tcPr>
            <w:tcW w:w="1450" w:type="pct"/>
            <w:vMerge/>
            <w:vAlign w:val="center"/>
          </w:tcPr>
          <w:p w14:paraId="2A305725" w14:textId="77777777" w:rsidR="00A320E6" w:rsidRDefault="00A320E6" w:rsidP="00EC50E9">
            <w:pPr>
              <w:jc w:val="left"/>
              <w:rPr>
                <w:rFonts w:ascii="宋体" w:hAnsi="宋体" w:cs="宋体"/>
                <w:snapToGrid w:val="0"/>
                <w:kern w:val="0"/>
                <w:szCs w:val="21"/>
              </w:rPr>
            </w:pPr>
          </w:p>
        </w:tc>
      </w:tr>
      <w:tr w:rsidR="00A320E6" w14:paraId="25CFE8D7" w14:textId="77777777">
        <w:trPr>
          <w:trHeight w:hRule="exact" w:val="397"/>
          <w:jc w:val="center"/>
        </w:trPr>
        <w:tc>
          <w:tcPr>
            <w:tcW w:w="364" w:type="pct"/>
            <w:vMerge/>
            <w:vAlign w:val="center"/>
          </w:tcPr>
          <w:p w14:paraId="600E5436" w14:textId="77777777" w:rsidR="00A320E6" w:rsidRDefault="00A320E6" w:rsidP="00EC50E9">
            <w:pPr>
              <w:jc w:val="center"/>
              <w:rPr>
                <w:rFonts w:ascii="宋体" w:hAnsi="宋体" w:cs="宋体"/>
                <w:snapToGrid w:val="0"/>
                <w:kern w:val="0"/>
                <w:szCs w:val="21"/>
              </w:rPr>
            </w:pPr>
          </w:p>
        </w:tc>
        <w:tc>
          <w:tcPr>
            <w:tcW w:w="441" w:type="pct"/>
            <w:vMerge/>
            <w:vAlign w:val="center"/>
          </w:tcPr>
          <w:p w14:paraId="20C19514" w14:textId="77777777" w:rsidR="00A320E6" w:rsidRDefault="00A320E6" w:rsidP="00EC50E9">
            <w:pPr>
              <w:jc w:val="center"/>
              <w:rPr>
                <w:rFonts w:ascii="宋体" w:hAnsi="宋体" w:cs="宋体"/>
                <w:snapToGrid w:val="0"/>
                <w:kern w:val="0"/>
                <w:szCs w:val="21"/>
              </w:rPr>
            </w:pPr>
          </w:p>
        </w:tc>
        <w:tc>
          <w:tcPr>
            <w:tcW w:w="473" w:type="pct"/>
            <w:vMerge/>
            <w:vAlign w:val="center"/>
          </w:tcPr>
          <w:p w14:paraId="3D80E49A"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14CEB49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50m&lt;深≤100m</w:t>
            </w:r>
          </w:p>
        </w:tc>
        <w:tc>
          <w:tcPr>
            <w:tcW w:w="992" w:type="pct"/>
            <w:shd w:val="clear" w:color="000000" w:fill="FFFFFF"/>
            <w:vAlign w:val="center"/>
          </w:tcPr>
          <w:p w14:paraId="58F3247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300－360元/m</w:t>
            </w:r>
          </w:p>
        </w:tc>
        <w:tc>
          <w:tcPr>
            <w:tcW w:w="1450" w:type="pct"/>
            <w:vMerge/>
            <w:vAlign w:val="center"/>
          </w:tcPr>
          <w:p w14:paraId="02CA4BF0" w14:textId="77777777" w:rsidR="00A320E6" w:rsidRDefault="00A320E6" w:rsidP="00EC50E9">
            <w:pPr>
              <w:jc w:val="left"/>
              <w:rPr>
                <w:rFonts w:ascii="宋体" w:hAnsi="宋体" w:cs="宋体"/>
                <w:snapToGrid w:val="0"/>
                <w:kern w:val="0"/>
                <w:szCs w:val="21"/>
              </w:rPr>
            </w:pPr>
          </w:p>
        </w:tc>
      </w:tr>
      <w:tr w:rsidR="00A320E6" w14:paraId="3356065E" w14:textId="77777777">
        <w:trPr>
          <w:trHeight w:hRule="exact" w:val="397"/>
          <w:jc w:val="center"/>
        </w:trPr>
        <w:tc>
          <w:tcPr>
            <w:tcW w:w="364" w:type="pct"/>
            <w:vMerge/>
            <w:vAlign w:val="center"/>
          </w:tcPr>
          <w:p w14:paraId="342451DB" w14:textId="77777777" w:rsidR="00A320E6" w:rsidRDefault="00A320E6" w:rsidP="00EC50E9">
            <w:pPr>
              <w:jc w:val="center"/>
              <w:rPr>
                <w:rFonts w:ascii="宋体" w:hAnsi="宋体" w:cs="宋体"/>
                <w:snapToGrid w:val="0"/>
                <w:kern w:val="0"/>
                <w:szCs w:val="21"/>
              </w:rPr>
            </w:pPr>
          </w:p>
        </w:tc>
        <w:tc>
          <w:tcPr>
            <w:tcW w:w="441" w:type="pct"/>
            <w:vMerge/>
            <w:vAlign w:val="center"/>
          </w:tcPr>
          <w:p w14:paraId="70650F8E" w14:textId="77777777" w:rsidR="00A320E6" w:rsidRDefault="00A320E6" w:rsidP="00EC50E9">
            <w:pPr>
              <w:jc w:val="center"/>
              <w:rPr>
                <w:rFonts w:ascii="宋体" w:hAnsi="宋体" w:cs="宋体"/>
                <w:snapToGrid w:val="0"/>
                <w:kern w:val="0"/>
                <w:szCs w:val="21"/>
              </w:rPr>
            </w:pPr>
          </w:p>
        </w:tc>
        <w:tc>
          <w:tcPr>
            <w:tcW w:w="473" w:type="pct"/>
            <w:vMerge/>
            <w:vAlign w:val="center"/>
          </w:tcPr>
          <w:p w14:paraId="7012A1FC"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15DD33D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100m&lt;深≤250m</w:t>
            </w:r>
          </w:p>
        </w:tc>
        <w:tc>
          <w:tcPr>
            <w:tcW w:w="992" w:type="pct"/>
            <w:shd w:val="clear" w:color="000000" w:fill="FFFFFF"/>
            <w:vAlign w:val="center"/>
          </w:tcPr>
          <w:p w14:paraId="621B6DB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360－450元/m</w:t>
            </w:r>
          </w:p>
        </w:tc>
        <w:tc>
          <w:tcPr>
            <w:tcW w:w="1450" w:type="pct"/>
            <w:vMerge/>
            <w:vAlign w:val="center"/>
          </w:tcPr>
          <w:p w14:paraId="514DDE4D" w14:textId="77777777" w:rsidR="00A320E6" w:rsidRDefault="00A320E6" w:rsidP="00EC50E9">
            <w:pPr>
              <w:jc w:val="left"/>
              <w:rPr>
                <w:rFonts w:ascii="宋体" w:hAnsi="宋体" w:cs="宋体"/>
                <w:snapToGrid w:val="0"/>
                <w:kern w:val="0"/>
                <w:szCs w:val="21"/>
              </w:rPr>
            </w:pPr>
          </w:p>
        </w:tc>
      </w:tr>
      <w:tr w:rsidR="00A320E6" w14:paraId="58351901" w14:textId="77777777">
        <w:trPr>
          <w:trHeight w:hRule="exact" w:val="397"/>
          <w:jc w:val="center"/>
        </w:trPr>
        <w:tc>
          <w:tcPr>
            <w:tcW w:w="364" w:type="pct"/>
            <w:vMerge/>
            <w:vAlign w:val="center"/>
          </w:tcPr>
          <w:p w14:paraId="063F0830" w14:textId="77777777" w:rsidR="00A320E6" w:rsidRDefault="00A320E6" w:rsidP="00EC50E9">
            <w:pPr>
              <w:jc w:val="center"/>
              <w:rPr>
                <w:rFonts w:ascii="宋体" w:hAnsi="宋体" w:cs="宋体"/>
                <w:snapToGrid w:val="0"/>
                <w:kern w:val="0"/>
                <w:szCs w:val="21"/>
              </w:rPr>
            </w:pPr>
          </w:p>
        </w:tc>
        <w:tc>
          <w:tcPr>
            <w:tcW w:w="441" w:type="pct"/>
            <w:vMerge/>
            <w:vAlign w:val="center"/>
          </w:tcPr>
          <w:p w14:paraId="3B29CA37" w14:textId="77777777" w:rsidR="00A320E6" w:rsidRDefault="00A320E6" w:rsidP="00EC50E9">
            <w:pPr>
              <w:jc w:val="center"/>
              <w:rPr>
                <w:rFonts w:ascii="宋体" w:hAnsi="宋体" w:cs="宋体"/>
                <w:snapToGrid w:val="0"/>
                <w:kern w:val="0"/>
                <w:szCs w:val="21"/>
              </w:rPr>
            </w:pPr>
          </w:p>
        </w:tc>
        <w:tc>
          <w:tcPr>
            <w:tcW w:w="473" w:type="pct"/>
            <w:vMerge/>
            <w:vAlign w:val="center"/>
          </w:tcPr>
          <w:p w14:paraId="4D3F8356"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189E4E8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深&gt;250m</w:t>
            </w:r>
          </w:p>
        </w:tc>
        <w:tc>
          <w:tcPr>
            <w:tcW w:w="992" w:type="pct"/>
            <w:shd w:val="clear" w:color="000000" w:fill="FFFFFF"/>
            <w:vAlign w:val="center"/>
          </w:tcPr>
          <w:p w14:paraId="0C37C4E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450－650元/m</w:t>
            </w:r>
          </w:p>
        </w:tc>
        <w:tc>
          <w:tcPr>
            <w:tcW w:w="1450" w:type="pct"/>
            <w:vMerge/>
            <w:vAlign w:val="center"/>
          </w:tcPr>
          <w:p w14:paraId="52887674" w14:textId="77777777" w:rsidR="00A320E6" w:rsidRDefault="00A320E6" w:rsidP="00EC50E9">
            <w:pPr>
              <w:jc w:val="left"/>
              <w:rPr>
                <w:rFonts w:ascii="宋体" w:hAnsi="宋体" w:cs="宋体"/>
                <w:snapToGrid w:val="0"/>
                <w:kern w:val="0"/>
                <w:szCs w:val="21"/>
              </w:rPr>
            </w:pPr>
          </w:p>
        </w:tc>
      </w:tr>
      <w:tr w:rsidR="00A320E6" w14:paraId="1FBE29CB" w14:textId="77777777">
        <w:trPr>
          <w:trHeight w:val="680"/>
          <w:jc w:val="center"/>
        </w:trPr>
        <w:tc>
          <w:tcPr>
            <w:tcW w:w="364" w:type="pct"/>
            <w:vMerge w:val="restart"/>
            <w:shd w:val="clear" w:color="000000" w:fill="FFFFFF"/>
            <w:vAlign w:val="center"/>
          </w:tcPr>
          <w:p w14:paraId="080D258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十三</w:t>
            </w:r>
          </w:p>
        </w:tc>
        <w:tc>
          <w:tcPr>
            <w:tcW w:w="441" w:type="pct"/>
            <w:vMerge w:val="restart"/>
            <w:shd w:val="clear" w:color="000000" w:fill="FFFFFF"/>
            <w:vAlign w:val="center"/>
          </w:tcPr>
          <w:p w14:paraId="7B65E1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乔木</w:t>
            </w:r>
          </w:p>
        </w:tc>
        <w:tc>
          <w:tcPr>
            <w:tcW w:w="1752" w:type="pct"/>
            <w:gridSpan w:val="2"/>
            <w:shd w:val="clear" w:color="000000" w:fill="FFFFFF"/>
            <w:vAlign w:val="center"/>
          </w:tcPr>
          <w:p w14:paraId="0E83C2D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胸径&lt;5cm</w:t>
            </w:r>
            <w:r>
              <w:rPr>
                <w:rFonts w:ascii="宋体" w:hAnsi="宋体" w:cs="宋体" w:hint="eastAsia"/>
                <w:snapToGrid w:val="0"/>
                <w:kern w:val="0"/>
                <w:szCs w:val="21"/>
              </w:rPr>
              <w:br/>
              <w:t>松柏树：胸径&lt;3cm</w:t>
            </w:r>
          </w:p>
        </w:tc>
        <w:tc>
          <w:tcPr>
            <w:tcW w:w="992" w:type="pct"/>
            <w:shd w:val="clear" w:color="000000" w:fill="FFFFFF"/>
            <w:vAlign w:val="center"/>
          </w:tcPr>
          <w:p w14:paraId="6FD791E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5-10元/株</w:t>
            </w:r>
          </w:p>
        </w:tc>
        <w:tc>
          <w:tcPr>
            <w:tcW w:w="1450" w:type="pct"/>
            <w:vMerge w:val="restart"/>
            <w:shd w:val="clear" w:color="000000" w:fill="FFFFFF"/>
            <w:vAlign w:val="center"/>
          </w:tcPr>
          <w:p w14:paraId="3C04D077"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1、指杨树、刺槐、榆树、构树、梧桐等用材乔木;</w:t>
            </w:r>
            <w:r>
              <w:rPr>
                <w:rFonts w:ascii="宋体" w:hAnsi="宋体" w:cs="宋体" w:hint="eastAsia"/>
                <w:snapToGrid w:val="0"/>
                <w:kern w:val="0"/>
                <w:szCs w:val="21"/>
              </w:rPr>
              <w:br/>
              <w:t>2、补偿标准为移栽费，树归原主；</w:t>
            </w:r>
            <w:r>
              <w:rPr>
                <w:rFonts w:ascii="宋体" w:hAnsi="宋体" w:cs="宋体" w:hint="eastAsia"/>
                <w:snapToGrid w:val="0"/>
                <w:kern w:val="0"/>
                <w:szCs w:val="21"/>
              </w:rPr>
              <w:br/>
              <w:t>3、乔木胸径是指距根茎1.3m处的树木直径；</w:t>
            </w:r>
            <w:r>
              <w:rPr>
                <w:rFonts w:ascii="宋体" w:hAnsi="宋体" w:cs="宋体" w:hint="eastAsia"/>
                <w:snapToGrid w:val="0"/>
                <w:kern w:val="0"/>
                <w:szCs w:val="21"/>
              </w:rPr>
              <w:br/>
              <w:t>4、银杏树胸径8cm及以下的按松柏类执行，每亩不超过220株，超过8cm的另行评估；</w:t>
            </w:r>
            <w:r>
              <w:rPr>
                <w:rFonts w:ascii="宋体" w:hAnsi="宋体" w:cs="宋体" w:hint="eastAsia"/>
                <w:snapToGrid w:val="0"/>
                <w:kern w:val="0"/>
                <w:szCs w:val="21"/>
              </w:rPr>
              <w:br/>
              <w:t>5、广玉兰、法桐、国槐、五角枫、樱花、柳树、枫树等景观绿化树，可参照松柏类相应补偿标准基础上上浮50%；其他特殊树种补偿另行评估。</w:t>
            </w:r>
          </w:p>
        </w:tc>
      </w:tr>
      <w:tr w:rsidR="00A320E6" w14:paraId="69FAA523" w14:textId="77777777">
        <w:trPr>
          <w:trHeight w:val="680"/>
          <w:jc w:val="center"/>
        </w:trPr>
        <w:tc>
          <w:tcPr>
            <w:tcW w:w="364" w:type="pct"/>
            <w:vMerge/>
            <w:vAlign w:val="center"/>
          </w:tcPr>
          <w:p w14:paraId="5D560BF0" w14:textId="77777777" w:rsidR="00A320E6" w:rsidRDefault="00A320E6" w:rsidP="00EC50E9">
            <w:pPr>
              <w:jc w:val="center"/>
              <w:rPr>
                <w:rFonts w:ascii="宋体" w:hAnsi="宋体" w:cs="宋体"/>
                <w:snapToGrid w:val="0"/>
                <w:kern w:val="0"/>
                <w:szCs w:val="21"/>
              </w:rPr>
            </w:pPr>
          </w:p>
        </w:tc>
        <w:tc>
          <w:tcPr>
            <w:tcW w:w="441" w:type="pct"/>
            <w:vMerge/>
            <w:vAlign w:val="center"/>
          </w:tcPr>
          <w:p w14:paraId="4914E30F"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1578D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5cm≤胸径&lt;10cm</w:t>
            </w:r>
            <w:r>
              <w:rPr>
                <w:rFonts w:ascii="宋体" w:hAnsi="宋体" w:cs="宋体" w:hint="eastAsia"/>
                <w:snapToGrid w:val="0"/>
                <w:kern w:val="0"/>
                <w:szCs w:val="21"/>
              </w:rPr>
              <w:br/>
              <w:t>松柏树：3cm≤胸径&lt;6cm</w:t>
            </w:r>
          </w:p>
        </w:tc>
        <w:tc>
          <w:tcPr>
            <w:tcW w:w="992" w:type="pct"/>
            <w:shd w:val="clear" w:color="000000" w:fill="FFFFFF"/>
            <w:vAlign w:val="center"/>
          </w:tcPr>
          <w:p w14:paraId="56D71D9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40－60元/株</w:t>
            </w:r>
          </w:p>
        </w:tc>
        <w:tc>
          <w:tcPr>
            <w:tcW w:w="1450" w:type="pct"/>
            <w:vMerge/>
            <w:vAlign w:val="center"/>
          </w:tcPr>
          <w:p w14:paraId="1597573E" w14:textId="77777777" w:rsidR="00A320E6" w:rsidRDefault="00A320E6" w:rsidP="00EC50E9">
            <w:pPr>
              <w:jc w:val="left"/>
              <w:rPr>
                <w:rFonts w:ascii="宋体" w:hAnsi="宋体" w:cs="宋体"/>
                <w:snapToGrid w:val="0"/>
                <w:kern w:val="0"/>
                <w:szCs w:val="21"/>
              </w:rPr>
            </w:pPr>
          </w:p>
        </w:tc>
      </w:tr>
      <w:tr w:rsidR="00A320E6" w14:paraId="5E4A660C" w14:textId="77777777">
        <w:trPr>
          <w:trHeight w:val="680"/>
          <w:jc w:val="center"/>
        </w:trPr>
        <w:tc>
          <w:tcPr>
            <w:tcW w:w="364" w:type="pct"/>
            <w:vMerge/>
            <w:vAlign w:val="center"/>
          </w:tcPr>
          <w:p w14:paraId="4F9E11B8" w14:textId="77777777" w:rsidR="00A320E6" w:rsidRDefault="00A320E6" w:rsidP="00EC50E9">
            <w:pPr>
              <w:jc w:val="center"/>
              <w:rPr>
                <w:rFonts w:ascii="宋体" w:hAnsi="宋体" w:cs="宋体"/>
                <w:snapToGrid w:val="0"/>
                <w:kern w:val="0"/>
                <w:szCs w:val="21"/>
              </w:rPr>
            </w:pPr>
          </w:p>
        </w:tc>
        <w:tc>
          <w:tcPr>
            <w:tcW w:w="441" w:type="pct"/>
            <w:vMerge/>
            <w:vAlign w:val="center"/>
          </w:tcPr>
          <w:p w14:paraId="7E1AB02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0E4F97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10cm≤胸径&lt;20cm</w:t>
            </w:r>
            <w:r>
              <w:rPr>
                <w:rFonts w:ascii="宋体" w:hAnsi="宋体" w:cs="宋体" w:hint="eastAsia"/>
                <w:snapToGrid w:val="0"/>
                <w:kern w:val="0"/>
                <w:szCs w:val="21"/>
              </w:rPr>
              <w:br/>
              <w:t>松柏树：6cm≤胸径&lt;10cm</w:t>
            </w:r>
          </w:p>
        </w:tc>
        <w:tc>
          <w:tcPr>
            <w:tcW w:w="992" w:type="pct"/>
            <w:shd w:val="clear" w:color="000000" w:fill="FFFFFF"/>
            <w:vAlign w:val="center"/>
          </w:tcPr>
          <w:p w14:paraId="4B4281A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60－80元/株</w:t>
            </w:r>
          </w:p>
        </w:tc>
        <w:tc>
          <w:tcPr>
            <w:tcW w:w="1450" w:type="pct"/>
            <w:vMerge/>
            <w:vAlign w:val="center"/>
          </w:tcPr>
          <w:p w14:paraId="5173B097" w14:textId="77777777" w:rsidR="00A320E6" w:rsidRDefault="00A320E6" w:rsidP="00EC50E9">
            <w:pPr>
              <w:jc w:val="left"/>
              <w:rPr>
                <w:rFonts w:ascii="宋体" w:hAnsi="宋体" w:cs="宋体"/>
                <w:snapToGrid w:val="0"/>
                <w:kern w:val="0"/>
                <w:szCs w:val="21"/>
              </w:rPr>
            </w:pPr>
          </w:p>
        </w:tc>
      </w:tr>
      <w:tr w:rsidR="00A320E6" w14:paraId="4F3B8A0D" w14:textId="77777777">
        <w:trPr>
          <w:trHeight w:val="680"/>
          <w:jc w:val="center"/>
        </w:trPr>
        <w:tc>
          <w:tcPr>
            <w:tcW w:w="364" w:type="pct"/>
            <w:vMerge/>
            <w:vAlign w:val="center"/>
          </w:tcPr>
          <w:p w14:paraId="6739C85A" w14:textId="77777777" w:rsidR="00A320E6" w:rsidRDefault="00A320E6" w:rsidP="00EC50E9">
            <w:pPr>
              <w:jc w:val="center"/>
              <w:rPr>
                <w:rFonts w:ascii="宋体" w:hAnsi="宋体" w:cs="宋体"/>
                <w:snapToGrid w:val="0"/>
                <w:kern w:val="0"/>
                <w:szCs w:val="21"/>
              </w:rPr>
            </w:pPr>
          </w:p>
        </w:tc>
        <w:tc>
          <w:tcPr>
            <w:tcW w:w="441" w:type="pct"/>
            <w:vMerge/>
            <w:vAlign w:val="center"/>
          </w:tcPr>
          <w:p w14:paraId="2EC81769"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D36F48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20cm≤胸径&lt;30cm</w:t>
            </w:r>
            <w:r>
              <w:rPr>
                <w:rFonts w:ascii="宋体" w:hAnsi="宋体" w:cs="宋体" w:hint="eastAsia"/>
                <w:snapToGrid w:val="0"/>
                <w:kern w:val="0"/>
                <w:szCs w:val="21"/>
              </w:rPr>
              <w:br/>
              <w:t>松柏树：10cm≤胸径&lt;20cm</w:t>
            </w:r>
          </w:p>
        </w:tc>
        <w:tc>
          <w:tcPr>
            <w:tcW w:w="992" w:type="pct"/>
            <w:shd w:val="clear" w:color="000000" w:fill="FFFFFF"/>
            <w:vAlign w:val="center"/>
          </w:tcPr>
          <w:p w14:paraId="504EDF2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80-100元/株</w:t>
            </w:r>
          </w:p>
        </w:tc>
        <w:tc>
          <w:tcPr>
            <w:tcW w:w="1450" w:type="pct"/>
            <w:vMerge/>
            <w:vAlign w:val="center"/>
          </w:tcPr>
          <w:p w14:paraId="7CD33F97" w14:textId="77777777" w:rsidR="00A320E6" w:rsidRDefault="00A320E6" w:rsidP="00EC50E9">
            <w:pPr>
              <w:jc w:val="left"/>
              <w:rPr>
                <w:rFonts w:ascii="宋体" w:hAnsi="宋体" w:cs="宋体"/>
                <w:snapToGrid w:val="0"/>
                <w:kern w:val="0"/>
                <w:szCs w:val="21"/>
              </w:rPr>
            </w:pPr>
          </w:p>
        </w:tc>
      </w:tr>
      <w:tr w:rsidR="00A320E6" w14:paraId="129C6CFA" w14:textId="77777777">
        <w:trPr>
          <w:trHeight w:val="680"/>
          <w:jc w:val="center"/>
        </w:trPr>
        <w:tc>
          <w:tcPr>
            <w:tcW w:w="364" w:type="pct"/>
            <w:vMerge/>
            <w:vAlign w:val="center"/>
          </w:tcPr>
          <w:p w14:paraId="3A2BFADA" w14:textId="77777777" w:rsidR="00A320E6" w:rsidRDefault="00A320E6" w:rsidP="00EC50E9">
            <w:pPr>
              <w:jc w:val="center"/>
              <w:rPr>
                <w:rFonts w:ascii="宋体" w:hAnsi="宋体" w:cs="宋体"/>
                <w:snapToGrid w:val="0"/>
                <w:kern w:val="0"/>
                <w:szCs w:val="21"/>
              </w:rPr>
            </w:pPr>
          </w:p>
        </w:tc>
        <w:tc>
          <w:tcPr>
            <w:tcW w:w="441" w:type="pct"/>
            <w:vMerge/>
            <w:vAlign w:val="center"/>
          </w:tcPr>
          <w:p w14:paraId="444346C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3FF020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30cm≤胸径&lt;40cm</w:t>
            </w:r>
            <w:r>
              <w:rPr>
                <w:rFonts w:ascii="宋体" w:hAnsi="宋体" w:cs="宋体" w:hint="eastAsia"/>
                <w:snapToGrid w:val="0"/>
                <w:kern w:val="0"/>
                <w:szCs w:val="21"/>
              </w:rPr>
              <w:br/>
              <w:t>松柏树：20cm≤胸径&lt;30cm</w:t>
            </w:r>
          </w:p>
        </w:tc>
        <w:tc>
          <w:tcPr>
            <w:tcW w:w="992" w:type="pct"/>
            <w:shd w:val="clear" w:color="000000" w:fill="FFFFFF"/>
            <w:vAlign w:val="center"/>
          </w:tcPr>
          <w:p w14:paraId="48FCC5A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100-140元/株</w:t>
            </w:r>
          </w:p>
        </w:tc>
        <w:tc>
          <w:tcPr>
            <w:tcW w:w="1450" w:type="pct"/>
            <w:vMerge/>
            <w:vAlign w:val="center"/>
          </w:tcPr>
          <w:p w14:paraId="2437FAC7" w14:textId="77777777" w:rsidR="00A320E6" w:rsidRDefault="00A320E6" w:rsidP="00EC50E9">
            <w:pPr>
              <w:jc w:val="left"/>
              <w:rPr>
                <w:rFonts w:ascii="宋体" w:hAnsi="宋体" w:cs="宋体"/>
                <w:snapToGrid w:val="0"/>
                <w:kern w:val="0"/>
                <w:szCs w:val="21"/>
              </w:rPr>
            </w:pPr>
          </w:p>
        </w:tc>
      </w:tr>
      <w:tr w:rsidR="00A320E6" w14:paraId="29B11632" w14:textId="77777777">
        <w:trPr>
          <w:trHeight w:val="680"/>
          <w:jc w:val="center"/>
        </w:trPr>
        <w:tc>
          <w:tcPr>
            <w:tcW w:w="364" w:type="pct"/>
            <w:vMerge/>
            <w:vAlign w:val="center"/>
          </w:tcPr>
          <w:p w14:paraId="160D6DA4" w14:textId="77777777" w:rsidR="00A320E6" w:rsidRDefault="00A320E6" w:rsidP="00EC50E9">
            <w:pPr>
              <w:jc w:val="center"/>
              <w:rPr>
                <w:rFonts w:ascii="宋体" w:hAnsi="宋体" w:cs="宋体"/>
                <w:snapToGrid w:val="0"/>
                <w:kern w:val="0"/>
                <w:szCs w:val="21"/>
              </w:rPr>
            </w:pPr>
          </w:p>
        </w:tc>
        <w:tc>
          <w:tcPr>
            <w:tcW w:w="441" w:type="pct"/>
            <w:vMerge/>
            <w:vAlign w:val="center"/>
          </w:tcPr>
          <w:p w14:paraId="1C33F69C"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108883D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胸径≥40cm</w:t>
            </w:r>
            <w:r>
              <w:rPr>
                <w:rFonts w:ascii="宋体" w:hAnsi="宋体" w:cs="宋体" w:hint="eastAsia"/>
                <w:snapToGrid w:val="0"/>
                <w:kern w:val="0"/>
                <w:szCs w:val="21"/>
              </w:rPr>
              <w:br/>
              <w:t>松柏树：胸径≥30cm</w:t>
            </w:r>
          </w:p>
        </w:tc>
        <w:tc>
          <w:tcPr>
            <w:tcW w:w="992" w:type="pct"/>
            <w:shd w:val="clear" w:color="000000" w:fill="FFFFFF"/>
            <w:vAlign w:val="center"/>
          </w:tcPr>
          <w:p w14:paraId="60364EF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180元/株</w:t>
            </w:r>
          </w:p>
        </w:tc>
        <w:tc>
          <w:tcPr>
            <w:tcW w:w="1450" w:type="pct"/>
            <w:vMerge/>
            <w:vAlign w:val="center"/>
          </w:tcPr>
          <w:p w14:paraId="1E7FD8E9" w14:textId="77777777" w:rsidR="00A320E6" w:rsidRDefault="00A320E6" w:rsidP="00EC50E9">
            <w:pPr>
              <w:jc w:val="left"/>
              <w:rPr>
                <w:rFonts w:ascii="宋体" w:hAnsi="宋体" w:cs="宋体"/>
                <w:snapToGrid w:val="0"/>
                <w:kern w:val="0"/>
                <w:szCs w:val="21"/>
              </w:rPr>
            </w:pPr>
          </w:p>
        </w:tc>
      </w:tr>
      <w:tr w:rsidR="00A320E6" w14:paraId="4D47216D" w14:textId="77777777">
        <w:trPr>
          <w:trHeight w:val="369"/>
          <w:jc w:val="center"/>
        </w:trPr>
        <w:tc>
          <w:tcPr>
            <w:tcW w:w="364" w:type="pct"/>
            <w:vMerge w:val="restart"/>
            <w:shd w:val="clear" w:color="000000" w:fill="FFFFFF"/>
            <w:vAlign w:val="center"/>
          </w:tcPr>
          <w:p w14:paraId="09AD54C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十四</w:t>
            </w:r>
          </w:p>
        </w:tc>
        <w:tc>
          <w:tcPr>
            <w:tcW w:w="441" w:type="pct"/>
            <w:vMerge w:val="restart"/>
            <w:shd w:val="clear" w:color="000000" w:fill="FFFFFF"/>
            <w:vAlign w:val="center"/>
          </w:tcPr>
          <w:p w14:paraId="599B381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果树</w:t>
            </w:r>
          </w:p>
        </w:tc>
        <w:tc>
          <w:tcPr>
            <w:tcW w:w="1752" w:type="pct"/>
            <w:gridSpan w:val="2"/>
            <w:shd w:val="clear" w:color="000000" w:fill="FFFFFF"/>
            <w:vAlign w:val="center"/>
          </w:tcPr>
          <w:p w14:paraId="32C4326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苗木地径&lt;1.5cm</w:t>
            </w:r>
          </w:p>
        </w:tc>
        <w:tc>
          <w:tcPr>
            <w:tcW w:w="992" w:type="pct"/>
            <w:shd w:val="clear" w:color="000000" w:fill="FFFFFF"/>
            <w:vAlign w:val="center"/>
          </w:tcPr>
          <w:p w14:paraId="2BCEAE6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5-10元/株</w:t>
            </w:r>
          </w:p>
        </w:tc>
        <w:tc>
          <w:tcPr>
            <w:tcW w:w="1450" w:type="pct"/>
            <w:vMerge w:val="restart"/>
            <w:shd w:val="clear" w:color="000000" w:fill="FFFFFF"/>
            <w:vAlign w:val="center"/>
          </w:tcPr>
          <w:p w14:paraId="3304769D"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1、果树包括；苹果、梨、桃、杏、核桃、柿、枣、板栗、李子等树种；</w:t>
            </w:r>
            <w:r>
              <w:rPr>
                <w:rFonts w:ascii="宋体" w:hAnsi="宋体" w:cs="宋体" w:hint="eastAsia"/>
                <w:snapToGrid w:val="0"/>
                <w:kern w:val="0"/>
                <w:szCs w:val="21"/>
              </w:rPr>
              <w:br/>
              <w:t>2、石榴树、大樱桃树补偿按相应标准加20%；</w:t>
            </w:r>
            <w:r>
              <w:rPr>
                <w:rFonts w:ascii="宋体" w:hAnsi="宋体" w:cs="宋体" w:hint="eastAsia"/>
                <w:snapToGrid w:val="0"/>
                <w:kern w:val="0"/>
                <w:szCs w:val="21"/>
              </w:rPr>
              <w:br/>
              <w:t>3、地径为地面至0.2m处的树干直径；</w:t>
            </w:r>
            <w:r>
              <w:rPr>
                <w:rFonts w:ascii="宋体" w:hAnsi="宋体" w:cs="宋体" w:hint="eastAsia"/>
                <w:snapToGrid w:val="0"/>
                <w:kern w:val="0"/>
                <w:szCs w:val="21"/>
              </w:rPr>
              <w:br/>
              <w:t>4、果树补偿标准为移栽费，树归原主;</w:t>
            </w:r>
            <w:r>
              <w:rPr>
                <w:rFonts w:ascii="宋体" w:hAnsi="宋体" w:cs="宋体" w:hint="eastAsia"/>
                <w:snapToGrid w:val="0"/>
                <w:kern w:val="0"/>
                <w:szCs w:val="21"/>
              </w:rPr>
              <w:br/>
              <w:t>5、特种树种价格另行评估。</w:t>
            </w:r>
          </w:p>
        </w:tc>
      </w:tr>
      <w:tr w:rsidR="00A320E6" w14:paraId="52632F6B" w14:textId="77777777">
        <w:trPr>
          <w:trHeight w:val="369"/>
          <w:jc w:val="center"/>
        </w:trPr>
        <w:tc>
          <w:tcPr>
            <w:tcW w:w="364" w:type="pct"/>
            <w:vMerge/>
            <w:vAlign w:val="center"/>
          </w:tcPr>
          <w:p w14:paraId="3CDA3BDF" w14:textId="77777777" w:rsidR="00A320E6" w:rsidRDefault="00A320E6" w:rsidP="00EC50E9">
            <w:pPr>
              <w:jc w:val="center"/>
              <w:rPr>
                <w:rFonts w:ascii="宋体" w:hAnsi="宋体" w:cs="宋体"/>
                <w:snapToGrid w:val="0"/>
                <w:kern w:val="0"/>
                <w:szCs w:val="21"/>
              </w:rPr>
            </w:pPr>
          </w:p>
        </w:tc>
        <w:tc>
          <w:tcPr>
            <w:tcW w:w="441" w:type="pct"/>
            <w:vMerge/>
            <w:vAlign w:val="center"/>
          </w:tcPr>
          <w:p w14:paraId="1B37BBB9"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429564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幼龄期1.5≤地径&lt;3cm</w:t>
            </w:r>
          </w:p>
        </w:tc>
        <w:tc>
          <w:tcPr>
            <w:tcW w:w="992" w:type="pct"/>
            <w:shd w:val="clear" w:color="000000" w:fill="FFFFFF"/>
            <w:vAlign w:val="center"/>
          </w:tcPr>
          <w:p w14:paraId="00E0239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50－60元/株(每亩不超过220株)</w:t>
            </w:r>
          </w:p>
        </w:tc>
        <w:tc>
          <w:tcPr>
            <w:tcW w:w="1450" w:type="pct"/>
            <w:vMerge/>
            <w:vAlign w:val="center"/>
          </w:tcPr>
          <w:p w14:paraId="31C0F426" w14:textId="77777777" w:rsidR="00A320E6" w:rsidRDefault="00A320E6" w:rsidP="00EC50E9">
            <w:pPr>
              <w:jc w:val="left"/>
              <w:rPr>
                <w:rFonts w:ascii="宋体" w:hAnsi="宋体" w:cs="宋体"/>
                <w:snapToGrid w:val="0"/>
                <w:kern w:val="0"/>
                <w:szCs w:val="21"/>
              </w:rPr>
            </w:pPr>
          </w:p>
        </w:tc>
      </w:tr>
      <w:tr w:rsidR="00A320E6" w14:paraId="065508B9" w14:textId="77777777">
        <w:trPr>
          <w:trHeight w:val="369"/>
          <w:jc w:val="center"/>
        </w:trPr>
        <w:tc>
          <w:tcPr>
            <w:tcW w:w="364" w:type="pct"/>
            <w:vMerge/>
            <w:vAlign w:val="center"/>
          </w:tcPr>
          <w:p w14:paraId="421F0A81" w14:textId="77777777" w:rsidR="00A320E6" w:rsidRDefault="00A320E6" w:rsidP="00EC50E9">
            <w:pPr>
              <w:jc w:val="center"/>
              <w:rPr>
                <w:rFonts w:ascii="宋体" w:hAnsi="宋体" w:cs="宋体"/>
                <w:snapToGrid w:val="0"/>
                <w:kern w:val="0"/>
                <w:szCs w:val="21"/>
              </w:rPr>
            </w:pPr>
          </w:p>
        </w:tc>
        <w:tc>
          <w:tcPr>
            <w:tcW w:w="441" w:type="pct"/>
            <w:vMerge/>
            <w:vAlign w:val="center"/>
          </w:tcPr>
          <w:p w14:paraId="3BE2C4F0"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5AA0F5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初果期3≤地径&lt;6cm，冠幅直径在1m及以上，定植三年及以上</w:t>
            </w:r>
          </w:p>
        </w:tc>
        <w:tc>
          <w:tcPr>
            <w:tcW w:w="992" w:type="pct"/>
            <w:shd w:val="clear" w:color="000000" w:fill="FFFFFF"/>
            <w:vAlign w:val="center"/>
          </w:tcPr>
          <w:p w14:paraId="681C5D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260-300元/株(每亩不超过120株)</w:t>
            </w:r>
          </w:p>
        </w:tc>
        <w:tc>
          <w:tcPr>
            <w:tcW w:w="1450" w:type="pct"/>
            <w:vMerge/>
            <w:vAlign w:val="center"/>
          </w:tcPr>
          <w:p w14:paraId="2336BF49" w14:textId="77777777" w:rsidR="00A320E6" w:rsidRDefault="00A320E6" w:rsidP="00EC50E9">
            <w:pPr>
              <w:jc w:val="left"/>
              <w:rPr>
                <w:rFonts w:ascii="宋体" w:hAnsi="宋体" w:cs="宋体"/>
                <w:snapToGrid w:val="0"/>
                <w:kern w:val="0"/>
                <w:szCs w:val="21"/>
              </w:rPr>
            </w:pPr>
          </w:p>
        </w:tc>
      </w:tr>
      <w:tr w:rsidR="00A320E6" w14:paraId="45282AB3" w14:textId="77777777">
        <w:trPr>
          <w:trHeight w:val="369"/>
          <w:jc w:val="center"/>
        </w:trPr>
        <w:tc>
          <w:tcPr>
            <w:tcW w:w="364" w:type="pct"/>
            <w:vMerge/>
            <w:vAlign w:val="center"/>
          </w:tcPr>
          <w:p w14:paraId="073C5356" w14:textId="77777777" w:rsidR="00A320E6" w:rsidRDefault="00A320E6" w:rsidP="00EC50E9">
            <w:pPr>
              <w:jc w:val="center"/>
              <w:rPr>
                <w:rFonts w:ascii="宋体" w:hAnsi="宋体" w:cs="宋体"/>
                <w:snapToGrid w:val="0"/>
                <w:kern w:val="0"/>
                <w:szCs w:val="21"/>
              </w:rPr>
            </w:pPr>
          </w:p>
        </w:tc>
        <w:tc>
          <w:tcPr>
            <w:tcW w:w="441" w:type="pct"/>
            <w:vMerge/>
            <w:vAlign w:val="center"/>
          </w:tcPr>
          <w:p w14:paraId="3055D193"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755CB3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盛果期地径≥6cm，冠幅直径在2m及以上的，定植三年及以上</w:t>
            </w:r>
          </w:p>
        </w:tc>
        <w:tc>
          <w:tcPr>
            <w:tcW w:w="992" w:type="pct"/>
            <w:shd w:val="clear" w:color="000000" w:fill="FFFFFF"/>
            <w:vAlign w:val="center"/>
          </w:tcPr>
          <w:p w14:paraId="6162F75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400－500元/株(每亩不超过90株，山地或丘陵种植苹果树每亩最高110株)</w:t>
            </w:r>
          </w:p>
        </w:tc>
        <w:tc>
          <w:tcPr>
            <w:tcW w:w="1450" w:type="pct"/>
            <w:vMerge/>
            <w:vAlign w:val="center"/>
          </w:tcPr>
          <w:p w14:paraId="2CB8B5EE" w14:textId="77777777" w:rsidR="00A320E6" w:rsidRDefault="00A320E6" w:rsidP="00EC50E9">
            <w:pPr>
              <w:jc w:val="left"/>
              <w:rPr>
                <w:rFonts w:ascii="宋体" w:hAnsi="宋体" w:cs="宋体"/>
                <w:snapToGrid w:val="0"/>
                <w:kern w:val="0"/>
                <w:szCs w:val="21"/>
              </w:rPr>
            </w:pPr>
          </w:p>
        </w:tc>
      </w:tr>
      <w:tr w:rsidR="00A320E6" w14:paraId="544AE5EF" w14:textId="77777777">
        <w:trPr>
          <w:trHeight w:val="369"/>
          <w:jc w:val="center"/>
        </w:trPr>
        <w:tc>
          <w:tcPr>
            <w:tcW w:w="364" w:type="pct"/>
            <w:vMerge/>
            <w:vAlign w:val="center"/>
          </w:tcPr>
          <w:p w14:paraId="30FAFA8E" w14:textId="77777777" w:rsidR="00A320E6" w:rsidRDefault="00A320E6" w:rsidP="00EC50E9">
            <w:pPr>
              <w:jc w:val="center"/>
              <w:rPr>
                <w:rFonts w:ascii="宋体" w:hAnsi="宋体" w:cs="宋体"/>
                <w:snapToGrid w:val="0"/>
                <w:kern w:val="0"/>
                <w:szCs w:val="21"/>
              </w:rPr>
            </w:pPr>
          </w:p>
        </w:tc>
        <w:tc>
          <w:tcPr>
            <w:tcW w:w="441" w:type="pct"/>
            <w:vMerge/>
            <w:vAlign w:val="center"/>
          </w:tcPr>
          <w:p w14:paraId="276AF82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DBE861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衰老期</w:t>
            </w:r>
          </w:p>
        </w:tc>
        <w:tc>
          <w:tcPr>
            <w:tcW w:w="992" w:type="pct"/>
            <w:shd w:val="clear" w:color="000000" w:fill="FFFFFF"/>
            <w:vAlign w:val="center"/>
          </w:tcPr>
          <w:p w14:paraId="212C359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120-260元/株(每亩不超过90株)</w:t>
            </w:r>
          </w:p>
        </w:tc>
        <w:tc>
          <w:tcPr>
            <w:tcW w:w="1450" w:type="pct"/>
            <w:vMerge/>
            <w:vAlign w:val="center"/>
          </w:tcPr>
          <w:p w14:paraId="380FE181" w14:textId="77777777" w:rsidR="00A320E6" w:rsidRDefault="00A320E6" w:rsidP="00EC50E9">
            <w:pPr>
              <w:jc w:val="left"/>
              <w:rPr>
                <w:rFonts w:ascii="宋体" w:hAnsi="宋体" w:cs="宋体"/>
                <w:snapToGrid w:val="0"/>
                <w:kern w:val="0"/>
                <w:szCs w:val="21"/>
              </w:rPr>
            </w:pPr>
          </w:p>
        </w:tc>
      </w:tr>
      <w:tr w:rsidR="00A320E6" w14:paraId="7D1B0C17" w14:textId="77777777">
        <w:trPr>
          <w:trHeight w:val="369"/>
          <w:jc w:val="center"/>
        </w:trPr>
        <w:tc>
          <w:tcPr>
            <w:tcW w:w="364" w:type="pct"/>
            <w:vMerge/>
            <w:vAlign w:val="center"/>
          </w:tcPr>
          <w:p w14:paraId="5863D405" w14:textId="77777777" w:rsidR="00A320E6" w:rsidRDefault="00A320E6" w:rsidP="00EC50E9">
            <w:pPr>
              <w:jc w:val="center"/>
              <w:rPr>
                <w:rFonts w:ascii="宋体" w:hAnsi="宋体" w:cs="宋体"/>
                <w:snapToGrid w:val="0"/>
                <w:kern w:val="0"/>
                <w:szCs w:val="21"/>
              </w:rPr>
            </w:pPr>
          </w:p>
        </w:tc>
        <w:tc>
          <w:tcPr>
            <w:tcW w:w="441" w:type="pct"/>
            <w:vMerge/>
            <w:vAlign w:val="center"/>
          </w:tcPr>
          <w:p w14:paraId="08C9A7A0"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3B30568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葡萄</w:t>
            </w:r>
          </w:p>
        </w:tc>
        <w:tc>
          <w:tcPr>
            <w:tcW w:w="1279" w:type="pct"/>
            <w:shd w:val="clear" w:color="000000" w:fill="FFFFFF"/>
            <w:vAlign w:val="center"/>
          </w:tcPr>
          <w:p w14:paraId="4873613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小苗</w:t>
            </w:r>
          </w:p>
        </w:tc>
        <w:tc>
          <w:tcPr>
            <w:tcW w:w="992" w:type="pct"/>
            <w:shd w:val="clear" w:color="000000" w:fill="FFFFFF"/>
            <w:vAlign w:val="center"/>
          </w:tcPr>
          <w:p w14:paraId="0D663AD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10元/株</w:t>
            </w:r>
          </w:p>
        </w:tc>
        <w:tc>
          <w:tcPr>
            <w:tcW w:w="1450" w:type="pct"/>
            <w:vMerge w:val="restart"/>
            <w:shd w:val="clear" w:color="000000" w:fill="FFFFFF"/>
            <w:vAlign w:val="center"/>
          </w:tcPr>
          <w:p w14:paraId="25EC80EF"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1、集中栽植的每亩不超过440株，补偿标准含架材；</w:t>
            </w:r>
            <w:r>
              <w:rPr>
                <w:rFonts w:ascii="宋体" w:hAnsi="宋体" w:cs="宋体" w:hint="eastAsia"/>
                <w:snapToGrid w:val="0"/>
                <w:kern w:val="0"/>
                <w:szCs w:val="21"/>
              </w:rPr>
              <w:br/>
              <w:t>2、树归原主。</w:t>
            </w:r>
          </w:p>
        </w:tc>
      </w:tr>
      <w:tr w:rsidR="00A320E6" w14:paraId="7E26109C" w14:textId="77777777">
        <w:trPr>
          <w:trHeight w:val="369"/>
          <w:jc w:val="center"/>
        </w:trPr>
        <w:tc>
          <w:tcPr>
            <w:tcW w:w="364" w:type="pct"/>
            <w:vMerge/>
            <w:vAlign w:val="center"/>
          </w:tcPr>
          <w:p w14:paraId="11ABC233" w14:textId="77777777" w:rsidR="00A320E6" w:rsidRDefault="00A320E6" w:rsidP="00EC50E9">
            <w:pPr>
              <w:jc w:val="center"/>
              <w:rPr>
                <w:rFonts w:ascii="宋体" w:hAnsi="宋体" w:cs="宋体"/>
                <w:snapToGrid w:val="0"/>
                <w:kern w:val="0"/>
                <w:szCs w:val="21"/>
              </w:rPr>
            </w:pPr>
          </w:p>
        </w:tc>
        <w:tc>
          <w:tcPr>
            <w:tcW w:w="441" w:type="pct"/>
            <w:vMerge/>
            <w:vAlign w:val="center"/>
          </w:tcPr>
          <w:p w14:paraId="0545CB1D" w14:textId="77777777" w:rsidR="00A320E6" w:rsidRDefault="00A320E6" w:rsidP="00EC50E9">
            <w:pPr>
              <w:jc w:val="center"/>
              <w:rPr>
                <w:rFonts w:ascii="宋体" w:hAnsi="宋体" w:cs="宋体"/>
                <w:snapToGrid w:val="0"/>
                <w:kern w:val="0"/>
                <w:szCs w:val="21"/>
              </w:rPr>
            </w:pPr>
          </w:p>
        </w:tc>
        <w:tc>
          <w:tcPr>
            <w:tcW w:w="473" w:type="pct"/>
            <w:vMerge/>
            <w:vAlign w:val="center"/>
          </w:tcPr>
          <w:p w14:paraId="618DCDEE"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18221EB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初果期</w:t>
            </w:r>
          </w:p>
        </w:tc>
        <w:tc>
          <w:tcPr>
            <w:tcW w:w="992" w:type="pct"/>
            <w:shd w:val="clear" w:color="000000" w:fill="FFFFFF"/>
            <w:vAlign w:val="center"/>
          </w:tcPr>
          <w:p w14:paraId="70014AF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50-60元/株</w:t>
            </w:r>
          </w:p>
        </w:tc>
        <w:tc>
          <w:tcPr>
            <w:tcW w:w="1450" w:type="pct"/>
            <w:vMerge/>
            <w:vAlign w:val="center"/>
          </w:tcPr>
          <w:p w14:paraId="7CA5C290" w14:textId="77777777" w:rsidR="00A320E6" w:rsidRDefault="00A320E6" w:rsidP="00EC50E9">
            <w:pPr>
              <w:jc w:val="left"/>
              <w:rPr>
                <w:rFonts w:ascii="宋体" w:hAnsi="宋体" w:cs="宋体"/>
                <w:snapToGrid w:val="0"/>
                <w:kern w:val="0"/>
                <w:szCs w:val="21"/>
              </w:rPr>
            </w:pPr>
          </w:p>
        </w:tc>
      </w:tr>
      <w:tr w:rsidR="00A320E6" w14:paraId="459B1196" w14:textId="77777777">
        <w:trPr>
          <w:trHeight w:val="369"/>
          <w:jc w:val="center"/>
        </w:trPr>
        <w:tc>
          <w:tcPr>
            <w:tcW w:w="364" w:type="pct"/>
            <w:vMerge/>
            <w:vAlign w:val="center"/>
          </w:tcPr>
          <w:p w14:paraId="15582C15" w14:textId="77777777" w:rsidR="00A320E6" w:rsidRDefault="00A320E6" w:rsidP="00EC50E9">
            <w:pPr>
              <w:jc w:val="center"/>
              <w:rPr>
                <w:rFonts w:ascii="宋体" w:hAnsi="宋体" w:cs="宋体"/>
                <w:snapToGrid w:val="0"/>
                <w:kern w:val="0"/>
                <w:szCs w:val="21"/>
              </w:rPr>
            </w:pPr>
          </w:p>
        </w:tc>
        <w:tc>
          <w:tcPr>
            <w:tcW w:w="441" w:type="pct"/>
            <w:vMerge/>
            <w:vAlign w:val="center"/>
          </w:tcPr>
          <w:p w14:paraId="729FDB65" w14:textId="77777777" w:rsidR="00A320E6" w:rsidRDefault="00A320E6" w:rsidP="00EC50E9">
            <w:pPr>
              <w:jc w:val="center"/>
              <w:rPr>
                <w:rFonts w:ascii="宋体" w:hAnsi="宋体" w:cs="宋体"/>
                <w:snapToGrid w:val="0"/>
                <w:kern w:val="0"/>
                <w:szCs w:val="21"/>
              </w:rPr>
            </w:pPr>
          </w:p>
        </w:tc>
        <w:tc>
          <w:tcPr>
            <w:tcW w:w="473" w:type="pct"/>
            <w:vMerge/>
            <w:vAlign w:val="center"/>
          </w:tcPr>
          <w:p w14:paraId="79B0B39D"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0AE78D0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盛果期</w:t>
            </w:r>
          </w:p>
        </w:tc>
        <w:tc>
          <w:tcPr>
            <w:tcW w:w="992" w:type="pct"/>
            <w:shd w:val="clear" w:color="000000" w:fill="FFFFFF"/>
            <w:vAlign w:val="center"/>
          </w:tcPr>
          <w:p w14:paraId="701A8DF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80-100元/株</w:t>
            </w:r>
          </w:p>
        </w:tc>
        <w:tc>
          <w:tcPr>
            <w:tcW w:w="1450" w:type="pct"/>
            <w:vMerge/>
            <w:vAlign w:val="center"/>
          </w:tcPr>
          <w:p w14:paraId="45C58563" w14:textId="77777777" w:rsidR="00A320E6" w:rsidRDefault="00A320E6" w:rsidP="00EC50E9">
            <w:pPr>
              <w:jc w:val="left"/>
              <w:rPr>
                <w:rFonts w:ascii="宋体" w:hAnsi="宋体" w:cs="宋体"/>
                <w:snapToGrid w:val="0"/>
                <w:kern w:val="0"/>
                <w:szCs w:val="21"/>
              </w:rPr>
            </w:pPr>
          </w:p>
        </w:tc>
      </w:tr>
      <w:tr w:rsidR="00A320E6" w14:paraId="65E768D7" w14:textId="77777777">
        <w:trPr>
          <w:trHeight w:val="369"/>
          <w:jc w:val="center"/>
        </w:trPr>
        <w:tc>
          <w:tcPr>
            <w:tcW w:w="364" w:type="pct"/>
            <w:vMerge/>
            <w:vAlign w:val="center"/>
          </w:tcPr>
          <w:p w14:paraId="68FE9389" w14:textId="77777777" w:rsidR="00A320E6" w:rsidRDefault="00A320E6" w:rsidP="00EC50E9">
            <w:pPr>
              <w:jc w:val="center"/>
              <w:rPr>
                <w:rFonts w:ascii="宋体" w:hAnsi="宋体" w:cs="宋体"/>
                <w:snapToGrid w:val="0"/>
                <w:kern w:val="0"/>
                <w:szCs w:val="21"/>
              </w:rPr>
            </w:pPr>
          </w:p>
        </w:tc>
        <w:tc>
          <w:tcPr>
            <w:tcW w:w="441" w:type="pct"/>
            <w:vMerge/>
            <w:vAlign w:val="center"/>
          </w:tcPr>
          <w:p w14:paraId="096EEC21" w14:textId="77777777" w:rsidR="00A320E6" w:rsidRDefault="00A320E6" w:rsidP="00EC50E9">
            <w:pPr>
              <w:jc w:val="center"/>
              <w:rPr>
                <w:rFonts w:ascii="宋体" w:hAnsi="宋体" w:cs="宋体"/>
                <w:snapToGrid w:val="0"/>
                <w:kern w:val="0"/>
                <w:szCs w:val="21"/>
              </w:rPr>
            </w:pPr>
          </w:p>
        </w:tc>
        <w:tc>
          <w:tcPr>
            <w:tcW w:w="473" w:type="pct"/>
            <w:vMerge/>
            <w:vAlign w:val="center"/>
          </w:tcPr>
          <w:p w14:paraId="7F655D0A"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6EAF4B8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衰老期</w:t>
            </w:r>
          </w:p>
        </w:tc>
        <w:tc>
          <w:tcPr>
            <w:tcW w:w="992" w:type="pct"/>
            <w:shd w:val="clear" w:color="000000" w:fill="FFFFFF"/>
            <w:vAlign w:val="center"/>
          </w:tcPr>
          <w:p w14:paraId="55F186D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30-50元/株</w:t>
            </w:r>
          </w:p>
        </w:tc>
        <w:tc>
          <w:tcPr>
            <w:tcW w:w="1450" w:type="pct"/>
            <w:vMerge/>
            <w:vAlign w:val="center"/>
          </w:tcPr>
          <w:p w14:paraId="2DCE7EE8" w14:textId="77777777" w:rsidR="00A320E6" w:rsidRDefault="00A320E6" w:rsidP="00EC50E9">
            <w:pPr>
              <w:jc w:val="left"/>
              <w:rPr>
                <w:rFonts w:ascii="宋体" w:hAnsi="宋体" w:cs="宋体"/>
                <w:snapToGrid w:val="0"/>
                <w:kern w:val="0"/>
                <w:szCs w:val="21"/>
              </w:rPr>
            </w:pPr>
          </w:p>
        </w:tc>
      </w:tr>
      <w:tr w:rsidR="00A320E6" w14:paraId="22FB4901" w14:textId="77777777">
        <w:trPr>
          <w:trHeight w:hRule="exact" w:val="397"/>
          <w:jc w:val="center"/>
        </w:trPr>
        <w:tc>
          <w:tcPr>
            <w:tcW w:w="364" w:type="pct"/>
            <w:vMerge w:val="restart"/>
            <w:shd w:val="clear" w:color="000000" w:fill="FFFFFF"/>
            <w:noWrap/>
            <w:vAlign w:val="center"/>
          </w:tcPr>
          <w:p w14:paraId="79ADE2C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十五</w:t>
            </w:r>
          </w:p>
        </w:tc>
        <w:tc>
          <w:tcPr>
            <w:tcW w:w="441" w:type="pct"/>
            <w:vMerge w:val="restart"/>
            <w:shd w:val="clear" w:color="000000" w:fill="FFFFFF"/>
            <w:vAlign w:val="center"/>
          </w:tcPr>
          <w:p w14:paraId="1EE21B5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香椿</w:t>
            </w:r>
          </w:p>
        </w:tc>
        <w:tc>
          <w:tcPr>
            <w:tcW w:w="1752" w:type="pct"/>
            <w:gridSpan w:val="2"/>
            <w:shd w:val="clear" w:color="000000" w:fill="FFFFFF"/>
            <w:vAlign w:val="center"/>
          </w:tcPr>
          <w:p w14:paraId="633F24F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苗（地径≤2cm）</w:t>
            </w:r>
          </w:p>
        </w:tc>
        <w:tc>
          <w:tcPr>
            <w:tcW w:w="992" w:type="pct"/>
            <w:shd w:val="clear" w:color="000000" w:fill="FFFFFF"/>
            <w:vAlign w:val="center"/>
          </w:tcPr>
          <w:p w14:paraId="087A854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3元/株</w:t>
            </w:r>
          </w:p>
        </w:tc>
        <w:tc>
          <w:tcPr>
            <w:tcW w:w="1450" w:type="pct"/>
            <w:shd w:val="clear" w:color="000000" w:fill="FFFFFF"/>
            <w:vAlign w:val="center"/>
          </w:tcPr>
          <w:p w14:paraId="5F56E0CF"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每亩不超过4000株。</w:t>
            </w:r>
          </w:p>
        </w:tc>
      </w:tr>
      <w:tr w:rsidR="00A320E6" w14:paraId="638E24C3" w14:textId="77777777">
        <w:trPr>
          <w:trHeight w:hRule="exact" w:val="397"/>
          <w:jc w:val="center"/>
        </w:trPr>
        <w:tc>
          <w:tcPr>
            <w:tcW w:w="364" w:type="pct"/>
            <w:vMerge/>
            <w:vAlign w:val="center"/>
          </w:tcPr>
          <w:p w14:paraId="1D2C831B" w14:textId="77777777" w:rsidR="00A320E6" w:rsidRDefault="00A320E6" w:rsidP="00EC50E9">
            <w:pPr>
              <w:jc w:val="center"/>
              <w:rPr>
                <w:rFonts w:ascii="宋体" w:hAnsi="宋体" w:cs="宋体"/>
                <w:snapToGrid w:val="0"/>
                <w:kern w:val="0"/>
                <w:szCs w:val="21"/>
              </w:rPr>
            </w:pPr>
          </w:p>
        </w:tc>
        <w:tc>
          <w:tcPr>
            <w:tcW w:w="441" w:type="pct"/>
            <w:vMerge/>
            <w:vAlign w:val="center"/>
          </w:tcPr>
          <w:p w14:paraId="4FAE712F"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7238F1C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2cm&lt;地径≤5cm</w:t>
            </w:r>
          </w:p>
        </w:tc>
        <w:tc>
          <w:tcPr>
            <w:tcW w:w="992" w:type="pct"/>
            <w:shd w:val="clear" w:color="000000" w:fill="FFFFFF"/>
            <w:vAlign w:val="center"/>
          </w:tcPr>
          <w:p w14:paraId="0D9FAFF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20元/株</w:t>
            </w:r>
          </w:p>
        </w:tc>
        <w:tc>
          <w:tcPr>
            <w:tcW w:w="1450" w:type="pct"/>
            <w:shd w:val="clear" w:color="000000" w:fill="FFFFFF"/>
            <w:vAlign w:val="center"/>
          </w:tcPr>
          <w:p w14:paraId="422D6BD2"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每亩不超过1000株。</w:t>
            </w:r>
          </w:p>
        </w:tc>
      </w:tr>
      <w:tr w:rsidR="00A320E6" w14:paraId="6A65CAFB" w14:textId="77777777">
        <w:trPr>
          <w:trHeight w:hRule="exact" w:val="445"/>
          <w:jc w:val="center"/>
        </w:trPr>
        <w:tc>
          <w:tcPr>
            <w:tcW w:w="364" w:type="pct"/>
            <w:vMerge/>
            <w:vAlign w:val="center"/>
          </w:tcPr>
          <w:p w14:paraId="5F2545FF" w14:textId="77777777" w:rsidR="00A320E6" w:rsidRDefault="00A320E6" w:rsidP="00EC50E9">
            <w:pPr>
              <w:jc w:val="center"/>
              <w:rPr>
                <w:rFonts w:ascii="宋体" w:hAnsi="宋体" w:cs="宋体"/>
                <w:snapToGrid w:val="0"/>
                <w:kern w:val="0"/>
                <w:szCs w:val="21"/>
              </w:rPr>
            </w:pPr>
          </w:p>
        </w:tc>
        <w:tc>
          <w:tcPr>
            <w:tcW w:w="441" w:type="pct"/>
            <w:vMerge/>
            <w:vAlign w:val="center"/>
          </w:tcPr>
          <w:p w14:paraId="33FB3CD3"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485947C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地径&gt;5cm</w:t>
            </w:r>
          </w:p>
        </w:tc>
        <w:tc>
          <w:tcPr>
            <w:tcW w:w="992" w:type="pct"/>
            <w:shd w:val="clear" w:color="000000" w:fill="FFFFFF"/>
            <w:vAlign w:val="center"/>
          </w:tcPr>
          <w:p w14:paraId="2423E1C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40元/株</w:t>
            </w:r>
          </w:p>
        </w:tc>
        <w:tc>
          <w:tcPr>
            <w:tcW w:w="1450" w:type="pct"/>
            <w:shd w:val="clear" w:color="000000" w:fill="FFFFFF"/>
            <w:vAlign w:val="center"/>
          </w:tcPr>
          <w:p w14:paraId="0F988CFF"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每亩不超过500株。</w:t>
            </w:r>
          </w:p>
        </w:tc>
      </w:tr>
      <w:tr w:rsidR="00A320E6" w14:paraId="0A10BB1F" w14:textId="77777777">
        <w:trPr>
          <w:trHeight w:hRule="exact" w:val="606"/>
          <w:jc w:val="center"/>
        </w:trPr>
        <w:tc>
          <w:tcPr>
            <w:tcW w:w="364" w:type="pct"/>
            <w:vAlign w:val="center"/>
          </w:tcPr>
          <w:p w14:paraId="5E28EFC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十六</w:t>
            </w:r>
          </w:p>
        </w:tc>
        <w:tc>
          <w:tcPr>
            <w:tcW w:w="441" w:type="pct"/>
            <w:vAlign w:val="center"/>
          </w:tcPr>
          <w:p w14:paraId="6384658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竹园</w:t>
            </w:r>
          </w:p>
        </w:tc>
        <w:tc>
          <w:tcPr>
            <w:tcW w:w="1752" w:type="pct"/>
            <w:gridSpan w:val="2"/>
            <w:shd w:val="clear" w:color="000000" w:fill="FFFFFF"/>
            <w:vAlign w:val="center"/>
          </w:tcPr>
          <w:p w14:paraId="69381F58" w14:textId="77777777" w:rsidR="00A320E6" w:rsidRDefault="00A320E6" w:rsidP="00EC50E9">
            <w:pPr>
              <w:jc w:val="center"/>
              <w:rPr>
                <w:rFonts w:ascii="宋体" w:hAnsi="宋体" w:cs="宋体"/>
                <w:snapToGrid w:val="0"/>
                <w:kern w:val="0"/>
                <w:szCs w:val="21"/>
              </w:rPr>
            </w:pPr>
          </w:p>
        </w:tc>
        <w:tc>
          <w:tcPr>
            <w:tcW w:w="992" w:type="pct"/>
            <w:shd w:val="clear" w:color="000000" w:fill="FFFFFF"/>
            <w:vAlign w:val="center"/>
          </w:tcPr>
          <w:p w14:paraId="2917665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10000-12000元/亩</w:t>
            </w:r>
          </w:p>
        </w:tc>
        <w:tc>
          <w:tcPr>
            <w:tcW w:w="1450" w:type="pct"/>
            <w:shd w:val="clear" w:color="000000" w:fill="FFFFFF"/>
            <w:vAlign w:val="center"/>
          </w:tcPr>
          <w:p w14:paraId="01BEA6C6"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特殊绿化景观用竹迁移费单独评估。</w:t>
            </w:r>
          </w:p>
        </w:tc>
      </w:tr>
      <w:tr w:rsidR="00A320E6" w14:paraId="480760F4" w14:textId="77777777">
        <w:trPr>
          <w:trHeight w:hRule="exact" w:val="397"/>
          <w:jc w:val="center"/>
        </w:trPr>
        <w:tc>
          <w:tcPr>
            <w:tcW w:w="364" w:type="pct"/>
            <w:vMerge w:val="restart"/>
            <w:shd w:val="clear" w:color="000000" w:fill="FFFFFF"/>
            <w:noWrap/>
            <w:vAlign w:val="center"/>
          </w:tcPr>
          <w:p w14:paraId="3EE748C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十七</w:t>
            </w:r>
          </w:p>
        </w:tc>
        <w:tc>
          <w:tcPr>
            <w:tcW w:w="441" w:type="pct"/>
            <w:vMerge w:val="restart"/>
            <w:shd w:val="clear" w:color="000000" w:fill="FFFFFF"/>
            <w:vAlign w:val="center"/>
          </w:tcPr>
          <w:p w14:paraId="49E0448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花椒</w:t>
            </w:r>
          </w:p>
        </w:tc>
        <w:tc>
          <w:tcPr>
            <w:tcW w:w="1752" w:type="pct"/>
            <w:gridSpan w:val="2"/>
            <w:shd w:val="clear" w:color="000000" w:fill="FFFFFF"/>
            <w:vAlign w:val="center"/>
          </w:tcPr>
          <w:p w14:paraId="3BB1500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苗（地径≤2cm）</w:t>
            </w:r>
          </w:p>
        </w:tc>
        <w:tc>
          <w:tcPr>
            <w:tcW w:w="992" w:type="pct"/>
            <w:shd w:val="clear" w:color="000000" w:fill="FFFFFF"/>
            <w:vAlign w:val="center"/>
          </w:tcPr>
          <w:p w14:paraId="1C57C86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10元/株</w:t>
            </w:r>
          </w:p>
        </w:tc>
        <w:tc>
          <w:tcPr>
            <w:tcW w:w="1450" w:type="pct"/>
            <w:shd w:val="clear" w:color="000000" w:fill="FFFFFF"/>
            <w:vAlign w:val="center"/>
          </w:tcPr>
          <w:p w14:paraId="6EAEEEAD"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每亩不超过1000株。</w:t>
            </w:r>
          </w:p>
        </w:tc>
      </w:tr>
      <w:tr w:rsidR="00A320E6" w14:paraId="472EECFD" w14:textId="77777777">
        <w:trPr>
          <w:trHeight w:hRule="exact" w:val="397"/>
          <w:jc w:val="center"/>
        </w:trPr>
        <w:tc>
          <w:tcPr>
            <w:tcW w:w="364" w:type="pct"/>
            <w:vMerge/>
            <w:vAlign w:val="center"/>
          </w:tcPr>
          <w:p w14:paraId="5E1F3F17" w14:textId="77777777" w:rsidR="00A320E6" w:rsidRDefault="00A320E6" w:rsidP="00EC50E9">
            <w:pPr>
              <w:jc w:val="center"/>
              <w:rPr>
                <w:rFonts w:ascii="宋体" w:hAnsi="宋体" w:cs="宋体"/>
                <w:snapToGrid w:val="0"/>
                <w:kern w:val="0"/>
                <w:szCs w:val="21"/>
              </w:rPr>
            </w:pPr>
          </w:p>
        </w:tc>
        <w:tc>
          <w:tcPr>
            <w:tcW w:w="441" w:type="pct"/>
            <w:vMerge/>
            <w:vAlign w:val="center"/>
          </w:tcPr>
          <w:p w14:paraId="6FC43603"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5558F71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2cm&lt;地径≤5cm</w:t>
            </w:r>
          </w:p>
        </w:tc>
        <w:tc>
          <w:tcPr>
            <w:tcW w:w="992" w:type="pct"/>
            <w:shd w:val="clear" w:color="000000" w:fill="FFFFFF"/>
            <w:vAlign w:val="center"/>
          </w:tcPr>
          <w:p w14:paraId="510B294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120元/株</w:t>
            </w:r>
          </w:p>
        </w:tc>
        <w:tc>
          <w:tcPr>
            <w:tcW w:w="1450" w:type="pct"/>
            <w:shd w:val="clear" w:color="000000" w:fill="FFFFFF"/>
            <w:vAlign w:val="center"/>
          </w:tcPr>
          <w:p w14:paraId="343A99E6"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每亩不超过110株。</w:t>
            </w:r>
          </w:p>
        </w:tc>
      </w:tr>
      <w:tr w:rsidR="00A320E6" w14:paraId="3B80F5E8" w14:textId="77777777">
        <w:trPr>
          <w:trHeight w:hRule="exact" w:val="397"/>
          <w:jc w:val="center"/>
        </w:trPr>
        <w:tc>
          <w:tcPr>
            <w:tcW w:w="364" w:type="pct"/>
            <w:vMerge/>
            <w:vAlign w:val="center"/>
          </w:tcPr>
          <w:p w14:paraId="6E4676FB" w14:textId="77777777" w:rsidR="00A320E6" w:rsidRDefault="00A320E6" w:rsidP="00EC50E9">
            <w:pPr>
              <w:jc w:val="center"/>
              <w:rPr>
                <w:rFonts w:ascii="宋体" w:hAnsi="宋体" w:cs="宋体"/>
                <w:snapToGrid w:val="0"/>
                <w:kern w:val="0"/>
                <w:szCs w:val="21"/>
              </w:rPr>
            </w:pPr>
          </w:p>
        </w:tc>
        <w:tc>
          <w:tcPr>
            <w:tcW w:w="441" w:type="pct"/>
            <w:vMerge/>
            <w:vAlign w:val="center"/>
          </w:tcPr>
          <w:p w14:paraId="204F698E"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191357E"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地径&gt;5cm</w:t>
            </w:r>
          </w:p>
        </w:tc>
        <w:tc>
          <w:tcPr>
            <w:tcW w:w="992" w:type="pct"/>
            <w:shd w:val="clear" w:color="000000" w:fill="FFFFFF"/>
            <w:vAlign w:val="center"/>
          </w:tcPr>
          <w:p w14:paraId="5ABDF27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180元/株</w:t>
            </w:r>
          </w:p>
        </w:tc>
        <w:tc>
          <w:tcPr>
            <w:tcW w:w="1450" w:type="pct"/>
            <w:shd w:val="clear" w:color="000000" w:fill="FFFFFF"/>
            <w:vAlign w:val="center"/>
          </w:tcPr>
          <w:p w14:paraId="440CD62B"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每亩不超过110株。</w:t>
            </w:r>
          </w:p>
        </w:tc>
      </w:tr>
      <w:tr w:rsidR="00A320E6" w14:paraId="4942EC75" w14:textId="77777777">
        <w:trPr>
          <w:trHeight w:hRule="exact" w:val="397"/>
          <w:jc w:val="center"/>
        </w:trPr>
        <w:tc>
          <w:tcPr>
            <w:tcW w:w="364" w:type="pct"/>
            <w:vMerge w:val="restart"/>
            <w:shd w:val="clear" w:color="000000" w:fill="FFFFFF"/>
            <w:noWrap/>
            <w:vAlign w:val="center"/>
          </w:tcPr>
          <w:p w14:paraId="5D66874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十八</w:t>
            </w:r>
          </w:p>
        </w:tc>
        <w:tc>
          <w:tcPr>
            <w:tcW w:w="441" w:type="pct"/>
            <w:vMerge w:val="restart"/>
            <w:shd w:val="clear" w:color="000000" w:fill="FFFFFF"/>
            <w:vAlign w:val="center"/>
          </w:tcPr>
          <w:p w14:paraId="4161230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金银花</w:t>
            </w:r>
          </w:p>
        </w:tc>
        <w:tc>
          <w:tcPr>
            <w:tcW w:w="1752" w:type="pct"/>
            <w:gridSpan w:val="2"/>
            <w:shd w:val="clear" w:color="000000" w:fill="FFFFFF"/>
            <w:vAlign w:val="center"/>
          </w:tcPr>
          <w:p w14:paraId="468AD5F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不足2年</w:t>
            </w:r>
          </w:p>
        </w:tc>
        <w:tc>
          <w:tcPr>
            <w:tcW w:w="992" w:type="pct"/>
            <w:shd w:val="clear" w:color="000000" w:fill="FFFFFF"/>
            <w:vAlign w:val="center"/>
          </w:tcPr>
          <w:p w14:paraId="573FEEB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5-10元/株</w:t>
            </w:r>
          </w:p>
        </w:tc>
        <w:tc>
          <w:tcPr>
            <w:tcW w:w="1450" w:type="pct"/>
            <w:vMerge w:val="restart"/>
            <w:shd w:val="clear" w:color="000000" w:fill="FFFFFF"/>
            <w:vAlign w:val="center"/>
          </w:tcPr>
          <w:p w14:paraId="4AB628AA"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植株归原主，每亩不超450株。</w:t>
            </w:r>
          </w:p>
        </w:tc>
      </w:tr>
      <w:tr w:rsidR="00A320E6" w14:paraId="43C716D5" w14:textId="77777777">
        <w:trPr>
          <w:trHeight w:hRule="exact" w:val="397"/>
          <w:jc w:val="center"/>
        </w:trPr>
        <w:tc>
          <w:tcPr>
            <w:tcW w:w="364" w:type="pct"/>
            <w:vMerge/>
            <w:vAlign w:val="center"/>
          </w:tcPr>
          <w:p w14:paraId="27761128" w14:textId="77777777" w:rsidR="00A320E6" w:rsidRDefault="00A320E6" w:rsidP="00EC50E9">
            <w:pPr>
              <w:jc w:val="center"/>
              <w:rPr>
                <w:rFonts w:ascii="宋体" w:hAnsi="宋体" w:cs="宋体"/>
                <w:snapToGrid w:val="0"/>
                <w:kern w:val="0"/>
                <w:szCs w:val="21"/>
              </w:rPr>
            </w:pPr>
          </w:p>
        </w:tc>
        <w:tc>
          <w:tcPr>
            <w:tcW w:w="441" w:type="pct"/>
            <w:vMerge/>
            <w:vAlign w:val="center"/>
          </w:tcPr>
          <w:p w14:paraId="777CFE6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11388B3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2年及以上</w:t>
            </w:r>
          </w:p>
        </w:tc>
        <w:tc>
          <w:tcPr>
            <w:tcW w:w="992" w:type="pct"/>
            <w:shd w:val="clear" w:color="000000" w:fill="FFFFFF"/>
            <w:vAlign w:val="center"/>
          </w:tcPr>
          <w:p w14:paraId="41416FB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15-40元/株</w:t>
            </w:r>
          </w:p>
        </w:tc>
        <w:tc>
          <w:tcPr>
            <w:tcW w:w="1450" w:type="pct"/>
            <w:vMerge/>
            <w:vAlign w:val="center"/>
          </w:tcPr>
          <w:p w14:paraId="06674B79" w14:textId="77777777" w:rsidR="00A320E6" w:rsidRDefault="00A320E6" w:rsidP="00EC50E9">
            <w:pPr>
              <w:jc w:val="left"/>
              <w:rPr>
                <w:rFonts w:ascii="宋体" w:hAnsi="宋体" w:cs="宋体"/>
                <w:snapToGrid w:val="0"/>
                <w:kern w:val="0"/>
                <w:szCs w:val="21"/>
              </w:rPr>
            </w:pPr>
          </w:p>
        </w:tc>
      </w:tr>
      <w:tr w:rsidR="00A320E6" w14:paraId="7F213C06" w14:textId="77777777">
        <w:trPr>
          <w:trHeight w:hRule="exact" w:val="573"/>
          <w:jc w:val="center"/>
        </w:trPr>
        <w:tc>
          <w:tcPr>
            <w:tcW w:w="364" w:type="pct"/>
            <w:shd w:val="clear" w:color="000000" w:fill="FFFFFF"/>
            <w:vAlign w:val="center"/>
          </w:tcPr>
          <w:p w14:paraId="47C3B3DC"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十九</w:t>
            </w:r>
          </w:p>
        </w:tc>
        <w:tc>
          <w:tcPr>
            <w:tcW w:w="441" w:type="pct"/>
            <w:shd w:val="clear" w:color="000000" w:fill="FFFFFF"/>
            <w:vAlign w:val="center"/>
          </w:tcPr>
          <w:p w14:paraId="39D7C78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灌木</w:t>
            </w:r>
          </w:p>
        </w:tc>
        <w:tc>
          <w:tcPr>
            <w:tcW w:w="1752" w:type="pct"/>
            <w:gridSpan w:val="2"/>
            <w:shd w:val="clear" w:color="000000" w:fill="FFFFFF"/>
            <w:vAlign w:val="center"/>
          </w:tcPr>
          <w:p w14:paraId="260E6042" w14:textId="77777777" w:rsidR="00A320E6" w:rsidRDefault="00A320E6" w:rsidP="00EC50E9">
            <w:pPr>
              <w:jc w:val="center"/>
              <w:rPr>
                <w:rFonts w:ascii="宋体" w:hAnsi="宋体" w:cs="宋体"/>
                <w:snapToGrid w:val="0"/>
                <w:kern w:val="0"/>
                <w:szCs w:val="21"/>
              </w:rPr>
            </w:pPr>
          </w:p>
        </w:tc>
        <w:tc>
          <w:tcPr>
            <w:tcW w:w="992" w:type="pct"/>
            <w:shd w:val="clear" w:color="000000" w:fill="FFFFFF"/>
            <w:vAlign w:val="center"/>
          </w:tcPr>
          <w:p w14:paraId="108F922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7-10元/墩</w:t>
            </w:r>
          </w:p>
        </w:tc>
        <w:tc>
          <w:tcPr>
            <w:tcW w:w="1450" w:type="pct"/>
            <w:shd w:val="clear" w:color="000000" w:fill="FFFFFF"/>
            <w:vAlign w:val="center"/>
          </w:tcPr>
          <w:p w14:paraId="6EE5C0C5"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每墩出条数按10～20根计算。</w:t>
            </w:r>
          </w:p>
        </w:tc>
      </w:tr>
      <w:tr w:rsidR="00A320E6" w14:paraId="28996ED5" w14:textId="77777777">
        <w:trPr>
          <w:trHeight w:hRule="exact" w:val="397"/>
          <w:jc w:val="center"/>
        </w:trPr>
        <w:tc>
          <w:tcPr>
            <w:tcW w:w="364" w:type="pct"/>
            <w:vMerge w:val="restart"/>
            <w:shd w:val="clear" w:color="000000" w:fill="FFFFFF"/>
            <w:vAlign w:val="center"/>
          </w:tcPr>
          <w:p w14:paraId="3908B92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二十</w:t>
            </w:r>
          </w:p>
        </w:tc>
        <w:tc>
          <w:tcPr>
            <w:tcW w:w="441" w:type="pct"/>
            <w:vMerge w:val="restart"/>
            <w:shd w:val="clear" w:color="000000" w:fill="FFFFFF"/>
            <w:vAlign w:val="center"/>
          </w:tcPr>
          <w:p w14:paraId="1EB2DFB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苗圃</w:t>
            </w:r>
          </w:p>
        </w:tc>
        <w:tc>
          <w:tcPr>
            <w:tcW w:w="1752" w:type="pct"/>
            <w:gridSpan w:val="2"/>
            <w:shd w:val="clear" w:color="000000" w:fill="FFFFFF"/>
            <w:vAlign w:val="center"/>
          </w:tcPr>
          <w:p w14:paraId="4F3D0FD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3年生及以下</w:t>
            </w:r>
          </w:p>
        </w:tc>
        <w:tc>
          <w:tcPr>
            <w:tcW w:w="992" w:type="pct"/>
            <w:shd w:val="clear" w:color="000000" w:fill="FFFFFF"/>
            <w:vAlign w:val="center"/>
          </w:tcPr>
          <w:p w14:paraId="7495E3A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15000-16000元/亩</w:t>
            </w:r>
          </w:p>
        </w:tc>
        <w:tc>
          <w:tcPr>
            <w:tcW w:w="1450" w:type="pct"/>
            <w:vMerge w:val="restart"/>
            <w:shd w:val="clear" w:color="000000" w:fill="FFFFFF"/>
            <w:vAlign w:val="center"/>
          </w:tcPr>
          <w:p w14:paraId="354B661E"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1、花卉类苗木苗圃可适当上浮，原则上不超过30%；</w:t>
            </w:r>
            <w:r>
              <w:rPr>
                <w:rFonts w:ascii="宋体" w:hAnsi="宋体" w:cs="宋体" w:hint="eastAsia"/>
                <w:snapToGrid w:val="0"/>
                <w:kern w:val="0"/>
                <w:szCs w:val="21"/>
              </w:rPr>
              <w:br/>
              <w:t>2、对于稀有珍贵苗木可以委托有资质的机构进行评估、认证；</w:t>
            </w:r>
            <w:r>
              <w:rPr>
                <w:rFonts w:ascii="宋体" w:hAnsi="宋体" w:cs="宋体" w:hint="eastAsia"/>
                <w:snapToGrid w:val="0"/>
                <w:kern w:val="0"/>
                <w:szCs w:val="21"/>
              </w:rPr>
              <w:br/>
              <w:t>3、含苗木树种及培育、移栽损失。</w:t>
            </w:r>
          </w:p>
        </w:tc>
      </w:tr>
      <w:tr w:rsidR="00A320E6" w14:paraId="2F39B163" w14:textId="77777777">
        <w:trPr>
          <w:trHeight w:hRule="exact" w:val="397"/>
          <w:jc w:val="center"/>
        </w:trPr>
        <w:tc>
          <w:tcPr>
            <w:tcW w:w="364" w:type="pct"/>
            <w:vMerge/>
            <w:vAlign w:val="center"/>
          </w:tcPr>
          <w:p w14:paraId="213DA45E" w14:textId="77777777" w:rsidR="00A320E6" w:rsidRDefault="00A320E6" w:rsidP="00EC50E9">
            <w:pPr>
              <w:jc w:val="center"/>
              <w:rPr>
                <w:rFonts w:ascii="宋体" w:hAnsi="宋体" w:cs="宋体"/>
                <w:snapToGrid w:val="0"/>
                <w:kern w:val="0"/>
                <w:szCs w:val="21"/>
              </w:rPr>
            </w:pPr>
          </w:p>
        </w:tc>
        <w:tc>
          <w:tcPr>
            <w:tcW w:w="441" w:type="pct"/>
            <w:vMerge/>
            <w:vAlign w:val="center"/>
          </w:tcPr>
          <w:p w14:paraId="54D76C7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768BB3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3-5(含)年生</w:t>
            </w:r>
          </w:p>
        </w:tc>
        <w:tc>
          <w:tcPr>
            <w:tcW w:w="992" w:type="pct"/>
            <w:shd w:val="clear" w:color="000000" w:fill="FFFFFF"/>
            <w:vAlign w:val="center"/>
          </w:tcPr>
          <w:p w14:paraId="37E215D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16000-18000元/亩</w:t>
            </w:r>
          </w:p>
        </w:tc>
        <w:tc>
          <w:tcPr>
            <w:tcW w:w="1450" w:type="pct"/>
            <w:vMerge/>
            <w:vAlign w:val="center"/>
          </w:tcPr>
          <w:p w14:paraId="776D17DF" w14:textId="77777777" w:rsidR="00A320E6" w:rsidRDefault="00A320E6" w:rsidP="00EC50E9">
            <w:pPr>
              <w:jc w:val="left"/>
              <w:rPr>
                <w:rFonts w:ascii="宋体" w:hAnsi="宋体" w:cs="宋体"/>
                <w:snapToGrid w:val="0"/>
                <w:kern w:val="0"/>
                <w:szCs w:val="21"/>
              </w:rPr>
            </w:pPr>
          </w:p>
        </w:tc>
      </w:tr>
      <w:tr w:rsidR="00A320E6" w14:paraId="27F4AB96" w14:textId="77777777">
        <w:trPr>
          <w:trHeight w:val="732"/>
          <w:jc w:val="center"/>
        </w:trPr>
        <w:tc>
          <w:tcPr>
            <w:tcW w:w="364" w:type="pct"/>
            <w:vMerge/>
            <w:vAlign w:val="center"/>
          </w:tcPr>
          <w:p w14:paraId="5356E1AE" w14:textId="77777777" w:rsidR="00A320E6" w:rsidRDefault="00A320E6" w:rsidP="00EC50E9">
            <w:pPr>
              <w:jc w:val="center"/>
              <w:rPr>
                <w:rFonts w:ascii="宋体" w:hAnsi="宋体" w:cs="宋体"/>
                <w:snapToGrid w:val="0"/>
                <w:kern w:val="0"/>
                <w:szCs w:val="21"/>
              </w:rPr>
            </w:pPr>
          </w:p>
        </w:tc>
        <w:tc>
          <w:tcPr>
            <w:tcW w:w="441" w:type="pct"/>
            <w:vMerge/>
            <w:vAlign w:val="center"/>
          </w:tcPr>
          <w:p w14:paraId="471CAB53"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31E5643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5年生以上</w:t>
            </w:r>
          </w:p>
        </w:tc>
        <w:tc>
          <w:tcPr>
            <w:tcW w:w="992" w:type="pct"/>
            <w:shd w:val="clear" w:color="000000" w:fill="FFFFFF"/>
            <w:vAlign w:val="center"/>
          </w:tcPr>
          <w:p w14:paraId="4841B23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18000-20000元/亩</w:t>
            </w:r>
          </w:p>
        </w:tc>
        <w:tc>
          <w:tcPr>
            <w:tcW w:w="1450" w:type="pct"/>
            <w:vMerge/>
            <w:vAlign w:val="center"/>
          </w:tcPr>
          <w:p w14:paraId="1B5F094E" w14:textId="77777777" w:rsidR="00A320E6" w:rsidRDefault="00A320E6" w:rsidP="00EC50E9">
            <w:pPr>
              <w:jc w:val="left"/>
              <w:rPr>
                <w:rFonts w:ascii="宋体" w:hAnsi="宋体" w:cs="宋体"/>
                <w:snapToGrid w:val="0"/>
                <w:kern w:val="0"/>
                <w:szCs w:val="21"/>
              </w:rPr>
            </w:pPr>
          </w:p>
        </w:tc>
      </w:tr>
      <w:tr w:rsidR="00A320E6" w14:paraId="2088EAAE" w14:textId="77777777">
        <w:trPr>
          <w:trHeight w:val="1021"/>
          <w:jc w:val="center"/>
        </w:trPr>
        <w:tc>
          <w:tcPr>
            <w:tcW w:w="364" w:type="pct"/>
            <w:shd w:val="clear" w:color="000000" w:fill="FFFFFF"/>
            <w:vAlign w:val="center"/>
          </w:tcPr>
          <w:p w14:paraId="7067607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二十一</w:t>
            </w:r>
          </w:p>
        </w:tc>
        <w:tc>
          <w:tcPr>
            <w:tcW w:w="441" w:type="pct"/>
            <w:shd w:val="clear" w:color="000000" w:fill="FFFFFF"/>
            <w:vAlign w:val="center"/>
          </w:tcPr>
          <w:p w14:paraId="48EBF62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鱼塘</w:t>
            </w:r>
          </w:p>
        </w:tc>
        <w:tc>
          <w:tcPr>
            <w:tcW w:w="1752" w:type="pct"/>
            <w:gridSpan w:val="2"/>
            <w:shd w:val="clear" w:color="000000" w:fill="FFFFFF"/>
            <w:vAlign w:val="center"/>
          </w:tcPr>
          <w:p w14:paraId="1F4E9F51" w14:textId="77777777" w:rsidR="00A320E6" w:rsidRDefault="00A320E6" w:rsidP="00EC50E9">
            <w:pPr>
              <w:jc w:val="center"/>
              <w:rPr>
                <w:rFonts w:ascii="宋体" w:hAnsi="宋体" w:cs="宋体"/>
                <w:snapToGrid w:val="0"/>
                <w:kern w:val="0"/>
                <w:szCs w:val="21"/>
              </w:rPr>
            </w:pPr>
          </w:p>
        </w:tc>
        <w:tc>
          <w:tcPr>
            <w:tcW w:w="992" w:type="pct"/>
            <w:shd w:val="clear" w:color="000000" w:fill="FFFFFF"/>
            <w:vAlign w:val="center"/>
          </w:tcPr>
          <w:p w14:paraId="2642B0E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12000－15000元/亩</w:t>
            </w:r>
          </w:p>
        </w:tc>
        <w:tc>
          <w:tcPr>
            <w:tcW w:w="1450" w:type="pct"/>
            <w:vMerge w:val="restart"/>
            <w:shd w:val="clear" w:color="000000" w:fill="FFFFFF"/>
            <w:vAlign w:val="center"/>
          </w:tcPr>
          <w:p w14:paraId="67897CE2"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1、含土石方工程及鱼（藕）损失；</w:t>
            </w:r>
            <w:r>
              <w:rPr>
                <w:rFonts w:ascii="宋体" w:hAnsi="宋体" w:cs="宋体" w:hint="eastAsia"/>
                <w:snapToGrid w:val="0"/>
                <w:kern w:val="0"/>
                <w:szCs w:val="21"/>
              </w:rPr>
              <w:br/>
              <w:t>2、面积系指砖石砌外口面积、无砖石砌维护的按照常年水位水面面积确定；</w:t>
            </w:r>
            <w:r>
              <w:rPr>
                <w:rFonts w:ascii="宋体" w:hAnsi="宋体" w:cs="宋体" w:hint="eastAsia"/>
                <w:snapToGrid w:val="0"/>
                <w:kern w:val="0"/>
                <w:szCs w:val="21"/>
              </w:rPr>
              <w:br/>
              <w:t>3、利用自然河道和坑塘的只补偿鱼或藕损失，其补偿标准另行评估确定。</w:t>
            </w:r>
          </w:p>
        </w:tc>
      </w:tr>
      <w:tr w:rsidR="00A320E6" w14:paraId="4FC57486" w14:textId="77777777">
        <w:trPr>
          <w:trHeight w:val="1021"/>
          <w:jc w:val="center"/>
        </w:trPr>
        <w:tc>
          <w:tcPr>
            <w:tcW w:w="364" w:type="pct"/>
            <w:shd w:val="clear" w:color="000000" w:fill="FFFFFF"/>
            <w:vAlign w:val="center"/>
          </w:tcPr>
          <w:p w14:paraId="3F9FE35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二十二</w:t>
            </w:r>
          </w:p>
        </w:tc>
        <w:tc>
          <w:tcPr>
            <w:tcW w:w="441" w:type="pct"/>
            <w:shd w:val="clear" w:color="000000" w:fill="FFFFFF"/>
            <w:vAlign w:val="center"/>
          </w:tcPr>
          <w:p w14:paraId="73E22B91"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藕塘</w:t>
            </w:r>
          </w:p>
        </w:tc>
        <w:tc>
          <w:tcPr>
            <w:tcW w:w="1752" w:type="pct"/>
            <w:gridSpan w:val="2"/>
            <w:shd w:val="clear" w:color="000000" w:fill="FFFFFF"/>
            <w:vAlign w:val="center"/>
          </w:tcPr>
          <w:p w14:paraId="46AE5023" w14:textId="77777777" w:rsidR="00A320E6" w:rsidRDefault="00A320E6" w:rsidP="00EC50E9">
            <w:pPr>
              <w:jc w:val="center"/>
              <w:rPr>
                <w:rFonts w:ascii="宋体" w:hAnsi="宋体" w:cs="宋体"/>
                <w:snapToGrid w:val="0"/>
                <w:kern w:val="0"/>
                <w:szCs w:val="21"/>
              </w:rPr>
            </w:pPr>
          </w:p>
        </w:tc>
        <w:tc>
          <w:tcPr>
            <w:tcW w:w="992" w:type="pct"/>
            <w:shd w:val="clear" w:color="000000" w:fill="FFFFFF"/>
            <w:vAlign w:val="center"/>
          </w:tcPr>
          <w:p w14:paraId="28452F4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8000－11000元/亩</w:t>
            </w:r>
          </w:p>
        </w:tc>
        <w:tc>
          <w:tcPr>
            <w:tcW w:w="1450" w:type="pct"/>
            <w:vMerge/>
            <w:vAlign w:val="center"/>
          </w:tcPr>
          <w:p w14:paraId="0134559F" w14:textId="77777777" w:rsidR="00A320E6" w:rsidRDefault="00A320E6" w:rsidP="00EC50E9">
            <w:pPr>
              <w:jc w:val="left"/>
              <w:rPr>
                <w:rFonts w:ascii="宋体" w:hAnsi="宋体" w:cs="宋体"/>
                <w:snapToGrid w:val="0"/>
                <w:kern w:val="0"/>
                <w:szCs w:val="21"/>
              </w:rPr>
            </w:pPr>
          </w:p>
        </w:tc>
      </w:tr>
      <w:tr w:rsidR="00A320E6" w14:paraId="6DE896FD" w14:textId="77777777">
        <w:trPr>
          <w:trHeight w:val="584"/>
          <w:jc w:val="center"/>
        </w:trPr>
        <w:tc>
          <w:tcPr>
            <w:tcW w:w="364" w:type="pct"/>
            <w:vMerge w:val="restart"/>
            <w:shd w:val="clear" w:color="000000" w:fill="FFFFFF"/>
            <w:vAlign w:val="center"/>
          </w:tcPr>
          <w:p w14:paraId="6514289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二十三</w:t>
            </w:r>
          </w:p>
        </w:tc>
        <w:tc>
          <w:tcPr>
            <w:tcW w:w="441" w:type="pct"/>
            <w:vMerge w:val="restart"/>
            <w:shd w:val="clear" w:color="000000" w:fill="FFFFFF"/>
            <w:vAlign w:val="center"/>
          </w:tcPr>
          <w:p w14:paraId="51674F4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电力通讯线路</w:t>
            </w:r>
          </w:p>
        </w:tc>
        <w:tc>
          <w:tcPr>
            <w:tcW w:w="1752" w:type="pct"/>
            <w:gridSpan w:val="2"/>
            <w:shd w:val="clear" w:color="000000" w:fill="FFFFFF"/>
            <w:vAlign w:val="center"/>
          </w:tcPr>
          <w:p w14:paraId="035A1A4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经有关部门批准设立的低压线路</w:t>
            </w:r>
          </w:p>
        </w:tc>
        <w:tc>
          <w:tcPr>
            <w:tcW w:w="992" w:type="pct"/>
            <w:shd w:val="clear" w:color="000000" w:fill="FFFFFF"/>
            <w:vAlign w:val="center"/>
          </w:tcPr>
          <w:p w14:paraId="32AE354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1200－1500元/杆</w:t>
            </w:r>
          </w:p>
        </w:tc>
        <w:tc>
          <w:tcPr>
            <w:tcW w:w="1450" w:type="pct"/>
            <w:vMerge w:val="restart"/>
            <w:shd w:val="clear" w:color="000000" w:fill="FFFFFF"/>
            <w:vAlign w:val="center"/>
          </w:tcPr>
          <w:p w14:paraId="603F0D28"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1、包括电线等材料损失及拆建工费；</w:t>
            </w:r>
            <w:r>
              <w:rPr>
                <w:rFonts w:ascii="宋体" w:hAnsi="宋体" w:cs="宋体" w:hint="eastAsia"/>
                <w:snapToGrid w:val="0"/>
                <w:kern w:val="0"/>
                <w:szCs w:val="21"/>
              </w:rPr>
              <w:br/>
              <w:t>2、废弃线路按同类补偿标准的50%补偿。</w:t>
            </w:r>
          </w:p>
        </w:tc>
      </w:tr>
      <w:tr w:rsidR="00A320E6" w14:paraId="2DB68D7A" w14:textId="77777777">
        <w:trPr>
          <w:trHeight w:val="690"/>
          <w:jc w:val="center"/>
        </w:trPr>
        <w:tc>
          <w:tcPr>
            <w:tcW w:w="364" w:type="pct"/>
            <w:vMerge/>
            <w:vAlign w:val="center"/>
          </w:tcPr>
          <w:p w14:paraId="0EF5517D" w14:textId="77777777" w:rsidR="00A320E6" w:rsidRDefault="00A320E6" w:rsidP="00EC50E9">
            <w:pPr>
              <w:jc w:val="center"/>
              <w:rPr>
                <w:rFonts w:ascii="宋体" w:hAnsi="宋体" w:cs="宋体"/>
                <w:snapToGrid w:val="0"/>
                <w:kern w:val="0"/>
                <w:szCs w:val="21"/>
              </w:rPr>
            </w:pPr>
          </w:p>
        </w:tc>
        <w:tc>
          <w:tcPr>
            <w:tcW w:w="441" w:type="pct"/>
            <w:vMerge/>
            <w:vAlign w:val="center"/>
          </w:tcPr>
          <w:p w14:paraId="7443D956"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69F5A988"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通讯广播线路</w:t>
            </w:r>
          </w:p>
        </w:tc>
        <w:tc>
          <w:tcPr>
            <w:tcW w:w="992" w:type="pct"/>
            <w:shd w:val="clear" w:color="000000" w:fill="FFFFFF"/>
            <w:vAlign w:val="center"/>
          </w:tcPr>
          <w:p w14:paraId="1075B8D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1200－1500元/杆</w:t>
            </w:r>
          </w:p>
        </w:tc>
        <w:tc>
          <w:tcPr>
            <w:tcW w:w="1450" w:type="pct"/>
            <w:vMerge/>
            <w:vAlign w:val="center"/>
          </w:tcPr>
          <w:p w14:paraId="0F403825" w14:textId="77777777" w:rsidR="00A320E6" w:rsidRDefault="00A320E6" w:rsidP="00EC50E9">
            <w:pPr>
              <w:jc w:val="left"/>
              <w:rPr>
                <w:rFonts w:ascii="宋体" w:hAnsi="宋体" w:cs="宋体"/>
                <w:snapToGrid w:val="0"/>
                <w:kern w:val="0"/>
                <w:szCs w:val="21"/>
              </w:rPr>
            </w:pPr>
          </w:p>
        </w:tc>
      </w:tr>
      <w:tr w:rsidR="00A320E6" w14:paraId="71B3F583" w14:textId="77777777">
        <w:trPr>
          <w:trHeight w:hRule="exact" w:val="399"/>
          <w:jc w:val="center"/>
        </w:trPr>
        <w:tc>
          <w:tcPr>
            <w:tcW w:w="364" w:type="pct"/>
            <w:vMerge/>
            <w:vAlign w:val="center"/>
          </w:tcPr>
          <w:p w14:paraId="4F5E5756" w14:textId="77777777" w:rsidR="00A320E6" w:rsidRDefault="00A320E6" w:rsidP="00EC50E9">
            <w:pPr>
              <w:jc w:val="center"/>
              <w:rPr>
                <w:rFonts w:ascii="宋体" w:hAnsi="宋体" w:cs="宋体"/>
                <w:snapToGrid w:val="0"/>
                <w:kern w:val="0"/>
                <w:szCs w:val="21"/>
              </w:rPr>
            </w:pPr>
          </w:p>
        </w:tc>
        <w:tc>
          <w:tcPr>
            <w:tcW w:w="441" w:type="pct"/>
            <w:vMerge/>
            <w:vAlign w:val="center"/>
          </w:tcPr>
          <w:p w14:paraId="71496C29"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28C74CA5"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不带线线杆</w:t>
            </w:r>
          </w:p>
        </w:tc>
        <w:tc>
          <w:tcPr>
            <w:tcW w:w="992" w:type="pct"/>
            <w:shd w:val="clear" w:color="000000" w:fill="FFFFFF"/>
            <w:vAlign w:val="center"/>
          </w:tcPr>
          <w:p w14:paraId="00D4113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120元/杆</w:t>
            </w:r>
          </w:p>
        </w:tc>
        <w:tc>
          <w:tcPr>
            <w:tcW w:w="1450" w:type="pct"/>
            <w:vAlign w:val="center"/>
          </w:tcPr>
          <w:p w14:paraId="62A51217" w14:textId="77777777" w:rsidR="00A320E6" w:rsidRDefault="00A320E6" w:rsidP="00EC50E9">
            <w:pPr>
              <w:jc w:val="left"/>
              <w:rPr>
                <w:rFonts w:ascii="宋体" w:hAnsi="宋体" w:cs="宋体"/>
                <w:snapToGrid w:val="0"/>
                <w:kern w:val="0"/>
                <w:szCs w:val="21"/>
              </w:rPr>
            </w:pPr>
          </w:p>
        </w:tc>
      </w:tr>
      <w:tr w:rsidR="00A320E6" w14:paraId="480627BF" w14:textId="77777777">
        <w:trPr>
          <w:trHeight w:hRule="exact" w:val="670"/>
          <w:jc w:val="center"/>
        </w:trPr>
        <w:tc>
          <w:tcPr>
            <w:tcW w:w="364" w:type="pct"/>
            <w:vMerge/>
            <w:vAlign w:val="center"/>
          </w:tcPr>
          <w:p w14:paraId="1FDEA33E" w14:textId="77777777" w:rsidR="00A320E6" w:rsidRDefault="00A320E6" w:rsidP="00EC50E9">
            <w:pPr>
              <w:jc w:val="center"/>
              <w:rPr>
                <w:rFonts w:ascii="宋体" w:hAnsi="宋体" w:cs="宋体"/>
                <w:snapToGrid w:val="0"/>
                <w:kern w:val="0"/>
                <w:szCs w:val="21"/>
              </w:rPr>
            </w:pPr>
          </w:p>
        </w:tc>
        <w:tc>
          <w:tcPr>
            <w:tcW w:w="441" w:type="pct"/>
            <w:vMerge/>
            <w:vAlign w:val="center"/>
          </w:tcPr>
          <w:p w14:paraId="3B2956B8"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3BF0987A"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电缆线</w:t>
            </w:r>
          </w:p>
        </w:tc>
        <w:tc>
          <w:tcPr>
            <w:tcW w:w="992" w:type="pct"/>
            <w:shd w:val="clear" w:color="000000" w:fill="FFFFFF"/>
            <w:vAlign w:val="center"/>
          </w:tcPr>
          <w:p w14:paraId="18164CA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30元/m</w:t>
            </w:r>
          </w:p>
        </w:tc>
        <w:tc>
          <w:tcPr>
            <w:tcW w:w="1450" w:type="pct"/>
            <w:vAlign w:val="center"/>
          </w:tcPr>
          <w:p w14:paraId="2A883FD9"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包含独立电缆线、地埋电缆线等。</w:t>
            </w:r>
          </w:p>
        </w:tc>
      </w:tr>
      <w:tr w:rsidR="00A320E6" w14:paraId="1F87ED20" w14:textId="77777777">
        <w:trPr>
          <w:trHeight w:hRule="exact" w:val="454"/>
          <w:jc w:val="center"/>
        </w:trPr>
        <w:tc>
          <w:tcPr>
            <w:tcW w:w="364" w:type="pct"/>
            <w:vMerge/>
            <w:vAlign w:val="center"/>
          </w:tcPr>
          <w:p w14:paraId="2F2FA1E8" w14:textId="77777777" w:rsidR="00A320E6" w:rsidRDefault="00A320E6" w:rsidP="00EC50E9">
            <w:pPr>
              <w:jc w:val="center"/>
              <w:rPr>
                <w:rFonts w:ascii="宋体" w:hAnsi="宋体" w:cs="宋体"/>
                <w:snapToGrid w:val="0"/>
                <w:kern w:val="0"/>
                <w:szCs w:val="21"/>
              </w:rPr>
            </w:pPr>
          </w:p>
        </w:tc>
        <w:tc>
          <w:tcPr>
            <w:tcW w:w="441" w:type="pct"/>
            <w:vMerge/>
            <w:vAlign w:val="center"/>
          </w:tcPr>
          <w:p w14:paraId="5162FAC0" w14:textId="77777777" w:rsidR="00A320E6" w:rsidRDefault="00A320E6" w:rsidP="00EC50E9">
            <w:pPr>
              <w:jc w:val="center"/>
              <w:rPr>
                <w:rFonts w:ascii="宋体" w:hAnsi="宋体" w:cs="宋体"/>
                <w:snapToGrid w:val="0"/>
                <w:kern w:val="0"/>
                <w:szCs w:val="21"/>
              </w:rPr>
            </w:pPr>
          </w:p>
        </w:tc>
        <w:tc>
          <w:tcPr>
            <w:tcW w:w="473" w:type="pct"/>
            <w:vMerge w:val="restart"/>
            <w:shd w:val="clear" w:color="000000" w:fill="FFFFFF"/>
            <w:vAlign w:val="center"/>
          </w:tcPr>
          <w:p w14:paraId="5D3A7DC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变压器</w:t>
            </w:r>
          </w:p>
        </w:tc>
        <w:tc>
          <w:tcPr>
            <w:tcW w:w="1279" w:type="pct"/>
            <w:shd w:val="clear" w:color="000000" w:fill="FFFFFF"/>
            <w:vAlign w:val="center"/>
          </w:tcPr>
          <w:p w14:paraId="27F90A7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100kv以下迁移</w:t>
            </w:r>
          </w:p>
        </w:tc>
        <w:tc>
          <w:tcPr>
            <w:tcW w:w="992" w:type="pct"/>
            <w:shd w:val="clear" w:color="000000" w:fill="FFFFFF"/>
            <w:vAlign w:val="center"/>
          </w:tcPr>
          <w:p w14:paraId="1812A39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20000元/台</w:t>
            </w:r>
          </w:p>
        </w:tc>
        <w:tc>
          <w:tcPr>
            <w:tcW w:w="1450" w:type="pct"/>
            <w:vMerge w:val="restart"/>
            <w:vAlign w:val="center"/>
          </w:tcPr>
          <w:p w14:paraId="1E1B7C9A" w14:textId="77777777" w:rsidR="00A320E6" w:rsidRDefault="00A320E6" w:rsidP="00EC50E9">
            <w:pPr>
              <w:jc w:val="left"/>
              <w:rPr>
                <w:rFonts w:ascii="宋体" w:hAnsi="宋体" w:cs="宋体"/>
                <w:snapToGrid w:val="0"/>
                <w:kern w:val="0"/>
                <w:szCs w:val="21"/>
              </w:rPr>
            </w:pPr>
          </w:p>
        </w:tc>
      </w:tr>
      <w:tr w:rsidR="00A320E6" w14:paraId="719FDA2A" w14:textId="77777777">
        <w:trPr>
          <w:trHeight w:hRule="exact" w:val="454"/>
          <w:jc w:val="center"/>
        </w:trPr>
        <w:tc>
          <w:tcPr>
            <w:tcW w:w="364" w:type="pct"/>
            <w:vMerge/>
            <w:vAlign w:val="center"/>
          </w:tcPr>
          <w:p w14:paraId="3CA09B8C" w14:textId="77777777" w:rsidR="00A320E6" w:rsidRDefault="00A320E6" w:rsidP="00EC50E9">
            <w:pPr>
              <w:jc w:val="center"/>
              <w:rPr>
                <w:rFonts w:ascii="宋体" w:hAnsi="宋体" w:cs="宋体"/>
                <w:snapToGrid w:val="0"/>
                <w:kern w:val="0"/>
                <w:szCs w:val="21"/>
              </w:rPr>
            </w:pPr>
          </w:p>
        </w:tc>
        <w:tc>
          <w:tcPr>
            <w:tcW w:w="441" w:type="pct"/>
            <w:vMerge/>
            <w:vAlign w:val="center"/>
          </w:tcPr>
          <w:p w14:paraId="787C292A" w14:textId="77777777" w:rsidR="00A320E6" w:rsidRDefault="00A320E6" w:rsidP="00EC50E9">
            <w:pPr>
              <w:jc w:val="center"/>
              <w:rPr>
                <w:rFonts w:ascii="宋体" w:hAnsi="宋体" w:cs="宋体"/>
                <w:snapToGrid w:val="0"/>
                <w:kern w:val="0"/>
                <w:szCs w:val="21"/>
              </w:rPr>
            </w:pPr>
          </w:p>
        </w:tc>
        <w:tc>
          <w:tcPr>
            <w:tcW w:w="473" w:type="pct"/>
            <w:vMerge/>
            <w:vAlign w:val="center"/>
          </w:tcPr>
          <w:p w14:paraId="4E443242"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2948ED8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100kv及以上迁移</w:t>
            </w:r>
          </w:p>
        </w:tc>
        <w:tc>
          <w:tcPr>
            <w:tcW w:w="992" w:type="pct"/>
            <w:shd w:val="clear" w:color="000000" w:fill="FFFFFF"/>
            <w:vAlign w:val="center"/>
          </w:tcPr>
          <w:p w14:paraId="6DCC84C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30000元/台</w:t>
            </w:r>
          </w:p>
        </w:tc>
        <w:tc>
          <w:tcPr>
            <w:tcW w:w="1450" w:type="pct"/>
            <w:vMerge/>
            <w:vAlign w:val="center"/>
          </w:tcPr>
          <w:p w14:paraId="5A0E4CA9" w14:textId="77777777" w:rsidR="00A320E6" w:rsidRDefault="00A320E6" w:rsidP="00EC50E9">
            <w:pPr>
              <w:jc w:val="left"/>
              <w:rPr>
                <w:rFonts w:ascii="宋体" w:hAnsi="宋体" w:cs="宋体"/>
                <w:snapToGrid w:val="0"/>
                <w:kern w:val="0"/>
                <w:szCs w:val="21"/>
              </w:rPr>
            </w:pPr>
          </w:p>
        </w:tc>
      </w:tr>
      <w:tr w:rsidR="00A320E6" w14:paraId="674525B5" w14:textId="77777777">
        <w:trPr>
          <w:trHeight w:hRule="exact" w:val="454"/>
          <w:jc w:val="center"/>
        </w:trPr>
        <w:tc>
          <w:tcPr>
            <w:tcW w:w="364" w:type="pct"/>
            <w:vMerge/>
            <w:vAlign w:val="center"/>
          </w:tcPr>
          <w:p w14:paraId="1C81773E" w14:textId="77777777" w:rsidR="00A320E6" w:rsidRDefault="00A320E6" w:rsidP="00EC50E9">
            <w:pPr>
              <w:jc w:val="center"/>
              <w:rPr>
                <w:rFonts w:ascii="宋体" w:hAnsi="宋体" w:cs="宋体"/>
                <w:snapToGrid w:val="0"/>
                <w:kern w:val="0"/>
                <w:szCs w:val="21"/>
              </w:rPr>
            </w:pPr>
          </w:p>
        </w:tc>
        <w:tc>
          <w:tcPr>
            <w:tcW w:w="441" w:type="pct"/>
            <w:vMerge/>
            <w:vAlign w:val="center"/>
          </w:tcPr>
          <w:p w14:paraId="2DC85446" w14:textId="77777777" w:rsidR="00A320E6" w:rsidRDefault="00A320E6" w:rsidP="00EC50E9">
            <w:pPr>
              <w:jc w:val="center"/>
              <w:rPr>
                <w:rFonts w:ascii="宋体" w:hAnsi="宋体" w:cs="宋体"/>
                <w:snapToGrid w:val="0"/>
                <w:kern w:val="0"/>
                <w:szCs w:val="21"/>
              </w:rPr>
            </w:pPr>
          </w:p>
        </w:tc>
        <w:tc>
          <w:tcPr>
            <w:tcW w:w="473" w:type="pct"/>
            <w:vMerge/>
            <w:vAlign w:val="center"/>
          </w:tcPr>
          <w:p w14:paraId="7955D798" w14:textId="77777777" w:rsidR="00A320E6" w:rsidRDefault="00A320E6" w:rsidP="00EC50E9">
            <w:pPr>
              <w:jc w:val="center"/>
              <w:rPr>
                <w:rFonts w:ascii="宋体" w:hAnsi="宋体" w:cs="宋体"/>
                <w:snapToGrid w:val="0"/>
                <w:kern w:val="0"/>
                <w:szCs w:val="21"/>
              </w:rPr>
            </w:pPr>
          </w:p>
        </w:tc>
        <w:tc>
          <w:tcPr>
            <w:tcW w:w="1279" w:type="pct"/>
            <w:shd w:val="clear" w:color="000000" w:fill="FFFFFF"/>
            <w:vAlign w:val="center"/>
          </w:tcPr>
          <w:p w14:paraId="6D3CDE13"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三相电配电盘</w:t>
            </w:r>
          </w:p>
        </w:tc>
        <w:tc>
          <w:tcPr>
            <w:tcW w:w="992" w:type="pct"/>
            <w:shd w:val="clear" w:color="000000" w:fill="FFFFFF"/>
            <w:vAlign w:val="center"/>
          </w:tcPr>
          <w:p w14:paraId="5320627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2000元/套</w:t>
            </w:r>
          </w:p>
        </w:tc>
        <w:tc>
          <w:tcPr>
            <w:tcW w:w="1450" w:type="pct"/>
            <w:vMerge/>
            <w:vAlign w:val="center"/>
          </w:tcPr>
          <w:p w14:paraId="1C6EF1F6" w14:textId="77777777" w:rsidR="00A320E6" w:rsidRDefault="00A320E6" w:rsidP="00EC50E9">
            <w:pPr>
              <w:jc w:val="left"/>
              <w:rPr>
                <w:rFonts w:ascii="宋体" w:hAnsi="宋体" w:cs="宋体"/>
                <w:snapToGrid w:val="0"/>
                <w:kern w:val="0"/>
                <w:szCs w:val="21"/>
              </w:rPr>
            </w:pPr>
          </w:p>
        </w:tc>
      </w:tr>
      <w:tr w:rsidR="00A320E6" w14:paraId="743F350C" w14:textId="77777777">
        <w:trPr>
          <w:trHeight w:val="748"/>
          <w:jc w:val="center"/>
        </w:trPr>
        <w:tc>
          <w:tcPr>
            <w:tcW w:w="364" w:type="pct"/>
            <w:vMerge w:val="restart"/>
            <w:shd w:val="clear" w:color="000000" w:fill="FFFFFF"/>
            <w:vAlign w:val="center"/>
          </w:tcPr>
          <w:p w14:paraId="62C48B8F"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二十四</w:t>
            </w:r>
          </w:p>
        </w:tc>
        <w:tc>
          <w:tcPr>
            <w:tcW w:w="441" w:type="pct"/>
            <w:vMerge w:val="restart"/>
            <w:shd w:val="clear" w:color="000000" w:fill="FFFFFF"/>
            <w:vAlign w:val="center"/>
          </w:tcPr>
          <w:p w14:paraId="292AE1F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青苗</w:t>
            </w:r>
          </w:p>
        </w:tc>
        <w:tc>
          <w:tcPr>
            <w:tcW w:w="1752" w:type="pct"/>
            <w:gridSpan w:val="2"/>
            <w:shd w:val="clear" w:color="000000" w:fill="FFFFFF"/>
            <w:vAlign w:val="center"/>
          </w:tcPr>
          <w:p w14:paraId="6D2C761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粮食类作物</w:t>
            </w:r>
          </w:p>
          <w:p w14:paraId="5DBBE9C9"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（主要包括谷类、豆类、薯类等）</w:t>
            </w:r>
          </w:p>
        </w:tc>
        <w:tc>
          <w:tcPr>
            <w:tcW w:w="992" w:type="pct"/>
            <w:shd w:val="clear" w:color="000000" w:fill="FFFFFF"/>
            <w:vAlign w:val="center"/>
          </w:tcPr>
          <w:p w14:paraId="0D04A727"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1500元/亩</w:t>
            </w:r>
          </w:p>
        </w:tc>
        <w:tc>
          <w:tcPr>
            <w:tcW w:w="1450" w:type="pct"/>
            <w:vMerge w:val="restart"/>
            <w:shd w:val="clear" w:color="000000" w:fill="FFFFFF"/>
            <w:vAlign w:val="center"/>
          </w:tcPr>
          <w:p w14:paraId="068D4290" w14:textId="77777777" w:rsidR="00A320E6" w:rsidRDefault="00000000" w:rsidP="00EC50E9">
            <w:pPr>
              <w:jc w:val="left"/>
              <w:rPr>
                <w:rFonts w:ascii="宋体" w:hAnsi="宋体" w:cs="宋体"/>
                <w:snapToGrid w:val="0"/>
                <w:kern w:val="0"/>
                <w:szCs w:val="21"/>
              </w:rPr>
            </w:pPr>
            <w:r>
              <w:rPr>
                <w:rFonts w:ascii="宋体" w:hAnsi="宋体" w:cs="宋体" w:hint="eastAsia"/>
                <w:snapToGrid w:val="0"/>
                <w:kern w:val="0"/>
                <w:szCs w:val="21"/>
              </w:rPr>
              <w:t>此标准均为露天作物补偿标准，特殊作物（大棚内作物或当地有知名度、品牌效应的农作物）可根据市场情况另行评估。</w:t>
            </w:r>
          </w:p>
        </w:tc>
      </w:tr>
      <w:tr w:rsidR="00A320E6" w14:paraId="4F05140C" w14:textId="77777777">
        <w:trPr>
          <w:trHeight w:val="983"/>
          <w:jc w:val="center"/>
        </w:trPr>
        <w:tc>
          <w:tcPr>
            <w:tcW w:w="364" w:type="pct"/>
            <w:vMerge/>
            <w:vAlign w:val="center"/>
          </w:tcPr>
          <w:p w14:paraId="37E30A0A" w14:textId="77777777" w:rsidR="00A320E6" w:rsidRDefault="00A320E6" w:rsidP="00EC50E9">
            <w:pPr>
              <w:jc w:val="center"/>
              <w:rPr>
                <w:rFonts w:ascii="宋体" w:hAnsi="宋体" w:cs="宋体"/>
                <w:snapToGrid w:val="0"/>
                <w:kern w:val="0"/>
                <w:szCs w:val="21"/>
              </w:rPr>
            </w:pPr>
          </w:p>
        </w:tc>
        <w:tc>
          <w:tcPr>
            <w:tcW w:w="441" w:type="pct"/>
            <w:vMerge/>
            <w:vAlign w:val="center"/>
          </w:tcPr>
          <w:p w14:paraId="1C050511"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7A01214"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经济类作物</w:t>
            </w:r>
          </w:p>
          <w:p w14:paraId="22E245E2"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（主要包括油料作物，如花生、芝麻、棉花、烟草、土豆等）</w:t>
            </w:r>
          </w:p>
        </w:tc>
        <w:tc>
          <w:tcPr>
            <w:tcW w:w="992" w:type="pct"/>
            <w:shd w:val="clear" w:color="000000" w:fill="FFFFFF"/>
            <w:vAlign w:val="center"/>
          </w:tcPr>
          <w:p w14:paraId="5D9FC6EB"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2000-3000元/亩</w:t>
            </w:r>
          </w:p>
        </w:tc>
        <w:tc>
          <w:tcPr>
            <w:tcW w:w="1450" w:type="pct"/>
            <w:vMerge/>
            <w:shd w:val="clear" w:color="000000" w:fill="FFFFFF"/>
            <w:vAlign w:val="center"/>
          </w:tcPr>
          <w:p w14:paraId="559EFAB7" w14:textId="77777777" w:rsidR="00A320E6" w:rsidRDefault="00A320E6" w:rsidP="00EC50E9">
            <w:pPr>
              <w:jc w:val="left"/>
              <w:rPr>
                <w:rFonts w:ascii="宋体" w:hAnsi="宋体" w:cs="宋体"/>
                <w:snapToGrid w:val="0"/>
                <w:kern w:val="0"/>
                <w:szCs w:val="21"/>
              </w:rPr>
            </w:pPr>
          </w:p>
        </w:tc>
      </w:tr>
      <w:tr w:rsidR="00A320E6" w14:paraId="7C5EF983" w14:textId="77777777">
        <w:trPr>
          <w:trHeight w:val="908"/>
          <w:jc w:val="center"/>
        </w:trPr>
        <w:tc>
          <w:tcPr>
            <w:tcW w:w="364" w:type="pct"/>
            <w:vMerge/>
            <w:vAlign w:val="center"/>
          </w:tcPr>
          <w:p w14:paraId="10DEFAD6" w14:textId="77777777" w:rsidR="00A320E6" w:rsidRDefault="00A320E6" w:rsidP="00EC50E9">
            <w:pPr>
              <w:jc w:val="center"/>
              <w:rPr>
                <w:rFonts w:ascii="宋体" w:hAnsi="宋体" w:cs="宋体"/>
                <w:snapToGrid w:val="0"/>
                <w:kern w:val="0"/>
                <w:szCs w:val="21"/>
              </w:rPr>
            </w:pPr>
          </w:p>
        </w:tc>
        <w:tc>
          <w:tcPr>
            <w:tcW w:w="441" w:type="pct"/>
            <w:vMerge/>
            <w:vAlign w:val="center"/>
          </w:tcPr>
          <w:p w14:paraId="55499B7D" w14:textId="77777777" w:rsidR="00A320E6" w:rsidRDefault="00A320E6" w:rsidP="00EC50E9">
            <w:pPr>
              <w:jc w:val="center"/>
              <w:rPr>
                <w:rFonts w:ascii="宋体" w:hAnsi="宋体" w:cs="宋体"/>
                <w:snapToGrid w:val="0"/>
                <w:kern w:val="0"/>
                <w:szCs w:val="21"/>
              </w:rPr>
            </w:pPr>
          </w:p>
        </w:tc>
        <w:tc>
          <w:tcPr>
            <w:tcW w:w="1752" w:type="pct"/>
            <w:gridSpan w:val="2"/>
            <w:shd w:val="clear" w:color="000000" w:fill="FFFFFF"/>
            <w:vAlign w:val="center"/>
          </w:tcPr>
          <w:p w14:paraId="03DEE9A6"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蔬菜、瓜果类作物</w:t>
            </w:r>
          </w:p>
          <w:p w14:paraId="19B6339D"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（主要包括蔬菜和瓜果类，如西瓜、甜瓜、草莓等）</w:t>
            </w:r>
          </w:p>
        </w:tc>
        <w:tc>
          <w:tcPr>
            <w:tcW w:w="992" w:type="pct"/>
            <w:shd w:val="clear" w:color="000000" w:fill="FFFFFF"/>
            <w:vAlign w:val="center"/>
          </w:tcPr>
          <w:p w14:paraId="7DE6CB40" w14:textId="77777777" w:rsidR="00A320E6" w:rsidRDefault="00000000" w:rsidP="00EC50E9">
            <w:pPr>
              <w:jc w:val="center"/>
              <w:rPr>
                <w:rFonts w:ascii="宋体" w:hAnsi="宋体" w:cs="宋体"/>
                <w:snapToGrid w:val="0"/>
                <w:kern w:val="0"/>
                <w:szCs w:val="21"/>
              </w:rPr>
            </w:pPr>
            <w:r>
              <w:rPr>
                <w:rFonts w:ascii="宋体" w:hAnsi="宋体" w:cs="宋体" w:hint="eastAsia"/>
                <w:snapToGrid w:val="0"/>
                <w:kern w:val="0"/>
                <w:szCs w:val="21"/>
              </w:rPr>
              <w:t>3000-4000元/亩</w:t>
            </w:r>
          </w:p>
        </w:tc>
        <w:tc>
          <w:tcPr>
            <w:tcW w:w="1450" w:type="pct"/>
            <w:vMerge/>
            <w:shd w:val="clear" w:color="000000" w:fill="FFFFFF"/>
            <w:vAlign w:val="center"/>
          </w:tcPr>
          <w:p w14:paraId="1A103F74" w14:textId="77777777" w:rsidR="00A320E6" w:rsidRDefault="00A320E6" w:rsidP="00EC50E9">
            <w:pPr>
              <w:jc w:val="left"/>
              <w:rPr>
                <w:rFonts w:ascii="宋体" w:hAnsi="宋体" w:cs="宋体"/>
                <w:snapToGrid w:val="0"/>
                <w:kern w:val="0"/>
                <w:szCs w:val="21"/>
              </w:rPr>
            </w:pPr>
          </w:p>
        </w:tc>
      </w:tr>
    </w:tbl>
    <w:p w14:paraId="62971584"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说明：</w:t>
      </w:r>
    </w:p>
    <w:p w14:paraId="59215DC4"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一、其他未列出的地面附着物和青苗，参照表中相近情况补偿。不能参照补偿的，可委托有资质的机构进行评估或认证，作为征地补偿的依据。</w:t>
      </w:r>
    </w:p>
    <w:p w14:paraId="701708DC"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二、在政府征地预公告下达之日起，凡在拟征土地上抢建、抢栽、抢种的各类地上附着物和青苗，征地时一律不予补偿。</w:t>
      </w:r>
    </w:p>
    <w:p w14:paraId="3EBBC5E6"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三、房屋补偿</w:t>
      </w:r>
    </w:p>
    <w:p w14:paraId="44A3EAA3"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1、拆迁房屋安装电话、有线电视、网络等，迁移费可按通信等公司规定的标准进行补偿。本标准以外未列补偿项目可参照枣庄市出台的其他相关文件标准执行。各区（市）制定了相关标准的，从其规定。</w:t>
      </w:r>
    </w:p>
    <w:p w14:paraId="5F6D4023"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2、农村公用设施需要拆迁的，由拆迁方委托有资质的评估机构依法评估并据此予以补偿。</w:t>
      </w:r>
    </w:p>
    <w:p w14:paraId="7D425F25"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3、经相关部门认定为违法占地建筑除外。</w:t>
      </w:r>
    </w:p>
    <w:p w14:paraId="764905E0"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四、其他类别补偿</w:t>
      </w:r>
    </w:p>
    <w:p w14:paraId="6A7350E4"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1、补偿标准中电力、通讯线路是指通过有关部门批准设立的。</w:t>
      </w:r>
    </w:p>
    <w:p w14:paraId="64F33808"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2、果树栽植密度超限的按最高限计算。</w:t>
      </w:r>
    </w:p>
    <w:p w14:paraId="61B978C0"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五、补偿标准为迁移费的项目，拆除后的旧料归原主。</w:t>
      </w:r>
    </w:p>
    <w:p w14:paraId="235A4288" w14:textId="77777777" w:rsidR="00A320E6" w:rsidRDefault="00000000" w:rsidP="00AE0286">
      <w:pPr>
        <w:spacing w:line="360" w:lineRule="auto"/>
        <w:ind w:firstLineChars="200" w:firstLine="480"/>
        <w:rPr>
          <w:rFonts w:ascii="宋体" w:hAnsi="宋体" w:cs="宋体"/>
          <w:snapToGrid w:val="0"/>
          <w:kern w:val="0"/>
          <w:sz w:val="24"/>
          <w:szCs w:val="24"/>
        </w:rPr>
      </w:pPr>
      <w:r>
        <w:rPr>
          <w:rFonts w:ascii="宋体" w:hAnsi="宋体" w:cs="宋体" w:hint="eastAsia"/>
          <w:snapToGrid w:val="0"/>
          <w:kern w:val="0"/>
          <w:sz w:val="24"/>
          <w:szCs w:val="24"/>
        </w:rPr>
        <w:t>六、国家和省确定的铁路、公路、机场、航道港口、水利工程、能源工程等重大基础设施项目征收土地地上附着物和青苗补偿等标准另有规定的，从其规定。</w:t>
      </w:r>
    </w:p>
    <w:p w14:paraId="58B71AA5" w14:textId="77777777" w:rsidR="00A320E6" w:rsidRDefault="00000000" w:rsidP="00AE0286">
      <w:pPr>
        <w:pStyle w:val="10"/>
        <w:ind w:firstLine="480"/>
        <w:jc w:val="both"/>
        <w:rPr>
          <w:rFonts w:ascii="宋体" w:hAnsi="宋体" w:cs="宋体"/>
          <w:snapToGrid w:val="0"/>
          <w:kern w:val="0"/>
          <w:szCs w:val="24"/>
        </w:rPr>
      </w:pPr>
      <w:r>
        <w:rPr>
          <w:rFonts w:ascii="宋体" w:hAnsi="宋体" w:cs="宋体" w:hint="eastAsia"/>
          <w:snapToGrid w:val="0"/>
          <w:kern w:val="0"/>
          <w:szCs w:val="24"/>
        </w:rPr>
        <w:t>七、对实行地上附着物和青苗包干补偿规定的，应当征得被征地农村集体经济组织、土地承包户和相关权利人同意后，从其规定。</w:t>
      </w:r>
    </w:p>
    <w:p w14:paraId="03861179" w14:textId="77777777" w:rsidR="00A320E6" w:rsidRPr="00F67407"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14" w:name="_Toc112227417"/>
      <w:r w:rsidRPr="00F67407">
        <w:rPr>
          <w:rFonts w:ascii="宋体" w:hAnsi="宋体" w:cs="宋体" w:hint="eastAsia"/>
          <w:b/>
          <w:bCs/>
          <w:sz w:val="24"/>
          <w:lang w:eastAsia="zh-Hans"/>
        </w:rPr>
        <w:t>关于威海市征地地上附着物和青苗补偿标准的批复</w:t>
      </w:r>
      <w:bookmarkEnd w:id="114"/>
    </w:p>
    <w:p w14:paraId="49590727" w14:textId="77777777" w:rsidR="00A320E6" w:rsidRDefault="00000000" w:rsidP="00AE0286">
      <w:pPr>
        <w:pStyle w:val="10"/>
        <w:ind w:firstLineChars="0" w:firstLine="0"/>
        <w:rPr>
          <w:lang w:eastAsia="zh-Hans"/>
        </w:rPr>
      </w:pPr>
      <w:r>
        <w:rPr>
          <w:rFonts w:hint="eastAsia"/>
          <w:lang w:eastAsia="zh-Hans"/>
        </w:rPr>
        <w:t>威海市自然资源和规划局、财政局：</w:t>
      </w:r>
    </w:p>
    <w:p w14:paraId="777445D8" w14:textId="77777777" w:rsidR="00A320E6" w:rsidRDefault="00000000" w:rsidP="00AE0286">
      <w:pPr>
        <w:pStyle w:val="10"/>
        <w:ind w:firstLine="480"/>
        <w:rPr>
          <w:lang w:eastAsia="zh-Hans"/>
        </w:rPr>
      </w:pPr>
      <w:r>
        <w:rPr>
          <w:rFonts w:hint="eastAsia"/>
          <w:lang w:eastAsia="zh-Hans"/>
        </w:rPr>
        <w:t>你市《关于审批威海市征地地上附着物和青苗补偿标准的请示》（威自然资呈〔</w:t>
      </w:r>
      <w:r>
        <w:rPr>
          <w:rFonts w:hint="eastAsia"/>
          <w:lang w:eastAsia="zh-Hans"/>
        </w:rPr>
        <w:t>2021</w:t>
      </w:r>
      <w:r>
        <w:rPr>
          <w:rFonts w:hint="eastAsia"/>
          <w:lang w:eastAsia="zh-Hans"/>
        </w:rPr>
        <w:t>〕</w:t>
      </w:r>
      <w:r>
        <w:rPr>
          <w:rFonts w:hint="eastAsia"/>
          <w:lang w:eastAsia="zh-Hans"/>
        </w:rPr>
        <w:t>98</w:t>
      </w:r>
      <w:r>
        <w:rPr>
          <w:rFonts w:hint="eastAsia"/>
          <w:lang w:eastAsia="zh-Hans"/>
        </w:rPr>
        <w:t>号）收悉。经研究，同意你市制定的征地地上附着物和青苗补偿标准（详见附件）。</w:t>
      </w:r>
    </w:p>
    <w:p w14:paraId="42A87823" w14:textId="77777777" w:rsidR="00A320E6" w:rsidRDefault="00000000" w:rsidP="00AE0286">
      <w:pPr>
        <w:pStyle w:val="10"/>
        <w:ind w:firstLine="480"/>
        <w:rPr>
          <w:lang w:eastAsia="zh-Hans"/>
        </w:rPr>
      </w:pPr>
      <w:r>
        <w:rPr>
          <w:rFonts w:hint="eastAsia"/>
          <w:lang w:eastAsia="zh-Hans"/>
        </w:rPr>
        <w:t>标准自批复之日起执行。</w:t>
      </w:r>
    </w:p>
    <w:p w14:paraId="5415BC8B" w14:textId="77777777" w:rsidR="00A320E6" w:rsidRDefault="00000000" w:rsidP="00AE0286">
      <w:pPr>
        <w:pStyle w:val="10"/>
        <w:ind w:firstLine="480"/>
        <w:rPr>
          <w:lang w:eastAsia="zh-Hans"/>
        </w:rPr>
      </w:pPr>
      <w:r>
        <w:rPr>
          <w:rFonts w:hint="eastAsia"/>
          <w:lang w:eastAsia="zh-Hans"/>
        </w:rPr>
        <w:t>附件：威海市征地地上附着物和青苗补偿标准</w:t>
      </w:r>
    </w:p>
    <w:p w14:paraId="60EEF490" w14:textId="77777777" w:rsidR="00A320E6" w:rsidRDefault="00000000" w:rsidP="00AE0286">
      <w:pPr>
        <w:pStyle w:val="10"/>
        <w:ind w:firstLine="480"/>
        <w:jc w:val="right"/>
        <w:rPr>
          <w:lang w:eastAsia="zh-Hans"/>
        </w:rPr>
      </w:pPr>
      <w:r>
        <w:rPr>
          <w:rFonts w:hint="eastAsia"/>
          <w:lang w:eastAsia="zh-Hans"/>
        </w:rPr>
        <w:t>                       山东省自然资源厅  山东省财政厅  </w:t>
      </w:r>
    </w:p>
    <w:p w14:paraId="4A2930DF" w14:textId="3A8E5665" w:rsidR="00A320E6" w:rsidRDefault="00000000" w:rsidP="00AE0286">
      <w:pPr>
        <w:pStyle w:val="10"/>
        <w:ind w:firstLine="480"/>
        <w:jc w:val="right"/>
        <w:rPr>
          <w:lang w:eastAsia="zh-Hans"/>
        </w:rPr>
      </w:pPr>
      <w:r>
        <w:rPr>
          <w:rFonts w:hint="eastAsia"/>
          <w:lang w:eastAsia="zh-Hans"/>
        </w:rPr>
        <w:t>                     </w:t>
      </w:r>
      <w:r>
        <w:rPr>
          <w:rFonts w:hint="eastAsia"/>
          <w:lang w:eastAsia="zh-Hans"/>
        </w:rPr>
        <w:t>2021</w:t>
      </w:r>
      <w:r>
        <w:rPr>
          <w:rFonts w:hint="eastAsia"/>
          <w:lang w:eastAsia="zh-Hans"/>
        </w:rPr>
        <w:t>年</w:t>
      </w:r>
      <w:r>
        <w:rPr>
          <w:rFonts w:hint="eastAsia"/>
          <w:lang w:eastAsia="zh-Hans"/>
        </w:rPr>
        <w:t>12</w:t>
      </w:r>
      <w:r>
        <w:rPr>
          <w:rFonts w:hint="eastAsia"/>
          <w:lang w:eastAsia="zh-Hans"/>
        </w:rPr>
        <w:t>月</w:t>
      </w:r>
      <w:r>
        <w:rPr>
          <w:rFonts w:hint="eastAsia"/>
          <w:lang w:eastAsia="zh-Hans"/>
        </w:rPr>
        <w:t>24</w:t>
      </w:r>
      <w:r>
        <w:rPr>
          <w:rFonts w:hint="eastAsia"/>
          <w:lang w:eastAsia="zh-Hans"/>
        </w:rPr>
        <w:t>日</w:t>
      </w:r>
    </w:p>
    <w:p w14:paraId="01953A9C" w14:textId="1535FBED" w:rsidR="00E77641" w:rsidRDefault="00E77641" w:rsidP="00E77641">
      <w:pPr>
        <w:pStyle w:val="10"/>
        <w:ind w:firstLineChars="0" w:firstLine="0"/>
        <w:jc w:val="center"/>
        <w:rPr>
          <w:lang w:eastAsia="zh-Hans"/>
        </w:rPr>
      </w:pPr>
      <w:r>
        <w:rPr>
          <w:rFonts w:ascii="宋体" w:hAnsi="宋体" w:cs="宋体" w:hint="eastAsia"/>
          <w:sz w:val="21"/>
          <w:szCs w:val="21"/>
          <w:lang w:eastAsia="zh-Hans"/>
        </w:rPr>
        <w:t>威海市征地地上附着物和青苗补偿标准</w:t>
      </w:r>
    </w:p>
    <w:tbl>
      <w:tblPr>
        <w:tblW w:w="0" w:type="auto"/>
        <w:tblCellMar>
          <w:top w:w="15" w:type="dxa"/>
          <w:left w:w="15" w:type="dxa"/>
          <w:bottom w:w="15" w:type="dxa"/>
          <w:right w:w="15" w:type="dxa"/>
        </w:tblCellMar>
        <w:tblLook w:val="04A0" w:firstRow="1" w:lastRow="0" w:firstColumn="1" w:lastColumn="0" w:noHBand="0" w:noVBand="1"/>
      </w:tblPr>
      <w:tblGrid>
        <w:gridCol w:w="256"/>
        <w:gridCol w:w="274"/>
        <w:gridCol w:w="257"/>
        <w:gridCol w:w="542"/>
        <w:gridCol w:w="257"/>
        <w:gridCol w:w="2217"/>
        <w:gridCol w:w="1882"/>
        <w:gridCol w:w="3075"/>
      </w:tblGrid>
      <w:tr w:rsidR="00A320E6" w14:paraId="49D37044" w14:textId="77777777" w:rsidTr="00A1539E">
        <w:trPr>
          <w:trHeight w:val="330"/>
          <w:tblHead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86817E"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大类</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2BED3"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中类</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FF8ED3"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小类</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171D40"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拟制定标准</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CA0FF9"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备注</w:t>
            </w:r>
          </w:p>
        </w:tc>
      </w:tr>
      <w:tr w:rsidR="00A320E6" w14:paraId="207E7BF9" w14:textId="77777777" w:rsidTr="00A1539E">
        <w:trPr>
          <w:trHeight w:val="405"/>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86AC01"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819141"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AE643A"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47B10D"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603176"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5671BB" w14:textId="77777777" w:rsidR="00A320E6" w:rsidRDefault="00000000" w:rsidP="00EC50E9">
            <w:pPr>
              <w:pStyle w:val="10"/>
              <w:spacing w:line="240" w:lineRule="auto"/>
              <w:ind w:firstLineChars="0" w:firstLine="0"/>
              <w:jc w:val="center"/>
              <w:rPr>
                <w:rFonts w:ascii="宋体" w:hAnsi="宋体" w:cs="宋体"/>
                <w:sz w:val="21"/>
                <w:szCs w:val="21"/>
                <w:lang w:eastAsia="zh-Hans"/>
              </w:rPr>
            </w:pPr>
            <w:r>
              <w:rPr>
                <w:rFonts w:ascii="宋体" w:hAnsi="宋体" w:cs="宋体" w:hint="eastAsia"/>
                <w:sz w:val="21"/>
                <w:szCs w:val="21"/>
                <w:lang w:eastAsia="zh-Hans"/>
              </w:rPr>
              <w:t>名称</w:t>
            </w:r>
          </w:p>
        </w:tc>
        <w:tc>
          <w:tcPr>
            <w:tcW w:w="18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55E20F" w14:textId="77777777" w:rsidR="00A320E6" w:rsidRDefault="00A320E6" w:rsidP="00EC50E9">
            <w:pPr>
              <w:pStyle w:val="10"/>
              <w:spacing w:line="240" w:lineRule="auto"/>
              <w:ind w:firstLineChars="0" w:firstLine="0"/>
              <w:jc w:val="center"/>
              <w:rPr>
                <w:rFonts w:ascii="宋体" w:hAnsi="宋体" w:cs="宋体"/>
                <w:sz w:val="21"/>
                <w:szCs w:val="21"/>
                <w:lang w:eastAsia="zh-Hans"/>
              </w:rPr>
            </w:pP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CE2C19" w14:textId="77777777" w:rsidR="00A320E6" w:rsidRDefault="00A320E6" w:rsidP="00EC50E9">
            <w:pPr>
              <w:pStyle w:val="10"/>
              <w:spacing w:line="240" w:lineRule="auto"/>
              <w:ind w:firstLineChars="0" w:firstLine="0"/>
              <w:jc w:val="center"/>
              <w:rPr>
                <w:rFonts w:ascii="宋体" w:hAnsi="宋体" w:cs="宋体"/>
                <w:sz w:val="21"/>
                <w:szCs w:val="21"/>
                <w:lang w:eastAsia="zh-Hans"/>
              </w:rPr>
            </w:pPr>
          </w:p>
        </w:tc>
      </w:tr>
      <w:tr w:rsidR="00A320E6" w14:paraId="3294319A" w14:textId="77777777" w:rsidTr="00A1539E">
        <w:trPr>
          <w:trHeight w:val="7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66BE7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A5F89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建筑类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3E30B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EB1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房屋(非住宅类）</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4C1BA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CD5FD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钢混结构：主要指框架结构的厂房或多层楼房层高3.0-3.9m，外墙刷涂料，水泥地面，防水保温屋面，含铝合金门窗及水、电、消防安装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495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1100-1300元/m2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82A22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1.仅限集体土地上的非住宅类建筑；2.表中面积系指建筑面积；3.室内装修可委托有资质的机构进行评估、认证；4.房屋规格超过表中标准的另行评估。</w:t>
            </w:r>
            <w:r>
              <w:rPr>
                <w:rFonts w:ascii="宋体" w:hAnsi="宋体" w:cs="宋体" w:hint="eastAsia"/>
                <w:sz w:val="21"/>
                <w:szCs w:val="21"/>
                <w:lang w:eastAsia="zh-Hans"/>
              </w:rPr>
              <w:br/>
            </w:r>
          </w:p>
        </w:tc>
      </w:tr>
      <w:tr w:rsidR="00A320E6" w14:paraId="45D7175F" w14:textId="77777777" w:rsidTr="00A1539E">
        <w:trPr>
          <w:trHeight w:val="73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3F9C9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6716C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E2E7D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487C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38EBD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BCE3E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钢混结构：主要指框架结构的厂房或多层楼房层高3.9-4.5m，外墙刷涂料，水泥地面，防水保温屋面，含铝合金门窗及水、电、消防安装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3F3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1300-1400元/m2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8692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80D4BC5" w14:textId="77777777" w:rsidTr="00A1539E">
        <w:trPr>
          <w:trHeight w:val="7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86A4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3278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101CD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2E4F4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A4FAA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302BD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钢结构：主要指钢结构厂房，层高3.5m-5.5m水泥地面，带夹层保温彩钢板维护，彩钢瓦屋面、彩钢板保温外墙、水泥地面、含门窗及水、电、消防安装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F7F4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500-850元/m2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3616C"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F868816" w14:textId="77777777" w:rsidTr="00A1539E">
        <w:trPr>
          <w:trHeight w:val="7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208EB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11087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F416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C194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61A57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165BD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钢结构：主要指钢结构厂房，层高5.5m-7m水泥地面，带夹层保温彩钢板维护，彩钢瓦屋面、彩钢板保温外墙、水泥地面、含门窗及水、电、消防安装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E201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850-1100元/m2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B3170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5D0C3BF" w14:textId="77777777" w:rsidTr="00A1539E">
        <w:trPr>
          <w:trHeight w:val="73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F7E1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5513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794D1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E9E2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57214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A38C9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砖混结构：砖墙承重，现浇或预制板保温防水屋面，水泥或其他硬化地面的房屋，层高2.5-3.3m，含门窗及水、电、消防安装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5256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700-1100元/m2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885FD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344F22B" w14:textId="77777777" w:rsidTr="00A1539E">
        <w:trPr>
          <w:trHeight w:val="79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259A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6C27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E7AA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3964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D924B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6180A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砖木：乱石基、坯墙或砖石墙、（钢木）木结构屋架、斜坡草或瓦屋顶、层高2.2-3.0m、水泥地面、内外墙面抹灰，含门窗及水电安装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1652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450-850元/m2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264E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708DBFE" w14:textId="77777777" w:rsidTr="00A1539E">
        <w:trPr>
          <w:trHeight w:val="78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B1AB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C8FB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F2108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1BAC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18328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580A2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砖木：乱石基、坯墙或砖石墙、（钢木）木结构屋架、斜坡草或瓦屋顶、层高3.0-4.5mm、水泥地面、内外墙面抹灰，含门窗及水电安装</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AB6E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850-1000元/m2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7F7C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E88BBB7" w14:textId="77777777" w:rsidTr="00A1539E">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C652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F2819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306B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05EB4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20F22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F7258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简易：活动板房、砖砌墙体、苇箔、草顶简易房屋</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67D1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200-400元/m2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D989D0"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B356FF2" w14:textId="77777777" w:rsidTr="00A1539E">
        <w:trPr>
          <w:trHeight w:val="37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63C7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99702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713FE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C197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棚</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59C0B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425E0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石棉瓦、彩钢瓦顶等，1-3面墙</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E2BE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110-260元/m2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88125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表中面积系指建筑面积。</w:t>
            </w:r>
          </w:p>
        </w:tc>
      </w:tr>
      <w:tr w:rsidR="00A320E6" w14:paraId="0E4FD5AA"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1481E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C8B02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B4A7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03D5A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2914A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0A3D7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只有顶棚及支撑柱，无围护结构</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495D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60-90元/m2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54EE8A"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380777D" w14:textId="77777777" w:rsidTr="00A1539E">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C490B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0413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022C6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D397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围墙</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4254D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BE527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乱石基砖砌墙</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E713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550-660/m3</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F9A6C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1.按m3计算，基础另算；2.台田石堰参照石砌挡墙。</w:t>
            </w:r>
            <w:r>
              <w:rPr>
                <w:rFonts w:ascii="宋体" w:hAnsi="宋体" w:cs="宋体" w:hint="eastAsia"/>
                <w:sz w:val="21"/>
                <w:szCs w:val="21"/>
                <w:lang w:eastAsia="zh-Hans"/>
              </w:rPr>
              <w:br/>
            </w:r>
          </w:p>
        </w:tc>
      </w:tr>
      <w:tr w:rsidR="00A320E6" w14:paraId="3413A8BC" w14:textId="77777777" w:rsidTr="00A1539E">
        <w:trPr>
          <w:trHeight w:val="34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74C3A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830EA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D5D17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2AAC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EEBCF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D3D80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石砌挡墙</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4247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300-400/m3</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8D155"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7473E0A" w14:textId="77777777" w:rsidTr="00A1539E">
        <w:trPr>
          <w:trHeight w:val="4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CFBB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1063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7BC4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EDC86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2DF9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C9746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铁艺栏杆：制作安装、不含基座，高度≤1.5m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33A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120-250元/m</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EF84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按m计算。</w:t>
            </w:r>
          </w:p>
        </w:tc>
      </w:tr>
      <w:tr w:rsidR="00A320E6" w14:paraId="17AFDD06" w14:textId="77777777" w:rsidTr="00A1539E">
        <w:trPr>
          <w:trHeight w:val="31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23F0B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D618E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857AB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C22F9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畜禽舍</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A8EE5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CCD08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砖混及钢结构</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CE9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450-650元/m2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6D35A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1.表中面积系指建筑面积；2.包含圈栏、料槽等附属设施及水电安装；3.现代化养殖设施可另行委托有资质的机构进行评估、认证。</w:t>
            </w:r>
          </w:p>
        </w:tc>
      </w:tr>
      <w:tr w:rsidR="00A320E6" w14:paraId="3EA04085" w14:textId="77777777" w:rsidTr="00A1539E">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BF001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73C5E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7B19C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A089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4791D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B3E0C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砖木结构</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2A76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360-520元/m2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9DF3D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7390FDB" w14:textId="77777777" w:rsidTr="00A1539E">
        <w:trPr>
          <w:trHeight w:val="39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D7F7C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48348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13E63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407F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62D18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0DA58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简易结构：砖石墙、有顶盖</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3F25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150-300元/m2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C44287"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F9C2DEE" w14:textId="77777777" w:rsidTr="00A1539E">
        <w:trPr>
          <w:trHeight w:val="115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2241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CF76E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1128A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51531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迁坟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ECF9E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3B483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棺木、拾骨、骨灰盒</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3C2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2000-3500元/座</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6537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1.按座计；2.包括迁葬费及其工料费等；3.双棺可视情况增加补偿标准,最高不超过500元；4.档次较高坟墓可另行委托有资质的机构进行评估、认证。</w:t>
            </w:r>
          </w:p>
        </w:tc>
      </w:tr>
      <w:tr w:rsidR="00A320E6" w14:paraId="3F49826D" w14:textId="77777777" w:rsidTr="00A1539E">
        <w:trPr>
          <w:trHeight w:val="40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9AE46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39B85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建筑类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6272F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E0795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温室</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9CF89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FAADB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钢、砼骨架，玻璃板、PC阳光板、塑料薄膜围护，拱高≥4m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7FE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220-400元/m2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C471A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按占地面积计算。</w:t>
            </w:r>
          </w:p>
        </w:tc>
      </w:tr>
      <w:tr w:rsidR="00A320E6" w14:paraId="30E47769"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1D74E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A8B9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694F1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BD0D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56A2E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B3CAE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钢、砼骨架，塑料薄膜顶，保温墙、墙高3.0m（±20cm)，含保温、卷帘设施</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39E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120-180元/m2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A6CFF"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00318DC" w14:textId="77777777" w:rsidTr="00A1539E">
        <w:trPr>
          <w:trHeight w:val="36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5CBE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2BAE0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F8E2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BDE2B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B01B5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15B8B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简易塑料薄膜棚：拱高1.5m-2.5m、含保温、卷帘设施</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D063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60-90元/m2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C4913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C84446E"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DD86C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7D4B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F7225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EDD34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D00D7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A03AB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地棚：拱高≤1.2m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145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8-17元/m2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8EE8C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33C5F3D"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41DD4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35BF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7BE4C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047C3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小桥</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1EF0B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06BF4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钢筋混凝土矩形板桥</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401C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1200-2400元/m2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25B92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1.按桥面面积m2计算；2.按建造标准区分。</w:t>
            </w:r>
          </w:p>
        </w:tc>
      </w:tr>
      <w:tr w:rsidR="00A320E6" w14:paraId="5CD70335"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E73B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AE59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559F3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CA4CB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EDB76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A11F9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平坦石拱桥</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C5E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1100-2000元/m2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93305"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35B76FB"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A2F18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8A9B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34FF3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EEFD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B3DA7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D07BC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石拱桥</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8F01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2100-3300元/m2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E68E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C2550C8"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047D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00AF9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DEFD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6710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EB11A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11140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简易小桥</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A1AA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800-1300元/m2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D1E6E"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765BC42"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98D4E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DAB3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0E476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D52B6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涵洞管涵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EE0BA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427A6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简易素管涵，管径200-400mm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E49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60-100元/m</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6FFF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3937DC8" w14:textId="77777777" w:rsidTr="00A1539E">
        <w:trPr>
          <w:trHeight w:val="4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4058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85A6F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3738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2D59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7A38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A9E81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简易预应力钢筋砼管涵，管径400-1000mm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412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200-600元/m</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1695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1.按涵、管长度m计算；2.含基础及砌石包头。</w:t>
            </w:r>
          </w:p>
        </w:tc>
      </w:tr>
      <w:tr w:rsidR="00A320E6" w14:paraId="213CDAA2"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4D44A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4EF90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B47D4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35D5D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589D6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9B302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石盖板涵跨径1-2m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39A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1000-1500元/m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9AA87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187F3DA"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C3BB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AA9A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3C2A6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33F2D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F6C1E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A429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石（砖）拱涵跨径1-2m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7C2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1500-2200元/m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FE1567"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2CF23D4"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A2A71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126B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6678D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36CBD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35C02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189C7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石（砖）拱涵跨径2-4m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38F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2200-3600元/m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91AE0E"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B33783A"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9E669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1876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43E28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5BDF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6588A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38DD1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钢筋混凝土圆管涵跨径1-2m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947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1200-2500元/m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F9B22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96B23C7"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8138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32D0D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22F3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AB89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68175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54AEC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钢筋混凝土盖板涵跨径1.5-4m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14B3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1500-3700元/m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6FC87C"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DC2F48E" w14:textId="77777777" w:rsidTr="00A1539E">
        <w:trPr>
          <w:trHeight w:val="4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83DE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7B414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4E8E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8067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水渠水池</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4DCD1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C0CEF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石砌水渠、水池</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1554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250-400元/m³</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C0E2A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1、按砌体体积计算；2、土方另计：18-22元/m³；3、消防水池、化粪池可另行委托有资质机构进行评估、认证。</w:t>
            </w:r>
          </w:p>
        </w:tc>
      </w:tr>
      <w:tr w:rsidR="00A320E6" w14:paraId="3902781E" w14:textId="77777777" w:rsidTr="00A1539E">
        <w:trPr>
          <w:trHeight w:val="45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CE30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0E253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56B4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E0FED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9CA67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AA02F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砖砌水渠、水池</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05CE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350-500元/m³</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38D2F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FADA8C5"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C6F2B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5910F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ECDB6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AABC9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路面地面</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10C3B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322B4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水泥硬化：面层厚度在5cm-20cm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72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65-170元/m2</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3C705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按铺设面积计算，包含垫层费用。</w:t>
            </w:r>
          </w:p>
        </w:tc>
      </w:tr>
      <w:tr w:rsidR="00A320E6" w14:paraId="5634625A"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0632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7F9D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17F1C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2A51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A39E9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072A9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沥青硬化：面层厚度4-10cm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AD89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100-260元/m2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54405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F48B15F"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AE0B5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F69B2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AAA24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211ED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A9FBA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27D05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花砖：区别材质和施工工艺</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0987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20-80元/m2</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5AE3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080E3F6"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C950F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35050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0FA95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FBAA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水井</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0983C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10FF6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手压井</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B5E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1500元/眼</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AA6F6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1.水井补偿包括开凿工程、用料及用工等费用；2.废、枯井按同类井补偿标准的30-50%补偿；3.机井按井深、井径分段计算补偿；</w:t>
            </w:r>
            <w:r>
              <w:rPr>
                <w:rFonts w:ascii="宋体" w:hAnsi="宋体" w:cs="宋体" w:hint="eastAsia"/>
                <w:sz w:val="21"/>
                <w:szCs w:val="21"/>
                <w:lang w:eastAsia="zh-Hans"/>
              </w:rPr>
              <w:br/>
              <w:t>4.含水泵、水管、供电设施等。</w:t>
            </w:r>
          </w:p>
        </w:tc>
      </w:tr>
      <w:tr w:rsidR="00A320E6" w14:paraId="76DF941F" w14:textId="77777777" w:rsidTr="00A1539E">
        <w:trPr>
          <w:trHeight w:val="34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645E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A3D01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1AB1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BD4A7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DE075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CCDEE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砖井(包括乱石井)深5-10m直径1.5m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07AF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5200-11300元/眼</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A4C5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BCA1CC2"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2666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EF15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5E009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A1E4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77D60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5A440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砖井(包括乱石井)深10-20m直径2.5m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07B9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12350-17550元/眼</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2086D"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57BFC45" w14:textId="77777777" w:rsidTr="00A1539E">
        <w:trPr>
          <w:trHeight w:val="34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E0C2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E6020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E96F2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B3C5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26760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8B9D2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砖井(包括乱石井)深8-12m直径6m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9F2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60000-100000元/眼</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DBD81"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1DE52A1" w14:textId="77777777" w:rsidTr="00A1539E">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89A6F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D6A7D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1F52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5640A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FBAAC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D25E4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砖井(包括乱石井)深8-12m直径8m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353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80000-130000元/眼</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9E743F"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9FE4F38"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4B7B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D9B1E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8B393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E0F2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390D4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BF7E7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塑料下管井（井管直径10-20cm）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45A8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100-200元/m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0B937"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4E6166D"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31E1D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B1244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C8D23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46FF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B7A86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C52DB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铁管下管井（井管直径10-20cm）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6E62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120-320元/m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8FE07"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601293B"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7432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88DD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6DE1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3799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9C702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87108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水泥下管井（井管直径40-100cm）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324F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150-480元/m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FE5B4A"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C6B1DEC"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7A64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D3F16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E1BC6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6E65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C030F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23298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水泥下管井（井管直径1m以上）</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D09E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540-680元/m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72491A"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3E5410E9"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67B86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1A472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29313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1B0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E7F87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34B44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机井：深20-50m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575C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240-320元/m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3B5D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4279807"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1994A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67EA7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9A820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AA26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631A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9C79E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机井：深50-100m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DC51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320-400元/m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7F27D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318C477"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01E3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4A78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EBEE0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17C31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A4DBF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9787E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机井：深100-250m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61F8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400-560元/m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338F9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7F7C92E"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5C19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0150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33AE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6B05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16EC1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6B1D7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机井：深250m以上</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56D0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560-760元/m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3FAC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11C7B5E" w14:textId="77777777" w:rsidTr="00A1539E">
        <w:trPr>
          <w:trHeight w:val="7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DC85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BC19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AFA89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E3425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鱼塘</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74876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7C44A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深度：2-5米</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19AC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11500-16000元/亩</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5FF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1.按亩计算，其中土方12-15元/m3；2.包含鱼苗损失费，如有护砌，砌体工程另行计算。</w:t>
            </w:r>
          </w:p>
        </w:tc>
      </w:tr>
      <w:tr w:rsidR="00A320E6" w14:paraId="42D41B35" w14:textId="77777777" w:rsidTr="00A1539E">
        <w:trPr>
          <w:trHeight w:val="28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B57E5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BBD9F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建筑类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A5DDA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35325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姜窖</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D962A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A9ED0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主道</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7932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320-420元/m3</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4A53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若有支撑、护砌需另行评估。</w:t>
            </w:r>
          </w:p>
        </w:tc>
      </w:tr>
      <w:tr w:rsidR="00A320E6" w14:paraId="4F13482B"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2498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63F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E9BE3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33C96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C26AC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883A6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姜室</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4510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150-250元/m3</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15B02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D5541D6"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C4737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E478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5B528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79ACE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电力通讯线路</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EB0C0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39815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低压线路</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30EA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2000-2500元/杆</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F579F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1.包括电线等材料损失及拆建工费；2.已废弃的线杆不予补偿。</w:t>
            </w:r>
          </w:p>
        </w:tc>
      </w:tr>
      <w:tr w:rsidR="00A320E6" w14:paraId="682AEDB1"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CB9CA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5EB3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D858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D78EB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89D43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9E6F5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通讯广播线路</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202B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2000-2500元/杆</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D01E65"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6E287B4"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D99C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3273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80967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1951B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果园支撑系统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607DF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CD7E8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钢筋砼支撑柱</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604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10-18元/m</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857B9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1.区分不同规格型号及强度等；2.包含相关配件及安装费。</w:t>
            </w:r>
          </w:p>
        </w:tc>
      </w:tr>
      <w:tr w:rsidR="00A320E6" w14:paraId="6E4D5C1F"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7CBAF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1C6C0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8C5B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51B4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A33B2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20CC9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柱间钢（铁）丝</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48D2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0.6-1.0元/m</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7C6AA"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685358A" w14:textId="77777777" w:rsidTr="00A1539E">
        <w:trPr>
          <w:trHeight w:val="76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D4057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E2E8A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林木类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04CFA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FD46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乔木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A3270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1C8A8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胸径小于5cm（不含）（幼树、松柏树小于3cm）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A971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1300-2600元/亩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8201A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指主导利用木材及其他林产品的用材，树归原主；2.沿海防护林基干林带、山丘地区防护林乔木补偿标准可提高40-60%，特种用途林树木价格另议；3.种植密度按科学种植密度确定，超过部分不计，不足按比例折标准确定金额；4.零星乔木补偿标准：胸径小于5cm（不含）（幼树、松柏树小于3cm）:12-24元/株、胸径5—10cm（松柏树3—6cm）：60-90元/株、胸径10—16cm（松柏树6—10cm）：90-136元/株、胸径16-20cm（松柏树10-16cm）：136-218元/株、胸径大于20cm以上（松柏树大于16cm）以上成材树：218-327元/株；5.乔木胸径是指距根茎1.3m处的树木直径。</w:t>
            </w:r>
          </w:p>
        </w:tc>
      </w:tr>
      <w:tr w:rsidR="00A320E6" w14:paraId="511E1982" w14:textId="77777777" w:rsidTr="00A1539E">
        <w:trPr>
          <w:trHeight w:val="7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639D8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EA0A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8580F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B0793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2605E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BD0BC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胸径5—10cm（松柏树3—6cm）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356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6600-10000元/亩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3429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285F12B" w14:textId="77777777" w:rsidTr="00A1539E">
        <w:trPr>
          <w:trHeight w:val="7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C55FB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F631B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D4C5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559F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18A4A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7191A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胸径10—16cm（松柏树6—10cm）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9E9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10000-15000元/亩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9E869"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C46B83A" w14:textId="77777777" w:rsidTr="00A1539E">
        <w:trPr>
          <w:trHeight w:val="75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1BD3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43A79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20F5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29C1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7B46B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54E04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胸径16-20cm（松柏树大于10-16cm）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DD38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15000-24000元/亩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197913"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2C4C50B" w14:textId="77777777" w:rsidTr="00A1539E">
        <w:trPr>
          <w:trHeight w:val="7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16593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A870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C9DEE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79C7F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FA475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8EEBC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胸径大于20cm以上（松柏树大于16cm）以上成材树</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82D1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24000-36000元/亩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60E70"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6DAEF38"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7EF1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D2D9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3BB71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17</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EC3CF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绿化景观树</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EC4F8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4194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胸径小于5cm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9AE5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48-70元/株</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E18C9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1.树归原主；2.包括园景树、庭荫树、行道树、垂直绿化树、绿篱树、工矿绿化树；3.如果成片参照乔木（用材林）标准提高15-20%。</w:t>
            </w:r>
          </w:p>
        </w:tc>
      </w:tr>
      <w:tr w:rsidR="00A320E6" w14:paraId="23DB18A5"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80F1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78D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728D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683D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ACB0B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05102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胸径5-10cm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E18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70-140元/株</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02D6A"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B6527F2"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4D435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1C37F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AF74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0C8F9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ED944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5E74B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胸径10-16cm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1D6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140-280元/株</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1A85F"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1C7D38D"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BA23D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FCC58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33D5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3FB6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909A5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7E32C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胸径16-20cm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E6F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280-450元/株</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BB127"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6C9C4EA" w14:textId="77777777" w:rsidTr="00A1539E">
        <w:trPr>
          <w:trHeight w:val="2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B8C6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656D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F110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D5B5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74EC1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9335D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胸径大于20cm</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5EF2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450-670元/株</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3531F2"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48C1426" w14:textId="77777777" w:rsidTr="00A1539E">
        <w:trPr>
          <w:trHeight w:val="75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4211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6789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0E62F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F7C3F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灌木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26E9C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E4212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一年以内灌木</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7F00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3500-6000元/亩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1F9B0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1包括白蜡条、紫穗槐、桑条、柳条、花灌木等，树归原主；2.观赏经济类可提高40-60%，挖工费用、运输费用；3.零星灌木补偿标准：一年以内灌木:12-20元/墩、一年以上灌木：20-33元/墩。</w:t>
            </w:r>
          </w:p>
        </w:tc>
      </w:tr>
      <w:tr w:rsidR="00A320E6" w14:paraId="0569F282" w14:textId="77777777" w:rsidTr="00A1539E">
        <w:trPr>
          <w:trHeight w:val="73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DB8C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7060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03DC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EA3F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859FE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55863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一年以上灌木</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BBA0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6000-10000元/亩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EBD57D"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0E3A228" w14:textId="77777777" w:rsidTr="00A1539E">
        <w:trPr>
          <w:trHeight w:val="171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90D6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D3769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960B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8008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苗圃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D2DCE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728CC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5A8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10000-15000元/亩</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FC0C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花卉类苗圃可适当上浮，原则上不超过30%；3.培育矮砧苹果大苗的苗圃基地按苗圃的200%计算；4.种植密度按科学种植密度确定，超过部分不计，不足按比例折标准确定金额；5.对于稀有珍贵苗木可以委托有资质的机构进行评估、认证。</w:t>
            </w:r>
          </w:p>
        </w:tc>
      </w:tr>
      <w:tr w:rsidR="00A320E6" w14:paraId="2A88B45C" w14:textId="77777777" w:rsidTr="00A1539E">
        <w:trPr>
          <w:trHeight w:val="43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D0A8C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E7C8B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0CCA9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C5953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草坪绿地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FB4BC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98075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人工种植绿地或草坪</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E3E7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12-38元/m2</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2FDC"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5F36B44" w14:textId="77777777" w:rsidTr="00A1539E">
        <w:trPr>
          <w:trHeight w:val="142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BF20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01EB9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林木类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B8A86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220E8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果树</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9432F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7463E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幼龄期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89E6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7000-12700元/亩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50E1C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果树包括：苹果、梨、桃、杏、李、樱桃、柿、枣、无花果、果桑、山楂、木瓜、核桃、板粟、榛子、板栗、巴旦杏、文冠果等树种；3.表中补偿标准为苹果传统种植方法补偿标准，采用现代苹果栽种模式的按不超过传统模式的130%计算；4.木瓜、核桃、板粟、榛子、板栗、巴旦杏、文冠果、果桑、大枣按传统苹果的65%计算，杮、山楂、小樱桃按传统苹果的75%计算，杏、李、桃、梨和无花果按传统苹果的90%计算，大樱桃参照苹果；5.苹果传统乔化果园亩均60株左右，现代化矮砧果园亩均160株左右，其他果树根据树种按科学种植密度确定，超过部分不计，不足的按比例折算标准确定补偿金额；6.果园外零星果树补偿标准：幼龄期：35-55元/株、初果期：210-360元/株、盛果期：330-570元/株、衰果期：160-280元/株；7.非正常管理和撂荒果园，按传统种植模式管理果园补偿金额的20-30%；8.现代化种植模式区别传统栽培模式的主要特点有：矮砧大苗、宽行密株、设立支架、行间生草、树盘起垄、肥水一体、机械作业、高光效修剪等。</w:t>
            </w:r>
          </w:p>
        </w:tc>
      </w:tr>
      <w:tr w:rsidR="00A320E6" w14:paraId="00B47C12" w14:textId="77777777" w:rsidTr="00A1539E">
        <w:trPr>
          <w:trHeight w:val="144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6B17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42BE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0523C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3B0BA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3A9E2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D2C0A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初果期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534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23000-40000元/亩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25F854"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78776DE7" w14:textId="77777777" w:rsidTr="00A1539E">
        <w:trPr>
          <w:trHeight w:val="142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871F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7F54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58A79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3819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30A6E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8096B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盛果期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36C7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37500-55000元/亩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4AD41"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805B4F8" w14:textId="77777777" w:rsidTr="00A1539E">
        <w:trPr>
          <w:trHeight w:val="147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C0283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D36BA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D666F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392ED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C75D9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5DBE5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衰老期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B3B8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17000-31000元/亩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7D86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748A418" w14:textId="77777777" w:rsidTr="00A1539E">
        <w:trPr>
          <w:trHeight w:val="126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C67D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292DA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C830B5"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018AE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葡萄</w:t>
            </w:r>
            <w:r>
              <w:rPr>
                <w:rFonts w:ascii="宋体" w:hAnsi="宋体" w:cs="宋体" w:hint="eastAsia"/>
                <w:sz w:val="21"/>
                <w:szCs w:val="21"/>
                <w:lang w:eastAsia="zh-Hans"/>
              </w:rPr>
              <w:br/>
              <w:t>猕猴桃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3BE45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B3BE8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幼龄期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275C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5600-9000元/亩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8E0AF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葡萄按科学种植密度不超过305株/亩，猕猴桃的科学种植密度：篱架约83株/亩、T形架约56株/亩、平顶棚架约44株/亩，超出部分不计，不足按比例折标准补偿金额；3.零星种植葡萄补偿标准：幼龄期：幼龄期：18-30元/株、初果期：33-60元/株、盛果期：80-125元/株、衰果期：40-55元/株；4.猕猴桃的科学种植密度：篱架约83株/亩、T形架约56株/亩、平顶棚架约44株/亩；零星种植猕猴桃补偿标准：篱架：幼龄期：30-50元/株、初果期：120-220元/株、盛果期：290-460元/株、衰果期：140-190元/株；T形架：幼龄期：50-80元/株、初果期：180-320元/株、盛果期：430-680元/株、衰果期：200-290元/株；平顶棚架：幼龄期：60-100元/株、初果期：230-410元/株、盛果期：550-860元/株、衰果期：260-360元/株；5.包含对葡萄架等的补偿。</w:t>
            </w:r>
          </w:p>
        </w:tc>
      </w:tr>
      <w:tr w:rsidR="00A320E6" w14:paraId="091B6657" w14:textId="77777777" w:rsidTr="00A1539E">
        <w:trPr>
          <w:trHeight w:val="121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CBDCD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E355A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59E10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B937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F499F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C4586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初果期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F301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10000-18000元/亩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3EA2B"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5DB59D9" w14:textId="77777777" w:rsidTr="00A1539E">
        <w:trPr>
          <w:trHeight w:val="11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1CEA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D2B01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A5C4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72647D"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85C37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A94F1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盛果期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773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24000-38000元/亩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6E3BB"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7F1C8327" w14:textId="77777777" w:rsidTr="00A1539E">
        <w:trPr>
          <w:trHeight w:val="12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12964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1CD1D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AB75E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80E3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A63D4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88C85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衰老期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C63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11500-16000元/亩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B6BA78"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2C1945C7" w14:textId="77777777" w:rsidTr="00A1539E">
        <w:trPr>
          <w:trHeight w:val="40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E06F2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14C19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林木类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52E3C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F9AFD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蓝莓</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DBEE2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4C0B3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一年生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D81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8000-14000元/亩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089A6D"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1.树归原主；2.亩栽按300株计,超出部分不计，不足按比例折标准补偿金额；3.果园外零星种植蓝莓补偿标准：一年生：25-45元/株、两年生：45-65元/株、三年生：65-80元/株、四年生及以上：115-135元/株。</w:t>
            </w:r>
          </w:p>
        </w:tc>
      </w:tr>
      <w:tr w:rsidR="00A320E6" w14:paraId="62055EB8"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6B8A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361AC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AE552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4B11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0AEB5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F2571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二年生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177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14000--20000元/亩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04678D"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578E76B"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0F922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6F62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FE060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AB698"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7BB14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4DFBD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三年生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3BBC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20000-25000元/亩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06A1C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2AE1D57"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2E07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79307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44D77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9C2D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84CC8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A7651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四年生以上</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EA5A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35000-40000元/亩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5161C"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0CA9C02F"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88565"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2580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799F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6ABD7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树莓</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F49B7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FCCE1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一年生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1CF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18000-20000元/亩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7098F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1.树归原主；2.亩栽按600墩计,超出部分不计，不足按比例折标准补偿金额。</w:t>
            </w:r>
          </w:p>
        </w:tc>
      </w:tr>
      <w:tr w:rsidR="00A320E6" w14:paraId="2CD11742" w14:textId="77777777" w:rsidTr="00A1539E">
        <w:trPr>
          <w:trHeight w:val="39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3E8D3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BD1F8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70152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84419"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893F2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47E33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二年生以上</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4127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30000-33000元/亩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A436A4"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5A8AAFDE"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6052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B1BD7C"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BEF69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07EA8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茶叶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BE3DC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55B0BF"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一至两年期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A6FF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7000-11500元/亩</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56731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1.树归原主；2.单行条栽按亩栽4500株/亩，双行条栽按6000株/亩，超出部分不计，不足按比例折算标准补偿金额。</w:t>
            </w:r>
          </w:p>
        </w:tc>
      </w:tr>
      <w:tr w:rsidR="00A320E6" w14:paraId="2130DA61"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9C86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DA728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7C39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63916"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88EFA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5F0B2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三至五年期</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7C9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18000-38500元/亩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46C06"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16636866" w14:textId="77777777" w:rsidTr="00A1539E">
        <w:trPr>
          <w:trHeight w:val="40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6778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9564E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4C64A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E551A"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D398C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996F2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六年期以上</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EE2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42000-48000元/亩</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E410C0"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4B528BEC" w14:textId="77777777" w:rsidTr="00A1539E">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8D1F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8AEFE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234E29"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7A466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姜</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EC7AA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89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2ADF5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EC8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10000-14000元/亩</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A70B5" w14:textId="77777777" w:rsidR="00A320E6" w:rsidRDefault="00A320E6" w:rsidP="00AE0286">
            <w:pPr>
              <w:pStyle w:val="10"/>
              <w:spacing w:line="240" w:lineRule="auto"/>
              <w:ind w:firstLineChars="0" w:firstLine="0"/>
              <w:rPr>
                <w:rFonts w:ascii="宋体" w:hAnsi="宋体" w:cs="宋体"/>
                <w:sz w:val="21"/>
                <w:szCs w:val="21"/>
                <w:lang w:eastAsia="zh-Hans"/>
              </w:rPr>
            </w:pPr>
          </w:p>
        </w:tc>
      </w:tr>
      <w:tr w:rsidR="00A320E6" w14:paraId="65B517A1" w14:textId="77777777" w:rsidTr="00A1539E">
        <w:trPr>
          <w:trHeight w:val="60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EB11B"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D2083"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853B4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27</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3FC5AB"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青苗</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8F17C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8FDAEE"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露天蔬菜</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E815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2000-4000元/亩</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43514"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1.根据种植情况确定；2.大棚蔬菜原则上不超过露天蔬菜补偿标准的3倍。</w:t>
            </w:r>
          </w:p>
        </w:tc>
      </w:tr>
      <w:tr w:rsidR="00A320E6" w14:paraId="7622A00A" w14:textId="77777777" w:rsidTr="00A1539E">
        <w:trPr>
          <w:trHeight w:val="46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5873B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5D54AF"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67F7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D3B891"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tcBorders>
              <w:top w:val="single" w:sz="4" w:space="0" w:color="000000"/>
              <w:left w:val="single" w:sz="4" w:space="0" w:color="000000"/>
              <w:right w:val="single" w:sz="4" w:space="0" w:color="000000"/>
            </w:tcBorders>
            <w:shd w:val="clear" w:color="auto" w:fill="auto"/>
            <w:vAlign w:val="center"/>
          </w:tcPr>
          <w:p w14:paraId="495C5417"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91</w:t>
            </w:r>
          </w:p>
        </w:tc>
        <w:tc>
          <w:tcPr>
            <w:tcW w:w="0" w:type="auto"/>
            <w:tcBorders>
              <w:top w:val="single" w:sz="4" w:space="0" w:color="000000"/>
              <w:left w:val="single" w:sz="4" w:space="0" w:color="000000"/>
              <w:right w:val="single" w:sz="4" w:space="0" w:color="000000"/>
            </w:tcBorders>
            <w:shd w:val="clear" w:color="auto" w:fill="auto"/>
            <w:vAlign w:val="center"/>
          </w:tcPr>
          <w:p w14:paraId="7612BFC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粮食作物</w:t>
            </w:r>
          </w:p>
        </w:tc>
        <w:tc>
          <w:tcPr>
            <w:tcW w:w="1882" w:type="dxa"/>
            <w:tcBorders>
              <w:top w:val="single" w:sz="4" w:space="0" w:color="000000"/>
              <w:left w:val="single" w:sz="4" w:space="0" w:color="000000"/>
              <w:right w:val="single" w:sz="4" w:space="0" w:color="000000"/>
            </w:tcBorders>
            <w:shd w:val="clear" w:color="auto" w:fill="auto"/>
            <w:vAlign w:val="center"/>
          </w:tcPr>
          <w:p w14:paraId="48545C28"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1700-2200元/亩/年</w:t>
            </w:r>
          </w:p>
        </w:tc>
        <w:tc>
          <w:tcPr>
            <w:tcW w:w="3075" w:type="dxa"/>
            <w:tcBorders>
              <w:top w:val="single" w:sz="4" w:space="0" w:color="000000"/>
              <w:left w:val="single" w:sz="4" w:space="0" w:color="000000"/>
              <w:right w:val="single" w:sz="4" w:space="0" w:color="000000"/>
            </w:tcBorders>
            <w:shd w:val="clear" w:color="auto" w:fill="auto"/>
            <w:vAlign w:val="center"/>
          </w:tcPr>
          <w:p w14:paraId="67605826"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经济作物按粮食作物上浮20%补偿。</w:t>
            </w:r>
          </w:p>
        </w:tc>
      </w:tr>
      <w:tr w:rsidR="00A320E6" w14:paraId="3AAF528B" w14:textId="77777777">
        <w:trPr>
          <w:trHeight w:val="225"/>
        </w:trPr>
        <w:tc>
          <w:tcPr>
            <w:tcW w:w="0" w:type="auto"/>
            <w:gridSpan w:val="3"/>
            <w:vMerge w:val="restart"/>
            <w:tcBorders>
              <w:top w:val="single" w:sz="4" w:space="0" w:color="000000"/>
              <w:left w:val="single" w:sz="4" w:space="0" w:color="000000"/>
              <w:bottom w:val="single" w:sz="4" w:space="0" w:color="000000"/>
            </w:tcBorders>
            <w:shd w:val="clear" w:color="auto" w:fill="auto"/>
            <w:vAlign w:val="center"/>
          </w:tcPr>
          <w:p w14:paraId="2962919A"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备注</w:t>
            </w:r>
          </w:p>
        </w:tc>
        <w:tc>
          <w:tcPr>
            <w:tcW w:w="0" w:type="auto"/>
            <w:gridSpan w:val="5"/>
            <w:tcBorders>
              <w:top w:val="single" w:sz="4" w:space="0" w:color="000000"/>
              <w:left w:val="single" w:sz="4" w:space="0" w:color="000000"/>
              <w:right w:val="single" w:sz="4" w:space="0" w:color="000000"/>
            </w:tcBorders>
            <w:shd w:val="clear" w:color="auto" w:fill="auto"/>
            <w:vAlign w:val="center"/>
          </w:tcPr>
          <w:p w14:paraId="45787F10"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1.表中数据建筑物和构筑物为重置成本，实际执行中根据成新程度进行折算。</w:t>
            </w:r>
          </w:p>
        </w:tc>
      </w:tr>
      <w:tr w:rsidR="00A320E6" w14:paraId="5F3A456A" w14:textId="77777777">
        <w:trPr>
          <w:trHeight w:val="225"/>
        </w:trPr>
        <w:tc>
          <w:tcPr>
            <w:tcW w:w="0" w:type="auto"/>
            <w:gridSpan w:val="3"/>
            <w:vMerge/>
            <w:tcBorders>
              <w:top w:val="single" w:sz="4" w:space="0" w:color="000000"/>
              <w:left w:val="single" w:sz="4" w:space="0" w:color="000000"/>
              <w:bottom w:val="single" w:sz="4" w:space="0" w:color="000000"/>
            </w:tcBorders>
            <w:shd w:val="clear" w:color="auto" w:fill="auto"/>
            <w:vAlign w:val="center"/>
          </w:tcPr>
          <w:p w14:paraId="72FE6E24"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gridSpan w:val="5"/>
            <w:tcBorders>
              <w:left w:val="single" w:sz="4" w:space="0" w:color="000000"/>
              <w:right w:val="single" w:sz="4" w:space="0" w:color="000000"/>
            </w:tcBorders>
            <w:shd w:val="clear" w:color="auto" w:fill="auto"/>
            <w:vAlign w:val="center"/>
          </w:tcPr>
          <w:p w14:paraId="25D45E8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2.地上附属物规格超过表中标准的另行评估。</w:t>
            </w:r>
          </w:p>
        </w:tc>
      </w:tr>
      <w:tr w:rsidR="00A320E6" w14:paraId="640999C0" w14:textId="77777777">
        <w:trPr>
          <w:trHeight w:val="360"/>
        </w:trPr>
        <w:tc>
          <w:tcPr>
            <w:tcW w:w="0" w:type="auto"/>
            <w:gridSpan w:val="3"/>
            <w:vMerge/>
            <w:tcBorders>
              <w:top w:val="single" w:sz="4" w:space="0" w:color="000000"/>
              <w:left w:val="single" w:sz="4" w:space="0" w:color="000000"/>
              <w:bottom w:val="single" w:sz="4" w:space="0" w:color="000000"/>
            </w:tcBorders>
            <w:shd w:val="clear" w:color="auto" w:fill="auto"/>
            <w:vAlign w:val="center"/>
          </w:tcPr>
          <w:p w14:paraId="5985E972"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gridSpan w:val="5"/>
            <w:tcBorders>
              <w:left w:val="single" w:sz="4" w:space="0" w:color="000000"/>
              <w:right w:val="single" w:sz="4" w:space="0" w:color="000000"/>
            </w:tcBorders>
            <w:shd w:val="clear" w:color="auto" w:fill="auto"/>
            <w:vAlign w:val="center"/>
          </w:tcPr>
          <w:p w14:paraId="01599083"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3.其他未列出的地面附着物，参照表中相近情况进行补偿，不能参照的或在征地过程中遇到特殊情况的，可协商或者委托有资质的评估机构进行评估。</w:t>
            </w:r>
          </w:p>
        </w:tc>
      </w:tr>
      <w:tr w:rsidR="00A320E6" w14:paraId="3C0A3A87" w14:textId="77777777">
        <w:trPr>
          <w:trHeight w:val="390"/>
        </w:trPr>
        <w:tc>
          <w:tcPr>
            <w:tcW w:w="0" w:type="auto"/>
            <w:gridSpan w:val="3"/>
            <w:vMerge/>
            <w:tcBorders>
              <w:top w:val="single" w:sz="4" w:space="0" w:color="000000"/>
              <w:left w:val="single" w:sz="4" w:space="0" w:color="000000"/>
              <w:bottom w:val="single" w:sz="4" w:space="0" w:color="000000"/>
            </w:tcBorders>
            <w:shd w:val="clear" w:color="auto" w:fill="auto"/>
            <w:vAlign w:val="center"/>
          </w:tcPr>
          <w:p w14:paraId="5F5C4260"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gridSpan w:val="5"/>
            <w:tcBorders>
              <w:left w:val="single" w:sz="4" w:space="0" w:color="000000"/>
              <w:right w:val="single" w:sz="4" w:space="0" w:color="000000"/>
            </w:tcBorders>
            <w:shd w:val="clear" w:color="auto" w:fill="auto"/>
            <w:vAlign w:val="center"/>
          </w:tcPr>
          <w:p w14:paraId="716B4A31"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4.对征地范围已确定，征地调查登记开始后抢种、抢栽的青苗和其它地面附着物，抢建的房屋等建（构）筑物一律不予补偿。</w:t>
            </w:r>
          </w:p>
        </w:tc>
      </w:tr>
      <w:tr w:rsidR="00A320E6" w14:paraId="4E272AF8" w14:textId="77777777">
        <w:trPr>
          <w:trHeight w:val="195"/>
        </w:trPr>
        <w:tc>
          <w:tcPr>
            <w:tcW w:w="0" w:type="auto"/>
            <w:gridSpan w:val="3"/>
            <w:vMerge/>
            <w:tcBorders>
              <w:top w:val="single" w:sz="4" w:space="0" w:color="000000"/>
              <w:left w:val="single" w:sz="4" w:space="0" w:color="000000"/>
              <w:bottom w:val="single" w:sz="4" w:space="0" w:color="000000"/>
            </w:tcBorders>
            <w:shd w:val="clear" w:color="auto" w:fill="auto"/>
            <w:vAlign w:val="center"/>
          </w:tcPr>
          <w:p w14:paraId="6F742947"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gridSpan w:val="5"/>
            <w:tcBorders>
              <w:left w:val="single" w:sz="4" w:space="0" w:color="000000"/>
              <w:right w:val="single" w:sz="4" w:space="0" w:color="000000"/>
            </w:tcBorders>
            <w:shd w:val="clear" w:color="auto" w:fill="auto"/>
            <w:vAlign w:val="center"/>
          </w:tcPr>
          <w:p w14:paraId="566079A2"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5.粮食作物种植一年两季作物的，按补偿标准的50%补偿，种植一年一季的按补偿标准补偿。</w:t>
            </w:r>
          </w:p>
        </w:tc>
      </w:tr>
      <w:tr w:rsidR="00A320E6" w14:paraId="3B6EE9A5" w14:textId="77777777">
        <w:trPr>
          <w:trHeight w:val="405"/>
        </w:trPr>
        <w:tc>
          <w:tcPr>
            <w:tcW w:w="0" w:type="auto"/>
            <w:gridSpan w:val="3"/>
            <w:vMerge/>
            <w:tcBorders>
              <w:top w:val="single" w:sz="4" w:space="0" w:color="000000"/>
              <w:left w:val="single" w:sz="4" w:space="0" w:color="000000"/>
              <w:bottom w:val="single" w:sz="4" w:space="0" w:color="000000"/>
            </w:tcBorders>
            <w:shd w:val="clear" w:color="auto" w:fill="auto"/>
            <w:vAlign w:val="center"/>
          </w:tcPr>
          <w:p w14:paraId="4FA8543E" w14:textId="77777777" w:rsidR="00A320E6" w:rsidRDefault="00A320E6" w:rsidP="00AE0286">
            <w:pPr>
              <w:pStyle w:val="10"/>
              <w:spacing w:line="240" w:lineRule="auto"/>
              <w:ind w:firstLineChars="0" w:firstLine="0"/>
              <w:rPr>
                <w:rFonts w:ascii="宋体" w:hAnsi="宋体" w:cs="宋体"/>
                <w:sz w:val="21"/>
                <w:szCs w:val="21"/>
                <w:lang w:eastAsia="zh-Hans"/>
              </w:rPr>
            </w:pPr>
          </w:p>
        </w:tc>
        <w:tc>
          <w:tcPr>
            <w:tcW w:w="0" w:type="auto"/>
            <w:gridSpan w:val="5"/>
            <w:tcBorders>
              <w:left w:val="single" w:sz="4" w:space="0" w:color="000000"/>
              <w:bottom w:val="single" w:sz="4" w:space="0" w:color="000000"/>
              <w:right w:val="single" w:sz="4" w:space="0" w:color="000000"/>
            </w:tcBorders>
            <w:shd w:val="clear" w:color="auto" w:fill="auto"/>
            <w:vAlign w:val="center"/>
          </w:tcPr>
          <w:p w14:paraId="07B4BACC" w14:textId="77777777" w:rsidR="00A320E6" w:rsidRDefault="00000000" w:rsidP="00AE0286">
            <w:pPr>
              <w:pStyle w:val="10"/>
              <w:spacing w:line="240" w:lineRule="auto"/>
              <w:ind w:firstLineChars="0" w:firstLine="0"/>
              <w:rPr>
                <w:rFonts w:ascii="宋体" w:hAnsi="宋体" w:cs="宋体"/>
                <w:sz w:val="21"/>
                <w:szCs w:val="21"/>
                <w:lang w:eastAsia="zh-Hans"/>
              </w:rPr>
            </w:pPr>
            <w:r>
              <w:rPr>
                <w:rFonts w:ascii="宋体" w:hAnsi="宋体" w:cs="宋体" w:hint="eastAsia"/>
                <w:sz w:val="21"/>
                <w:szCs w:val="21"/>
                <w:lang w:eastAsia="zh-Hans"/>
              </w:rPr>
              <w:t>6.国家和省确定的铁路、公路、机场、航道港口、水利工程、能源工程等重大基础设施项目征地地上附着物和青苗补偿标准另有规定的，参照其规定。</w:t>
            </w:r>
          </w:p>
        </w:tc>
      </w:tr>
    </w:tbl>
    <w:p w14:paraId="29062800" w14:textId="77777777" w:rsidR="00A320E6" w:rsidRDefault="00A320E6" w:rsidP="00AE0286">
      <w:pPr>
        <w:pStyle w:val="10"/>
        <w:ind w:firstLine="480"/>
        <w:rPr>
          <w:lang w:eastAsia="zh-Hans"/>
        </w:rPr>
      </w:pPr>
    </w:p>
    <w:p w14:paraId="6C393F4B" w14:textId="77777777" w:rsidR="00A320E6" w:rsidRDefault="00000000" w:rsidP="00F67407">
      <w:pPr>
        <w:keepNext/>
        <w:spacing w:beforeLines="50" w:before="156" w:afterLines="20" w:after="62" w:line="360" w:lineRule="auto"/>
        <w:jc w:val="center"/>
        <w:outlineLvl w:val="2"/>
        <w:rPr>
          <w:b/>
          <w:bCs/>
          <w:sz w:val="24"/>
          <w:lang w:eastAsia="zh-Hans"/>
        </w:rPr>
      </w:pPr>
      <w:bookmarkStart w:id="115" w:name="_Toc112227418"/>
      <w:r>
        <w:rPr>
          <w:rFonts w:hint="eastAsia"/>
          <w:b/>
          <w:bCs/>
          <w:sz w:val="24"/>
          <w:lang w:eastAsia="zh-Hans"/>
        </w:rPr>
        <w:t>关于潍坊市征地地上附着物和青苗补偿标准的批复</w:t>
      </w:r>
      <w:bookmarkEnd w:id="115"/>
    </w:p>
    <w:p w14:paraId="6B3E2265" w14:textId="77777777" w:rsidR="00A320E6" w:rsidRDefault="00000000" w:rsidP="00AE0286">
      <w:pPr>
        <w:pStyle w:val="a3"/>
        <w:spacing w:line="360" w:lineRule="auto"/>
        <w:ind w:firstLineChars="0" w:firstLine="0"/>
        <w:rPr>
          <w:sz w:val="24"/>
          <w:lang w:eastAsia="zh-Hans"/>
        </w:rPr>
      </w:pPr>
      <w:r>
        <w:rPr>
          <w:rFonts w:hint="eastAsia"/>
          <w:sz w:val="24"/>
          <w:lang w:eastAsia="zh-Hans"/>
        </w:rPr>
        <w:t>潍坊市自然资源和规划局、财政局：</w:t>
      </w:r>
    </w:p>
    <w:p w14:paraId="49BA6A29" w14:textId="77777777" w:rsidR="00A320E6" w:rsidRDefault="00000000" w:rsidP="00AE0286">
      <w:pPr>
        <w:pStyle w:val="a3"/>
        <w:spacing w:line="360" w:lineRule="auto"/>
        <w:ind w:firstLine="480"/>
        <w:rPr>
          <w:sz w:val="24"/>
          <w:lang w:eastAsia="zh-Hans"/>
        </w:rPr>
      </w:pPr>
      <w:r>
        <w:rPr>
          <w:rFonts w:hint="eastAsia"/>
          <w:sz w:val="24"/>
          <w:lang w:eastAsia="zh-Hans"/>
        </w:rPr>
        <w:t>你市《关于审批潍坊市征地地上附着物和青苗补偿标准调整成果的请示》（潍自然资呈〔</w:t>
      </w:r>
      <w:r>
        <w:rPr>
          <w:rFonts w:hint="eastAsia"/>
          <w:sz w:val="24"/>
          <w:lang w:eastAsia="zh-Hans"/>
        </w:rPr>
        <w:t>2021</w:t>
      </w:r>
      <w:r>
        <w:rPr>
          <w:rFonts w:hint="eastAsia"/>
          <w:sz w:val="24"/>
          <w:lang w:eastAsia="zh-Hans"/>
        </w:rPr>
        <w:t>〕</w:t>
      </w:r>
      <w:r>
        <w:rPr>
          <w:rFonts w:hint="eastAsia"/>
          <w:sz w:val="24"/>
          <w:lang w:eastAsia="zh-Hans"/>
        </w:rPr>
        <w:t>438</w:t>
      </w:r>
      <w:r>
        <w:rPr>
          <w:rFonts w:hint="eastAsia"/>
          <w:sz w:val="24"/>
          <w:lang w:eastAsia="zh-Hans"/>
        </w:rPr>
        <w:t>号）收悉。经研究，同意你市制定的征地地上附着物和青苗补偿标准（详见附件）。</w:t>
      </w:r>
    </w:p>
    <w:p w14:paraId="0F878F46" w14:textId="77777777" w:rsidR="00A320E6" w:rsidRDefault="00000000" w:rsidP="00AE0286">
      <w:pPr>
        <w:pStyle w:val="a3"/>
        <w:spacing w:line="360" w:lineRule="auto"/>
        <w:ind w:firstLine="480"/>
        <w:rPr>
          <w:sz w:val="24"/>
          <w:lang w:eastAsia="zh-Hans"/>
        </w:rPr>
      </w:pPr>
      <w:r>
        <w:rPr>
          <w:rFonts w:hint="eastAsia"/>
          <w:sz w:val="24"/>
          <w:lang w:eastAsia="zh-Hans"/>
        </w:rPr>
        <w:t>标准自批复之日起执行。</w:t>
      </w:r>
    </w:p>
    <w:p w14:paraId="5E9024E1" w14:textId="77777777" w:rsidR="00A320E6" w:rsidRDefault="00000000" w:rsidP="00AE0286">
      <w:pPr>
        <w:pStyle w:val="a3"/>
        <w:spacing w:line="360" w:lineRule="auto"/>
        <w:ind w:firstLine="480"/>
        <w:rPr>
          <w:sz w:val="24"/>
          <w:lang w:eastAsia="zh-Hans"/>
        </w:rPr>
      </w:pPr>
      <w:r>
        <w:rPr>
          <w:rFonts w:hint="eastAsia"/>
          <w:sz w:val="24"/>
          <w:lang w:eastAsia="zh-Hans"/>
        </w:rPr>
        <w:t>附件：潍坊市征地地上附着物和青苗补偿标准</w:t>
      </w:r>
    </w:p>
    <w:p w14:paraId="5AE3AB45" w14:textId="77777777" w:rsidR="00A320E6" w:rsidRDefault="00000000" w:rsidP="00AE0286">
      <w:pPr>
        <w:pStyle w:val="a3"/>
        <w:spacing w:line="360" w:lineRule="auto"/>
        <w:ind w:firstLine="480"/>
        <w:jc w:val="right"/>
        <w:rPr>
          <w:sz w:val="24"/>
          <w:lang w:eastAsia="zh-Hans"/>
        </w:rPr>
      </w:pPr>
      <w:r>
        <w:rPr>
          <w:rFonts w:hint="eastAsia"/>
          <w:sz w:val="24"/>
          <w:lang w:eastAsia="zh-Hans"/>
        </w:rPr>
        <w:t>                              山东省自然资源厅  山东省财政厅  </w:t>
      </w:r>
    </w:p>
    <w:p w14:paraId="6B2E669B" w14:textId="6259FE46" w:rsidR="00A320E6" w:rsidRDefault="00000000" w:rsidP="00AE0286">
      <w:pPr>
        <w:pStyle w:val="a3"/>
        <w:spacing w:line="360" w:lineRule="auto"/>
        <w:ind w:firstLine="480"/>
        <w:jc w:val="right"/>
        <w:rPr>
          <w:sz w:val="24"/>
          <w:lang w:eastAsia="zh-Hans"/>
        </w:rPr>
      </w:pPr>
      <w:r>
        <w:rPr>
          <w:rFonts w:hint="eastAsia"/>
          <w:sz w:val="24"/>
          <w:lang w:eastAsia="zh-Hans"/>
        </w:rPr>
        <w:t>                             </w:t>
      </w:r>
      <w:r>
        <w:rPr>
          <w:rFonts w:hint="eastAsia"/>
          <w:sz w:val="24"/>
          <w:lang w:eastAsia="zh-Hans"/>
        </w:rPr>
        <w:t>2021</w:t>
      </w:r>
      <w:r>
        <w:rPr>
          <w:rFonts w:hint="eastAsia"/>
          <w:sz w:val="24"/>
          <w:lang w:eastAsia="zh-Hans"/>
        </w:rPr>
        <w:t>年</w:t>
      </w:r>
      <w:r>
        <w:rPr>
          <w:rFonts w:hint="eastAsia"/>
          <w:sz w:val="24"/>
          <w:lang w:eastAsia="zh-Hans"/>
        </w:rPr>
        <w:t>12</w:t>
      </w:r>
      <w:r>
        <w:rPr>
          <w:rFonts w:hint="eastAsia"/>
          <w:sz w:val="24"/>
          <w:lang w:eastAsia="zh-Hans"/>
        </w:rPr>
        <w:t>月</w:t>
      </w:r>
      <w:r>
        <w:rPr>
          <w:rFonts w:hint="eastAsia"/>
          <w:sz w:val="24"/>
          <w:lang w:eastAsia="zh-Hans"/>
        </w:rPr>
        <w:t>24</w:t>
      </w:r>
      <w:r>
        <w:rPr>
          <w:rFonts w:hint="eastAsia"/>
          <w:sz w:val="24"/>
          <w:lang w:eastAsia="zh-Hans"/>
        </w:rPr>
        <w:t>日</w:t>
      </w:r>
    </w:p>
    <w:p w14:paraId="317CB805" w14:textId="77777777" w:rsidR="00E77641" w:rsidRDefault="00E77641" w:rsidP="00AE0286">
      <w:pPr>
        <w:pStyle w:val="a3"/>
        <w:spacing w:line="360" w:lineRule="auto"/>
        <w:ind w:firstLine="480"/>
        <w:jc w:val="right"/>
        <w:rPr>
          <w:sz w:val="24"/>
          <w:lang w:eastAsia="zh-Hans"/>
        </w:rPr>
      </w:pPr>
    </w:p>
    <w:p w14:paraId="6E2341C4" w14:textId="77777777" w:rsidR="00A320E6" w:rsidRDefault="00000000" w:rsidP="00AE0286">
      <w:pPr>
        <w:spacing w:afterLines="50" w:after="156" w:line="360" w:lineRule="auto"/>
        <w:jc w:val="center"/>
        <w:rPr>
          <w:rFonts w:ascii="宋体" w:hAnsi="宋体"/>
          <w:sz w:val="24"/>
          <w:szCs w:val="24"/>
        </w:rPr>
      </w:pPr>
      <w:r>
        <w:rPr>
          <w:rFonts w:ascii="宋体" w:hAnsi="宋体" w:hint="eastAsia"/>
          <w:sz w:val="24"/>
          <w:szCs w:val="24"/>
        </w:rPr>
        <w:t>潍坊市征地地上附着物和青苗补偿标准</w:t>
      </w:r>
    </w:p>
    <w:tbl>
      <w:tblPr>
        <w:tblW w:w="5000" w:type="pct"/>
        <w:tblLook w:val="04A0" w:firstRow="1" w:lastRow="0" w:firstColumn="1" w:lastColumn="0" w:noHBand="0" w:noVBand="1"/>
      </w:tblPr>
      <w:tblGrid>
        <w:gridCol w:w="786"/>
        <w:gridCol w:w="900"/>
        <w:gridCol w:w="2437"/>
        <w:gridCol w:w="1152"/>
        <w:gridCol w:w="1474"/>
        <w:gridCol w:w="2197"/>
      </w:tblGrid>
      <w:tr w:rsidR="00A320E6" w14:paraId="62B384E0" w14:textId="77777777" w:rsidTr="00E77641">
        <w:trPr>
          <w:trHeight w:val="510"/>
          <w:tblHead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99EE6F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序号</w:t>
            </w:r>
          </w:p>
        </w:tc>
        <w:tc>
          <w:tcPr>
            <w:tcW w:w="503" w:type="pct"/>
            <w:tcBorders>
              <w:top w:val="single" w:sz="4" w:space="0" w:color="auto"/>
              <w:left w:val="nil"/>
              <w:bottom w:val="single" w:sz="4" w:space="0" w:color="auto"/>
              <w:right w:val="single" w:sz="4" w:space="0" w:color="auto"/>
            </w:tcBorders>
            <w:shd w:val="clear" w:color="auto" w:fill="auto"/>
            <w:vAlign w:val="center"/>
          </w:tcPr>
          <w:p w14:paraId="400FD88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名称</w:t>
            </w:r>
          </w:p>
        </w:tc>
        <w:tc>
          <w:tcPr>
            <w:tcW w:w="1362" w:type="pct"/>
            <w:tcBorders>
              <w:top w:val="single" w:sz="4" w:space="0" w:color="auto"/>
              <w:left w:val="nil"/>
              <w:bottom w:val="single" w:sz="4" w:space="0" w:color="auto"/>
              <w:right w:val="single" w:sz="4" w:space="0" w:color="auto"/>
            </w:tcBorders>
            <w:shd w:val="clear" w:color="auto" w:fill="auto"/>
            <w:vAlign w:val="center"/>
          </w:tcPr>
          <w:p w14:paraId="3AF215A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类别</w:t>
            </w:r>
          </w:p>
        </w:tc>
        <w:tc>
          <w:tcPr>
            <w:tcW w:w="644" w:type="pct"/>
            <w:tcBorders>
              <w:top w:val="single" w:sz="4" w:space="0" w:color="auto"/>
              <w:left w:val="nil"/>
              <w:bottom w:val="single" w:sz="4" w:space="0" w:color="auto"/>
              <w:right w:val="single" w:sz="4" w:space="0" w:color="auto"/>
            </w:tcBorders>
            <w:shd w:val="clear" w:color="auto" w:fill="auto"/>
            <w:vAlign w:val="center"/>
          </w:tcPr>
          <w:p w14:paraId="7436398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计费单位</w:t>
            </w:r>
          </w:p>
        </w:tc>
        <w:tc>
          <w:tcPr>
            <w:tcW w:w="824" w:type="pct"/>
            <w:tcBorders>
              <w:top w:val="single" w:sz="4" w:space="0" w:color="auto"/>
              <w:left w:val="nil"/>
              <w:bottom w:val="single" w:sz="4" w:space="0" w:color="auto"/>
              <w:right w:val="single" w:sz="4" w:space="0" w:color="auto"/>
            </w:tcBorders>
            <w:shd w:val="clear" w:color="auto" w:fill="auto"/>
            <w:vAlign w:val="center"/>
          </w:tcPr>
          <w:p w14:paraId="5F49EC4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补偿标准</w:t>
            </w:r>
          </w:p>
        </w:tc>
        <w:tc>
          <w:tcPr>
            <w:tcW w:w="1228" w:type="pct"/>
            <w:tcBorders>
              <w:top w:val="single" w:sz="4" w:space="0" w:color="auto"/>
              <w:left w:val="nil"/>
              <w:bottom w:val="single" w:sz="4" w:space="0" w:color="auto"/>
              <w:right w:val="single" w:sz="4" w:space="0" w:color="auto"/>
            </w:tcBorders>
            <w:shd w:val="clear" w:color="auto" w:fill="auto"/>
            <w:vAlign w:val="center"/>
          </w:tcPr>
          <w:p w14:paraId="31FA199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备注</w:t>
            </w:r>
          </w:p>
        </w:tc>
      </w:tr>
      <w:tr w:rsidR="00A320E6" w14:paraId="690B81D6" w14:textId="77777777" w:rsidTr="00E77641">
        <w:trPr>
          <w:trHeight w:val="300"/>
        </w:trPr>
        <w:tc>
          <w:tcPr>
            <w:tcW w:w="439" w:type="pct"/>
            <w:vMerge w:val="restart"/>
            <w:tcBorders>
              <w:top w:val="nil"/>
              <w:left w:val="single" w:sz="4" w:space="0" w:color="auto"/>
              <w:bottom w:val="single" w:sz="4" w:space="0" w:color="auto"/>
              <w:right w:val="single" w:sz="4" w:space="0" w:color="auto"/>
            </w:tcBorders>
            <w:shd w:val="clear" w:color="auto" w:fill="auto"/>
            <w:vAlign w:val="center"/>
          </w:tcPr>
          <w:p w14:paraId="1BFD5DD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w:t>
            </w:r>
          </w:p>
        </w:tc>
        <w:tc>
          <w:tcPr>
            <w:tcW w:w="503" w:type="pct"/>
            <w:vMerge w:val="restart"/>
            <w:tcBorders>
              <w:top w:val="nil"/>
              <w:left w:val="single" w:sz="4" w:space="0" w:color="auto"/>
              <w:bottom w:val="single" w:sz="4" w:space="0" w:color="auto"/>
              <w:right w:val="single" w:sz="4" w:space="0" w:color="auto"/>
            </w:tcBorders>
            <w:shd w:val="clear" w:color="auto" w:fill="auto"/>
            <w:vAlign w:val="center"/>
          </w:tcPr>
          <w:p w14:paraId="6206D4F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楼房</w:t>
            </w:r>
          </w:p>
        </w:tc>
        <w:tc>
          <w:tcPr>
            <w:tcW w:w="1362" w:type="pct"/>
            <w:tcBorders>
              <w:top w:val="nil"/>
              <w:left w:val="nil"/>
              <w:bottom w:val="single" w:sz="4" w:space="0" w:color="auto"/>
              <w:right w:val="single" w:sz="4" w:space="0" w:color="auto"/>
            </w:tcBorders>
            <w:shd w:val="clear" w:color="auto" w:fill="auto"/>
            <w:vAlign w:val="center"/>
          </w:tcPr>
          <w:p w14:paraId="3B25780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钢筋砼结构</w:t>
            </w:r>
          </w:p>
        </w:tc>
        <w:tc>
          <w:tcPr>
            <w:tcW w:w="644" w:type="pct"/>
            <w:tcBorders>
              <w:top w:val="nil"/>
              <w:left w:val="nil"/>
              <w:bottom w:val="single" w:sz="4" w:space="0" w:color="auto"/>
              <w:right w:val="single" w:sz="4" w:space="0" w:color="auto"/>
            </w:tcBorders>
            <w:shd w:val="clear" w:color="auto" w:fill="auto"/>
            <w:vAlign w:val="center"/>
          </w:tcPr>
          <w:p w14:paraId="277A6C0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E8F06F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1600-1900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700ACA9B" w14:textId="77777777" w:rsidR="00A320E6" w:rsidRDefault="00000000" w:rsidP="00A1539E">
            <w:pPr>
              <w:snapToGrid w:val="0"/>
              <w:rPr>
                <w:rFonts w:ascii="宋体" w:hAnsi="宋体" w:cs="宋体"/>
                <w:kern w:val="0"/>
                <w:szCs w:val="21"/>
              </w:rPr>
            </w:pPr>
            <w:r>
              <w:rPr>
                <w:rFonts w:ascii="宋体" w:hAnsi="宋体" w:cs="宋体" w:hint="eastAsia"/>
                <w:kern w:val="0"/>
                <w:szCs w:val="21"/>
              </w:rPr>
              <w:t>1.屋内配套设施不另计。</w:t>
            </w:r>
            <w:r>
              <w:rPr>
                <w:rFonts w:ascii="宋体" w:hAnsi="宋体" w:cs="宋体" w:hint="eastAsia"/>
                <w:kern w:val="0"/>
                <w:szCs w:val="21"/>
              </w:rPr>
              <w:br/>
              <w:t>2.屋内有装修的可根据情况另计。</w:t>
            </w:r>
            <w:r>
              <w:rPr>
                <w:rFonts w:ascii="宋体" w:hAnsi="宋体" w:cs="宋体" w:hint="eastAsia"/>
                <w:kern w:val="0"/>
                <w:szCs w:val="21"/>
              </w:rPr>
              <w:br/>
              <w:t>3.特殊生产、仓储类房屋根据实际情况认定，补偿标准可委托有资质的机构评估。</w:t>
            </w:r>
          </w:p>
        </w:tc>
      </w:tr>
      <w:tr w:rsidR="00A320E6" w14:paraId="4CCA1B25" w14:textId="77777777" w:rsidTr="00E77641">
        <w:trPr>
          <w:trHeight w:val="127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7980CD6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5D53C58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1CD840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砖混结构，有钢筋混凝土地梁、圈梁、用瓷砖、马赛克或其它高档建筑材料饰面、门窗、水电暖配套齐全</w:t>
            </w:r>
          </w:p>
        </w:tc>
        <w:tc>
          <w:tcPr>
            <w:tcW w:w="644" w:type="pct"/>
            <w:tcBorders>
              <w:top w:val="nil"/>
              <w:left w:val="nil"/>
              <w:bottom w:val="single" w:sz="4" w:space="0" w:color="auto"/>
              <w:right w:val="single" w:sz="4" w:space="0" w:color="auto"/>
            </w:tcBorders>
            <w:shd w:val="clear" w:color="auto" w:fill="auto"/>
            <w:vAlign w:val="center"/>
          </w:tcPr>
          <w:p w14:paraId="744E5B3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7D0EAEE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1500-1700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7582D2E" w14:textId="77777777" w:rsidR="00A320E6" w:rsidRDefault="00A320E6" w:rsidP="00A1539E">
            <w:pPr>
              <w:snapToGrid w:val="0"/>
              <w:jc w:val="left"/>
              <w:rPr>
                <w:rFonts w:ascii="宋体" w:hAnsi="宋体" w:cs="宋体"/>
                <w:kern w:val="0"/>
                <w:szCs w:val="21"/>
              </w:rPr>
            </w:pPr>
          </w:p>
        </w:tc>
      </w:tr>
      <w:tr w:rsidR="00A320E6" w14:paraId="6AD4FA4D" w14:textId="77777777" w:rsidTr="00E77641">
        <w:trPr>
          <w:trHeight w:val="1020"/>
        </w:trPr>
        <w:tc>
          <w:tcPr>
            <w:tcW w:w="439" w:type="pct"/>
            <w:vMerge/>
            <w:tcBorders>
              <w:top w:val="nil"/>
              <w:left w:val="single" w:sz="4" w:space="0" w:color="auto"/>
              <w:bottom w:val="single" w:sz="4" w:space="0" w:color="auto"/>
              <w:right w:val="single" w:sz="4" w:space="0" w:color="auto"/>
            </w:tcBorders>
            <w:shd w:val="clear" w:color="auto" w:fill="auto"/>
            <w:vAlign w:val="center"/>
          </w:tcPr>
          <w:p w14:paraId="008047B1"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544AFE55"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C0BE31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砖混结构，有钢筋混凝土地梁、圈梁、外墙系水刷、喷涂、门窗、水电暖配套齐全</w:t>
            </w:r>
          </w:p>
        </w:tc>
        <w:tc>
          <w:tcPr>
            <w:tcW w:w="644" w:type="pct"/>
            <w:tcBorders>
              <w:top w:val="nil"/>
              <w:left w:val="nil"/>
              <w:bottom w:val="single" w:sz="4" w:space="0" w:color="auto"/>
              <w:right w:val="single" w:sz="4" w:space="0" w:color="auto"/>
            </w:tcBorders>
            <w:shd w:val="clear" w:color="auto" w:fill="auto"/>
            <w:vAlign w:val="center"/>
          </w:tcPr>
          <w:p w14:paraId="4F13B0F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179A64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1400-1600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2EC35B3" w14:textId="77777777" w:rsidR="00A320E6" w:rsidRDefault="00A320E6" w:rsidP="00A1539E">
            <w:pPr>
              <w:snapToGrid w:val="0"/>
              <w:jc w:val="left"/>
              <w:rPr>
                <w:rFonts w:ascii="宋体" w:hAnsi="宋体" w:cs="宋体"/>
                <w:kern w:val="0"/>
                <w:szCs w:val="21"/>
              </w:rPr>
            </w:pPr>
          </w:p>
        </w:tc>
      </w:tr>
      <w:tr w:rsidR="00A320E6" w14:paraId="3F7456EA" w14:textId="77777777" w:rsidTr="00E77641">
        <w:trPr>
          <w:trHeight w:val="76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079359EE"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3AEDBFF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DEA9C5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砖混结构，只有地梁和圈梁，外墙水泥饰面，门窗、水电配套齐全</w:t>
            </w:r>
          </w:p>
        </w:tc>
        <w:tc>
          <w:tcPr>
            <w:tcW w:w="644" w:type="pct"/>
            <w:tcBorders>
              <w:top w:val="nil"/>
              <w:left w:val="nil"/>
              <w:bottom w:val="single" w:sz="4" w:space="0" w:color="auto"/>
              <w:right w:val="single" w:sz="4" w:space="0" w:color="auto"/>
            </w:tcBorders>
            <w:shd w:val="clear" w:color="auto" w:fill="auto"/>
            <w:vAlign w:val="center"/>
          </w:tcPr>
          <w:p w14:paraId="3C7D344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2A4BBD9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1000-1500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6B456D7" w14:textId="77777777" w:rsidR="00A320E6" w:rsidRDefault="00A320E6" w:rsidP="00A1539E">
            <w:pPr>
              <w:snapToGrid w:val="0"/>
              <w:jc w:val="left"/>
              <w:rPr>
                <w:rFonts w:ascii="宋体" w:hAnsi="宋体" w:cs="宋体"/>
                <w:kern w:val="0"/>
                <w:szCs w:val="21"/>
              </w:rPr>
            </w:pPr>
          </w:p>
        </w:tc>
      </w:tr>
      <w:tr w:rsidR="00A320E6" w14:paraId="03663B20" w14:textId="77777777" w:rsidTr="00E77641">
        <w:trPr>
          <w:trHeight w:val="76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6D371C8E"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764F73B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116FE5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砖混结构，无地梁和圈梁、门窗、水电配套齐全</w:t>
            </w:r>
          </w:p>
        </w:tc>
        <w:tc>
          <w:tcPr>
            <w:tcW w:w="644" w:type="pct"/>
            <w:tcBorders>
              <w:top w:val="nil"/>
              <w:left w:val="nil"/>
              <w:bottom w:val="single" w:sz="4" w:space="0" w:color="auto"/>
              <w:right w:val="single" w:sz="4" w:space="0" w:color="auto"/>
            </w:tcBorders>
            <w:shd w:val="clear" w:color="auto" w:fill="auto"/>
            <w:vAlign w:val="center"/>
          </w:tcPr>
          <w:p w14:paraId="4A27EE6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78F1B1F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900-1300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B464F89" w14:textId="77777777" w:rsidR="00A320E6" w:rsidRDefault="00A320E6" w:rsidP="00A1539E">
            <w:pPr>
              <w:snapToGrid w:val="0"/>
              <w:jc w:val="left"/>
              <w:rPr>
                <w:rFonts w:ascii="宋体" w:hAnsi="宋体" w:cs="宋体"/>
                <w:kern w:val="0"/>
                <w:szCs w:val="21"/>
              </w:rPr>
            </w:pPr>
          </w:p>
        </w:tc>
      </w:tr>
      <w:tr w:rsidR="00A320E6" w14:paraId="1DF1C11F" w14:textId="77777777" w:rsidTr="00E77641">
        <w:trPr>
          <w:trHeight w:val="1275"/>
        </w:trPr>
        <w:tc>
          <w:tcPr>
            <w:tcW w:w="439" w:type="pct"/>
            <w:vMerge w:val="restart"/>
            <w:tcBorders>
              <w:top w:val="nil"/>
              <w:left w:val="single" w:sz="4" w:space="0" w:color="auto"/>
              <w:bottom w:val="single" w:sz="4" w:space="0" w:color="auto"/>
              <w:right w:val="single" w:sz="4" w:space="0" w:color="auto"/>
            </w:tcBorders>
            <w:shd w:val="clear" w:color="auto" w:fill="auto"/>
            <w:vAlign w:val="center"/>
          </w:tcPr>
          <w:p w14:paraId="03F6F3F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w:t>
            </w:r>
          </w:p>
        </w:tc>
        <w:tc>
          <w:tcPr>
            <w:tcW w:w="503" w:type="pct"/>
            <w:vMerge w:val="restart"/>
            <w:tcBorders>
              <w:top w:val="nil"/>
              <w:left w:val="single" w:sz="4" w:space="0" w:color="auto"/>
              <w:bottom w:val="single" w:sz="4" w:space="0" w:color="auto"/>
              <w:right w:val="single" w:sz="4" w:space="0" w:color="auto"/>
            </w:tcBorders>
            <w:shd w:val="clear" w:color="auto" w:fill="auto"/>
            <w:vAlign w:val="center"/>
          </w:tcPr>
          <w:p w14:paraId="33F9630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平房</w:t>
            </w:r>
          </w:p>
        </w:tc>
        <w:tc>
          <w:tcPr>
            <w:tcW w:w="1362" w:type="pct"/>
            <w:tcBorders>
              <w:top w:val="nil"/>
              <w:left w:val="nil"/>
              <w:bottom w:val="single" w:sz="4" w:space="0" w:color="auto"/>
              <w:right w:val="single" w:sz="4" w:space="0" w:color="auto"/>
            </w:tcBorders>
            <w:shd w:val="clear" w:color="auto" w:fill="auto"/>
            <w:vAlign w:val="center"/>
          </w:tcPr>
          <w:p w14:paraId="0158F4C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砖混结构，有瓷砖或马赛克饰面，其余水泥抹面，跨度6米以上，檐高3米以上的平顶或瓦顶平房</w:t>
            </w:r>
          </w:p>
        </w:tc>
        <w:tc>
          <w:tcPr>
            <w:tcW w:w="644" w:type="pct"/>
            <w:tcBorders>
              <w:top w:val="nil"/>
              <w:left w:val="nil"/>
              <w:bottom w:val="single" w:sz="4" w:space="0" w:color="auto"/>
              <w:right w:val="single" w:sz="4" w:space="0" w:color="auto"/>
            </w:tcBorders>
            <w:shd w:val="clear" w:color="auto" w:fill="auto"/>
            <w:vAlign w:val="center"/>
          </w:tcPr>
          <w:p w14:paraId="4CB2A1E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7BFAC6B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900-1250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EA5E93D" w14:textId="77777777" w:rsidR="00A320E6" w:rsidRDefault="00A320E6" w:rsidP="00A1539E">
            <w:pPr>
              <w:snapToGrid w:val="0"/>
              <w:jc w:val="left"/>
              <w:rPr>
                <w:rFonts w:ascii="宋体" w:hAnsi="宋体" w:cs="宋体"/>
                <w:kern w:val="0"/>
                <w:szCs w:val="21"/>
              </w:rPr>
            </w:pPr>
          </w:p>
        </w:tc>
      </w:tr>
      <w:tr w:rsidR="00A320E6" w14:paraId="3EAD177E" w14:textId="77777777" w:rsidTr="00E77641">
        <w:trPr>
          <w:trHeight w:val="1020"/>
        </w:trPr>
        <w:tc>
          <w:tcPr>
            <w:tcW w:w="439" w:type="pct"/>
            <w:vMerge/>
            <w:tcBorders>
              <w:top w:val="nil"/>
              <w:left w:val="single" w:sz="4" w:space="0" w:color="auto"/>
              <w:bottom w:val="single" w:sz="4" w:space="0" w:color="auto"/>
              <w:right w:val="single" w:sz="4" w:space="0" w:color="auto"/>
            </w:tcBorders>
            <w:shd w:val="clear" w:color="auto" w:fill="auto"/>
            <w:vAlign w:val="center"/>
          </w:tcPr>
          <w:p w14:paraId="5E8A94AE"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0576CFED"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A135C1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砖混结构，外墙系水刷、喷涂等一般装饰，跨度6米以上，檐高2.7米以上的平顶或瓦顶平房</w:t>
            </w:r>
          </w:p>
        </w:tc>
        <w:tc>
          <w:tcPr>
            <w:tcW w:w="644" w:type="pct"/>
            <w:tcBorders>
              <w:top w:val="nil"/>
              <w:left w:val="nil"/>
              <w:bottom w:val="single" w:sz="4" w:space="0" w:color="auto"/>
              <w:right w:val="single" w:sz="4" w:space="0" w:color="auto"/>
            </w:tcBorders>
            <w:shd w:val="clear" w:color="auto" w:fill="auto"/>
            <w:vAlign w:val="center"/>
          </w:tcPr>
          <w:p w14:paraId="13C1940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0458EC6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800-1150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271B156" w14:textId="77777777" w:rsidR="00A320E6" w:rsidRDefault="00A320E6" w:rsidP="00A1539E">
            <w:pPr>
              <w:snapToGrid w:val="0"/>
              <w:jc w:val="left"/>
              <w:rPr>
                <w:rFonts w:ascii="宋体" w:hAnsi="宋体" w:cs="宋体"/>
                <w:kern w:val="0"/>
                <w:szCs w:val="21"/>
              </w:rPr>
            </w:pPr>
          </w:p>
        </w:tc>
      </w:tr>
      <w:tr w:rsidR="00A320E6" w14:paraId="47B4655D" w14:textId="77777777" w:rsidTr="00E77641">
        <w:trPr>
          <w:trHeight w:val="1020"/>
        </w:trPr>
        <w:tc>
          <w:tcPr>
            <w:tcW w:w="439" w:type="pct"/>
            <w:vMerge/>
            <w:tcBorders>
              <w:top w:val="nil"/>
              <w:left w:val="single" w:sz="4" w:space="0" w:color="auto"/>
              <w:bottom w:val="single" w:sz="4" w:space="0" w:color="auto"/>
              <w:right w:val="single" w:sz="4" w:space="0" w:color="auto"/>
            </w:tcBorders>
            <w:shd w:val="clear" w:color="auto" w:fill="auto"/>
            <w:vAlign w:val="center"/>
          </w:tcPr>
          <w:p w14:paraId="116B2228"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560A02C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919EA4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砖混结构，外墙装饰较好，檐高2.5-3.0米，跨度3.5-6.0米的平顶或瓦顶平房</w:t>
            </w:r>
          </w:p>
        </w:tc>
        <w:tc>
          <w:tcPr>
            <w:tcW w:w="644" w:type="pct"/>
            <w:tcBorders>
              <w:top w:val="nil"/>
              <w:left w:val="nil"/>
              <w:bottom w:val="single" w:sz="4" w:space="0" w:color="auto"/>
              <w:right w:val="single" w:sz="4" w:space="0" w:color="auto"/>
            </w:tcBorders>
            <w:shd w:val="clear" w:color="auto" w:fill="auto"/>
            <w:vAlign w:val="center"/>
          </w:tcPr>
          <w:p w14:paraId="523E93E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5BC7EB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700-900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B556FF1" w14:textId="77777777" w:rsidR="00A320E6" w:rsidRDefault="00A320E6" w:rsidP="00A1539E">
            <w:pPr>
              <w:snapToGrid w:val="0"/>
              <w:jc w:val="left"/>
              <w:rPr>
                <w:rFonts w:ascii="宋体" w:hAnsi="宋体" w:cs="宋体"/>
                <w:kern w:val="0"/>
                <w:szCs w:val="21"/>
              </w:rPr>
            </w:pPr>
          </w:p>
        </w:tc>
      </w:tr>
      <w:tr w:rsidR="00A320E6" w14:paraId="2B10BED2" w14:textId="77777777" w:rsidTr="00E77641">
        <w:trPr>
          <w:trHeight w:val="76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6EA18184"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44F291E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8D4029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砖混结构，清水墙，跨度4米以上的瓦顶或草顶平房</w:t>
            </w:r>
          </w:p>
        </w:tc>
        <w:tc>
          <w:tcPr>
            <w:tcW w:w="644" w:type="pct"/>
            <w:tcBorders>
              <w:top w:val="nil"/>
              <w:left w:val="nil"/>
              <w:bottom w:val="single" w:sz="4" w:space="0" w:color="auto"/>
              <w:right w:val="single" w:sz="4" w:space="0" w:color="auto"/>
            </w:tcBorders>
            <w:shd w:val="clear" w:color="auto" w:fill="auto"/>
            <w:vAlign w:val="center"/>
          </w:tcPr>
          <w:p w14:paraId="6874331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CDA050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500-800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300A6ED" w14:textId="77777777" w:rsidR="00A320E6" w:rsidRDefault="00A320E6" w:rsidP="00A1539E">
            <w:pPr>
              <w:snapToGrid w:val="0"/>
              <w:jc w:val="left"/>
              <w:rPr>
                <w:rFonts w:ascii="宋体" w:hAnsi="宋体" w:cs="宋体"/>
                <w:kern w:val="0"/>
                <w:szCs w:val="21"/>
              </w:rPr>
            </w:pPr>
          </w:p>
        </w:tc>
      </w:tr>
      <w:tr w:rsidR="00A320E6" w14:paraId="52D15075" w14:textId="77777777" w:rsidTr="00E77641">
        <w:trPr>
          <w:trHeight w:val="510"/>
        </w:trPr>
        <w:tc>
          <w:tcPr>
            <w:tcW w:w="439" w:type="pct"/>
            <w:tcBorders>
              <w:top w:val="nil"/>
              <w:left w:val="single" w:sz="4" w:space="0" w:color="auto"/>
              <w:bottom w:val="single" w:sz="4" w:space="0" w:color="auto"/>
              <w:right w:val="single" w:sz="4" w:space="0" w:color="auto"/>
            </w:tcBorders>
            <w:shd w:val="clear" w:color="auto" w:fill="auto"/>
            <w:vAlign w:val="center"/>
          </w:tcPr>
          <w:p w14:paraId="3C75474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w:t>
            </w:r>
          </w:p>
        </w:tc>
        <w:tc>
          <w:tcPr>
            <w:tcW w:w="503" w:type="pct"/>
            <w:tcBorders>
              <w:top w:val="nil"/>
              <w:left w:val="nil"/>
              <w:bottom w:val="single" w:sz="4" w:space="0" w:color="auto"/>
              <w:right w:val="single" w:sz="4" w:space="0" w:color="auto"/>
            </w:tcBorders>
            <w:shd w:val="clear" w:color="auto" w:fill="auto"/>
            <w:vAlign w:val="center"/>
          </w:tcPr>
          <w:p w14:paraId="7A3BF8C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简易房</w:t>
            </w:r>
          </w:p>
        </w:tc>
        <w:tc>
          <w:tcPr>
            <w:tcW w:w="1362" w:type="pct"/>
            <w:tcBorders>
              <w:top w:val="nil"/>
              <w:left w:val="nil"/>
              <w:bottom w:val="single" w:sz="4" w:space="0" w:color="auto"/>
              <w:right w:val="single" w:sz="4" w:space="0" w:color="auto"/>
            </w:tcBorders>
            <w:shd w:val="clear" w:color="auto" w:fill="auto"/>
            <w:vAlign w:val="center"/>
          </w:tcPr>
          <w:p w14:paraId="69C30A6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混合结构、双面坡瓦顶或石棉瓦顶</w:t>
            </w:r>
          </w:p>
        </w:tc>
        <w:tc>
          <w:tcPr>
            <w:tcW w:w="644" w:type="pct"/>
            <w:tcBorders>
              <w:top w:val="nil"/>
              <w:left w:val="nil"/>
              <w:bottom w:val="single" w:sz="4" w:space="0" w:color="auto"/>
              <w:right w:val="single" w:sz="4" w:space="0" w:color="auto"/>
            </w:tcBorders>
            <w:shd w:val="clear" w:color="auto" w:fill="auto"/>
            <w:vAlign w:val="center"/>
          </w:tcPr>
          <w:p w14:paraId="7A723E9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0BD93E9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250-600</w:t>
            </w:r>
          </w:p>
        </w:tc>
        <w:tc>
          <w:tcPr>
            <w:tcW w:w="1228" w:type="pct"/>
            <w:tcBorders>
              <w:top w:val="nil"/>
              <w:left w:val="nil"/>
              <w:bottom w:val="single" w:sz="4" w:space="0" w:color="auto"/>
              <w:right w:val="single" w:sz="4" w:space="0" w:color="auto"/>
            </w:tcBorders>
            <w:shd w:val="clear" w:color="auto" w:fill="auto"/>
            <w:vAlign w:val="center"/>
          </w:tcPr>
          <w:p w14:paraId="2843F9C2" w14:textId="77777777" w:rsidR="00A320E6" w:rsidRDefault="00000000" w:rsidP="00A1539E">
            <w:pPr>
              <w:snapToGrid w:val="0"/>
              <w:jc w:val="left"/>
              <w:rPr>
                <w:rFonts w:ascii="宋体" w:hAnsi="宋体" w:cs="宋体"/>
                <w:kern w:val="0"/>
                <w:szCs w:val="21"/>
              </w:rPr>
            </w:pPr>
            <w:r>
              <w:rPr>
                <w:rFonts w:ascii="宋体" w:hAnsi="宋体" w:cs="宋体" w:hint="eastAsia"/>
                <w:kern w:val="0"/>
                <w:szCs w:val="21"/>
              </w:rPr>
              <w:t xml:space="preserve">　</w:t>
            </w:r>
          </w:p>
        </w:tc>
      </w:tr>
      <w:tr w:rsidR="00A320E6" w14:paraId="6ADE2C5A" w14:textId="77777777" w:rsidTr="00E77641">
        <w:trPr>
          <w:trHeight w:val="1530"/>
        </w:trPr>
        <w:tc>
          <w:tcPr>
            <w:tcW w:w="439" w:type="pct"/>
            <w:vMerge w:val="restart"/>
            <w:tcBorders>
              <w:top w:val="nil"/>
              <w:left w:val="single" w:sz="4" w:space="0" w:color="auto"/>
              <w:bottom w:val="single" w:sz="4" w:space="0" w:color="auto"/>
              <w:right w:val="single" w:sz="4" w:space="0" w:color="auto"/>
            </w:tcBorders>
            <w:shd w:val="clear" w:color="auto" w:fill="auto"/>
            <w:vAlign w:val="center"/>
          </w:tcPr>
          <w:p w14:paraId="43086F3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w:t>
            </w:r>
          </w:p>
        </w:tc>
        <w:tc>
          <w:tcPr>
            <w:tcW w:w="503" w:type="pct"/>
            <w:vMerge w:val="restart"/>
            <w:tcBorders>
              <w:top w:val="nil"/>
              <w:left w:val="single" w:sz="4" w:space="0" w:color="auto"/>
              <w:bottom w:val="single" w:sz="4" w:space="0" w:color="auto"/>
              <w:right w:val="single" w:sz="4" w:space="0" w:color="auto"/>
            </w:tcBorders>
            <w:shd w:val="clear" w:color="auto" w:fill="auto"/>
            <w:vAlign w:val="center"/>
          </w:tcPr>
          <w:p w14:paraId="359EB11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钢结构厂房</w:t>
            </w:r>
          </w:p>
        </w:tc>
        <w:tc>
          <w:tcPr>
            <w:tcW w:w="1362" w:type="pct"/>
            <w:tcBorders>
              <w:top w:val="nil"/>
              <w:left w:val="nil"/>
              <w:bottom w:val="single" w:sz="4" w:space="0" w:color="auto"/>
              <w:right w:val="single" w:sz="4" w:space="0" w:color="auto"/>
            </w:tcBorders>
            <w:shd w:val="clear" w:color="auto" w:fill="auto"/>
            <w:vAlign w:val="center"/>
          </w:tcPr>
          <w:p w14:paraId="23FBEC9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单跨10米以上、檐口高度9米以上、吊车5吨以上。土建基础及1米左右砖墙，钢柱、钢梁、次钢、檩条、屋面墙面保温彩钢板围护</w:t>
            </w:r>
          </w:p>
        </w:tc>
        <w:tc>
          <w:tcPr>
            <w:tcW w:w="644" w:type="pct"/>
            <w:tcBorders>
              <w:top w:val="nil"/>
              <w:left w:val="nil"/>
              <w:bottom w:val="single" w:sz="4" w:space="0" w:color="auto"/>
              <w:right w:val="single" w:sz="4" w:space="0" w:color="auto"/>
            </w:tcBorders>
            <w:shd w:val="clear" w:color="auto" w:fill="auto"/>
            <w:vAlign w:val="center"/>
          </w:tcPr>
          <w:p w14:paraId="12AF0EC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60D7BB0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950-1100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4F2F7667" w14:textId="77777777" w:rsidR="00A320E6" w:rsidRDefault="00000000" w:rsidP="00A1539E">
            <w:pPr>
              <w:snapToGrid w:val="0"/>
              <w:jc w:val="left"/>
              <w:rPr>
                <w:rFonts w:ascii="宋体" w:hAnsi="宋体" w:cs="宋体"/>
                <w:kern w:val="0"/>
                <w:szCs w:val="21"/>
              </w:rPr>
            </w:pPr>
            <w:r>
              <w:rPr>
                <w:rFonts w:ascii="宋体" w:hAnsi="宋体" w:cs="宋体" w:hint="eastAsia"/>
                <w:kern w:val="0"/>
                <w:szCs w:val="21"/>
              </w:rPr>
              <w:t xml:space="preserve">　</w:t>
            </w:r>
          </w:p>
        </w:tc>
      </w:tr>
      <w:tr w:rsidR="00A320E6" w14:paraId="603D3867" w14:textId="77777777" w:rsidTr="00E77641">
        <w:trPr>
          <w:trHeight w:val="1530"/>
        </w:trPr>
        <w:tc>
          <w:tcPr>
            <w:tcW w:w="439" w:type="pct"/>
            <w:vMerge/>
            <w:tcBorders>
              <w:top w:val="nil"/>
              <w:left w:val="single" w:sz="4" w:space="0" w:color="auto"/>
              <w:bottom w:val="single" w:sz="4" w:space="0" w:color="auto"/>
              <w:right w:val="single" w:sz="4" w:space="0" w:color="auto"/>
            </w:tcBorders>
            <w:shd w:val="clear" w:color="auto" w:fill="auto"/>
            <w:vAlign w:val="center"/>
          </w:tcPr>
          <w:p w14:paraId="685857DA"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202F3A6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EE09D6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单跨10米以上、檐口高度6-9米、吊车5吨以上。土建基础及1米左右砖墙，钢柱、钢梁、次钢、檩条、屋面墙面保温彩钢板围护</w:t>
            </w:r>
          </w:p>
        </w:tc>
        <w:tc>
          <w:tcPr>
            <w:tcW w:w="644" w:type="pct"/>
            <w:tcBorders>
              <w:top w:val="nil"/>
              <w:left w:val="nil"/>
              <w:bottom w:val="single" w:sz="4" w:space="0" w:color="auto"/>
              <w:right w:val="single" w:sz="4" w:space="0" w:color="auto"/>
            </w:tcBorders>
            <w:shd w:val="clear" w:color="auto" w:fill="auto"/>
            <w:vAlign w:val="center"/>
          </w:tcPr>
          <w:p w14:paraId="1A03F27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24792B2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750-950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77936EE" w14:textId="77777777" w:rsidR="00A320E6" w:rsidRDefault="00A320E6" w:rsidP="00A1539E">
            <w:pPr>
              <w:snapToGrid w:val="0"/>
              <w:jc w:val="left"/>
              <w:rPr>
                <w:rFonts w:ascii="宋体" w:hAnsi="宋体" w:cs="宋体"/>
                <w:kern w:val="0"/>
                <w:szCs w:val="21"/>
              </w:rPr>
            </w:pPr>
          </w:p>
        </w:tc>
      </w:tr>
      <w:tr w:rsidR="00A320E6" w14:paraId="171A050A" w14:textId="77777777" w:rsidTr="00E77641">
        <w:trPr>
          <w:trHeight w:val="127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27A9AF7F"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33BE5A14"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8927AE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单跨5-10米、檐口高度4-6米。土建基础，钢柱、钢梁、次钢、檩条、屋面墙面保温彩钢板围护</w:t>
            </w:r>
          </w:p>
        </w:tc>
        <w:tc>
          <w:tcPr>
            <w:tcW w:w="644" w:type="pct"/>
            <w:tcBorders>
              <w:top w:val="nil"/>
              <w:left w:val="nil"/>
              <w:bottom w:val="single" w:sz="4" w:space="0" w:color="auto"/>
              <w:right w:val="single" w:sz="4" w:space="0" w:color="auto"/>
            </w:tcBorders>
            <w:shd w:val="clear" w:color="auto" w:fill="auto"/>
            <w:vAlign w:val="center"/>
          </w:tcPr>
          <w:p w14:paraId="1682786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26525BB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450-750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40945F55" w14:textId="77777777" w:rsidR="00A320E6" w:rsidRDefault="00A320E6" w:rsidP="00A1539E">
            <w:pPr>
              <w:snapToGrid w:val="0"/>
              <w:jc w:val="left"/>
              <w:rPr>
                <w:rFonts w:ascii="宋体" w:hAnsi="宋体" w:cs="宋体"/>
                <w:kern w:val="0"/>
                <w:szCs w:val="21"/>
              </w:rPr>
            </w:pPr>
          </w:p>
        </w:tc>
      </w:tr>
      <w:tr w:rsidR="00A320E6" w14:paraId="22640C9E" w14:textId="77777777" w:rsidTr="00E77641">
        <w:trPr>
          <w:trHeight w:val="1275"/>
        </w:trPr>
        <w:tc>
          <w:tcPr>
            <w:tcW w:w="439" w:type="pct"/>
            <w:vMerge/>
            <w:tcBorders>
              <w:top w:val="nil"/>
              <w:left w:val="single" w:sz="4" w:space="0" w:color="auto"/>
              <w:bottom w:val="single" w:sz="4" w:space="0" w:color="auto"/>
              <w:right w:val="single" w:sz="4" w:space="0" w:color="auto"/>
            </w:tcBorders>
            <w:shd w:val="clear" w:color="auto" w:fill="auto"/>
            <w:vAlign w:val="center"/>
          </w:tcPr>
          <w:p w14:paraId="5C401D35"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auto"/>
              <w:right w:val="single" w:sz="4" w:space="0" w:color="auto"/>
            </w:tcBorders>
            <w:shd w:val="clear" w:color="auto" w:fill="auto"/>
            <w:vAlign w:val="center"/>
          </w:tcPr>
          <w:p w14:paraId="22AD6C8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229043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单跨5米以下、檐口高度4米以下。土建基础，钢柱、钢梁、次钢、檩条、屋面墙面彩钢单板或保温彩钢板围护</w:t>
            </w:r>
          </w:p>
        </w:tc>
        <w:tc>
          <w:tcPr>
            <w:tcW w:w="644" w:type="pct"/>
            <w:tcBorders>
              <w:top w:val="nil"/>
              <w:left w:val="nil"/>
              <w:bottom w:val="single" w:sz="4" w:space="0" w:color="auto"/>
              <w:right w:val="single" w:sz="4" w:space="0" w:color="auto"/>
            </w:tcBorders>
            <w:shd w:val="clear" w:color="auto" w:fill="auto"/>
            <w:vAlign w:val="center"/>
          </w:tcPr>
          <w:p w14:paraId="2A94241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038C24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150-450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C80C074" w14:textId="77777777" w:rsidR="00A320E6" w:rsidRDefault="00A320E6" w:rsidP="00A1539E">
            <w:pPr>
              <w:snapToGrid w:val="0"/>
              <w:jc w:val="left"/>
              <w:rPr>
                <w:rFonts w:ascii="宋体" w:hAnsi="宋体" w:cs="宋体"/>
                <w:kern w:val="0"/>
                <w:szCs w:val="21"/>
              </w:rPr>
            </w:pPr>
          </w:p>
        </w:tc>
      </w:tr>
      <w:tr w:rsidR="00A320E6" w14:paraId="4A130314" w14:textId="77777777" w:rsidTr="00E77641">
        <w:trPr>
          <w:trHeight w:val="300"/>
        </w:trPr>
        <w:tc>
          <w:tcPr>
            <w:tcW w:w="439" w:type="pct"/>
            <w:tcBorders>
              <w:top w:val="nil"/>
              <w:left w:val="single" w:sz="4" w:space="0" w:color="auto"/>
              <w:bottom w:val="single" w:sz="4" w:space="0" w:color="auto"/>
              <w:right w:val="single" w:sz="4" w:space="0" w:color="auto"/>
            </w:tcBorders>
            <w:shd w:val="clear" w:color="auto" w:fill="auto"/>
            <w:vAlign w:val="center"/>
          </w:tcPr>
          <w:p w14:paraId="7344C13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w:t>
            </w:r>
          </w:p>
        </w:tc>
        <w:tc>
          <w:tcPr>
            <w:tcW w:w="503" w:type="pct"/>
            <w:tcBorders>
              <w:top w:val="nil"/>
              <w:left w:val="nil"/>
              <w:bottom w:val="single" w:sz="4" w:space="0" w:color="auto"/>
              <w:right w:val="single" w:sz="4" w:space="0" w:color="auto"/>
            </w:tcBorders>
            <w:shd w:val="clear" w:color="auto" w:fill="auto"/>
            <w:vAlign w:val="center"/>
          </w:tcPr>
          <w:p w14:paraId="2FB5678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简易棚</w:t>
            </w:r>
          </w:p>
        </w:tc>
        <w:tc>
          <w:tcPr>
            <w:tcW w:w="1362" w:type="pct"/>
            <w:tcBorders>
              <w:top w:val="nil"/>
              <w:left w:val="nil"/>
              <w:bottom w:val="single" w:sz="4" w:space="0" w:color="auto"/>
              <w:right w:val="single" w:sz="4" w:space="0" w:color="auto"/>
            </w:tcBorders>
            <w:shd w:val="clear" w:color="auto" w:fill="auto"/>
            <w:vAlign w:val="center"/>
          </w:tcPr>
          <w:p w14:paraId="5D52366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前柱后墙</w:t>
            </w:r>
          </w:p>
        </w:tc>
        <w:tc>
          <w:tcPr>
            <w:tcW w:w="644" w:type="pct"/>
            <w:tcBorders>
              <w:top w:val="nil"/>
              <w:left w:val="nil"/>
              <w:bottom w:val="single" w:sz="4" w:space="0" w:color="auto"/>
              <w:right w:val="single" w:sz="4" w:space="0" w:color="auto"/>
            </w:tcBorders>
            <w:shd w:val="clear" w:color="auto" w:fill="auto"/>
            <w:vAlign w:val="center"/>
          </w:tcPr>
          <w:p w14:paraId="35FE17B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6FE16CF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70-300</w:t>
            </w:r>
          </w:p>
        </w:tc>
        <w:tc>
          <w:tcPr>
            <w:tcW w:w="1228" w:type="pct"/>
            <w:tcBorders>
              <w:top w:val="nil"/>
              <w:left w:val="nil"/>
              <w:bottom w:val="single" w:sz="4" w:space="0" w:color="auto"/>
              <w:right w:val="single" w:sz="4" w:space="0" w:color="auto"/>
            </w:tcBorders>
            <w:shd w:val="clear" w:color="auto" w:fill="auto"/>
          </w:tcPr>
          <w:p w14:paraId="361E78F4" w14:textId="77777777" w:rsidR="00A320E6" w:rsidRDefault="00000000" w:rsidP="00A1539E">
            <w:pPr>
              <w:snapToGrid w:val="0"/>
              <w:jc w:val="left"/>
              <w:rPr>
                <w:rFonts w:ascii="宋体" w:hAnsi="宋体" w:cs="宋体"/>
                <w:kern w:val="0"/>
                <w:szCs w:val="21"/>
              </w:rPr>
            </w:pPr>
            <w:r>
              <w:rPr>
                <w:rFonts w:ascii="宋体" w:hAnsi="宋体" w:cs="宋体" w:hint="eastAsia"/>
                <w:kern w:val="0"/>
                <w:szCs w:val="21"/>
              </w:rPr>
              <w:t xml:space="preserve">　</w:t>
            </w:r>
          </w:p>
        </w:tc>
      </w:tr>
      <w:tr w:rsidR="00A320E6" w14:paraId="12C14A2B" w14:textId="77777777" w:rsidTr="00E77641">
        <w:trPr>
          <w:trHeight w:val="510"/>
        </w:trPr>
        <w:tc>
          <w:tcPr>
            <w:tcW w:w="439" w:type="pct"/>
            <w:tcBorders>
              <w:top w:val="nil"/>
              <w:left w:val="single" w:sz="4" w:space="0" w:color="auto"/>
              <w:bottom w:val="single" w:sz="4" w:space="0" w:color="auto"/>
              <w:right w:val="single" w:sz="4" w:space="0" w:color="auto"/>
            </w:tcBorders>
            <w:shd w:val="clear" w:color="auto" w:fill="auto"/>
            <w:vAlign w:val="center"/>
          </w:tcPr>
          <w:p w14:paraId="5669F95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w:t>
            </w:r>
          </w:p>
        </w:tc>
        <w:tc>
          <w:tcPr>
            <w:tcW w:w="503" w:type="pct"/>
            <w:tcBorders>
              <w:top w:val="nil"/>
              <w:left w:val="nil"/>
              <w:bottom w:val="single" w:sz="4" w:space="0" w:color="auto"/>
              <w:right w:val="single" w:sz="4" w:space="0" w:color="auto"/>
            </w:tcBorders>
            <w:shd w:val="clear" w:color="auto" w:fill="auto"/>
            <w:vAlign w:val="center"/>
          </w:tcPr>
          <w:p w14:paraId="3A8E9D9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电器</w:t>
            </w:r>
          </w:p>
          <w:p w14:paraId="0C3FE1A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用房</w:t>
            </w:r>
          </w:p>
        </w:tc>
        <w:tc>
          <w:tcPr>
            <w:tcW w:w="1362" w:type="pct"/>
            <w:tcBorders>
              <w:top w:val="nil"/>
              <w:left w:val="nil"/>
              <w:bottom w:val="single" w:sz="4" w:space="0" w:color="auto"/>
              <w:right w:val="single" w:sz="4" w:space="0" w:color="auto"/>
            </w:tcBorders>
            <w:shd w:val="clear" w:color="auto" w:fill="auto"/>
            <w:vAlign w:val="center"/>
          </w:tcPr>
          <w:p w14:paraId="09BF8D1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1493AC2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nil"/>
              <w:right w:val="single" w:sz="4" w:space="0" w:color="auto"/>
            </w:tcBorders>
            <w:shd w:val="clear" w:color="auto" w:fill="auto"/>
            <w:vAlign w:val="center"/>
          </w:tcPr>
          <w:p w14:paraId="003F377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420-1000</w:t>
            </w:r>
          </w:p>
        </w:tc>
        <w:tc>
          <w:tcPr>
            <w:tcW w:w="1228" w:type="pct"/>
            <w:tcBorders>
              <w:top w:val="nil"/>
              <w:left w:val="nil"/>
              <w:bottom w:val="single" w:sz="4" w:space="0" w:color="auto"/>
              <w:right w:val="single" w:sz="4" w:space="0" w:color="auto"/>
            </w:tcBorders>
            <w:shd w:val="clear" w:color="auto" w:fill="auto"/>
            <w:vAlign w:val="center"/>
          </w:tcPr>
          <w:p w14:paraId="1440BDE2" w14:textId="77777777" w:rsidR="00A320E6" w:rsidRDefault="00000000" w:rsidP="00A1539E">
            <w:pPr>
              <w:snapToGrid w:val="0"/>
              <w:jc w:val="left"/>
              <w:rPr>
                <w:rFonts w:ascii="宋体" w:hAnsi="宋体" w:cs="宋体"/>
                <w:kern w:val="0"/>
                <w:szCs w:val="21"/>
              </w:rPr>
            </w:pPr>
            <w:r>
              <w:rPr>
                <w:rFonts w:ascii="宋体" w:hAnsi="宋体" w:cs="宋体" w:hint="eastAsia"/>
                <w:kern w:val="0"/>
                <w:szCs w:val="21"/>
              </w:rPr>
              <w:t xml:space="preserve">　</w:t>
            </w:r>
          </w:p>
        </w:tc>
      </w:tr>
      <w:tr w:rsidR="00A320E6" w14:paraId="78A5EB6A" w14:textId="77777777" w:rsidTr="00E77641">
        <w:trPr>
          <w:trHeight w:val="300"/>
        </w:trPr>
        <w:tc>
          <w:tcPr>
            <w:tcW w:w="439" w:type="pct"/>
            <w:tcBorders>
              <w:top w:val="nil"/>
              <w:left w:val="single" w:sz="4" w:space="0" w:color="auto"/>
              <w:bottom w:val="single" w:sz="4" w:space="0" w:color="auto"/>
              <w:right w:val="single" w:sz="4" w:space="0" w:color="auto"/>
            </w:tcBorders>
            <w:shd w:val="clear" w:color="auto" w:fill="auto"/>
            <w:vAlign w:val="center"/>
          </w:tcPr>
          <w:p w14:paraId="1C4704E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w:t>
            </w:r>
          </w:p>
        </w:tc>
        <w:tc>
          <w:tcPr>
            <w:tcW w:w="503" w:type="pct"/>
            <w:tcBorders>
              <w:top w:val="nil"/>
              <w:left w:val="nil"/>
              <w:bottom w:val="single" w:sz="4" w:space="0" w:color="auto"/>
              <w:right w:val="single" w:sz="4" w:space="0" w:color="auto"/>
            </w:tcBorders>
            <w:shd w:val="clear" w:color="auto" w:fill="auto"/>
            <w:vAlign w:val="center"/>
          </w:tcPr>
          <w:p w14:paraId="6B94078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机井房</w:t>
            </w:r>
          </w:p>
        </w:tc>
        <w:tc>
          <w:tcPr>
            <w:tcW w:w="1362" w:type="pct"/>
            <w:tcBorders>
              <w:top w:val="nil"/>
              <w:left w:val="nil"/>
              <w:bottom w:val="single" w:sz="4" w:space="0" w:color="auto"/>
              <w:right w:val="single" w:sz="4" w:space="0" w:color="auto"/>
            </w:tcBorders>
            <w:shd w:val="clear" w:color="auto" w:fill="auto"/>
            <w:vAlign w:val="center"/>
          </w:tcPr>
          <w:p w14:paraId="28F1FB3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663F754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single" w:sz="4" w:space="0" w:color="auto"/>
              <w:left w:val="nil"/>
              <w:bottom w:val="nil"/>
              <w:right w:val="single" w:sz="4" w:space="0" w:color="auto"/>
            </w:tcBorders>
            <w:shd w:val="clear" w:color="auto" w:fill="auto"/>
            <w:vAlign w:val="center"/>
          </w:tcPr>
          <w:p w14:paraId="2B82E7C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400-950</w:t>
            </w:r>
          </w:p>
        </w:tc>
        <w:tc>
          <w:tcPr>
            <w:tcW w:w="1228" w:type="pct"/>
            <w:tcBorders>
              <w:top w:val="nil"/>
              <w:left w:val="nil"/>
              <w:bottom w:val="single" w:sz="4" w:space="0" w:color="auto"/>
              <w:right w:val="single" w:sz="4" w:space="0" w:color="auto"/>
            </w:tcBorders>
            <w:shd w:val="clear" w:color="auto" w:fill="auto"/>
            <w:vAlign w:val="center"/>
          </w:tcPr>
          <w:p w14:paraId="5802A5F7" w14:textId="77777777" w:rsidR="00A320E6" w:rsidRDefault="00000000" w:rsidP="00A1539E">
            <w:pPr>
              <w:snapToGrid w:val="0"/>
              <w:jc w:val="left"/>
              <w:rPr>
                <w:rFonts w:ascii="宋体" w:hAnsi="宋体" w:cs="宋体"/>
                <w:kern w:val="0"/>
                <w:szCs w:val="21"/>
              </w:rPr>
            </w:pPr>
            <w:r>
              <w:rPr>
                <w:rFonts w:ascii="宋体" w:hAnsi="宋体" w:cs="宋体" w:hint="eastAsia"/>
                <w:kern w:val="0"/>
                <w:szCs w:val="21"/>
              </w:rPr>
              <w:t xml:space="preserve">　</w:t>
            </w:r>
          </w:p>
        </w:tc>
      </w:tr>
      <w:tr w:rsidR="00A320E6" w14:paraId="40427FAF" w14:textId="77777777" w:rsidTr="00E77641">
        <w:trPr>
          <w:trHeight w:val="1155"/>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104536E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A58C77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畜禽舍</w:t>
            </w:r>
          </w:p>
        </w:tc>
        <w:tc>
          <w:tcPr>
            <w:tcW w:w="1362" w:type="pct"/>
            <w:tcBorders>
              <w:top w:val="nil"/>
              <w:left w:val="nil"/>
              <w:bottom w:val="single" w:sz="4" w:space="0" w:color="auto"/>
              <w:right w:val="single" w:sz="4" w:space="0" w:color="auto"/>
            </w:tcBorders>
            <w:shd w:val="clear" w:color="auto" w:fill="auto"/>
            <w:vAlign w:val="center"/>
          </w:tcPr>
          <w:p w14:paraId="4AE9D26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砖混或砖木结构</w:t>
            </w:r>
          </w:p>
        </w:tc>
        <w:tc>
          <w:tcPr>
            <w:tcW w:w="644" w:type="pct"/>
            <w:tcBorders>
              <w:top w:val="nil"/>
              <w:left w:val="nil"/>
              <w:bottom w:val="single" w:sz="4" w:space="0" w:color="auto"/>
              <w:right w:val="single" w:sz="4" w:space="0" w:color="auto"/>
            </w:tcBorders>
            <w:shd w:val="clear" w:color="auto" w:fill="auto"/>
            <w:vAlign w:val="center"/>
          </w:tcPr>
          <w:p w14:paraId="073900D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single" w:sz="4" w:space="0" w:color="auto"/>
              <w:left w:val="nil"/>
              <w:bottom w:val="single" w:sz="4" w:space="0" w:color="auto"/>
              <w:right w:val="single" w:sz="4" w:space="0" w:color="auto"/>
            </w:tcBorders>
            <w:shd w:val="clear" w:color="auto" w:fill="auto"/>
            <w:vAlign w:val="center"/>
          </w:tcPr>
          <w:p w14:paraId="30E2595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300-450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768AA756" w14:textId="77777777" w:rsidR="00A320E6" w:rsidRDefault="00000000" w:rsidP="00A1539E">
            <w:pPr>
              <w:snapToGrid w:val="0"/>
              <w:rPr>
                <w:rFonts w:ascii="宋体" w:hAnsi="宋体" w:cs="宋体"/>
                <w:kern w:val="0"/>
                <w:szCs w:val="21"/>
              </w:rPr>
            </w:pPr>
            <w:r>
              <w:rPr>
                <w:rFonts w:ascii="宋体" w:hAnsi="宋体" w:cs="宋体" w:hint="eastAsia"/>
                <w:kern w:val="0"/>
                <w:szCs w:val="21"/>
              </w:rPr>
              <w:t>1.本标准所列畜禽舍为农户自家养殖的普通畜禽舍，经营性的或规模化养殖的畜禽舍补偿标准按评估价格确定。</w:t>
            </w:r>
            <w:r>
              <w:rPr>
                <w:rFonts w:ascii="宋体" w:hAnsi="宋体" w:cs="宋体" w:hint="eastAsia"/>
                <w:kern w:val="0"/>
                <w:szCs w:val="21"/>
              </w:rPr>
              <w:br/>
              <w:t>2.旧料归原主。</w:t>
            </w:r>
          </w:p>
        </w:tc>
      </w:tr>
      <w:tr w:rsidR="00A320E6" w14:paraId="57749038"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22936B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224D1A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98C2FA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简易结构</w:t>
            </w:r>
          </w:p>
        </w:tc>
        <w:tc>
          <w:tcPr>
            <w:tcW w:w="644" w:type="pct"/>
            <w:tcBorders>
              <w:top w:val="nil"/>
              <w:left w:val="nil"/>
              <w:bottom w:val="single" w:sz="4" w:space="0" w:color="auto"/>
              <w:right w:val="single" w:sz="4" w:space="0" w:color="auto"/>
            </w:tcBorders>
            <w:shd w:val="clear" w:color="auto" w:fill="auto"/>
            <w:vAlign w:val="center"/>
          </w:tcPr>
          <w:p w14:paraId="020D5C7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55A1BEB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80-250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91E38C4" w14:textId="77777777" w:rsidR="00A320E6" w:rsidRDefault="00A320E6" w:rsidP="00A1539E">
            <w:pPr>
              <w:snapToGrid w:val="0"/>
              <w:rPr>
                <w:rFonts w:ascii="宋体" w:hAnsi="宋体" w:cs="宋体"/>
                <w:kern w:val="0"/>
                <w:szCs w:val="21"/>
              </w:rPr>
            </w:pPr>
          </w:p>
        </w:tc>
      </w:tr>
      <w:tr w:rsidR="00A320E6" w14:paraId="0E160A28" w14:textId="77777777" w:rsidTr="00E77641">
        <w:trPr>
          <w:trHeight w:val="30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2DCD861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09E00B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厕所</w:t>
            </w:r>
          </w:p>
        </w:tc>
        <w:tc>
          <w:tcPr>
            <w:tcW w:w="1362" w:type="pct"/>
            <w:tcBorders>
              <w:top w:val="nil"/>
              <w:left w:val="nil"/>
              <w:bottom w:val="single" w:sz="4" w:space="0" w:color="auto"/>
              <w:right w:val="single" w:sz="4" w:space="0" w:color="auto"/>
            </w:tcBorders>
            <w:shd w:val="clear" w:color="auto" w:fill="auto"/>
            <w:vAlign w:val="center"/>
          </w:tcPr>
          <w:p w14:paraId="088E369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封闭较好</w:t>
            </w:r>
          </w:p>
        </w:tc>
        <w:tc>
          <w:tcPr>
            <w:tcW w:w="644" w:type="pct"/>
            <w:tcBorders>
              <w:top w:val="nil"/>
              <w:left w:val="nil"/>
              <w:bottom w:val="single" w:sz="4" w:space="0" w:color="auto"/>
              <w:right w:val="single" w:sz="4" w:space="0" w:color="auto"/>
            </w:tcBorders>
            <w:shd w:val="clear" w:color="auto" w:fill="auto"/>
            <w:vAlign w:val="center"/>
          </w:tcPr>
          <w:p w14:paraId="52D0E49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32DF703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180-500</w:t>
            </w:r>
          </w:p>
        </w:tc>
        <w:tc>
          <w:tcPr>
            <w:tcW w:w="1228" w:type="pct"/>
            <w:tcBorders>
              <w:top w:val="nil"/>
              <w:left w:val="nil"/>
              <w:bottom w:val="single" w:sz="4" w:space="0" w:color="auto"/>
              <w:right w:val="single" w:sz="4" w:space="0" w:color="auto"/>
            </w:tcBorders>
            <w:shd w:val="clear" w:color="auto" w:fill="auto"/>
            <w:vAlign w:val="center"/>
          </w:tcPr>
          <w:p w14:paraId="40E0E09F"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50C195F2"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E90649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46EE5D2"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D73665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封闭较差或露天简易厕所</w:t>
            </w:r>
          </w:p>
        </w:tc>
        <w:tc>
          <w:tcPr>
            <w:tcW w:w="644" w:type="pct"/>
            <w:tcBorders>
              <w:top w:val="nil"/>
              <w:left w:val="nil"/>
              <w:bottom w:val="single" w:sz="4" w:space="0" w:color="auto"/>
              <w:right w:val="single" w:sz="4" w:space="0" w:color="auto"/>
            </w:tcBorders>
            <w:shd w:val="clear" w:color="auto" w:fill="auto"/>
            <w:vAlign w:val="center"/>
          </w:tcPr>
          <w:p w14:paraId="3F2A8C5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5E5608C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70-200</w:t>
            </w:r>
          </w:p>
        </w:tc>
        <w:tc>
          <w:tcPr>
            <w:tcW w:w="1228" w:type="pct"/>
            <w:tcBorders>
              <w:top w:val="nil"/>
              <w:left w:val="nil"/>
              <w:bottom w:val="single" w:sz="4" w:space="0" w:color="auto"/>
              <w:right w:val="single" w:sz="4" w:space="0" w:color="auto"/>
            </w:tcBorders>
            <w:shd w:val="clear" w:color="auto" w:fill="auto"/>
            <w:vAlign w:val="center"/>
          </w:tcPr>
          <w:p w14:paraId="259B4562"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3FF17191" w14:textId="77777777" w:rsidTr="00E77641">
        <w:trPr>
          <w:trHeight w:val="826"/>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2DA23A7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3AA6B2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硬化</w:t>
            </w:r>
          </w:p>
          <w:p w14:paraId="7BDDBBA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地面</w:t>
            </w:r>
          </w:p>
        </w:tc>
        <w:tc>
          <w:tcPr>
            <w:tcW w:w="1362" w:type="pct"/>
            <w:tcBorders>
              <w:top w:val="nil"/>
              <w:left w:val="nil"/>
              <w:bottom w:val="single" w:sz="4" w:space="0" w:color="auto"/>
              <w:right w:val="single" w:sz="4" w:space="0" w:color="auto"/>
            </w:tcBorders>
            <w:shd w:val="clear" w:color="auto" w:fill="auto"/>
            <w:vAlign w:val="center"/>
          </w:tcPr>
          <w:p w14:paraId="047461D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水泥硬化厚度小于6厘米（含6厘米）</w:t>
            </w:r>
          </w:p>
        </w:tc>
        <w:tc>
          <w:tcPr>
            <w:tcW w:w="644" w:type="pct"/>
            <w:tcBorders>
              <w:top w:val="nil"/>
              <w:left w:val="nil"/>
              <w:bottom w:val="single" w:sz="4" w:space="0" w:color="auto"/>
              <w:right w:val="single" w:sz="4" w:space="0" w:color="auto"/>
            </w:tcBorders>
            <w:shd w:val="clear" w:color="auto" w:fill="auto"/>
            <w:vAlign w:val="center"/>
          </w:tcPr>
          <w:p w14:paraId="7FD93D4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C11C3E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30-60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60949A54" w14:textId="77777777" w:rsidR="00A320E6" w:rsidRDefault="00000000" w:rsidP="00A1539E">
            <w:pPr>
              <w:snapToGrid w:val="0"/>
              <w:rPr>
                <w:rFonts w:ascii="宋体" w:hAnsi="宋体" w:cs="宋体"/>
                <w:kern w:val="0"/>
                <w:szCs w:val="21"/>
              </w:rPr>
            </w:pPr>
            <w:r>
              <w:rPr>
                <w:rFonts w:ascii="宋体" w:hAnsi="宋体" w:cs="宋体" w:hint="eastAsia"/>
                <w:kern w:val="0"/>
                <w:szCs w:val="21"/>
              </w:rPr>
              <w:t>1.水泥硬化厚度超过20厘米的，每增加1厘米，补偿标准增加5元/㎡。</w:t>
            </w:r>
            <w:r>
              <w:rPr>
                <w:rFonts w:ascii="宋体" w:hAnsi="宋体" w:cs="宋体" w:hint="eastAsia"/>
                <w:kern w:val="0"/>
                <w:szCs w:val="21"/>
              </w:rPr>
              <w:br/>
              <w:t>2.旧料归原主。</w:t>
            </w:r>
          </w:p>
        </w:tc>
      </w:tr>
      <w:tr w:rsidR="00A320E6" w14:paraId="5C057342"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C9E947B"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AB2ED2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D3FD88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水泥硬化厚度6厘米以上的，20厘米以下（含20厘米）</w:t>
            </w:r>
          </w:p>
        </w:tc>
        <w:tc>
          <w:tcPr>
            <w:tcW w:w="644" w:type="pct"/>
            <w:tcBorders>
              <w:top w:val="nil"/>
              <w:left w:val="nil"/>
              <w:bottom w:val="single" w:sz="4" w:space="0" w:color="auto"/>
              <w:right w:val="single" w:sz="4" w:space="0" w:color="auto"/>
            </w:tcBorders>
            <w:shd w:val="clear" w:color="auto" w:fill="auto"/>
            <w:vAlign w:val="center"/>
          </w:tcPr>
          <w:p w14:paraId="3562FFE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31FFE54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60-130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410AF27D" w14:textId="77777777" w:rsidR="00A320E6" w:rsidRDefault="00A320E6" w:rsidP="00A1539E">
            <w:pPr>
              <w:snapToGrid w:val="0"/>
              <w:rPr>
                <w:rFonts w:ascii="宋体" w:hAnsi="宋体" w:cs="宋体"/>
                <w:kern w:val="0"/>
                <w:szCs w:val="21"/>
              </w:rPr>
            </w:pPr>
          </w:p>
        </w:tc>
      </w:tr>
      <w:tr w:rsidR="00A320E6" w14:paraId="0EDC49F6"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823A09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9D5879E"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FC0976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其他硬化</w:t>
            </w:r>
          </w:p>
        </w:tc>
        <w:tc>
          <w:tcPr>
            <w:tcW w:w="644" w:type="pct"/>
            <w:tcBorders>
              <w:top w:val="nil"/>
              <w:left w:val="nil"/>
              <w:bottom w:val="single" w:sz="4" w:space="0" w:color="auto"/>
              <w:right w:val="single" w:sz="4" w:space="0" w:color="auto"/>
            </w:tcBorders>
            <w:shd w:val="clear" w:color="auto" w:fill="auto"/>
            <w:vAlign w:val="center"/>
          </w:tcPr>
          <w:p w14:paraId="5A7D56E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tcPr>
          <w:p w14:paraId="157BF23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25-70</w:t>
            </w:r>
          </w:p>
        </w:tc>
        <w:tc>
          <w:tcPr>
            <w:tcW w:w="1228" w:type="pct"/>
            <w:tcBorders>
              <w:top w:val="nil"/>
              <w:left w:val="nil"/>
              <w:bottom w:val="single" w:sz="4" w:space="0" w:color="auto"/>
              <w:right w:val="single" w:sz="4" w:space="0" w:color="auto"/>
            </w:tcBorders>
            <w:shd w:val="clear" w:color="auto" w:fill="auto"/>
          </w:tcPr>
          <w:p w14:paraId="4F085CC8"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7C28D80E" w14:textId="77777777" w:rsidTr="00E77641">
        <w:trPr>
          <w:trHeight w:val="30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340E2C0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11</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1EBBAAD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道路</w:t>
            </w:r>
          </w:p>
        </w:tc>
        <w:tc>
          <w:tcPr>
            <w:tcW w:w="1362" w:type="pct"/>
            <w:tcBorders>
              <w:top w:val="nil"/>
              <w:left w:val="nil"/>
              <w:bottom w:val="single" w:sz="4" w:space="0" w:color="auto"/>
              <w:right w:val="single" w:sz="4" w:space="0" w:color="auto"/>
            </w:tcBorders>
            <w:shd w:val="clear" w:color="auto" w:fill="auto"/>
            <w:vAlign w:val="center"/>
          </w:tcPr>
          <w:p w14:paraId="20969B1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沥青硬化</w:t>
            </w:r>
          </w:p>
        </w:tc>
        <w:tc>
          <w:tcPr>
            <w:tcW w:w="644" w:type="pct"/>
            <w:tcBorders>
              <w:top w:val="nil"/>
              <w:left w:val="nil"/>
              <w:bottom w:val="single" w:sz="4" w:space="0" w:color="auto"/>
              <w:right w:val="single" w:sz="4" w:space="0" w:color="auto"/>
            </w:tcBorders>
            <w:shd w:val="clear" w:color="auto" w:fill="auto"/>
            <w:vAlign w:val="center"/>
          </w:tcPr>
          <w:p w14:paraId="4CC924D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tcPr>
          <w:p w14:paraId="5B97114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100-180</w:t>
            </w:r>
          </w:p>
        </w:tc>
        <w:tc>
          <w:tcPr>
            <w:tcW w:w="1228" w:type="pct"/>
            <w:tcBorders>
              <w:top w:val="nil"/>
              <w:left w:val="nil"/>
              <w:bottom w:val="single" w:sz="4" w:space="0" w:color="auto"/>
              <w:right w:val="single" w:sz="4" w:space="0" w:color="auto"/>
            </w:tcBorders>
            <w:shd w:val="clear" w:color="auto" w:fill="auto"/>
          </w:tcPr>
          <w:p w14:paraId="4D7E2A48"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7BF9B907"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5F5915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8D6756C"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663ABD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水泥硬化</w:t>
            </w:r>
          </w:p>
        </w:tc>
        <w:tc>
          <w:tcPr>
            <w:tcW w:w="644" w:type="pct"/>
            <w:tcBorders>
              <w:top w:val="nil"/>
              <w:left w:val="nil"/>
              <w:bottom w:val="single" w:sz="4" w:space="0" w:color="auto"/>
              <w:right w:val="single" w:sz="4" w:space="0" w:color="auto"/>
            </w:tcBorders>
            <w:shd w:val="clear" w:color="auto" w:fill="auto"/>
            <w:vAlign w:val="center"/>
          </w:tcPr>
          <w:p w14:paraId="48C5326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tcPr>
          <w:p w14:paraId="502B493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80-160</w:t>
            </w:r>
          </w:p>
        </w:tc>
        <w:tc>
          <w:tcPr>
            <w:tcW w:w="1228" w:type="pct"/>
            <w:tcBorders>
              <w:top w:val="nil"/>
              <w:left w:val="nil"/>
              <w:bottom w:val="single" w:sz="4" w:space="0" w:color="auto"/>
              <w:right w:val="single" w:sz="4" w:space="0" w:color="auto"/>
            </w:tcBorders>
            <w:shd w:val="clear" w:color="auto" w:fill="auto"/>
          </w:tcPr>
          <w:p w14:paraId="27A4E534"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591F41DD"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63C4A23"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1F4FFA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F00627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其他硬化</w:t>
            </w:r>
          </w:p>
        </w:tc>
        <w:tc>
          <w:tcPr>
            <w:tcW w:w="644" w:type="pct"/>
            <w:tcBorders>
              <w:top w:val="nil"/>
              <w:left w:val="nil"/>
              <w:bottom w:val="single" w:sz="4" w:space="0" w:color="auto"/>
              <w:right w:val="single" w:sz="4" w:space="0" w:color="auto"/>
            </w:tcBorders>
            <w:shd w:val="clear" w:color="auto" w:fill="auto"/>
            <w:vAlign w:val="center"/>
          </w:tcPr>
          <w:p w14:paraId="7CCE3CE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tcPr>
          <w:p w14:paraId="0F045E3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50-100</w:t>
            </w:r>
          </w:p>
        </w:tc>
        <w:tc>
          <w:tcPr>
            <w:tcW w:w="1228" w:type="pct"/>
            <w:tcBorders>
              <w:top w:val="nil"/>
              <w:left w:val="nil"/>
              <w:bottom w:val="single" w:sz="4" w:space="0" w:color="auto"/>
              <w:right w:val="single" w:sz="4" w:space="0" w:color="auto"/>
            </w:tcBorders>
            <w:shd w:val="clear" w:color="auto" w:fill="auto"/>
          </w:tcPr>
          <w:p w14:paraId="35A013AA"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0B08985F" w14:textId="77777777" w:rsidTr="00E77641">
        <w:trPr>
          <w:trHeight w:val="51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1F2EA4B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12</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5B71A36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围墙</w:t>
            </w:r>
          </w:p>
        </w:tc>
        <w:tc>
          <w:tcPr>
            <w:tcW w:w="1362" w:type="pct"/>
            <w:tcBorders>
              <w:top w:val="nil"/>
              <w:left w:val="nil"/>
              <w:bottom w:val="single" w:sz="4" w:space="0" w:color="auto"/>
              <w:right w:val="single" w:sz="4" w:space="0" w:color="auto"/>
            </w:tcBorders>
            <w:shd w:val="clear" w:color="auto" w:fill="auto"/>
            <w:vAlign w:val="center"/>
          </w:tcPr>
          <w:p w14:paraId="31964C4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红砖墙，墙高在2.5米以上</w:t>
            </w:r>
          </w:p>
        </w:tc>
        <w:tc>
          <w:tcPr>
            <w:tcW w:w="644" w:type="pct"/>
            <w:tcBorders>
              <w:top w:val="nil"/>
              <w:left w:val="nil"/>
              <w:bottom w:val="single" w:sz="4" w:space="0" w:color="auto"/>
              <w:right w:val="single" w:sz="4" w:space="0" w:color="auto"/>
            </w:tcBorders>
            <w:shd w:val="clear" w:color="auto" w:fill="auto"/>
            <w:vAlign w:val="center"/>
          </w:tcPr>
          <w:p w14:paraId="6DF84F6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6A0AEA9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290-360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3FD5E03F" w14:textId="77777777" w:rsidR="00A320E6" w:rsidRDefault="00000000" w:rsidP="00A1539E">
            <w:pPr>
              <w:snapToGrid w:val="0"/>
              <w:rPr>
                <w:rFonts w:ascii="宋体" w:hAnsi="宋体" w:cs="宋体"/>
                <w:kern w:val="0"/>
                <w:szCs w:val="21"/>
              </w:rPr>
            </w:pPr>
            <w:r>
              <w:rPr>
                <w:rFonts w:ascii="宋体" w:hAnsi="宋体" w:cs="宋体" w:hint="eastAsia"/>
                <w:kern w:val="0"/>
                <w:szCs w:val="21"/>
              </w:rPr>
              <w:t>1.红砖墙高度超过3.2米，根据造价另行评估。</w:t>
            </w:r>
            <w:r>
              <w:rPr>
                <w:rFonts w:ascii="宋体" w:hAnsi="宋体" w:cs="宋体" w:hint="eastAsia"/>
                <w:kern w:val="0"/>
                <w:szCs w:val="21"/>
              </w:rPr>
              <w:br/>
              <w:t>2.空心砖砌墙，参照同类红砖墙标准的60%-80%的补偿。</w:t>
            </w:r>
          </w:p>
        </w:tc>
      </w:tr>
      <w:tr w:rsidR="00A320E6" w14:paraId="3F57F673"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63CA32E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F1093B3"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9FF1F8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红砖墙，墙高在2.0-2.5米</w:t>
            </w:r>
          </w:p>
        </w:tc>
        <w:tc>
          <w:tcPr>
            <w:tcW w:w="644" w:type="pct"/>
            <w:tcBorders>
              <w:top w:val="nil"/>
              <w:left w:val="nil"/>
              <w:bottom w:val="single" w:sz="4" w:space="0" w:color="auto"/>
              <w:right w:val="single" w:sz="4" w:space="0" w:color="auto"/>
            </w:tcBorders>
            <w:shd w:val="clear" w:color="auto" w:fill="auto"/>
            <w:vAlign w:val="center"/>
          </w:tcPr>
          <w:p w14:paraId="6B6A692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6C50931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250-290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A28EEA4" w14:textId="77777777" w:rsidR="00A320E6" w:rsidRDefault="00A320E6" w:rsidP="00A1539E">
            <w:pPr>
              <w:snapToGrid w:val="0"/>
              <w:rPr>
                <w:rFonts w:ascii="宋体" w:hAnsi="宋体" w:cs="宋体"/>
                <w:kern w:val="0"/>
                <w:szCs w:val="21"/>
              </w:rPr>
            </w:pPr>
          </w:p>
        </w:tc>
      </w:tr>
      <w:tr w:rsidR="00A320E6" w14:paraId="6BAAB669"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C9670B2"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26E2B1E"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778D83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红砖墙，墙高在1.5-2.0米</w:t>
            </w:r>
          </w:p>
        </w:tc>
        <w:tc>
          <w:tcPr>
            <w:tcW w:w="644" w:type="pct"/>
            <w:tcBorders>
              <w:top w:val="nil"/>
              <w:left w:val="nil"/>
              <w:bottom w:val="single" w:sz="4" w:space="0" w:color="auto"/>
              <w:right w:val="single" w:sz="4" w:space="0" w:color="auto"/>
            </w:tcBorders>
            <w:shd w:val="clear" w:color="auto" w:fill="auto"/>
            <w:vAlign w:val="center"/>
          </w:tcPr>
          <w:p w14:paraId="720AB5C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1FEC756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190-250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4D5FB4DF" w14:textId="77777777" w:rsidR="00A320E6" w:rsidRDefault="00A320E6" w:rsidP="00A1539E">
            <w:pPr>
              <w:snapToGrid w:val="0"/>
              <w:rPr>
                <w:rFonts w:ascii="宋体" w:hAnsi="宋体" w:cs="宋体"/>
                <w:kern w:val="0"/>
                <w:szCs w:val="21"/>
              </w:rPr>
            </w:pPr>
          </w:p>
        </w:tc>
      </w:tr>
      <w:tr w:rsidR="00A320E6" w14:paraId="78CD3D2A"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F24CD7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1EAF053"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D126C6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红砖墙，墙高在1.5米以下</w:t>
            </w:r>
          </w:p>
        </w:tc>
        <w:tc>
          <w:tcPr>
            <w:tcW w:w="644" w:type="pct"/>
            <w:tcBorders>
              <w:top w:val="nil"/>
              <w:left w:val="nil"/>
              <w:bottom w:val="single" w:sz="4" w:space="0" w:color="auto"/>
              <w:right w:val="single" w:sz="4" w:space="0" w:color="auto"/>
            </w:tcBorders>
            <w:shd w:val="clear" w:color="auto" w:fill="auto"/>
            <w:vAlign w:val="center"/>
          </w:tcPr>
          <w:p w14:paraId="46D68E5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01FFD2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110-190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64038BB" w14:textId="77777777" w:rsidR="00A320E6" w:rsidRDefault="00A320E6" w:rsidP="00A1539E">
            <w:pPr>
              <w:snapToGrid w:val="0"/>
              <w:rPr>
                <w:rFonts w:ascii="宋体" w:hAnsi="宋体" w:cs="宋体"/>
                <w:kern w:val="0"/>
                <w:szCs w:val="21"/>
              </w:rPr>
            </w:pPr>
          </w:p>
        </w:tc>
      </w:tr>
      <w:tr w:rsidR="00A320E6" w14:paraId="63D4BA2A"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4B06F4A"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FAA4D9D"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37050E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土坯墙</w:t>
            </w:r>
          </w:p>
        </w:tc>
        <w:tc>
          <w:tcPr>
            <w:tcW w:w="644" w:type="pct"/>
            <w:tcBorders>
              <w:top w:val="nil"/>
              <w:left w:val="nil"/>
              <w:bottom w:val="single" w:sz="4" w:space="0" w:color="auto"/>
              <w:right w:val="single" w:sz="4" w:space="0" w:color="auto"/>
            </w:tcBorders>
            <w:shd w:val="clear" w:color="auto" w:fill="auto"/>
            <w:vAlign w:val="center"/>
          </w:tcPr>
          <w:p w14:paraId="76DBC79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6883DAD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70-180</w:t>
            </w:r>
          </w:p>
        </w:tc>
        <w:tc>
          <w:tcPr>
            <w:tcW w:w="1228" w:type="pct"/>
            <w:tcBorders>
              <w:top w:val="nil"/>
              <w:left w:val="nil"/>
              <w:bottom w:val="single" w:sz="4" w:space="0" w:color="auto"/>
              <w:right w:val="single" w:sz="4" w:space="0" w:color="auto"/>
            </w:tcBorders>
            <w:shd w:val="clear" w:color="auto" w:fill="auto"/>
            <w:vAlign w:val="center"/>
          </w:tcPr>
          <w:p w14:paraId="257064B8"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1E943765"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2F6B67F"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DC40CC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52B758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铁栏围墙（含铁艺围墙）</w:t>
            </w:r>
          </w:p>
        </w:tc>
        <w:tc>
          <w:tcPr>
            <w:tcW w:w="644" w:type="pct"/>
            <w:tcBorders>
              <w:top w:val="nil"/>
              <w:left w:val="nil"/>
              <w:bottom w:val="single" w:sz="4" w:space="0" w:color="auto"/>
              <w:right w:val="single" w:sz="4" w:space="0" w:color="auto"/>
            </w:tcBorders>
            <w:shd w:val="clear" w:color="auto" w:fill="auto"/>
            <w:vAlign w:val="center"/>
          </w:tcPr>
          <w:p w14:paraId="4F48954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2E93D1C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90-240</w:t>
            </w:r>
          </w:p>
        </w:tc>
        <w:tc>
          <w:tcPr>
            <w:tcW w:w="1228" w:type="pct"/>
            <w:tcBorders>
              <w:top w:val="nil"/>
              <w:left w:val="nil"/>
              <w:bottom w:val="single" w:sz="4" w:space="0" w:color="auto"/>
              <w:right w:val="single" w:sz="4" w:space="0" w:color="auto"/>
            </w:tcBorders>
            <w:shd w:val="clear" w:color="auto" w:fill="auto"/>
            <w:vAlign w:val="center"/>
          </w:tcPr>
          <w:p w14:paraId="77E4C631" w14:textId="77777777" w:rsidR="00A320E6" w:rsidRDefault="00000000" w:rsidP="00A1539E">
            <w:pPr>
              <w:snapToGrid w:val="0"/>
              <w:rPr>
                <w:rFonts w:ascii="宋体" w:hAnsi="宋体" w:cs="宋体"/>
                <w:kern w:val="0"/>
                <w:szCs w:val="21"/>
              </w:rPr>
            </w:pPr>
            <w:r>
              <w:rPr>
                <w:rFonts w:ascii="宋体" w:hAnsi="宋体" w:cs="宋体" w:hint="eastAsia"/>
                <w:kern w:val="0"/>
                <w:szCs w:val="21"/>
              </w:rPr>
              <w:t>包含基础等费用。</w:t>
            </w:r>
          </w:p>
        </w:tc>
      </w:tr>
      <w:tr w:rsidR="00A320E6" w14:paraId="1BFCBE99"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71DDF41"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00A97FC"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1754A1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铁丝网围墙（含立柱）</w:t>
            </w:r>
          </w:p>
        </w:tc>
        <w:tc>
          <w:tcPr>
            <w:tcW w:w="644" w:type="pct"/>
            <w:tcBorders>
              <w:top w:val="nil"/>
              <w:left w:val="nil"/>
              <w:bottom w:val="single" w:sz="4" w:space="0" w:color="auto"/>
              <w:right w:val="single" w:sz="4" w:space="0" w:color="auto"/>
            </w:tcBorders>
            <w:shd w:val="clear" w:color="auto" w:fill="auto"/>
            <w:vAlign w:val="center"/>
          </w:tcPr>
          <w:p w14:paraId="0BA7CF9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FD2892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25-60</w:t>
            </w:r>
          </w:p>
        </w:tc>
        <w:tc>
          <w:tcPr>
            <w:tcW w:w="1228" w:type="pct"/>
            <w:tcBorders>
              <w:top w:val="nil"/>
              <w:left w:val="nil"/>
              <w:bottom w:val="single" w:sz="4" w:space="0" w:color="auto"/>
              <w:right w:val="single" w:sz="4" w:space="0" w:color="auto"/>
            </w:tcBorders>
            <w:shd w:val="clear" w:color="auto" w:fill="auto"/>
            <w:vAlign w:val="center"/>
          </w:tcPr>
          <w:p w14:paraId="0AE55BBB"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3D14CEF2" w14:textId="77777777" w:rsidTr="00E77641">
        <w:trPr>
          <w:trHeight w:val="51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4A28A6C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13</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14923CA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温室</w:t>
            </w:r>
          </w:p>
          <w:p w14:paraId="492D231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大棚</w:t>
            </w:r>
          </w:p>
        </w:tc>
        <w:tc>
          <w:tcPr>
            <w:tcW w:w="1362" w:type="pct"/>
            <w:tcBorders>
              <w:top w:val="nil"/>
              <w:left w:val="nil"/>
              <w:bottom w:val="single" w:sz="4" w:space="0" w:color="auto"/>
              <w:right w:val="single" w:sz="4" w:space="0" w:color="auto"/>
            </w:tcBorders>
            <w:shd w:val="clear" w:color="auto" w:fill="auto"/>
            <w:vAlign w:val="center"/>
          </w:tcPr>
          <w:p w14:paraId="63A7F61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新材料连栋智能温室（主体玻璃或PC板）</w:t>
            </w:r>
          </w:p>
        </w:tc>
        <w:tc>
          <w:tcPr>
            <w:tcW w:w="644" w:type="pct"/>
            <w:tcBorders>
              <w:top w:val="nil"/>
              <w:left w:val="nil"/>
              <w:bottom w:val="single" w:sz="4" w:space="0" w:color="auto"/>
              <w:right w:val="single" w:sz="4" w:space="0" w:color="auto"/>
            </w:tcBorders>
            <w:shd w:val="clear" w:color="auto" w:fill="auto"/>
            <w:vAlign w:val="center"/>
          </w:tcPr>
          <w:p w14:paraId="3D985D7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946964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300-600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43FF8818" w14:textId="77777777" w:rsidR="00A320E6" w:rsidRDefault="00000000" w:rsidP="00A1539E">
            <w:pPr>
              <w:snapToGrid w:val="0"/>
              <w:rPr>
                <w:rFonts w:ascii="宋体" w:hAnsi="宋体" w:cs="宋体"/>
                <w:kern w:val="0"/>
                <w:szCs w:val="21"/>
              </w:rPr>
            </w:pPr>
            <w:r>
              <w:rPr>
                <w:rFonts w:ascii="宋体" w:hAnsi="宋体" w:cs="宋体" w:hint="eastAsia"/>
                <w:kern w:val="0"/>
                <w:szCs w:val="21"/>
              </w:rPr>
              <w:t>按大棚占地面积补偿。旧料归原主。</w:t>
            </w:r>
          </w:p>
        </w:tc>
      </w:tr>
      <w:tr w:rsidR="00A320E6" w14:paraId="081A890F"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6253E5AA"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79E9D1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AFDA8F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薄膜连栋智能温室（连栋结构，主体为塑料薄膜）</w:t>
            </w:r>
          </w:p>
        </w:tc>
        <w:tc>
          <w:tcPr>
            <w:tcW w:w="644" w:type="pct"/>
            <w:tcBorders>
              <w:top w:val="nil"/>
              <w:left w:val="nil"/>
              <w:bottom w:val="single" w:sz="4" w:space="0" w:color="auto"/>
              <w:right w:val="single" w:sz="4" w:space="0" w:color="auto"/>
            </w:tcBorders>
            <w:shd w:val="clear" w:color="auto" w:fill="auto"/>
            <w:vAlign w:val="center"/>
          </w:tcPr>
          <w:p w14:paraId="6047E03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072CCE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100-280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0F2B3846" w14:textId="77777777" w:rsidR="00A320E6" w:rsidRDefault="00A320E6" w:rsidP="00A1539E">
            <w:pPr>
              <w:snapToGrid w:val="0"/>
              <w:rPr>
                <w:rFonts w:ascii="宋体" w:hAnsi="宋体" w:cs="宋体"/>
                <w:kern w:val="0"/>
                <w:szCs w:val="21"/>
              </w:rPr>
            </w:pPr>
          </w:p>
        </w:tc>
      </w:tr>
      <w:tr w:rsidR="00A320E6" w14:paraId="49AA056F"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D08BDB1"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36226D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777C89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冬暖式日光温室钢（砼骨架、三面砖石或坯墙）</w:t>
            </w:r>
          </w:p>
        </w:tc>
        <w:tc>
          <w:tcPr>
            <w:tcW w:w="644" w:type="pct"/>
            <w:tcBorders>
              <w:top w:val="nil"/>
              <w:left w:val="nil"/>
              <w:bottom w:val="single" w:sz="4" w:space="0" w:color="auto"/>
              <w:right w:val="single" w:sz="4" w:space="0" w:color="auto"/>
            </w:tcBorders>
            <w:shd w:val="clear" w:color="auto" w:fill="auto"/>
            <w:vAlign w:val="center"/>
          </w:tcPr>
          <w:p w14:paraId="4957FAB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4F3A03A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80-300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FAA7727" w14:textId="77777777" w:rsidR="00A320E6" w:rsidRDefault="00A320E6" w:rsidP="00A1539E">
            <w:pPr>
              <w:snapToGrid w:val="0"/>
              <w:rPr>
                <w:rFonts w:ascii="宋体" w:hAnsi="宋体" w:cs="宋体"/>
                <w:kern w:val="0"/>
                <w:szCs w:val="21"/>
              </w:rPr>
            </w:pPr>
          </w:p>
        </w:tc>
      </w:tr>
      <w:tr w:rsidR="00A320E6" w14:paraId="3C5B81DC"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A9F4D51"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C65D5AB"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9C2F8A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大拱棚（跨度15米以上，钢骨架）</w:t>
            </w:r>
          </w:p>
        </w:tc>
        <w:tc>
          <w:tcPr>
            <w:tcW w:w="644" w:type="pct"/>
            <w:tcBorders>
              <w:top w:val="nil"/>
              <w:left w:val="nil"/>
              <w:bottom w:val="single" w:sz="4" w:space="0" w:color="auto"/>
              <w:right w:val="single" w:sz="4" w:space="0" w:color="auto"/>
            </w:tcBorders>
            <w:shd w:val="clear" w:color="auto" w:fill="auto"/>
            <w:vAlign w:val="center"/>
          </w:tcPr>
          <w:p w14:paraId="67C92DE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2BF2C29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160-220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1B202C98" w14:textId="77777777" w:rsidR="00A320E6" w:rsidRDefault="00A320E6" w:rsidP="00A1539E">
            <w:pPr>
              <w:snapToGrid w:val="0"/>
              <w:rPr>
                <w:rFonts w:ascii="宋体" w:hAnsi="宋体" w:cs="宋体"/>
                <w:kern w:val="0"/>
                <w:szCs w:val="21"/>
              </w:rPr>
            </w:pPr>
          </w:p>
        </w:tc>
      </w:tr>
      <w:tr w:rsidR="00A320E6" w14:paraId="157DCDD5"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D91A912"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80FCA5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0D24B4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大拱棚（跨度8-15米，钢骨架）</w:t>
            </w:r>
          </w:p>
        </w:tc>
        <w:tc>
          <w:tcPr>
            <w:tcW w:w="644" w:type="pct"/>
            <w:tcBorders>
              <w:top w:val="nil"/>
              <w:left w:val="nil"/>
              <w:bottom w:val="single" w:sz="4" w:space="0" w:color="auto"/>
              <w:right w:val="single" w:sz="4" w:space="0" w:color="auto"/>
            </w:tcBorders>
            <w:shd w:val="clear" w:color="auto" w:fill="auto"/>
            <w:vAlign w:val="center"/>
          </w:tcPr>
          <w:p w14:paraId="6E9F2E1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6BB760B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100-160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5068088" w14:textId="77777777" w:rsidR="00A320E6" w:rsidRDefault="00A320E6" w:rsidP="00A1539E">
            <w:pPr>
              <w:snapToGrid w:val="0"/>
              <w:rPr>
                <w:rFonts w:ascii="宋体" w:hAnsi="宋体" w:cs="宋体"/>
                <w:kern w:val="0"/>
                <w:szCs w:val="21"/>
              </w:rPr>
            </w:pPr>
          </w:p>
        </w:tc>
      </w:tr>
      <w:tr w:rsidR="00A320E6" w14:paraId="52CD3FA8"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64E119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C048918"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50C380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大拱棚（跨度8米以上，水泥立柱竹骨架或间钢骨架）</w:t>
            </w:r>
          </w:p>
        </w:tc>
        <w:tc>
          <w:tcPr>
            <w:tcW w:w="644" w:type="pct"/>
            <w:tcBorders>
              <w:top w:val="nil"/>
              <w:left w:val="nil"/>
              <w:bottom w:val="single" w:sz="4" w:space="0" w:color="auto"/>
              <w:right w:val="single" w:sz="4" w:space="0" w:color="auto"/>
            </w:tcBorders>
            <w:shd w:val="clear" w:color="auto" w:fill="auto"/>
            <w:vAlign w:val="center"/>
          </w:tcPr>
          <w:p w14:paraId="20CD79D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05C83A8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60-90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D78EA9B" w14:textId="77777777" w:rsidR="00A320E6" w:rsidRDefault="00A320E6" w:rsidP="00A1539E">
            <w:pPr>
              <w:snapToGrid w:val="0"/>
              <w:rPr>
                <w:rFonts w:ascii="宋体" w:hAnsi="宋体" w:cs="宋体"/>
                <w:kern w:val="0"/>
                <w:szCs w:val="21"/>
              </w:rPr>
            </w:pPr>
          </w:p>
        </w:tc>
      </w:tr>
      <w:tr w:rsidR="00A320E6" w14:paraId="0299BB95"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70FF9E8"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AF30602"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83A549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中拱棚（跨度3-8米，间钢骨架或竹骨架）</w:t>
            </w:r>
          </w:p>
        </w:tc>
        <w:tc>
          <w:tcPr>
            <w:tcW w:w="644" w:type="pct"/>
            <w:tcBorders>
              <w:top w:val="nil"/>
              <w:left w:val="nil"/>
              <w:bottom w:val="single" w:sz="4" w:space="0" w:color="auto"/>
              <w:right w:val="single" w:sz="4" w:space="0" w:color="auto"/>
            </w:tcBorders>
            <w:shd w:val="clear" w:color="auto" w:fill="auto"/>
            <w:vAlign w:val="center"/>
          </w:tcPr>
          <w:p w14:paraId="00CB105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093EFFB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25-75</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0E52A6F" w14:textId="77777777" w:rsidR="00A320E6" w:rsidRDefault="00A320E6" w:rsidP="00A1539E">
            <w:pPr>
              <w:snapToGrid w:val="0"/>
              <w:rPr>
                <w:rFonts w:ascii="宋体" w:hAnsi="宋体" w:cs="宋体"/>
                <w:kern w:val="0"/>
                <w:szCs w:val="21"/>
              </w:rPr>
            </w:pPr>
          </w:p>
        </w:tc>
      </w:tr>
      <w:tr w:rsidR="00A320E6" w14:paraId="240B955D"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EBDF76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38CA089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9B73F6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小拱棚（跨度小于3米）</w:t>
            </w:r>
          </w:p>
        </w:tc>
        <w:tc>
          <w:tcPr>
            <w:tcW w:w="644" w:type="pct"/>
            <w:tcBorders>
              <w:top w:val="nil"/>
              <w:left w:val="nil"/>
              <w:bottom w:val="single" w:sz="4" w:space="0" w:color="auto"/>
              <w:right w:val="single" w:sz="4" w:space="0" w:color="auto"/>
            </w:tcBorders>
            <w:shd w:val="clear" w:color="auto" w:fill="auto"/>
            <w:vAlign w:val="center"/>
          </w:tcPr>
          <w:p w14:paraId="46070F2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7DD3DB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5-25</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1D9624B9" w14:textId="77777777" w:rsidR="00A320E6" w:rsidRDefault="00A320E6" w:rsidP="00A1539E">
            <w:pPr>
              <w:snapToGrid w:val="0"/>
              <w:rPr>
                <w:rFonts w:ascii="宋体" w:hAnsi="宋体" w:cs="宋体"/>
                <w:kern w:val="0"/>
                <w:szCs w:val="21"/>
              </w:rPr>
            </w:pPr>
          </w:p>
        </w:tc>
      </w:tr>
      <w:tr w:rsidR="00A320E6" w14:paraId="30EB531C" w14:textId="77777777" w:rsidTr="00E77641">
        <w:trPr>
          <w:trHeight w:val="30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6B6DE78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14</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7258F31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小桥</w:t>
            </w:r>
          </w:p>
        </w:tc>
        <w:tc>
          <w:tcPr>
            <w:tcW w:w="1362" w:type="pct"/>
            <w:tcBorders>
              <w:top w:val="nil"/>
              <w:left w:val="nil"/>
              <w:bottom w:val="single" w:sz="4" w:space="0" w:color="auto"/>
              <w:right w:val="single" w:sz="4" w:space="0" w:color="auto"/>
            </w:tcBorders>
            <w:shd w:val="clear" w:color="auto" w:fill="auto"/>
            <w:vAlign w:val="center"/>
          </w:tcPr>
          <w:p w14:paraId="5972EF0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钢筋混凝土矩形板桥</w:t>
            </w:r>
          </w:p>
        </w:tc>
        <w:tc>
          <w:tcPr>
            <w:tcW w:w="644" w:type="pct"/>
            <w:tcBorders>
              <w:top w:val="nil"/>
              <w:left w:val="nil"/>
              <w:bottom w:val="single" w:sz="4" w:space="0" w:color="auto"/>
              <w:right w:val="single" w:sz="4" w:space="0" w:color="auto"/>
            </w:tcBorders>
            <w:shd w:val="clear" w:color="auto" w:fill="auto"/>
            <w:vAlign w:val="center"/>
          </w:tcPr>
          <w:p w14:paraId="2949D85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0FE06F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1600-2600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7C5DAE0E" w14:textId="77777777" w:rsidR="00A320E6" w:rsidRDefault="00000000" w:rsidP="00A1539E">
            <w:pPr>
              <w:snapToGrid w:val="0"/>
              <w:rPr>
                <w:rFonts w:ascii="宋体" w:hAnsi="宋体" w:cs="宋体"/>
                <w:kern w:val="0"/>
                <w:szCs w:val="21"/>
              </w:rPr>
            </w:pPr>
            <w:r>
              <w:rPr>
                <w:rFonts w:ascii="宋体" w:hAnsi="宋体" w:cs="宋体" w:hint="eastAsia"/>
                <w:kern w:val="0"/>
                <w:szCs w:val="21"/>
              </w:rPr>
              <w:t>按桥面面积计算。</w:t>
            </w:r>
          </w:p>
        </w:tc>
      </w:tr>
      <w:tr w:rsidR="00A320E6" w14:paraId="63FE77DD"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EE0351C"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A624825"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776662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平坦石拱桥</w:t>
            </w:r>
          </w:p>
        </w:tc>
        <w:tc>
          <w:tcPr>
            <w:tcW w:w="644" w:type="pct"/>
            <w:tcBorders>
              <w:top w:val="nil"/>
              <w:left w:val="nil"/>
              <w:bottom w:val="single" w:sz="4" w:space="0" w:color="auto"/>
              <w:right w:val="single" w:sz="4" w:space="0" w:color="auto"/>
            </w:tcBorders>
            <w:shd w:val="clear" w:color="auto" w:fill="auto"/>
            <w:vAlign w:val="center"/>
          </w:tcPr>
          <w:p w14:paraId="143A585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1D5BB77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1300-2100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29AB429" w14:textId="77777777" w:rsidR="00A320E6" w:rsidRDefault="00A320E6" w:rsidP="00A1539E">
            <w:pPr>
              <w:snapToGrid w:val="0"/>
              <w:rPr>
                <w:rFonts w:ascii="宋体" w:hAnsi="宋体" w:cs="宋体"/>
                <w:kern w:val="0"/>
                <w:szCs w:val="21"/>
              </w:rPr>
            </w:pPr>
          </w:p>
        </w:tc>
      </w:tr>
      <w:tr w:rsidR="00A320E6" w14:paraId="3E23678C" w14:textId="77777777" w:rsidTr="00E77641">
        <w:trPr>
          <w:trHeight w:val="30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449338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74983A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A4C627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石拱桥</w:t>
            </w:r>
          </w:p>
        </w:tc>
        <w:tc>
          <w:tcPr>
            <w:tcW w:w="644" w:type="pct"/>
            <w:tcBorders>
              <w:top w:val="nil"/>
              <w:left w:val="nil"/>
              <w:bottom w:val="single" w:sz="4" w:space="0" w:color="auto"/>
              <w:right w:val="single" w:sz="4" w:space="0" w:color="auto"/>
            </w:tcBorders>
            <w:shd w:val="clear" w:color="auto" w:fill="auto"/>
            <w:vAlign w:val="center"/>
          </w:tcPr>
          <w:p w14:paraId="3F69CC6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2</w:t>
            </w:r>
          </w:p>
        </w:tc>
        <w:tc>
          <w:tcPr>
            <w:tcW w:w="824" w:type="pct"/>
            <w:tcBorders>
              <w:top w:val="nil"/>
              <w:left w:val="nil"/>
              <w:bottom w:val="single" w:sz="4" w:space="0" w:color="auto"/>
              <w:right w:val="single" w:sz="4" w:space="0" w:color="auto"/>
            </w:tcBorders>
            <w:shd w:val="clear" w:color="auto" w:fill="auto"/>
            <w:vAlign w:val="center"/>
          </w:tcPr>
          <w:p w14:paraId="58D2E06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2100-3500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2CF7EBF2" w14:textId="77777777" w:rsidR="00A320E6" w:rsidRDefault="00A320E6" w:rsidP="00A1539E">
            <w:pPr>
              <w:snapToGrid w:val="0"/>
              <w:rPr>
                <w:rFonts w:ascii="宋体" w:hAnsi="宋体" w:cs="宋体"/>
                <w:kern w:val="0"/>
                <w:szCs w:val="21"/>
              </w:rPr>
            </w:pPr>
          </w:p>
        </w:tc>
      </w:tr>
      <w:tr w:rsidR="00A320E6" w14:paraId="44D1A633"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6F484E6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15</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3F3EE5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涵洞</w:t>
            </w:r>
          </w:p>
        </w:tc>
        <w:tc>
          <w:tcPr>
            <w:tcW w:w="1362" w:type="pct"/>
            <w:tcBorders>
              <w:top w:val="nil"/>
              <w:left w:val="nil"/>
              <w:bottom w:val="single" w:sz="4" w:space="0" w:color="auto"/>
              <w:right w:val="single" w:sz="4" w:space="0" w:color="auto"/>
            </w:tcBorders>
            <w:shd w:val="clear" w:color="auto" w:fill="auto"/>
            <w:vAlign w:val="center"/>
          </w:tcPr>
          <w:p w14:paraId="000BCA2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石盖板涵跨径1-2米</w:t>
            </w:r>
          </w:p>
        </w:tc>
        <w:tc>
          <w:tcPr>
            <w:tcW w:w="644" w:type="pct"/>
            <w:tcBorders>
              <w:top w:val="nil"/>
              <w:left w:val="nil"/>
              <w:bottom w:val="single" w:sz="4" w:space="0" w:color="auto"/>
              <w:right w:val="single" w:sz="4" w:space="0" w:color="auto"/>
            </w:tcBorders>
            <w:shd w:val="clear" w:color="auto" w:fill="auto"/>
            <w:vAlign w:val="center"/>
          </w:tcPr>
          <w:p w14:paraId="5F56799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13830CF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900-1300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2594496D" w14:textId="77777777" w:rsidR="00A320E6" w:rsidRDefault="00000000" w:rsidP="00A1539E">
            <w:pPr>
              <w:snapToGrid w:val="0"/>
              <w:rPr>
                <w:rFonts w:ascii="宋体" w:hAnsi="宋体" w:cs="宋体"/>
                <w:kern w:val="0"/>
                <w:szCs w:val="21"/>
              </w:rPr>
            </w:pPr>
            <w:r>
              <w:rPr>
                <w:rFonts w:ascii="宋体" w:hAnsi="宋体" w:cs="宋体" w:hint="eastAsia"/>
                <w:kern w:val="0"/>
                <w:szCs w:val="21"/>
              </w:rPr>
              <w:t>按涵洞长度计算。</w:t>
            </w:r>
          </w:p>
        </w:tc>
      </w:tr>
      <w:tr w:rsidR="00A320E6" w14:paraId="28303348"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9E1D6EF"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7FF519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8E9BB4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石拱涵跨径1-2米</w:t>
            </w:r>
          </w:p>
        </w:tc>
        <w:tc>
          <w:tcPr>
            <w:tcW w:w="644" w:type="pct"/>
            <w:tcBorders>
              <w:top w:val="nil"/>
              <w:left w:val="nil"/>
              <w:bottom w:val="single" w:sz="4" w:space="0" w:color="auto"/>
              <w:right w:val="single" w:sz="4" w:space="0" w:color="auto"/>
            </w:tcBorders>
            <w:shd w:val="clear" w:color="auto" w:fill="auto"/>
            <w:vAlign w:val="center"/>
          </w:tcPr>
          <w:p w14:paraId="09C1D60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6C3C987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1500-2000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BB209D5" w14:textId="77777777" w:rsidR="00A320E6" w:rsidRDefault="00A320E6" w:rsidP="00A1539E">
            <w:pPr>
              <w:snapToGrid w:val="0"/>
              <w:rPr>
                <w:rFonts w:ascii="宋体" w:hAnsi="宋体" w:cs="宋体"/>
                <w:kern w:val="0"/>
                <w:szCs w:val="21"/>
              </w:rPr>
            </w:pPr>
          </w:p>
        </w:tc>
      </w:tr>
      <w:tr w:rsidR="00A320E6" w14:paraId="35AB3604"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C2C1138"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19D76CD"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0E347B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石拱涵跨径2米以上</w:t>
            </w:r>
          </w:p>
        </w:tc>
        <w:tc>
          <w:tcPr>
            <w:tcW w:w="644" w:type="pct"/>
            <w:tcBorders>
              <w:top w:val="nil"/>
              <w:left w:val="nil"/>
              <w:bottom w:val="single" w:sz="4" w:space="0" w:color="auto"/>
              <w:right w:val="single" w:sz="4" w:space="0" w:color="auto"/>
            </w:tcBorders>
            <w:shd w:val="clear" w:color="auto" w:fill="auto"/>
            <w:vAlign w:val="center"/>
          </w:tcPr>
          <w:p w14:paraId="1A4284D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04EE9AF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2000-3400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0BB1F43" w14:textId="77777777" w:rsidR="00A320E6" w:rsidRDefault="00A320E6" w:rsidP="00A1539E">
            <w:pPr>
              <w:snapToGrid w:val="0"/>
              <w:rPr>
                <w:rFonts w:ascii="宋体" w:hAnsi="宋体" w:cs="宋体"/>
                <w:kern w:val="0"/>
                <w:szCs w:val="21"/>
              </w:rPr>
            </w:pPr>
          </w:p>
        </w:tc>
      </w:tr>
      <w:tr w:rsidR="00A320E6" w14:paraId="153154F5"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44407C8"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0EB2C58"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910F7A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钢筋混凝土圆管涵跨径1-2米</w:t>
            </w:r>
          </w:p>
        </w:tc>
        <w:tc>
          <w:tcPr>
            <w:tcW w:w="644" w:type="pct"/>
            <w:tcBorders>
              <w:top w:val="nil"/>
              <w:left w:val="nil"/>
              <w:bottom w:val="single" w:sz="4" w:space="0" w:color="auto"/>
              <w:right w:val="single" w:sz="4" w:space="0" w:color="auto"/>
            </w:tcBorders>
            <w:shd w:val="clear" w:color="auto" w:fill="auto"/>
            <w:vAlign w:val="center"/>
          </w:tcPr>
          <w:p w14:paraId="3AF9605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0BF0C21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2100-3000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2E51DA52" w14:textId="77777777" w:rsidR="00A320E6" w:rsidRDefault="00A320E6" w:rsidP="00A1539E">
            <w:pPr>
              <w:snapToGrid w:val="0"/>
              <w:rPr>
                <w:rFonts w:ascii="宋体" w:hAnsi="宋体" w:cs="宋体"/>
                <w:kern w:val="0"/>
                <w:szCs w:val="21"/>
              </w:rPr>
            </w:pPr>
          </w:p>
        </w:tc>
      </w:tr>
      <w:tr w:rsidR="00A320E6" w14:paraId="465BCE4E"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094F454"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D6DEC45"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D0DDDE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钢筋混凝土盖板涵跨径1.5-4米</w:t>
            </w:r>
          </w:p>
        </w:tc>
        <w:tc>
          <w:tcPr>
            <w:tcW w:w="644" w:type="pct"/>
            <w:tcBorders>
              <w:top w:val="nil"/>
              <w:left w:val="nil"/>
              <w:bottom w:val="single" w:sz="4" w:space="0" w:color="auto"/>
              <w:right w:val="single" w:sz="4" w:space="0" w:color="auto"/>
            </w:tcBorders>
            <w:shd w:val="clear" w:color="auto" w:fill="auto"/>
            <w:vAlign w:val="center"/>
          </w:tcPr>
          <w:p w14:paraId="28076BD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FC01CE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2500-3800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48217394" w14:textId="77777777" w:rsidR="00A320E6" w:rsidRDefault="00A320E6" w:rsidP="00A1539E">
            <w:pPr>
              <w:snapToGrid w:val="0"/>
              <w:rPr>
                <w:rFonts w:ascii="宋体" w:hAnsi="宋体" w:cs="宋体"/>
                <w:kern w:val="0"/>
                <w:szCs w:val="21"/>
              </w:rPr>
            </w:pPr>
          </w:p>
        </w:tc>
      </w:tr>
      <w:tr w:rsidR="00A320E6" w14:paraId="5ED634EA" w14:textId="77777777" w:rsidTr="00E77641">
        <w:trPr>
          <w:trHeight w:val="102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4B06627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16</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EFD8C0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水渠</w:t>
            </w:r>
          </w:p>
          <w:p w14:paraId="6FF11BD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水池</w:t>
            </w:r>
          </w:p>
        </w:tc>
        <w:tc>
          <w:tcPr>
            <w:tcW w:w="1362" w:type="pct"/>
            <w:tcBorders>
              <w:top w:val="nil"/>
              <w:left w:val="nil"/>
              <w:bottom w:val="single" w:sz="4" w:space="0" w:color="auto"/>
              <w:right w:val="single" w:sz="4" w:space="0" w:color="auto"/>
            </w:tcBorders>
            <w:shd w:val="clear" w:color="auto" w:fill="auto"/>
            <w:vAlign w:val="center"/>
          </w:tcPr>
          <w:p w14:paraId="0FC4FAC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土筑水渠、水池</w:t>
            </w:r>
          </w:p>
        </w:tc>
        <w:tc>
          <w:tcPr>
            <w:tcW w:w="644" w:type="pct"/>
            <w:tcBorders>
              <w:top w:val="nil"/>
              <w:left w:val="nil"/>
              <w:bottom w:val="single" w:sz="4" w:space="0" w:color="auto"/>
              <w:right w:val="single" w:sz="4" w:space="0" w:color="auto"/>
            </w:tcBorders>
            <w:shd w:val="clear" w:color="auto" w:fill="auto"/>
            <w:vAlign w:val="center"/>
          </w:tcPr>
          <w:p w14:paraId="12D502F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3</w:t>
            </w:r>
          </w:p>
        </w:tc>
        <w:tc>
          <w:tcPr>
            <w:tcW w:w="824" w:type="pct"/>
            <w:tcBorders>
              <w:top w:val="nil"/>
              <w:left w:val="nil"/>
              <w:bottom w:val="single" w:sz="4" w:space="0" w:color="auto"/>
              <w:right w:val="single" w:sz="4" w:space="0" w:color="auto"/>
            </w:tcBorders>
            <w:shd w:val="clear" w:color="auto" w:fill="auto"/>
            <w:vAlign w:val="center"/>
          </w:tcPr>
          <w:p w14:paraId="10DF04A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30-45</w:t>
            </w:r>
          </w:p>
        </w:tc>
        <w:tc>
          <w:tcPr>
            <w:tcW w:w="1228" w:type="pct"/>
            <w:tcBorders>
              <w:top w:val="nil"/>
              <w:left w:val="nil"/>
              <w:bottom w:val="single" w:sz="4" w:space="0" w:color="auto"/>
              <w:right w:val="single" w:sz="4" w:space="0" w:color="auto"/>
            </w:tcBorders>
            <w:shd w:val="clear" w:color="auto" w:fill="auto"/>
            <w:vAlign w:val="center"/>
          </w:tcPr>
          <w:p w14:paraId="56C1AB51" w14:textId="77777777" w:rsidR="00A320E6" w:rsidRDefault="00000000" w:rsidP="00A1539E">
            <w:pPr>
              <w:snapToGrid w:val="0"/>
              <w:rPr>
                <w:rFonts w:ascii="宋体" w:hAnsi="宋体" w:cs="宋体"/>
                <w:kern w:val="0"/>
                <w:szCs w:val="21"/>
              </w:rPr>
            </w:pPr>
            <w:r>
              <w:rPr>
                <w:rFonts w:ascii="宋体" w:hAnsi="宋体" w:cs="宋体" w:hint="eastAsia"/>
                <w:kern w:val="0"/>
                <w:szCs w:val="21"/>
              </w:rPr>
              <w:t>1.不包括田间毛渠；</w:t>
            </w:r>
            <w:r>
              <w:rPr>
                <w:rFonts w:ascii="宋体" w:hAnsi="宋体" w:cs="宋体" w:hint="eastAsia"/>
                <w:kern w:val="0"/>
                <w:szCs w:val="21"/>
              </w:rPr>
              <w:br/>
              <w:t>2.按挖土方体积计算。</w:t>
            </w:r>
          </w:p>
        </w:tc>
      </w:tr>
      <w:tr w:rsidR="00A320E6" w14:paraId="6FCFB331"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AB8E3D3"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209084C"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F8FFBA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石砌水渠、水池</w:t>
            </w:r>
          </w:p>
        </w:tc>
        <w:tc>
          <w:tcPr>
            <w:tcW w:w="644" w:type="pct"/>
            <w:tcBorders>
              <w:top w:val="nil"/>
              <w:left w:val="nil"/>
              <w:bottom w:val="single" w:sz="4" w:space="0" w:color="auto"/>
              <w:right w:val="single" w:sz="4" w:space="0" w:color="auto"/>
            </w:tcBorders>
            <w:shd w:val="clear" w:color="auto" w:fill="auto"/>
            <w:vAlign w:val="center"/>
          </w:tcPr>
          <w:p w14:paraId="41B5869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3</w:t>
            </w:r>
          </w:p>
        </w:tc>
        <w:tc>
          <w:tcPr>
            <w:tcW w:w="824" w:type="pct"/>
            <w:tcBorders>
              <w:top w:val="nil"/>
              <w:left w:val="nil"/>
              <w:bottom w:val="single" w:sz="4" w:space="0" w:color="auto"/>
              <w:right w:val="single" w:sz="4" w:space="0" w:color="auto"/>
            </w:tcBorders>
            <w:shd w:val="clear" w:color="auto" w:fill="auto"/>
            <w:vAlign w:val="center"/>
          </w:tcPr>
          <w:p w14:paraId="6BFA232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250-380</w:t>
            </w:r>
          </w:p>
        </w:tc>
        <w:tc>
          <w:tcPr>
            <w:tcW w:w="1228" w:type="pct"/>
            <w:tcBorders>
              <w:top w:val="nil"/>
              <w:left w:val="nil"/>
              <w:bottom w:val="single" w:sz="4" w:space="0" w:color="auto"/>
              <w:right w:val="single" w:sz="4" w:space="0" w:color="auto"/>
            </w:tcBorders>
            <w:shd w:val="clear" w:color="auto" w:fill="auto"/>
            <w:vAlign w:val="center"/>
          </w:tcPr>
          <w:p w14:paraId="762475FF" w14:textId="77777777" w:rsidR="00A320E6" w:rsidRDefault="00000000" w:rsidP="00A1539E">
            <w:pPr>
              <w:snapToGrid w:val="0"/>
              <w:rPr>
                <w:rFonts w:ascii="宋体" w:hAnsi="宋体" w:cs="宋体"/>
                <w:kern w:val="0"/>
                <w:szCs w:val="21"/>
              </w:rPr>
            </w:pPr>
            <w:r>
              <w:rPr>
                <w:rFonts w:ascii="宋体" w:hAnsi="宋体" w:cs="宋体" w:hint="eastAsia"/>
                <w:kern w:val="0"/>
                <w:szCs w:val="21"/>
              </w:rPr>
              <w:t>1.按用石体积计算。</w:t>
            </w:r>
            <w:r>
              <w:rPr>
                <w:rFonts w:ascii="宋体" w:hAnsi="宋体" w:cs="宋体" w:hint="eastAsia"/>
                <w:kern w:val="0"/>
                <w:szCs w:val="21"/>
              </w:rPr>
              <w:br/>
              <w:t>2.土方另计：30-45元/m。</w:t>
            </w:r>
          </w:p>
        </w:tc>
      </w:tr>
      <w:tr w:rsidR="00A320E6" w14:paraId="0FE4BCF3" w14:textId="77777777" w:rsidTr="00E77641">
        <w:trPr>
          <w:trHeight w:val="765"/>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E1A4CE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203DA6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8DEA7F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砖砌水渠、水池</w:t>
            </w:r>
          </w:p>
        </w:tc>
        <w:tc>
          <w:tcPr>
            <w:tcW w:w="644" w:type="pct"/>
            <w:tcBorders>
              <w:top w:val="nil"/>
              <w:left w:val="nil"/>
              <w:bottom w:val="single" w:sz="4" w:space="0" w:color="auto"/>
              <w:right w:val="single" w:sz="4" w:space="0" w:color="auto"/>
            </w:tcBorders>
            <w:shd w:val="clear" w:color="auto" w:fill="auto"/>
            <w:vAlign w:val="center"/>
          </w:tcPr>
          <w:p w14:paraId="60DF777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元/m</w:t>
            </w:r>
            <w:r>
              <w:rPr>
                <w:rFonts w:ascii="宋体" w:hAnsi="宋体" w:cs="宋体" w:hint="eastAsia"/>
                <w:kern w:val="0"/>
                <w:szCs w:val="21"/>
                <w:vertAlign w:val="superscript"/>
              </w:rPr>
              <w:t>3</w:t>
            </w:r>
          </w:p>
        </w:tc>
        <w:tc>
          <w:tcPr>
            <w:tcW w:w="824" w:type="pct"/>
            <w:tcBorders>
              <w:top w:val="nil"/>
              <w:left w:val="nil"/>
              <w:bottom w:val="single" w:sz="4" w:space="0" w:color="auto"/>
              <w:right w:val="single" w:sz="4" w:space="0" w:color="auto"/>
            </w:tcBorders>
            <w:shd w:val="clear" w:color="auto" w:fill="auto"/>
            <w:vAlign w:val="center"/>
          </w:tcPr>
          <w:p w14:paraId="77F5FE6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350-450</w:t>
            </w:r>
          </w:p>
        </w:tc>
        <w:tc>
          <w:tcPr>
            <w:tcW w:w="1228" w:type="pct"/>
            <w:tcBorders>
              <w:top w:val="nil"/>
              <w:left w:val="nil"/>
              <w:bottom w:val="single" w:sz="4" w:space="0" w:color="auto"/>
              <w:right w:val="single" w:sz="4" w:space="0" w:color="auto"/>
            </w:tcBorders>
            <w:shd w:val="clear" w:color="auto" w:fill="auto"/>
            <w:vAlign w:val="center"/>
          </w:tcPr>
          <w:p w14:paraId="332E3CF1" w14:textId="77777777" w:rsidR="00A320E6" w:rsidRDefault="00000000" w:rsidP="00A1539E">
            <w:pPr>
              <w:snapToGrid w:val="0"/>
              <w:rPr>
                <w:rFonts w:ascii="宋体" w:hAnsi="宋体" w:cs="宋体"/>
                <w:kern w:val="0"/>
                <w:szCs w:val="21"/>
              </w:rPr>
            </w:pPr>
            <w:r>
              <w:rPr>
                <w:rFonts w:ascii="宋体" w:hAnsi="宋体" w:cs="宋体" w:hint="eastAsia"/>
                <w:kern w:val="0"/>
                <w:szCs w:val="21"/>
              </w:rPr>
              <w:t>1.按用砖体积计算。</w:t>
            </w:r>
            <w:r>
              <w:rPr>
                <w:rFonts w:ascii="宋体" w:hAnsi="宋体" w:cs="宋体" w:hint="eastAsia"/>
                <w:kern w:val="0"/>
                <w:szCs w:val="21"/>
              </w:rPr>
              <w:br/>
              <w:t>2.土方另计：30-45元/m。</w:t>
            </w:r>
          </w:p>
        </w:tc>
      </w:tr>
      <w:tr w:rsidR="00A320E6" w14:paraId="2D02631D"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5531701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17</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64A737C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鱼塘、藕塘</w:t>
            </w:r>
          </w:p>
        </w:tc>
        <w:tc>
          <w:tcPr>
            <w:tcW w:w="1362" w:type="pct"/>
            <w:tcBorders>
              <w:top w:val="nil"/>
              <w:left w:val="nil"/>
              <w:bottom w:val="single" w:sz="4" w:space="0" w:color="auto"/>
              <w:right w:val="single" w:sz="4" w:space="0" w:color="auto"/>
            </w:tcBorders>
            <w:shd w:val="clear" w:color="auto" w:fill="auto"/>
            <w:vAlign w:val="center"/>
          </w:tcPr>
          <w:p w14:paraId="7E143B1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土筑池塘</w:t>
            </w:r>
          </w:p>
        </w:tc>
        <w:tc>
          <w:tcPr>
            <w:tcW w:w="644" w:type="pct"/>
            <w:tcBorders>
              <w:top w:val="nil"/>
              <w:left w:val="nil"/>
              <w:bottom w:val="single" w:sz="4" w:space="0" w:color="auto"/>
              <w:right w:val="single" w:sz="4" w:space="0" w:color="auto"/>
            </w:tcBorders>
            <w:shd w:val="clear" w:color="auto" w:fill="auto"/>
            <w:vAlign w:val="center"/>
          </w:tcPr>
          <w:p w14:paraId="692CB59A"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733FCEB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8000-11000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71E9AF99" w14:textId="77777777" w:rsidR="00A320E6" w:rsidRDefault="00000000" w:rsidP="00A1539E">
            <w:pPr>
              <w:snapToGrid w:val="0"/>
              <w:rPr>
                <w:rFonts w:ascii="宋体" w:hAnsi="宋体" w:cs="宋体"/>
                <w:kern w:val="0"/>
                <w:szCs w:val="21"/>
              </w:rPr>
            </w:pPr>
            <w:r>
              <w:rPr>
                <w:rFonts w:ascii="宋体" w:hAnsi="宋体" w:cs="宋体" w:hint="eastAsia"/>
                <w:kern w:val="0"/>
                <w:szCs w:val="21"/>
              </w:rPr>
              <w:t>含土石方工程和鱼苗、藕损失，旧料归原主。</w:t>
            </w:r>
          </w:p>
        </w:tc>
      </w:tr>
      <w:tr w:rsidR="00A320E6" w14:paraId="488457C7"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FA123FB"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3EE22DB"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1BC212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砖砌池塘</w:t>
            </w:r>
          </w:p>
        </w:tc>
        <w:tc>
          <w:tcPr>
            <w:tcW w:w="644" w:type="pct"/>
            <w:tcBorders>
              <w:top w:val="nil"/>
              <w:left w:val="nil"/>
              <w:bottom w:val="single" w:sz="4" w:space="0" w:color="auto"/>
              <w:right w:val="single" w:sz="4" w:space="0" w:color="auto"/>
            </w:tcBorders>
            <w:shd w:val="clear" w:color="auto" w:fill="auto"/>
            <w:vAlign w:val="center"/>
          </w:tcPr>
          <w:p w14:paraId="794F7BF3"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7953035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9000-16000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00B55B83" w14:textId="77777777" w:rsidR="00A320E6" w:rsidRDefault="00A320E6" w:rsidP="00A1539E">
            <w:pPr>
              <w:snapToGrid w:val="0"/>
              <w:rPr>
                <w:rFonts w:ascii="宋体" w:hAnsi="宋体" w:cs="宋体"/>
                <w:kern w:val="0"/>
                <w:szCs w:val="21"/>
              </w:rPr>
            </w:pPr>
          </w:p>
        </w:tc>
      </w:tr>
      <w:tr w:rsidR="00A320E6" w14:paraId="1840D719"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828471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C3AE09E"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9C7E2E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石砌池塘</w:t>
            </w:r>
          </w:p>
        </w:tc>
        <w:tc>
          <w:tcPr>
            <w:tcW w:w="644" w:type="pct"/>
            <w:tcBorders>
              <w:top w:val="nil"/>
              <w:left w:val="nil"/>
              <w:bottom w:val="single" w:sz="4" w:space="0" w:color="auto"/>
              <w:right w:val="single" w:sz="4" w:space="0" w:color="auto"/>
            </w:tcBorders>
            <w:shd w:val="clear" w:color="auto" w:fill="auto"/>
            <w:vAlign w:val="center"/>
          </w:tcPr>
          <w:p w14:paraId="64582855"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2510271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10000-18000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7B93C07" w14:textId="77777777" w:rsidR="00A320E6" w:rsidRDefault="00A320E6" w:rsidP="00A1539E">
            <w:pPr>
              <w:snapToGrid w:val="0"/>
              <w:rPr>
                <w:rFonts w:ascii="宋体" w:hAnsi="宋体" w:cs="宋体"/>
                <w:kern w:val="0"/>
                <w:szCs w:val="21"/>
              </w:rPr>
            </w:pPr>
          </w:p>
        </w:tc>
      </w:tr>
      <w:tr w:rsidR="00A320E6" w14:paraId="5860C9EB"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0A88ABF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18</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383A841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盐田附属设施</w:t>
            </w:r>
          </w:p>
        </w:tc>
        <w:tc>
          <w:tcPr>
            <w:tcW w:w="1362" w:type="pct"/>
            <w:tcBorders>
              <w:top w:val="nil"/>
              <w:left w:val="nil"/>
              <w:bottom w:val="single" w:sz="4" w:space="0" w:color="auto"/>
              <w:right w:val="single" w:sz="4" w:space="0" w:color="auto"/>
            </w:tcBorders>
            <w:shd w:val="clear" w:color="auto" w:fill="auto"/>
            <w:vAlign w:val="center"/>
          </w:tcPr>
          <w:p w14:paraId="37EB34C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结晶池</w:t>
            </w:r>
          </w:p>
        </w:tc>
        <w:tc>
          <w:tcPr>
            <w:tcW w:w="644" w:type="pct"/>
            <w:tcBorders>
              <w:top w:val="nil"/>
              <w:left w:val="nil"/>
              <w:bottom w:val="single" w:sz="4" w:space="0" w:color="auto"/>
              <w:right w:val="single" w:sz="4" w:space="0" w:color="auto"/>
            </w:tcBorders>
            <w:shd w:val="clear" w:color="auto" w:fill="auto"/>
            <w:vAlign w:val="center"/>
          </w:tcPr>
          <w:p w14:paraId="5553E9B7"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0F39F94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7000-12000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3E1C2268"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6AD77C24"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42F29EB"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067E54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CD3A48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卤水池</w:t>
            </w:r>
          </w:p>
        </w:tc>
        <w:tc>
          <w:tcPr>
            <w:tcW w:w="644" w:type="pct"/>
            <w:tcBorders>
              <w:top w:val="nil"/>
              <w:left w:val="nil"/>
              <w:bottom w:val="single" w:sz="4" w:space="0" w:color="auto"/>
              <w:right w:val="single" w:sz="4" w:space="0" w:color="auto"/>
            </w:tcBorders>
            <w:shd w:val="clear" w:color="auto" w:fill="auto"/>
            <w:vAlign w:val="center"/>
          </w:tcPr>
          <w:p w14:paraId="3E5B3FFC"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4DB26CD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4500-7500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105E964" w14:textId="77777777" w:rsidR="00A320E6" w:rsidRDefault="00A320E6" w:rsidP="00A1539E">
            <w:pPr>
              <w:snapToGrid w:val="0"/>
              <w:rPr>
                <w:rFonts w:ascii="宋体" w:hAnsi="宋体" w:cs="宋体"/>
                <w:kern w:val="0"/>
                <w:szCs w:val="21"/>
              </w:rPr>
            </w:pPr>
          </w:p>
        </w:tc>
      </w:tr>
      <w:tr w:rsidR="00A320E6" w14:paraId="1B9801BC"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67C2509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19</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249B614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水井</w:t>
            </w:r>
          </w:p>
        </w:tc>
        <w:tc>
          <w:tcPr>
            <w:tcW w:w="1362" w:type="pct"/>
            <w:tcBorders>
              <w:top w:val="nil"/>
              <w:left w:val="nil"/>
              <w:bottom w:val="single" w:sz="4" w:space="0" w:color="auto"/>
              <w:right w:val="single" w:sz="4" w:space="0" w:color="auto"/>
            </w:tcBorders>
            <w:shd w:val="clear" w:color="auto" w:fill="auto"/>
            <w:vAlign w:val="center"/>
          </w:tcPr>
          <w:p w14:paraId="77F02DF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手压井</w:t>
            </w:r>
          </w:p>
        </w:tc>
        <w:tc>
          <w:tcPr>
            <w:tcW w:w="644" w:type="pct"/>
            <w:tcBorders>
              <w:top w:val="nil"/>
              <w:left w:val="nil"/>
              <w:bottom w:val="single" w:sz="4" w:space="0" w:color="auto"/>
              <w:right w:val="single" w:sz="4" w:space="0" w:color="auto"/>
            </w:tcBorders>
            <w:shd w:val="clear" w:color="auto" w:fill="auto"/>
            <w:vAlign w:val="center"/>
          </w:tcPr>
          <w:p w14:paraId="541F837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元/眼</w:t>
            </w:r>
          </w:p>
        </w:tc>
        <w:tc>
          <w:tcPr>
            <w:tcW w:w="824" w:type="pct"/>
            <w:tcBorders>
              <w:top w:val="nil"/>
              <w:left w:val="nil"/>
              <w:bottom w:val="single" w:sz="4" w:space="0" w:color="auto"/>
              <w:right w:val="single" w:sz="4" w:space="0" w:color="auto"/>
            </w:tcBorders>
            <w:shd w:val="clear" w:color="auto" w:fill="auto"/>
            <w:vAlign w:val="center"/>
          </w:tcPr>
          <w:p w14:paraId="580445E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500-700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36F978B1" w14:textId="77777777" w:rsidR="00A320E6" w:rsidRDefault="00000000" w:rsidP="00A1539E">
            <w:pPr>
              <w:snapToGrid w:val="0"/>
              <w:rPr>
                <w:rFonts w:ascii="宋体" w:hAnsi="宋体" w:cs="宋体"/>
                <w:kern w:val="0"/>
                <w:szCs w:val="21"/>
              </w:rPr>
            </w:pPr>
            <w:r>
              <w:rPr>
                <w:rFonts w:ascii="宋体" w:hAnsi="宋体" w:cs="宋体" w:hint="eastAsia"/>
                <w:kern w:val="0"/>
                <w:szCs w:val="21"/>
              </w:rPr>
              <w:t>1.水井补偿包括工程用料、用工等费用。</w:t>
            </w:r>
            <w:r>
              <w:rPr>
                <w:rFonts w:ascii="宋体" w:hAnsi="宋体" w:cs="宋体" w:hint="eastAsia"/>
                <w:kern w:val="0"/>
                <w:szCs w:val="21"/>
              </w:rPr>
              <w:br/>
              <w:t>2.废枯井按同类井补偿标准的30%-50%补偿。</w:t>
            </w:r>
            <w:r>
              <w:rPr>
                <w:rFonts w:ascii="宋体" w:hAnsi="宋体" w:cs="宋体" w:hint="eastAsia"/>
                <w:kern w:val="0"/>
                <w:szCs w:val="21"/>
              </w:rPr>
              <w:br/>
              <w:t>3.机井按井深分段计算补偿。</w:t>
            </w:r>
            <w:r>
              <w:rPr>
                <w:rFonts w:ascii="宋体" w:hAnsi="宋体" w:cs="宋体" w:hint="eastAsia"/>
                <w:kern w:val="0"/>
                <w:szCs w:val="21"/>
              </w:rPr>
              <w:br/>
              <w:t>4.对超出合理种植、养殖需求的，不予补偿。</w:t>
            </w:r>
          </w:p>
        </w:tc>
      </w:tr>
      <w:tr w:rsidR="00A320E6" w14:paraId="4F178469"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1873E33"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C69E725"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5D54E4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砖砌井深5-10米（含10米）</w:t>
            </w:r>
          </w:p>
        </w:tc>
        <w:tc>
          <w:tcPr>
            <w:tcW w:w="644" w:type="pct"/>
            <w:tcBorders>
              <w:top w:val="nil"/>
              <w:left w:val="nil"/>
              <w:bottom w:val="single" w:sz="4" w:space="0" w:color="auto"/>
              <w:right w:val="single" w:sz="4" w:space="0" w:color="auto"/>
            </w:tcBorders>
            <w:shd w:val="clear" w:color="auto" w:fill="auto"/>
            <w:vAlign w:val="center"/>
          </w:tcPr>
          <w:p w14:paraId="13280F53"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元/眼</w:t>
            </w:r>
          </w:p>
        </w:tc>
        <w:tc>
          <w:tcPr>
            <w:tcW w:w="824" w:type="pct"/>
            <w:tcBorders>
              <w:top w:val="nil"/>
              <w:left w:val="nil"/>
              <w:bottom w:val="single" w:sz="4" w:space="0" w:color="auto"/>
              <w:right w:val="single" w:sz="4" w:space="0" w:color="auto"/>
            </w:tcBorders>
            <w:shd w:val="clear" w:color="auto" w:fill="auto"/>
            <w:vAlign w:val="center"/>
          </w:tcPr>
          <w:p w14:paraId="02E0927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3400-5500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C5E7766" w14:textId="77777777" w:rsidR="00A320E6" w:rsidRDefault="00A320E6" w:rsidP="00A1539E">
            <w:pPr>
              <w:snapToGrid w:val="0"/>
              <w:rPr>
                <w:rFonts w:ascii="宋体" w:hAnsi="宋体" w:cs="宋体"/>
                <w:kern w:val="0"/>
                <w:szCs w:val="21"/>
              </w:rPr>
            </w:pPr>
          </w:p>
        </w:tc>
      </w:tr>
      <w:tr w:rsidR="00A320E6" w14:paraId="7BB02E15" w14:textId="77777777" w:rsidTr="00E77641">
        <w:trPr>
          <w:trHeight w:val="51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43F8064"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32D6AC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065FDB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砖砌井深10-20米（含20米）</w:t>
            </w:r>
          </w:p>
        </w:tc>
        <w:tc>
          <w:tcPr>
            <w:tcW w:w="644" w:type="pct"/>
            <w:tcBorders>
              <w:top w:val="nil"/>
              <w:left w:val="nil"/>
              <w:bottom w:val="single" w:sz="4" w:space="0" w:color="auto"/>
              <w:right w:val="single" w:sz="4" w:space="0" w:color="auto"/>
            </w:tcBorders>
            <w:shd w:val="clear" w:color="auto" w:fill="auto"/>
            <w:vAlign w:val="center"/>
          </w:tcPr>
          <w:p w14:paraId="03C3B392"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元/眼</w:t>
            </w:r>
          </w:p>
        </w:tc>
        <w:tc>
          <w:tcPr>
            <w:tcW w:w="824" w:type="pct"/>
            <w:tcBorders>
              <w:top w:val="nil"/>
              <w:left w:val="nil"/>
              <w:bottom w:val="single" w:sz="4" w:space="0" w:color="auto"/>
              <w:right w:val="single" w:sz="4" w:space="0" w:color="auto"/>
            </w:tcBorders>
            <w:shd w:val="clear" w:color="auto" w:fill="auto"/>
            <w:vAlign w:val="center"/>
          </w:tcPr>
          <w:p w14:paraId="05CCAA3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5500-8500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17AA4F48" w14:textId="77777777" w:rsidR="00A320E6" w:rsidRDefault="00A320E6" w:rsidP="00A1539E">
            <w:pPr>
              <w:snapToGrid w:val="0"/>
              <w:rPr>
                <w:rFonts w:ascii="宋体" w:hAnsi="宋体" w:cs="宋体"/>
                <w:kern w:val="0"/>
                <w:szCs w:val="21"/>
              </w:rPr>
            </w:pPr>
          </w:p>
        </w:tc>
      </w:tr>
      <w:tr w:rsidR="00A320E6" w14:paraId="29513150"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30E4CCEC"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49645C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40017D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机井深20-50米</w:t>
            </w:r>
          </w:p>
        </w:tc>
        <w:tc>
          <w:tcPr>
            <w:tcW w:w="644" w:type="pct"/>
            <w:tcBorders>
              <w:top w:val="nil"/>
              <w:left w:val="nil"/>
              <w:bottom w:val="single" w:sz="4" w:space="0" w:color="auto"/>
              <w:right w:val="single" w:sz="4" w:space="0" w:color="auto"/>
            </w:tcBorders>
            <w:shd w:val="clear" w:color="auto" w:fill="auto"/>
            <w:vAlign w:val="center"/>
          </w:tcPr>
          <w:p w14:paraId="32A09669"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55B7102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200-310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6AF3E2D0" w14:textId="77777777" w:rsidR="00A320E6" w:rsidRDefault="00A320E6" w:rsidP="00A1539E">
            <w:pPr>
              <w:snapToGrid w:val="0"/>
              <w:rPr>
                <w:rFonts w:ascii="宋体" w:hAnsi="宋体" w:cs="宋体"/>
                <w:kern w:val="0"/>
                <w:szCs w:val="21"/>
              </w:rPr>
            </w:pPr>
          </w:p>
        </w:tc>
      </w:tr>
      <w:tr w:rsidR="00A320E6" w14:paraId="02975AA9"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ADD8555"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F50DB5C"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BFC04D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机井深50-100米</w:t>
            </w:r>
          </w:p>
        </w:tc>
        <w:tc>
          <w:tcPr>
            <w:tcW w:w="644" w:type="pct"/>
            <w:tcBorders>
              <w:top w:val="nil"/>
              <w:left w:val="nil"/>
              <w:bottom w:val="single" w:sz="4" w:space="0" w:color="auto"/>
              <w:right w:val="single" w:sz="4" w:space="0" w:color="auto"/>
            </w:tcBorders>
            <w:shd w:val="clear" w:color="auto" w:fill="auto"/>
            <w:vAlign w:val="center"/>
          </w:tcPr>
          <w:p w14:paraId="7E531461"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5441D0B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310-360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BF1B41B" w14:textId="77777777" w:rsidR="00A320E6" w:rsidRDefault="00A320E6" w:rsidP="00A1539E">
            <w:pPr>
              <w:snapToGrid w:val="0"/>
              <w:rPr>
                <w:rFonts w:ascii="宋体" w:hAnsi="宋体" w:cs="宋体"/>
                <w:kern w:val="0"/>
                <w:szCs w:val="21"/>
              </w:rPr>
            </w:pPr>
          </w:p>
        </w:tc>
      </w:tr>
      <w:tr w:rsidR="00A320E6" w14:paraId="4DFA407A"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37DB9C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94C9323"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9B564A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机井深100-250米</w:t>
            </w:r>
          </w:p>
        </w:tc>
        <w:tc>
          <w:tcPr>
            <w:tcW w:w="644" w:type="pct"/>
            <w:tcBorders>
              <w:top w:val="nil"/>
              <w:left w:val="nil"/>
              <w:bottom w:val="single" w:sz="4" w:space="0" w:color="auto"/>
              <w:right w:val="single" w:sz="4" w:space="0" w:color="auto"/>
            </w:tcBorders>
            <w:shd w:val="clear" w:color="auto" w:fill="auto"/>
            <w:vAlign w:val="center"/>
          </w:tcPr>
          <w:p w14:paraId="1EE2EEB4"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02EC3D6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360-460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BFC028A" w14:textId="77777777" w:rsidR="00A320E6" w:rsidRDefault="00A320E6" w:rsidP="00A1539E">
            <w:pPr>
              <w:snapToGrid w:val="0"/>
              <w:rPr>
                <w:rFonts w:ascii="宋体" w:hAnsi="宋体" w:cs="宋体"/>
                <w:kern w:val="0"/>
                <w:szCs w:val="21"/>
              </w:rPr>
            </w:pPr>
          </w:p>
        </w:tc>
      </w:tr>
      <w:tr w:rsidR="00A320E6" w14:paraId="13FF3AA9"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48858B9"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DC060DC"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850C5D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机井深250米以上</w:t>
            </w:r>
          </w:p>
        </w:tc>
        <w:tc>
          <w:tcPr>
            <w:tcW w:w="644" w:type="pct"/>
            <w:tcBorders>
              <w:top w:val="nil"/>
              <w:left w:val="nil"/>
              <w:bottom w:val="single" w:sz="4" w:space="0" w:color="auto"/>
              <w:right w:val="single" w:sz="4" w:space="0" w:color="auto"/>
            </w:tcBorders>
            <w:shd w:val="clear" w:color="auto" w:fill="auto"/>
            <w:vAlign w:val="center"/>
          </w:tcPr>
          <w:p w14:paraId="7DC2B4D9"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1A0F0A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460-650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063E02D4" w14:textId="77777777" w:rsidR="00A320E6" w:rsidRDefault="00A320E6" w:rsidP="00A1539E">
            <w:pPr>
              <w:snapToGrid w:val="0"/>
              <w:rPr>
                <w:rFonts w:ascii="宋体" w:hAnsi="宋体" w:cs="宋体"/>
                <w:kern w:val="0"/>
                <w:szCs w:val="21"/>
              </w:rPr>
            </w:pPr>
          </w:p>
        </w:tc>
      </w:tr>
      <w:tr w:rsidR="00A320E6" w14:paraId="2120D483" w14:textId="77777777" w:rsidTr="00E77641">
        <w:trPr>
          <w:trHeight w:val="270"/>
        </w:trPr>
        <w:tc>
          <w:tcPr>
            <w:tcW w:w="439" w:type="pct"/>
            <w:tcBorders>
              <w:top w:val="nil"/>
              <w:left w:val="single" w:sz="4" w:space="0" w:color="auto"/>
              <w:bottom w:val="single" w:sz="4" w:space="0" w:color="auto"/>
              <w:right w:val="single" w:sz="4" w:space="0" w:color="auto"/>
            </w:tcBorders>
            <w:shd w:val="clear" w:color="auto" w:fill="auto"/>
            <w:vAlign w:val="center"/>
          </w:tcPr>
          <w:p w14:paraId="417A2F5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20</w:t>
            </w:r>
          </w:p>
        </w:tc>
        <w:tc>
          <w:tcPr>
            <w:tcW w:w="503" w:type="pct"/>
            <w:tcBorders>
              <w:top w:val="nil"/>
              <w:left w:val="nil"/>
              <w:bottom w:val="single" w:sz="4" w:space="0" w:color="auto"/>
              <w:right w:val="single" w:sz="4" w:space="0" w:color="auto"/>
            </w:tcBorders>
            <w:shd w:val="clear" w:color="auto" w:fill="auto"/>
            <w:vAlign w:val="center"/>
          </w:tcPr>
          <w:p w14:paraId="07774DE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姜井</w:t>
            </w:r>
          </w:p>
        </w:tc>
        <w:tc>
          <w:tcPr>
            <w:tcW w:w="1362" w:type="pct"/>
            <w:tcBorders>
              <w:top w:val="nil"/>
              <w:left w:val="nil"/>
              <w:bottom w:val="single" w:sz="4" w:space="0" w:color="auto"/>
              <w:right w:val="single" w:sz="4" w:space="0" w:color="auto"/>
            </w:tcBorders>
            <w:shd w:val="clear" w:color="auto" w:fill="auto"/>
            <w:vAlign w:val="center"/>
          </w:tcPr>
          <w:p w14:paraId="06F3CE2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5238ECC9"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元/眼</w:t>
            </w:r>
          </w:p>
        </w:tc>
        <w:tc>
          <w:tcPr>
            <w:tcW w:w="824" w:type="pct"/>
            <w:tcBorders>
              <w:top w:val="nil"/>
              <w:left w:val="nil"/>
              <w:bottom w:val="single" w:sz="4" w:space="0" w:color="auto"/>
              <w:right w:val="single" w:sz="4" w:space="0" w:color="auto"/>
            </w:tcBorders>
            <w:shd w:val="clear" w:color="auto" w:fill="auto"/>
            <w:vAlign w:val="center"/>
          </w:tcPr>
          <w:p w14:paraId="6CE0B87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8000-11000</w:t>
            </w:r>
          </w:p>
        </w:tc>
        <w:tc>
          <w:tcPr>
            <w:tcW w:w="1228" w:type="pct"/>
            <w:tcBorders>
              <w:top w:val="nil"/>
              <w:left w:val="nil"/>
              <w:bottom w:val="single" w:sz="4" w:space="0" w:color="auto"/>
              <w:right w:val="single" w:sz="4" w:space="0" w:color="auto"/>
            </w:tcBorders>
            <w:shd w:val="clear" w:color="auto" w:fill="auto"/>
            <w:vAlign w:val="center"/>
          </w:tcPr>
          <w:p w14:paraId="04112764"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7902F4D6" w14:textId="77777777" w:rsidTr="00E77641">
        <w:trPr>
          <w:trHeight w:val="765"/>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03856D6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21</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30C1AFC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乔木</w:t>
            </w:r>
          </w:p>
        </w:tc>
        <w:tc>
          <w:tcPr>
            <w:tcW w:w="1362" w:type="pct"/>
            <w:tcBorders>
              <w:top w:val="nil"/>
              <w:left w:val="nil"/>
              <w:bottom w:val="single" w:sz="4" w:space="0" w:color="auto"/>
              <w:right w:val="single" w:sz="4" w:space="0" w:color="auto"/>
            </w:tcBorders>
            <w:shd w:val="clear" w:color="auto" w:fill="auto"/>
            <w:vAlign w:val="center"/>
          </w:tcPr>
          <w:p w14:paraId="1182209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落叶类胸径小于5公分，常绿类小于3公分，可移栽的</w:t>
            </w:r>
          </w:p>
        </w:tc>
        <w:tc>
          <w:tcPr>
            <w:tcW w:w="644" w:type="pct"/>
            <w:tcBorders>
              <w:top w:val="nil"/>
              <w:left w:val="nil"/>
              <w:bottom w:val="single" w:sz="4" w:space="0" w:color="auto"/>
              <w:right w:val="single" w:sz="4" w:space="0" w:color="auto"/>
            </w:tcBorders>
            <w:shd w:val="clear" w:color="auto" w:fill="auto"/>
            <w:vAlign w:val="center"/>
          </w:tcPr>
          <w:p w14:paraId="482927E2"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6DEBD99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6-18</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0C06B964" w14:textId="77777777" w:rsidR="00A320E6" w:rsidRDefault="00000000" w:rsidP="00A1539E">
            <w:pPr>
              <w:snapToGrid w:val="0"/>
              <w:rPr>
                <w:rFonts w:ascii="宋体" w:hAnsi="宋体" w:cs="宋体"/>
                <w:kern w:val="0"/>
                <w:szCs w:val="21"/>
              </w:rPr>
            </w:pPr>
            <w:r>
              <w:rPr>
                <w:rFonts w:ascii="宋体" w:hAnsi="宋体" w:cs="宋体" w:hint="eastAsia"/>
                <w:kern w:val="0"/>
                <w:szCs w:val="21"/>
              </w:rPr>
              <w:t>1.本项仅指用材林种。</w:t>
            </w:r>
            <w:r>
              <w:rPr>
                <w:rFonts w:ascii="宋体" w:hAnsi="宋体" w:cs="宋体" w:hint="eastAsia"/>
                <w:kern w:val="0"/>
                <w:szCs w:val="21"/>
              </w:rPr>
              <w:br/>
              <w:t>2.经济、观赏、绿化类等特殊树种由林业、园林等部门根据实际情况认定，补偿标准可咨询当地农林部门专家或委托有资质的机构评估或认证。</w:t>
            </w:r>
            <w:r>
              <w:rPr>
                <w:rFonts w:ascii="宋体" w:hAnsi="宋体" w:cs="宋体" w:hint="eastAsia"/>
                <w:kern w:val="0"/>
                <w:szCs w:val="21"/>
              </w:rPr>
              <w:br/>
              <w:t>3.树木归原主。</w:t>
            </w:r>
          </w:p>
        </w:tc>
      </w:tr>
      <w:tr w:rsidR="00A320E6" w14:paraId="250EB487"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177A8D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694CD37"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7591AF0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落叶类胸径5-10公分</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tcPr>
          <w:p w14:paraId="70F4114E"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vMerge w:val="restart"/>
            <w:tcBorders>
              <w:top w:val="nil"/>
              <w:left w:val="single" w:sz="4" w:space="0" w:color="auto"/>
              <w:bottom w:val="single" w:sz="4" w:space="0" w:color="auto"/>
              <w:right w:val="single" w:sz="4" w:space="0" w:color="auto"/>
            </w:tcBorders>
            <w:shd w:val="clear" w:color="auto" w:fill="auto"/>
            <w:vAlign w:val="center"/>
          </w:tcPr>
          <w:p w14:paraId="5E48CA0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35-60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297C6A82" w14:textId="77777777" w:rsidR="00A320E6" w:rsidRDefault="00A320E6" w:rsidP="00A1539E">
            <w:pPr>
              <w:snapToGrid w:val="0"/>
              <w:rPr>
                <w:rFonts w:ascii="宋体" w:hAnsi="宋体" w:cs="宋体"/>
                <w:kern w:val="0"/>
                <w:szCs w:val="21"/>
              </w:rPr>
            </w:pPr>
          </w:p>
        </w:tc>
      </w:tr>
      <w:tr w:rsidR="00A320E6" w14:paraId="0ECE8B20"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0305478"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92546A1"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613497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常绿类3-6公分</w:t>
            </w:r>
          </w:p>
        </w:tc>
        <w:tc>
          <w:tcPr>
            <w:tcW w:w="644" w:type="pct"/>
            <w:vMerge/>
            <w:tcBorders>
              <w:top w:val="nil"/>
              <w:left w:val="single" w:sz="4" w:space="0" w:color="auto"/>
              <w:bottom w:val="single" w:sz="4" w:space="0" w:color="auto"/>
              <w:right w:val="single" w:sz="4" w:space="0" w:color="auto"/>
            </w:tcBorders>
            <w:shd w:val="clear" w:color="auto" w:fill="auto"/>
            <w:vAlign w:val="center"/>
          </w:tcPr>
          <w:p w14:paraId="6CF5E578" w14:textId="77777777" w:rsidR="00A320E6" w:rsidRDefault="00A320E6" w:rsidP="00A1539E">
            <w:pPr>
              <w:adjustRightInd w:val="0"/>
              <w:snapToGrid w:val="0"/>
              <w:jc w:val="left"/>
              <w:rPr>
                <w:rFonts w:ascii="宋体" w:hAnsi="宋体" w:cs="宋体"/>
                <w:kern w:val="0"/>
                <w:szCs w:val="21"/>
              </w:rPr>
            </w:pPr>
          </w:p>
        </w:tc>
        <w:tc>
          <w:tcPr>
            <w:tcW w:w="824" w:type="pct"/>
            <w:vMerge/>
            <w:tcBorders>
              <w:top w:val="nil"/>
              <w:left w:val="single" w:sz="4" w:space="0" w:color="auto"/>
              <w:bottom w:val="single" w:sz="4" w:space="0" w:color="auto"/>
              <w:right w:val="single" w:sz="4" w:space="0" w:color="auto"/>
            </w:tcBorders>
            <w:shd w:val="clear" w:color="auto" w:fill="auto"/>
            <w:vAlign w:val="center"/>
          </w:tcPr>
          <w:p w14:paraId="30710FE0" w14:textId="77777777" w:rsidR="00A320E6" w:rsidRDefault="00A320E6" w:rsidP="00A1539E">
            <w:pPr>
              <w:snapToGrid w:val="0"/>
              <w:jc w:val="center"/>
              <w:rPr>
                <w:rFonts w:ascii="宋体" w:hAnsi="宋体" w:cs="宋体"/>
                <w:kern w:val="0"/>
                <w:szCs w:val="21"/>
              </w:rPr>
            </w:pP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C7AD1C6" w14:textId="77777777" w:rsidR="00A320E6" w:rsidRDefault="00A320E6" w:rsidP="00A1539E">
            <w:pPr>
              <w:snapToGrid w:val="0"/>
              <w:rPr>
                <w:rFonts w:ascii="宋体" w:hAnsi="宋体" w:cs="宋体"/>
                <w:kern w:val="0"/>
                <w:szCs w:val="21"/>
              </w:rPr>
            </w:pPr>
          </w:p>
        </w:tc>
      </w:tr>
      <w:tr w:rsidR="00A320E6" w14:paraId="00B0EA94"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24BBF73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A078904"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E20335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落叶类胸径10-20公分</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tcPr>
          <w:p w14:paraId="645EAF74"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vMerge w:val="restart"/>
            <w:tcBorders>
              <w:top w:val="nil"/>
              <w:left w:val="single" w:sz="4" w:space="0" w:color="auto"/>
              <w:bottom w:val="single" w:sz="4" w:space="0" w:color="auto"/>
              <w:right w:val="single" w:sz="4" w:space="0" w:color="auto"/>
            </w:tcBorders>
            <w:shd w:val="clear" w:color="auto" w:fill="auto"/>
            <w:vAlign w:val="center"/>
          </w:tcPr>
          <w:p w14:paraId="1F7DD1F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60-70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8ED3FAF" w14:textId="77777777" w:rsidR="00A320E6" w:rsidRDefault="00A320E6" w:rsidP="00A1539E">
            <w:pPr>
              <w:snapToGrid w:val="0"/>
              <w:rPr>
                <w:rFonts w:ascii="宋体" w:hAnsi="宋体" w:cs="宋体"/>
                <w:kern w:val="0"/>
                <w:szCs w:val="21"/>
              </w:rPr>
            </w:pPr>
          </w:p>
        </w:tc>
      </w:tr>
      <w:tr w:rsidR="00A320E6" w14:paraId="179D5B4B"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E23E69E"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252ED6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269672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常绿类6-10公分</w:t>
            </w:r>
          </w:p>
        </w:tc>
        <w:tc>
          <w:tcPr>
            <w:tcW w:w="644" w:type="pct"/>
            <w:vMerge/>
            <w:tcBorders>
              <w:top w:val="nil"/>
              <w:left w:val="single" w:sz="4" w:space="0" w:color="auto"/>
              <w:bottom w:val="single" w:sz="4" w:space="0" w:color="auto"/>
              <w:right w:val="single" w:sz="4" w:space="0" w:color="auto"/>
            </w:tcBorders>
            <w:shd w:val="clear" w:color="auto" w:fill="auto"/>
            <w:vAlign w:val="center"/>
          </w:tcPr>
          <w:p w14:paraId="40A6710C" w14:textId="77777777" w:rsidR="00A320E6" w:rsidRDefault="00A320E6" w:rsidP="00A1539E">
            <w:pPr>
              <w:adjustRightInd w:val="0"/>
              <w:snapToGrid w:val="0"/>
              <w:jc w:val="left"/>
              <w:rPr>
                <w:rFonts w:ascii="宋体" w:hAnsi="宋体" w:cs="宋体"/>
                <w:kern w:val="0"/>
                <w:szCs w:val="21"/>
              </w:rPr>
            </w:pPr>
          </w:p>
        </w:tc>
        <w:tc>
          <w:tcPr>
            <w:tcW w:w="824" w:type="pct"/>
            <w:vMerge/>
            <w:tcBorders>
              <w:top w:val="nil"/>
              <w:left w:val="single" w:sz="4" w:space="0" w:color="auto"/>
              <w:bottom w:val="single" w:sz="4" w:space="0" w:color="auto"/>
              <w:right w:val="single" w:sz="4" w:space="0" w:color="auto"/>
            </w:tcBorders>
            <w:shd w:val="clear" w:color="auto" w:fill="auto"/>
            <w:vAlign w:val="center"/>
          </w:tcPr>
          <w:p w14:paraId="4C4BB033" w14:textId="77777777" w:rsidR="00A320E6" w:rsidRDefault="00A320E6" w:rsidP="00A1539E">
            <w:pPr>
              <w:snapToGrid w:val="0"/>
              <w:jc w:val="center"/>
              <w:rPr>
                <w:rFonts w:ascii="宋体" w:hAnsi="宋体" w:cs="宋体"/>
                <w:kern w:val="0"/>
                <w:szCs w:val="21"/>
              </w:rPr>
            </w:pP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0EB38260" w14:textId="77777777" w:rsidR="00A320E6" w:rsidRDefault="00A320E6" w:rsidP="00A1539E">
            <w:pPr>
              <w:snapToGrid w:val="0"/>
              <w:rPr>
                <w:rFonts w:ascii="宋体" w:hAnsi="宋体" w:cs="宋体"/>
                <w:kern w:val="0"/>
                <w:szCs w:val="21"/>
              </w:rPr>
            </w:pPr>
          </w:p>
        </w:tc>
      </w:tr>
      <w:tr w:rsidR="00A320E6" w14:paraId="3E0B6296"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AC40B7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DF97994"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6B9DAF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落叶类胸径</w:t>
            </w:r>
          </w:p>
          <w:p w14:paraId="2311F20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大于20公分</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tcPr>
          <w:p w14:paraId="027F98AB"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vMerge w:val="restart"/>
            <w:tcBorders>
              <w:top w:val="nil"/>
              <w:left w:val="single" w:sz="4" w:space="0" w:color="auto"/>
              <w:bottom w:val="single" w:sz="4" w:space="0" w:color="auto"/>
              <w:right w:val="single" w:sz="4" w:space="0" w:color="auto"/>
            </w:tcBorders>
            <w:shd w:val="clear" w:color="auto" w:fill="auto"/>
            <w:vAlign w:val="center"/>
          </w:tcPr>
          <w:p w14:paraId="7410979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70-140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B942991" w14:textId="77777777" w:rsidR="00A320E6" w:rsidRDefault="00A320E6" w:rsidP="00A1539E">
            <w:pPr>
              <w:snapToGrid w:val="0"/>
              <w:rPr>
                <w:rFonts w:ascii="宋体" w:hAnsi="宋体" w:cs="宋体"/>
                <w:kern w:val="0"/>
                <w:szCs w:val="21"/>
              </w:rPr>
            </w:pPr>
          </w:p>
        </w:tc>
      </w:tr>
      <w:tr w:rsidR="00A320E6" w14:paraId="2F3CCF2C"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5D1F633"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2DED6F8"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9E9DD2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常绿类10公分以上</w:t>
            </w:r>
          </w:p>
        </w:tc>
        <w:tc>
          <w:tcPr>
            <w:tcW w:w="644" w:type="pct"/>
            <w:vMerge/>
            <w:tcBorders>
              <w:top w:val="nil"/>
              <w:left w:val="single" w:sz="4" w:space="0" w:color="auto"/>
              <w:bottom w:val="single" w:sz="4" w:space="0" w:color="auto"/>
              <w:right w:val="single" w:sz="4" w:space="0" w:color="auto"/>
            </w:tcBorders>
            <w:shd w:val="clear" w:color="auto" w:fill="auto"/>
            <w:vAlign w:val="center"/>
          </w:tcPr>
          <w:p w14:paraId="4BD530B3" w14:textId="77777777" w:rsidR="00A320E6" w:rsidRDefault="00A320E6" w:rsidP="00A1539E">
            <w:pPr>
              <w:adjustRightInd w:val="0"/>
              <w:snapToGrid w:val="0"/>
              <w:jc w:val="left"/>
              <w:rPr>
                <w:rFonts w:ascii="宋体" w:hAnsi="宋体" w:cs="宋体"/>
                <w:kern w:val="0"/>
                <w:szCs w:val="21"/>
              </w:rPr>
            </w:pPr>
          </w:p>
        </w:tc>
        <w:tc>
          <w:tcPr>
            <w:tcW w:w="824" w:type="pct"/>
            <w:vMerge/>
            <w:tcBorders>
              <w:top w:val="nil"/>
              <w:left w:val="single" w:sz="4" w:space="0" w:color="auto"/>
              <w:bottom w:val="single" w:sz="4" w:space="0" w:color="auto"/>
              <w:right w:val="single" w:sz="4" w:space="0" w:color="auto"/>
            </w:tcBorders>
            <w:shd w:val="clear" w:color="auto" w:fill="auto"/>
            <w:vAlign w:val="center"/>
          </w:tcPr>
          <w:p w14:paraId="4CBA2A94" w14:textId="77777777" w:rsidR="00A320E6" w:rsidRDefault="00A320E6" w:rsidP="00A1539E">
            <w:pPr>
              <w:snapToGrid w:val="0"/>
              <w:jc w:val="center"/>
              <w:rPr>
                <w:rFonts w:ascii="宋体" w:hAnsi="宋体" w:cs="宋体"/>
                <w:kern w:val="0"/>
                <w:szCs w:val="21"/>
              </w:rPr>
            </w:pP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1D004AA8" w14:textId="77777777" w:rsidR="00A320E6" w:rsidRDefault="00A320E6" w:rsidP="00A1539E">
            <w:pPr>
              <w:snapToGrid w:val="0"/>
              <w:rPr>
                <w:rFonts w:ascii="宋体" w:hAnsi="宋体" w:cs="宋体"/>
                <w:kern w:val="0"/>
                <w:szCs w:val="21"/>
              </w:rPr>
            </w:pPr>
          </w:p>
        </w:tc>
      </w:tr>
      <w:tr w:rsidR="00A320E6" w14:paraId="1A4B6814"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4AE4910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22</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3D9D267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果树</w:t>
            </w:r>
          </w:p>
        </w:tc>
        <w:tc>
          <w:tcPr>
            <w:tcW w:w="1362" w:type="pct"/>
            <w:tcBorders>
              <w:top w:val="nil"/>
              <w:left w:val="nil"/>
              <w:bottom w:val="single" w:sz="4" w:space="0" w:color="auto"/>
              <w:right w:val="single" w:sz="4" w:space="0" w:color="auto"/>
            </w:tcBorders>
            <w:shd w:val="clear" w:color="auto" w:fill="auto"/>
            <w:vAlign w:val="center"/>
          </w:tcPr>
          <w:p w14:paraId="50D98A6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苗木</w:t>
            </w:r>
          </w:p>
        </w:tc>
        <w:tc>
          <w:tcPr>
            <w:tcW w:w="644" w:type="pct"/>
            <w:tcBorders>
              <w:top w:val="nil"/>
              <w:left w:val="nil"/>
              <w:bottom w:val="single" w:sz="4" w:space="0" w:color="auto"/>
              <w:right w:val="single" w:sz="4" w:space="0" w:color="auto"/>
            </w:tcBorders>
            <w:shd w:val="clear" w:color="auto" w:fill="auto"/>
            <w:vAlign w:val="center"/>
          </w:tcPr>
          <w:p w14:paraId="449F9631"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3951AA8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5-20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0D08810C" w14:textId="77777777" w:rsidR="00A320E6" w:rsidRDefault="00000000" w:rsidP="00A1539E">
            <w:pPr>
              <w:snapToGrid w:val="0"/>
              <w:rPr>
                <w:rFonts w:ascii="宋体" w:hAnsi="宋体" w:cs="宋体"/>
                <w:kern w:val="0"/>
                <w:szCs w:val="21"/>
              </w:rPr>
            </w:pPr>
            <w:r>
              <w:rPr>
                <w:rFonts w:ascii="宋体" w:hAnsi="宋体" w:cs="宋体" w:hint="eastAsia"/>
                <w:kern w:val="0"/>
                <w:szCs w:val="21"/>
              </w:rPr>
              <w:t>1.初果期、盛果期、衰果期每亩不超过120株。幼龄期每亩不超过222株。超出部分皆按苗木计算。</w:t>
            </w:r>
            <w:r>
              <w:rPr>
                <w:rFonts w:ascii="宋体" w:hAnsi="宋体" w:cs="宋体" w:hint="eastAsia"/>
                <w:kern w:val="0"/>
                <w:szCs w:val="21"/>
              </w:rPr>
              <w:br/>
              <w:t>2.特色高效树种参照市场价格。</w:t>
            </w:r>
            <w:r>
              <w:rPr>
                <w:rFonts w:ascii="宋体" w:hAnsi="宋体" w:cs="宋体" w:hint="eastAsia"/>
                <w:kern w:val="0"/>
                <w:szCs w:val="21"/>
              </w:rPr>
              <w:br/>
              <w:t>3.结果期存在争议的，可咨询当地农林部门或果树专家。</w:t>
            </w:r>
            <w:r>
              <w:rPr>
                <w:rFonts w:ascii="宋体" w:hAnsi="宋体" w:cs="宋体" w:hint="eastAsia"/>
                <w:kern w:val="0"/>
                <w:szCs w:val="21"/>
              </w:rPr>
              <w:br/>
              <w:t>4.树木归原主。</w:t>
            </w:r>
          </w:p>
        </w:tc>
      </w:tr>
      <w:tr w:rsidR="00A320E6" w14:paraId="6FF4276C"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9E47C04"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D767A8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5463A3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幼龄期（区分树种）</w:t>
            </w:r>
          </w:p>
        </w:tc>
        <w:tc>
          <w:tcPr>
            <w:tcW w:w="644" w:type="pct"/>
            <w:tcBorders>
              <w:top w:val="nil"/>
              <w:left w:val="nil"/>
              <w:bottom w:val="single" w:sz="4" w:space="0" w:color="auto"/>
              <w:right w:val="single" w:sz="4" w:space="0" w:color="auto"/>
            </w:tcBorders>
            <w:shd w:val="clear" w:color="auto" w:fill="auto"/>
            <w:vAlign w:val="center"/>
          </w:tcPr>
          <w:p w14:paraId="623364C2"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68AD431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35-120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9F39050" w14:textId="77777777" w:rsidR="00A320E6" w:rsidRDefault="00A320E6" w:rsidP="00A1539E">
            <w:pPr>
              <w:snapToGrid w:val="0"/>
              <w:rPr>
                <w:rFonts w:ascii="宋体" w:hAnsi="宋体" w:cs="宋体"/>
                <w:kern w:val="0"/>
                <w:szCs w:val="21"/>
              </w:rPr>
            </w:pPr>
          </w:p>
        </w:tc>
      </w:tr>
      <w:tr w:rsidR="00A320E6" w14:paraId="294CA4BA"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4995CB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0A85888F"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FD4876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初果期（区分树种）</w:t>
            </w:r>
          </w:p>
        </w:tc>
        <w:tc>
          <w:tcPr>
            <w:tcW w:w="644" w:type="pct"/>
            <w:tcBorders>
              <w:top w:val="nil"/>
              <w:left w:val="nil"/>
              <w:bottom w:val="single" w:sz="4" w:space="0" w:color="auto"/>
              <w:right w:val="single" w:sz="4" w:space="0" w:color="auto"/>
            </w:tcBorders>
            <w:shd w:val="clear" w:color="auto" w:fill="auto"/>
            <w:vAlign w:val="center"/>
          </w:tcPr>
          <w:p w14:paraId="575B4FC3"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650FC16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200-400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287B9D42" w14:textId="77777777" w:rsidR="00A320E6" w:rsidRDefault="00A320E6" w:rsidP="00A1539E">
            <w:pPr>
              <w:snapToGrid w:val="0"/>
              <w:rPr>
                <w:rFonts w:ascii="宋体" w:hAnsi="宋体" w:cs="宋体"/>
                <w:kern w:val="0"/>
                <w:szCs w:val="21"/>
              </w:rPr>
            </w:pPr>
          </w:p>
        </w:tc>
      </w:tr>
      <w:tr w:rsidR="00A320E6" w14:paraId="5109260F"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C582C70"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DADBFB8"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DA0D99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盛果期（区分树种）</w:t>
            </w:r>
          </w:p>
        </w:tc>
        <w:tc>
          <w:tcPr>
            <w:tcW w:w="644" w:type="pct"/>
            <w:tcBorders>
              <w:top w:val="nil"/>
              <w:left w:val="nil"/>
              <w:bottom w:val="single" w:sz="4" w:space="0" w:color="auto"/>
              <w:right w:val="single" w:sz="4" w:space="0" w:color="auto"/>
            </w:tcBorders>
            <w:shd w:val="clear" w:color="auto" w:fill="auto"/>
            <w:vAlign w:val="center"/>
          </w:tcPr>
          <w:p w14:paraId="4EC7AD2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5D4B69F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400-700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12E1C87" w14:textId="77777777" w:rsidR="00A320E6" w:rsidRDefault="00A320E6" w:rsidP="00A1539E">
            <w:pPr>
              <w:snapToGrid w:val="0"/>
              <w:rPr>
                <w:rFonts w:ascii="宋体" w:hAnsi="宋体" w:cs="宋体"/>
                <w:kern w:val="0"/>
                <w:szCs w:val="21"/>
              </w:rPr>
            </w:pPr>
          </w:p>
        </w:tc>
      </w:tr>
      <w:tr w:rsidR="00A320E6" w14:paraId="05CC6B8D"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6705DE12"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725437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B99E76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衰果期（区分树种）</w:t>
            </w:r>
          </w:p>
        </w:tc>
        <w:tc>
          <w:tcPr>
            <w:tcW w:w="644" w:type="pct"/>
            <w:tcBorders>
              <w:top w:val="nil"/>
              <w:left w:val="nil"/>
              <w:bottom w:val="single" w:sz="4" w:space="0" w:color="auto"/>
              <w:right w:val="single" w:sz="4" w:space="0" w:color="auto"/>
            </w:tcBorders>
            <w:shd w:val="clear" w:color="auto" w:fill="auto"/>
            <w:vAlign w:val="center"/>
          </w:tcPr>
          <w:p w14:paraId="7A50071A"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6B2D6DB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80-250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48D74705" w14:textId="77777777" w:rsidR="00A320E6" w:rsidRDefault="00A320E6" w:rsidP="00A1539E">
            <w:pPr>
              <w:snapToGrid w:val="0"/>
              <w:rPr>
                <w:rFonts w:ascii="宋体" w:hAnsi="宋体" w:cs="宋体"/>
                <w:kern w:val="0"/>
                <w:szCs w:val="21"/>
              </w:rPr>
            </w:pPr>
          </w:p>
        </w:tc>
      </w:tr>
      <w:tr w:rsidR="00A320E6" w14:paraId="1C666C31" w14:textId="77777777" w:rsidTr="00E77641">
        <w:trPr>
          <w:trHeight w:val="1785"/>
        </w:trPr>
        <w:tc>
          <w:tcPr>
            <w:tcW w:w="439" w:type="pct"/>
            <w:tcBorders>
              <w:top w:val="nil"/>
              <w:left w:val="single" w:sz="4" w:space="0" w:color="auto"/>
              <w:bottom w:val="single" w:sz="4" w:space="0" w:color="auto"/>
              <w:right w:val="single" w:sz="4" w:space="0" w:color="auto"/>
            </w:tcBorders>
            <w:shd w:val="clear" w:color="auto" w:fill="auto"/>
            <w:vAlign w:val="center"/>
          </w:tcPr>
          <w:p w14:paraId="0E46C6C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23</w:t>
            </w:r>
          </w:p>
        </w:tc>
        <w:tc>
          <w:tcPr>
            <w:tcW w:w="503" w:type="pct"/>
            <w:tcBorders>
              <w:top w:val="nil"/>
              <w:left w:val="nil"/>
              <w:bottom w:val="single" w:sz="4" w:space="0" w:color="auto"/>
              <w:right w:val="single" w:sz="4" w:space="0" w:color="auto"/>
            </w:tcBorders>
            <w:shd w:val="clear" w:color="auto" w:fill="auto"/>
            <w:vAlign w:val="center"/>
          </w:tcPr>
          <w:p w14:paraId="4C45AAB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苗圃</w:t>
            </w:r>
          </w:p>
        </w:tc>
        <w:tc>
          <w:tcPr>
            <w:tcW w:w="1362" w:type="pct"/>
            <w:tcBorders>
              <w:top w:val="nil"/>
              <w:left w:val="nil"/>
              <w:bottom w:val="single" w:sz="4" w:space="0" w:color="auto"/>
              <w:right w:val="single" w:sz="4" w:space="0" w:color="auto"/>
            </w:tcBorders>
            <w:shd w:val="clear" w:color="auto" w:fill="auto"/>
            <w:vAlign w:val="center"/>
          </w:tcPr>
          <w:p w14:paraId="27B3458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237F79CE"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6C708FE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7000-14000</w:t>
            </w:r>
          </w:p>
        </w:tc>
        <w:tc>
          <w:tcPr>
            <w:tcW w:w="1228" w:type="pct"/>
            <w:tcBorders>
              <w:top w:val="nil"/>
              <w:left w:val="nil"/>
              <w:bottom w:val="single" w:sz="4" w:space="0" w:color="auto"/>
              <w:right w:val="single" w:sz="4" w:space="0" w:color="auto"/>
            </w:tcBorders>
            <w:shd w:val="clear" w:color="auto" w:fill="auto"/>
            <w:vAlign w:val="center"/>
          </w:tcPr>
          <w:p w14:paraId="354E6ADD" w14:textId="77777777" w:rsidR="00A320E6" w:rsidRDefault="00000000" w:rsidP="00A1539E">
            <w:pPr>
              <w:snapToGrid w:val="0"/>
              <w:rPr>
                <w:rFonts w:ascii="宋体" w:hAnsi="宋体" w:cs="宋体"/>
                <w:kern w:val="0"/>
                <w:szCs w:val="21"/>
              </w:rPr>
            </w:pPr>
            <w:r>
              <w:rPr>
                <w:rFonts w:ascii="宋体" w:hAnsi="宋体" w:cs="宋体" w:hint="eastAsia"/>
                <w:kern w:val="0"/>
                <w:szCs w:val="21"/>
              </w:rPr>
              <w:t>1.指培育幼株或幼苗的园林地上的苗木，种类及规格由林业、园林等部门认定。</w:t>
            </w:r>
            <w:r>
              <w:rPr>
                <w:rFonts w:ascii="宋体" w:hAnsi="宋体" w:cs="宋体" w:hint="eastAsia"/>
                <w:kern w:val="0"/>
                <w:szCs w:val="21"/>
              </w:rPr>
              <w:br/>
              <w:t>2.果树、花卉类苗木苗圃可适当上浮，原则上不超过30%。</w:t>
            </w:r>
          </w:p>
        </w:tc>
      </w:tr>
      <w:tr w:rsidR="00A320E6" w14:paraId="74A46E68"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2051475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24</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692B205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葡萄</w:t>
            </w:r>
          </w:p>
        </w:tc>
        <w:tc>
          <w:tcPr>
            <w:tcW w:w="1362" w:type="pct"/>
            <w:tcBorders>
              <w:top w:val="nil"/>
              <w:left w:val="nil"/>
              <w:bottom w:val="single" w:sz="4" w:space="0" w:color="auto"/>
              <w:right w:val="single" w:sz="4" w:space="0" w:color="auto"/>
            </w:tcBorders>
            <w:shd w:val="clear" w:color="auto" w:fill="auto"/>
            <w:vAlign w:val="center"/>
          </w:tcPr>
          <w:p w14:paraId="3684588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棚架幼龄期</w:t>
            </w:r>
          </w:p>
        </w:tc>
        <w:tc>
          <w:tcPr>
            <w:tcW w:w="644" w:type="pct"/>
            <w:tcBorders>
              <w:top w:val="nil"/>
              <w:left w:val="nil"/>
              <w:bottom w:val="single" w:sz="4" w:space="0" w:color="auto"/>
              <w:right w:val="single" w:sz="4" w:space="0" w:color="auto"/>
            </w:tcBorders>
            <w:shd w:val="clear" w:color="auto" w:fill="auto"/>
            <w:vAlign w:val="center"/>
          </w:tcPr>
          <w:p w14:paraId="0E446831"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715DE80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17-28</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3A9B58A4" w14:textId="77777777" w:rsidR="00A320E6" w:rsidRDefault="00000000" w:rsidP="00A1539E">
            <w:pPr>
              <w:snapToGrid w:val="0"/>
              <w:rPr>
                <w:rFonts w:ascii="宋体" w:hAnsi="宋体" w:cs="宋体"/>
                <w:kern w:val="0"/>
                <w:szCs w:val="21"/>
              </w:rPr>
            </w:pPr>
            <w:r>
              <w:rPr>
                <w:rFonts w:ascii="宋体" w:hAnsi="宋体" w:cs="宋体" w:hint="eastAsia"/>
                <w:kern w:val="0"/>
                <w:szCs w:val="21"/>
              </w:rPr>
              <w:t>1.棚架每亩不高于120株。</w:t>
            </w:r>
            <w:r>
              <w:rPr>
                <w:rFonts w:ascii="宋体" w:hAnsi="宋体" w:cs="宋体" w:hint="eastAsia"/>
                <w:kern w:val="0"/>
                <w:szCs w:val="21"/>
              </w:rPr>
              <w:br/>
              <w:t>2.篱架每亩不高于555株。</w:t>
            </w:r>
            <w:r>
              <w:rPr>
                <w:rFonts w:ascii="宋体" w:hAnsi="宋体" w:cs="宋体" w:hint="eastAsia"/>
                <w:kern w:val="0"/>
                <w:szCs w:val="21"/>
              </w:rPr>
              <w:br/>
              <w:t>3.猕猴桃参照葡萄补偿标准。</w:t>
            </w:r>
          </w:p>
        </w:tc>
      </w:tr>
      <w:tr w:rsidR="00A320E6" w14:paraId="3F5E18C5"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632C7C0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3C9ECFE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39B26C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棚架初果期</w:t>
            </w:r>
          </w:p>
        </w:tc>
        <w:tc>
          <w:tcPr>
            <w:tcW w:w="644" w:type="pct"/>
            <w:tcBorders>
              <w:top w:val="nil"/>
              <w:left w:val="nil"/>
              <w:bottom w:val="single" w:sz="4" w:space="0" w:color="auto"/>
              <w:right w:val="single" w:sz="4" w:space="0" w:color="auto"/>
            </w:tcBorders>
            <w:shd w:val="clear" w:color="auto" w:fill="auto"/>
            <w:vAlign w:val="center"/>
          </w:tcPr>
          <w:p w14:paraId="622AF01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244A6A3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45-90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5DAA0F7" w14:textId="77777777" w:rsidR="00A320E6" w:rsidRDefault="00A320E6" w:rsidP="00A1539E">
            <w:pPr>
              <w:snapToGrid w:val="0"/>
              <w:rPr>
                <w:rFonts w:ascii="宋体" w:hAnsi="宋体" w:cs="宋体"/>
                <w:kern w:val="0"/>
                <w:szCs w:val="21"/>
              </w:rPr>
            </w:pPr>
          </w:p>
        </w:tc>
      </w:tr>
      <w:tr w:rsidR="00A320E6" w14:paraId="28203B78"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7E90CC5"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629B94D1"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5A8F90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棚架盛果期</w:t>
            </w:r>
          </w:p>
        </w:tc>
        <w:tc>
          <w:tcPr>
            <w:tcW w:w="644" w:type="pct"/>
            <w:tcBorders>
              <w:top w:val="nil"/>
              <w:left w:val="nil"/>
              <w:bottom w:val="single" w:sz="4" w:space="0" w:color="auto"/>
              <w:right w:val="single" w:sz="4" w:space="0" w:color="auto"/>
            </w:tcBorders>
            <w:shd w:val="clear" w:color="auto" w:fill="auto"/>
            <w:vAlign w:val="center"/>
          </w:tcPr>
          <w:p w14:paraId="3E6773D7"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21D3CC3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90-110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54DE392" w14:textId="77777777" w:rsidR="00A320E6" w:rsidRDefault="00A320E6" w:rsidP="00A1539E">
            <w:pPr>
              <w:snapToGrid w:val="0"/>
              <w:rPr>
                <w:rFonts w:ascii="宋体" w:hAnsi="宋体" w:cs="宋体"/>
                <w:kern w:val="0"/>
                <w:szCs w:val="21"/>
              </w:rPr>
            </w:pPr>
          </w:p>
        </w:tc>
      </w:tr>
      <w:tr w:rsidR="00A320E6" w14:paraId="1BF2E143"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79645DA"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B02C58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14611707"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篱架幼龄期</w:t>
            </w:r>
          </w:p>
        </w:tc>
        <w:tc>
          <w:tcPr>
            <w:tcW w:w="644" w:type="pct"/>
            <w:tcBorders>
              <w:top w:val="nil"/>
              <w:left w:val="nil"/>
              <w:bottom w:val="single" w:sz="4" w:space="0" w:color="auto"/>
              <w:right w:val="single" w:sz="4" w:space="0" w:color="auto"/>
            </w:tcBorders>
            <w:shd w:val="clear" w:color="auto" w:fill="auto"/>
            <w:vAlign w:val="center"/>
          </w:tcPr>
          <w:p w14:paraId="6BBD1D7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51213C3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12-20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03101B45" w14:textId="77777777" w:rsidR="00A320E6" w:rsidRDefault="00A320E6" w:rsidP="00A1539E">
            <w:pPr>
              <w:snapToGrid w:val="0"/>
              <w:rPr>
                <w:rFonts w:ascii="宋体" w:hAnsi="宋体" w:cs="宋体"/>
                <w:kern w:val="0"/>
                <w:szCs w:val="21"/>
              </w:rPr>
            </w:pPr>
          </w:p>
        </w:tc>
      </w:tr>
      <w:tr w:rsidR="00A320E6" w14:paraId="2B075A92"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FB88DD9"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626ABC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4497D07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篱架初果期</w:t>
            </w:r>
          </w:p>
        </w:tc>
        <w:tc>
          <w:tcPr>
            <w:tcW w:w="644" w:type="pct"/>
            <w:tcBorders>
              <w:top w:val="nil"/>
              <w:left w:val="nil"/>
              <w:bottom w:val="single" w:sz="4" w:space="0" w:color="auto"/>
              <w:right w:val="single" w:sz="4" w:space="0" w:color="auto"/>
            </w:tcBorders>
            <w:shd w:val="clear" w:color="auto" w:fill="auto"/>
            <w:vAlign w:val="center"/>
          </w:tcPr>
          <w:p w14:paraId="0F2679C6"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521A480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35-55</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554AA0CA" w14:textId="77777777" w:rsidR="00A320E6" w:rsidRDefault="00A320E6" w:rsidP="00A1539E">
            <w:pPr>
              <w:snapToGrid w:val="0"/>
              <w:rPr>
                <w:rFonts w:ascii="宋体" w:hAnsi="宋体" w:cs="宋体"/>
                <w:kern w:val="0"/>
                <w:szCs w:val="21"/>
              </w:rPr>
            </w:pPr>
          </w:p>
        </w:tc>
      </w:tr>
      <w:tr w:rsidR="00A320E6" w14:paraId="6430D137"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42A702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7B1E3FB7"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527F59B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篱架盛果期</w:t>
            </w:r>
          </w:p>
        </w:tc>
        <w:tc>
          <w:tcPr>
            <w:tcW w:w="644" w:type="pct"/>
            <w:tcBorders>
              <w:top w:val="nil"/>
              <w:left w:val="nil"/>
              <w:bottom w:val="single" w:sz="4" w:space="0" w:color="auto"/>
              <w:right w:val="single" w:sz="4" w:space="0" w:color="auto"/>
            </w:tcBorders>
            <w:shd w:val="clear" w:color="auto" w:fill="auto"/>
            <w:vAlign w:val="center"/>
          </w:tcPr>
          <w:p w14:paraId="7AA1ECF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元/株</w:t>
            </w:r>
          </w:p>
        </w:tc>
        <w:tc>
          <w:tcPr>
            <w:tcW w:w="824" w:type="pct"/>
            <w:tcBorders>
              <w:top w:val="nil"/>
              <w:left w:val="nil"/>
              <w:bottom w:val="single" w:sz="4" w:space="0" w:color="auto"/>
              <w:right w:val="single" w:sz="4" w:space="0" w:color="auto"/>
            </w:tcBorders>
            <w:shd w:val="clear" w:color="auto" w:fill="auto"/>
            <w:vAlign w:val="center"/>
          </w:tcPr>
          <w:p w14:paraId="310D9D7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60-100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725FE714" w14:textId="77777777" w:rsidR="00A320E6" w:rsidRDefault="00A320E6" w:rsidP="00A1539E">
            <w:pPr>
              <w:snapToGrid w:val="0"/>
              <w:rPr>
                <w:rFonts w:ascii="宋体" w:hAnsi="宋体" w:cs="宋体"/>
                <w:kern w:val="0"/>
                <w:szCs w:val="21"/>
              </w:rPr>
            </w:pPr>
          </w:p>
        </w:tc>
      </w:tr>
      <w:tr w:rsidR="00A320E6" w14:paraId="44D54E79"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3FD71B0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3A3397A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灌木</w:t>
            </w:r>
          </w:p>
        </w:tc>
        <w:tc>
          <w:tcPr>
            <w:tcW w:w="1362" w:type="pct"/>
            <w:tcBorders>
              <w:top w:val="nil"/>
              <w:left w:val="nil"/>
              <w:bottom w:val="single" w:sz="4" w:space="0" w:color="auto"/>
              <w:right w:val="single" w:sz="4" w:space="0" w:color="auto"/>
            </w:tcBorders>
            <w:shd w:val="clear" w:color="auto" w:fill="auto"/>
            <w:vAlign w:val="center"/>
          </w:tcPr>
          <w:p w14:paraId="684ECF6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一年以内灌木</w:t>
            </w:r>
          </w:p>
        </w:tc>
        <w:tc>
          <w:tcPr>
            <w:tcW w:w="644" w:type="pct"/>
            <w:tcBorders>
              <w:top w:val="nil"/>
              <w:left w:val="nil"/>
              <w:bottom w:val="single" w:sz="4" w:space="0" w:color="auto"/>
              <w:right w:val="single" w:sz="4" w:space="0" w:color="auto"/>
            </w:tcBorders>
            <w:shd w:val="clear" w:color="auto" w:fill="auto"/>
            <w:vAlign w:val="center"/>
          </w:tcPr>
          <w:p w14:paraId="32771FB9"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元/墩</w:t>
            </w:r>
          </w:p>
        </w:tc>
        <w:tc>
          <w:tcPr>
            <w:tcW w:w="824" w:type="pct"/>
            <w:tcBorders>
              <w:top w:val="nil"/>
              <w:left w:val="nil"/>
              <w:bottom w:val="single" w:sz="4" w:space="0" w:color="auto"/>
              <w:right w:val="single" w:sz="4" w:space="0" w:color="auto"/>
            </w:tcBorders>
            <w:shd w:val="clear" w:color="auto" w:fill="auto"/>
            <w:vAlign w:val="center"/>
          </w:tcPr>
          <w:p w14:paraId="1F08C15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6-12</w:t>
            </w:r>
          </w:p>
        </w:tc>
        <w:tc>
          <w:tcPr>
            <w:tcW w:w="1228" w:type="pct"/>
            <w:tcBorders>
              <w:top w:val="nil"/>
              <w:left w:val="nil"/>
              <w:bottom w:val="single" w:sz="4" w:space="0" w:color="auto"/>
              <w:right w:val="single" w:sz="4" w:space="0" w:color="auto"/>
            </w:tcBorders>
            <w:shd w:val="clear" w:color="auto" w:fill="auto"/>
            <w:vAlign w:val="center"/>
          </w:tcPr>
          <w:p w14:paraId="2DEEFFBA"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53118552"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463051DF"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6C1B0A7"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FA2CBF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一年以上灌木</w:t>
            </w:r>
          </w:p>
        </w:tc>
        <w:tc>
          <w:tcPr>
            <w:tcW w:w="644" w:type="pct"/>
            <w:tcBorders>
              <w:top w:val="nil"/>
              <w:left w:val="nil"/>
              <w:bottom w:val="single" w:sz="4" w:space="0" w:color="auto"/>
              <w:right w:val="single" w:sz="4" w:space="0" w:color="auto"/>
            </w:tcBorders>
            <w:shd w:val="clear" w:color="auto" w:fill="auto"/>
            <w:vAlign w:val="center"/>
          </w:tcPr>
          <w:p w14:paraId="737684C9"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元/墩</w:t>
            </w:r>
          </w:p>
        </w:tc>
        <w:tc>
          <w:tcPr>
            <w:tcW w:w="824" w:type="pct"/>
            <w:tcBorders>
              <w:top w:val="nil"/>
              <w:left w:val="nil"/>
              <w:bottom w:val="single" w:sz="4" w:space="0" w:color="auto"/>
              <w:right w:val="single" w:sz="4" w:space="0" w:color="auto"/>
            </w:tcBorders>
            <w:shd w:val="clear" w:color="auto" w:fill="auto"/>
            <w:vAlign w:val="center"/>
          </w:tcPr>
          <w:p w14:paraId="24D1019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12-22</w:t>
            </w:r>
          </w:p>
        </w:tc>
        <w:tc>
          <w:tcPr>
            <w:tcW w:w="1228" w:type="pct"/>
            <w:tcBorders>
              <w:top w:val="nil"/>
              <w:left w:val="nil"/>
              <w:bottom w:val="single" w:sz="4" w:space="0" w:color="auto"/>
              <w:right w:val="single" w:sz="4" w:space="0" w:color="auto"/>
            </w:tcBorders>
            <w:shd w:val="clear" w:color="auto" w:fill="auto"/>
            <w:vAlign w:val="center"/>
          </w:tcPr>
          <w:p w14:paraId="0137C1C6"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15309837" w14:textId="77777777" w:rsidTr="00E77641">
        <w:trPr>
          <w:trHeight w:val="270"/>
        </w:trPr>
        <w:tc>
          <w:tcPr>
            <w:tcW w:w="439" w:type="pct"/>
            <w:tcBorders>
              <w:top w:val="nil"/>
              <w:left w:val="single" w:sz="4" w:space="0" w:color="auto"/>
              <w:bottom w:val="single" w:sz="4" w:space="0" w:color="auto"/>
              <w:right w:val="single" w:sz="4" w:space="0" w:color="auto"/>
            </w:tcBorders>
            <w:shd w:val="clear" w:color="auto" w:fill="auto"/>
            <w:vAlign w:val="center"/>
          </w:tcPr>
          <w:p w14:paraId="6234841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26</w:t>
            </w:r>
          </w:p>
        </w:tc>
        <w:tc>
          <w:tcPr>
            <w:tcW w:w="503" w:type="pct"/>
            <w:tcBorders>
              <w:top w:val="nil"/>
              <w:left w:val="nil"/>
              <w:bottom w:val="single" w:sz="4" w:space="0" w:color="auto"/>
              <w:right w:val="single" w:sz="4" w:space="0" w:color="auto"/>
            </w:tcBorders>
            <w:shd w:val="clear" w:color="auto" w:fill="auto"/>
            <w:vAlign w:val="center"/>
          </w:tcPr>
          <w:p w14:paraId="13BB46F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花椒墙</w:t>
            </w:r>
          </w:p>
        </w:tc>
        <w:tc>
          <w:tcPr>
            <w:tcW w:w="1362" w:type="pct"/>
            <w:tcBorders>
              <w:top w:val="nil"/>
              <w:left w:val="nil"/>
              <w:bottom w:val="single" w:sz="4" w:space="0" w:color="auto"/>
              <w:right w:val="single" w:sz="4" w:space="0" w:color="auto"/>
            </w:tcBorders>
            <w:shd w:val="clear" w:color="auto" w:fill="auto"/>
            <w:vAlign w:val="center"/>
          </w:tcPr>
          <w:p w14:paraId="129EFDF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78821DC8"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2BD8A2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10-32</w:t>
            </w:r>
          </w:p>
        </w:tc>
        <w:tc>
          <w:tcPr>
            <w:tcW w:w="1228" w:type="pct"/>
            <w:tcBorders>
              <w:top w:val="nil"/>
              <w:left w:val="nil"/>
              <w:bottom w:val="single" w:sz="4" w:space="0" w:color="auto"/>
              <w:right w:val="single" w:sz="4" w:space="0" w:color="auto"/>
            </w:tcBorders>
            <w:shd w:val="clear" w:color="auto" w:fill="auto"/>
            <w:vAlign w:val="center"/>
          </w:tcPr>
          <w:p w14:paraId="2C6AB864"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2F8921AB" w14:textId="77777777" w:rsidTr="00E77641">
        <w:trPr>
          <w:trHeight w:val="510"/>
        </w:trPr>
        <w:tc>
          <w:tcPr>
            <w:tcW w:w="439" w:type="pct"/>
            <w:tcBorders>
              <w:top w:val="nil"/>
              <w:left w:val="single" w:sz="4" w:space="0" w:color="auto"/>
              <w:bottom w:val="single" w:sz="4" w:space="0" w:color="auto"/>
              <w:right w:val="single" w:sz="4" w:space="0" w:color="auto"/>
            </w:tcBorders>
            <w:shd w:val="clear" w:color="auto" w:fill="auto"/>
            <w:vAlign w:val="center"/>
          </w:tcPr>
          <w:p w14:paraId="044C3F3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27</w:t>
            </w:r>
          </w:p>
        </w:tc>
        <w:tc>
          <w:tcPr>
            <w:tcW w:w="503" w:type="pct"/>
            <w:tcBorders>
              <w:top w:val="nil"/>
              <w:left w:val="nil"/>
              <w:bottom w:val="single" w:sz="4" w:space="0" w:color="auto"/>
              <w:right w:val="single" w:sz="4" w:space="0" w:color="auto"/>
            </w:tcBorders>
            <w:shd w:val="clear" w:color="auto" w:fill="auto"/>
            <w:vAlign w:val="center"/>
          </w:tcPr>
          <w:p w14:paraId="7C20D9A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香椿树</w:t>
            </w:r>
          </w:p>
        </w:tc>
        <w:tc>
          <w:tcPr>
            <w:tcW w:w="1362" w:type="pct"/>
            <w:tcBorders>
              <w:top w:val="nil"/>
              <w:left w:val="nil"/>
              <w:bottom w:val="single" w:sz="4" w:space="0" w:color="auto"/>
              <w:right w:val="single" w:sz="4" w:space="0" w:color="auto"/>
            </w:tcBorders>
            <w:shd w:val="clear" w:color="auto" w:fill="auto"/>
            <w:vAlign w:val="center"/>
          </w:tcPr>
          <w:p w14:paraId="134B6F0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4FEF4DC3"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元/墩</w:t>
            </w:r>
          </w:p>
        </w:tc>
        <w:tc>
          <w:tcPr>
            <w:tcW w:w="824" w:type="pct"/>
            <w:tcBorders>
              <w:top w:val="nil"/>
              <w:left w:val="nil"/>
              <w:bottom w:val="single" w:sz="4" w:space="0" w:color="auto"/>
              <w:right w:val="single" w:sz="4" w:space="0" w:color="auto"/>
            </w:tcBorders>
            <w:shd w:val="clear" w:color="auto" w:fill="auto"/>
            <w:vAlign w:val="center"/>
          </w:tcPr>
          <w:p w14:paraId="2A871319"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15-35</w:t>
            </w:r>
          </w:p>
        </w:tc>
        <w:tc>
          <w:tcPr>
            <w:tcW w:w="1228" w:type="pct"/>
            <w:tcBorders>
              <w:top w:val="nil"/>
              <w:left w:val="nil"/>
              <w:bottom w:val="single" w:sz="4" w:space="0" w:color="auto"/>
              <w:right w:val="single" w:sz="4" w:space="0" w:color="auto"/>
            </w:tcBorders>
            <w:shd w:val="clear" w:color="auto" w:fill="auto"/>
            <w:vAlign w:val="center"/>
          </w:tcPr>
          <w:p w14:paraId="1AF47715" w14:textId="77777777" w:rsidR="00A320E6" w:rsidRDefault="00000000" w:rsidP="00A1539E">
            <w:pPr>
              <w:snapToGrid w:val="0"/>
              <w:rPr>
                <w:rFonts w:ascii="宋体" w:hAnsi="宋体" w:cs="宋体"/>
                <w:kern w:val="0"/>
                <w:szCs w:val="21"/>
              </w:rPr>
            </w:pPr>
            <w:r>
              <w:rPr>
                <w:rFonts w:ascii="宋体" w:hAnsi="宋体" w:cs="宋体" w:hint="eastAsia"/>
                <w:kern w:val="0"/>
                <w:szCs w:val="21"/>
              </w:rPr>
              <w:t>胸径在5厘米以上参照乔木标准。</w:t>
            </w:r>
          </w:p>
        </w:tc>
      </w:tr>
      <w:tr w:rsidR="00A320E6" w14:paraId="7FF86BB3" w14:textId="77777777" w:rsidTr="00E77641">
        <w:trPr>
          <w:trHeight w:val="270"/>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3ADD6A13"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28</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5B3B234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电力通讯线路及设备</w:t>
            </w:r>
          </w:p>
        </w:tc>
        <w:tc>
          <w:tcPr>
            <w:tcW w:w="1362" w:type="pct"/>
            <w:tcBorders>
              <w:top w:val="nil"/>
              <w:left w:val="nil"/>
              <w:bottom w:val="single" w:sz="4" w:space="0" w:color="auto"/>
              <w:right w:val="single" w:sz="4" w:space="0" w:color="auto"/>
            </w:tcBorders>
            <w:shd w:val="clear" w:color="auto" w:fill="auto"/>
            <w:vAlign w:val="center"/>
          </w:tcPr>
          <w:p w14:paraId="06C56CD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变压器</w:t>
            </w:r>
          </w:p>
        </w:tc>
        <w:tc>
          <w:tcPr>
            <w:tcW w:w="644" w:type="pct"/>
            <w:tcBorders>
              <w:top w:val="nil"/>
              <w:left w:val="nil"/>
              <w:bottom w:val="single" w:sz="4" w:space="0" w:color="auto"/>
              <w:right w:val="single" w:sz="4" w:space="0" w:color="auto"/>
            </w:tcBorders>
            <w:shd w:val="clear" w:color="auto" w:fill="auto"/>
            <w:vAlign w:val="center"/>
          </w:tcPr>
          <w:p w14:paraId="5EECDB87"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元/台</w:t>
            </w:r>
          </w:p>
        </w:tc>
        <w:tc>
          <w:tcPr>
            <w:tcW w:w="824" w:type="pct"/>
            <w:tcBorders>
              <w:top w:val="nil"/>
              <w:left w:val="nil"/>
              <w:bottom w:val="single" w:sz="4" w:space="0" w:color="auto"/>
              <w:right w:val="single" w:sz="4" w:space="0" w:color="auto"/>
            </w:tcBorders>
            <w:shd w:val="clear" w:color="auto" w:fill="auto"/>
            <w:vAlign w:val="center"/>
          </w:tcPr>
          <w:p w14:paraId="3FAEB41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25000-35000</w:t>
            </w:r>
          </w:p>
        </w:tc>
        <w:tc>
          <w:tcPr>
            <w:tcW w:w="1228" w:type="pct"/>
            <w:tcBorders>
              <w:top w:val="nil"/>
              <w:left w:val="nil"/>
              <w:bottom w:val="single" w:sz="4" w:space="0" w:color="auto"/>
              <w:right w:val="single" w:sz="4" w:space="0" w:color="auto"/>
            </w:tcBorders>
            <w:shd w:val="clear" w:color="auto" w:fill="auto"/>
            <w:vAlign w:val="center"/>
          </w:tcPr>
          <w:p w14:paraId="2C3ECAD7" w14:textId="77777777" w:rsidR="00A320E6" w:rsidRDefault="00000000" w:rsidP="00A1539E">
            <w:pPr>
              <w:snapToGrid w:val="0"/>
              <w:rPr>
                <w:rFonts w:ascii="宋体" w:hAnsi="宋体" w:cs="宋体"/>
                <w:kern w:val="0"/>
                <w:szCs w:val="21"/>
              </w:rPr>
            </w:pPr>
            <w:r>
              <w:rPr>
                <w:rFonts w:ascii="宋体" w:hAnsi="宋体" w:cs="宋体" w:hint="eastAsia"/>
                <w:kern w:val="0"/>
                <w:szCs w:val="21"/>
              </w:rPr>
              <w:t>10kv（含）以下迁移。</w:t>
            </w:r>
          </w:p>
        </w:tc>
      </w:tr>
      <w:tr w:rsidR="00A320E6" w14:paraId="628ABBDD"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848AACF"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16CDBFE9"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6E48191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变压器</w:t>
            </w:r>
          </w:p>
        </w:tc>
        <w:tc>
          <w:tcPr>
            <w:tcW w:w="644" w:type="pct"/>
            <w:tcBorders>
              <w:top w:val="nil"/>
              <w:left w:val="nil"/>
              <w:bottom w:val="single" w:sz="4" w:space="0" w:color="auto"/>
              <w:right w:val="single" w:sz="4" w:space="0" w:color="auto"/>
            </w:tcBorders>
            <w:shd w:val="clear" w:color="auto" w:fill="auto"/>
            <w:vAlign w:val="center"/>
          </w:tcPr>
          <w:p w14:paraId="5EF7AA8C"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元/台</w:t>
            </w:r>
          </w:p>
        </w:tc>
        <w:tc>
          <w:tcPr>
            <w:tcW w:w="824" w:type="pct"/>
            <w:tcBorders>
              <w:top w:val="nil"/>
              <w:left w:val="nil"/>
              <w:bottom w:val="single" w:sz="4" w:space="0" w:color="auto"/>
              <w:right w:val="single" w:sz="4" w:space="0" w:color="auto"/>
            </w:tcBorders>
            <w:shd w:val="clear" w:color="auto" w:fill="auto"/>
            <w:vAlign w:val="center"/>
          </w:tcPr>
          <w:p w14:paraId="5E56AE6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35000-50000</w:t>
            </w:r>
          </w:p>
        </w:tc>
        <w:tc>
          <w:tcPr>
            <w:tcW w:w="1228" w:type="pct"/>
            <w:tcBorders>
              <w:top w:val="nil"/>
              <w:left w:val="nil"/>
              <w:bottom w:val="single" w:sz="4" w:space="0" w:color="auto"/>
              <w:right w:val="single" w:sz="4" w:space="0" w:color="auto"/>
            </w:tcBorders>
            <w:shd w:val="clear" w:color="auto" w:fill="auto"/>
            <w:vAlign w:val="center"/>
          </w:tcPr>
          <w:p w14:paraId="3E6C79D5" w14:textId="77777777" w:rsidR="00A320E6" w:rsidRDefault="00000000" w:rsidP="00A1539E">
            <w:pPr>
              <w:snapToGrid w:val="0"/>
              <w:rPr>
                <w:rFonts w:ascii="宋体" w:hAnsi="宋体" w:cs="宋体"/>
                <w:kern w:val="0"/>
                <w:szCs w:val="21"/>
              </w:rPr>
            </w:pPr>
            <w:r>
              <w:rPr>
                <w:rFonts w:ascii="宋体" w:hAnsi="宋体" w:cs="宋体" w:hint="eastAsia"/>
                <w:kern w:val="0"/>
                <w:szCs w:val="21"/>
              </w:rPr>
              <w:t>10kv以上迁移。</w:t>
            </w:r>
          </w:p>
        </w:tc>
      </w:tr>
      <w:tr w:rsidR="00A320E6" w14:paraId="4CC26FAD"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7F56052B"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211347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915833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三相电配电盘</w:t>
            </w:r>
          </w:p>
        </w:tc>
        <w:tc>
          <w:tcPr>
            <w:tcW w:w="644" w:type="pct"/>
            <w:tcBorders>
              <w:top w:val="nil"/>
              <w:left w:val="nil"/>
              <w:bottom w:val="single" w:sz="4" w:space="0" w:color="auto"/>
              <w:right w:val="single" w:sz="4" w:space="0" w:color="auto"/>
            </w:tcBorders>
            <w:shd w:val="clear" w:color="auto" w:fill="auto"/>
            <w:vAlign w:val="center"/>
          </w:tcPr>
          <w:p w14:paraId="19584068"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元/套</w:t>
            </w:r>
          </w:p>
        </w:tc>
        <w:tc>
          <w:tcPr>
            <w:tcW w:w="824" w:type="pct"/>
            <w:tcBorders>
              <w:top w:val="nil"/>
              <w:left w:val="nil"/>
              <w:bottom w:val="single" w:sz="4" w:space="0" w:color="auto"/>
              <w:right w:val="single" w:sz="4" w:space="0" w:color="auto"/>
            </w:tcBorders>
            <w:shd w:val="clear" w:color="auto" w:fill="auto"/>
            <w:vAlign w:val="center"/>
          </w:tcPr>
          <w:p w14:paraId="69ABA4A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2500-3200</w:t>
            </w:r>
          </w:p>
        </w:tc>
        <w:tc>
          <w:tcPr>
            <w:tcW w:w="1228" w:type="pct"/>
            <w:tcBorders>
              <w:top w:val="nil"/>
              <w:left w:val="nil"/>
              <w:bottom w:val="single" w:sz="4" w:space="0" w:color="auto"/>
              <w:right w:val="single" w:sz="4" w:space="0" w:color="auto"/>
            </w:tcBorders>
            <w:shd w:val="clear" w:color="auto" w:fill="auto"/>
            <w:vAlign w:val="center"/>
          </w:tcPr>
          <w:p w14:paraId="78D98B50"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6908A034"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5A43242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5CCFB481"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274C90C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低压线路（带线）</w:t>
            </w:r>
          </w:p>
        </w:tc>
        <w:tc>
          <w:tcPr>
            <w:tcW w:w="644" w:type="pct"/>
            <w:tcBorders>
              <w:top w:val="nil"/>
              <w:left w:val="nil"/>
              <w:bottom w:val="single" w:sz="4" w:space="0" w:color="auto"/>
              <w:right w:val="single" w:sz="4" w:space="0" w:color="auto"/>
            </w:tcBorders>
            <w:shd w:val="clear" w:color="auto" w:fill="auto"/>
            <w:vAlign w:val="center"/>
          </w:tcPr>
          <w:p w14:paraId="3F5A186D"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元/杆</w:t>
            </w:r>
          </w:p>
        </w:tc>
        <w:tc>
          <w:tcPr>
            <w:tcW w:w="824" w:type="pct"/>
            <w:tcBorders>
              <w:top w:val="nil"/>
              <w:left w:val="nil"/>
              <w:bottom w:val="single" w:sz="4" w:space="0" w:color="auto"/>
              <w:right w:val="single" w:sz="4" w:space="0" w:color="auto"/>
            </w:tcBorders>
            <w:shd w:val="clear" w:color="auto" w:fill="auto"/>
            <w:vAlign w:val="center"/>
          </w:tcPr>
          <w:p w14:paraId="7E67DF0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1300-2000</w:t>
            </w:r>
          </w:p>
        </w:tc>
        <w:tc>
          <w:tcPr>
            <w:tcW w:w="1228" w:type="pct"/>
            <w:tcBorders>
              <w:top w:val="nil"/>
              <w:left w:val="nil"/>
              <w:bottom w:val="single" w:sz="4" w:space="0" w:color="auto"/>
              <w:right w:val="single" w:sz="4" w:space="0" w:color="auto"/>
            </w:tcBorders>
            <w:shd w:val="clear" w:color="auto" w:fill="auto"/>
            <w:vAlign w:val="center"/>
          </w:tcPr>
          <w:p w14:paraId="71E493D7"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6F1F7B1E"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AF6E9E6"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3D77CB76"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7C53C7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通讯广播线路（带线）</w:t>
            </w:r>
          </w:p>
        </w:tc>
        <w:tc>
          <w:tcPr>
            <w:tcW w:w="644" w:type="pct"/>
            <w:tcBorders>
              <w:top w:val="nil"/>
              <w:left w:val="nil"/>
              <w:bottom w:val="single" w:sz="4" w:space="0" w:color="auto"/>
              <w:right w:val="single" w:sz="4" w:space="0" w:color="auto"/>
            </w:tcBorders>
            <w:shd w:val="clear" w:color="auto" w:fill="auto"/>
            <w:vAlign w:val="center"/>
          </w:tcPr>
          <w:p w14:paraId="24AD8FD4"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元/杆</w:t>
            </w:r>
          </w:p>
        </w:tc>
        <w:tc>
          <w:tcPr>
            <w:tcW w:w="824" w:type="pct"/>
            <w:tcBorders>
              <w:top w:val="nil"/>
              <w:left w:val="nil"/>
              <w:bottom w:val="single" w:sz="4" w:space="0" w:color="auto"/>
              <w:right w:val="single" w:sz="4" w:space="0" w:color="auto"/>
            </w:tcBorders>
            <w:shd w:val="clear" w:color="auto" w:fill="auto"/>
            <w:vAlign w:val="center"/>
          </w:tcPr>
          <w:p w14:paraId="31736F6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1400-1800</w:t>
            </w:r>
          </w:p>
        </w:tc>
        <w:tc>
          <w:tcPr>
            <w:tcW w:w="1228" w:type="pct"/>
            <w:tcBorders>
              <w:top w:val="nil"/>
              <w:left w:val="nil"/>
              <w:bottom w:val="single" w:sz="4" w:space="0" w:color="auto"/>
              <w:right w:val="single" w:sz="4" w:space="0" w:color="auto"/>
            </w:tcBorders>
            <w:shd w:val="clear" w:color="auto" w:fill="auto"/>
            <w:vAlign w:val="center"/>
          </w:tcPr>
          <w:p w14:paraId="34850BB9" w14:textId="77777777" w:rsidR="00A320E6" w:rsidRDefault="00000000" w:rsidP="00A1539E">
            <w:pPr>
              <w:snapToGrid w:val="0"/>
              <w:rPr>
                <w:rFonts w:ascii="宋体" w:hAnsi="宋体" w:cs="宋体"/>
                <w:kern w:val="0"/>
                <w:szCs w:val="21"/>
              </w:rPr>
            </w:pPr>
            <w:r>
              <w:rPr>
                <w:rFonts w:ascii="宋体" w:hAnsi="宋体" w:cs="宋体" w:hint="eastAsia"/>
                <w:kern w:val="0"/>
                <w:szCs w:val="21"/>
              </w:rPr>
              <w:t xml:space="preserve">　</w:t>
            </w:r>
          </w:p>
        </w:tc>
      </w:tr>
      <w:tr w:rsidR="00A320E6" w14:paraId="6EDC29EB" w14:textId="77777777" w:rsidTr="00E77641">
        <w:trPr>
          <w:trHeight w:val="698"/>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25C30F9B"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29</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473A81C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自来水</w:t>
            </w:r>
          </w:p>
        </w:tc>
        <w:tc>
          <w:tcPr>
            <w:tcW w:w="1362" w:type="pct"/>
            <w:tcBorders>
              <w:top w:val="nil"/>
              <w:left w:val="nil"/>
              <w:bottom w:val="single" w:sz="4" w:space="0" w:color="auto"/>
              <w:right w:val="single" w:sz="4" w:space="0" w:color="auto"/>
            </w:tcBorders>
            <w:shd w:val="clear" w:color="auto" w:fill="auto"/>
            <w:vAlign w:val="center"/>
          </w:tcPr>
          <w:p w14:paraId="2A9097C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从主管道到户内水龙头</w:t>
            </w:r>
          </w:p>
        </w:tc>
        <w:tc>
          <w:tcPr>
            <w:tcW w:w="644" w:type="pct"/>
            <w:tcBorders>
              <w:top w:val="nil"/>
              <w:left w:val="nil"/>
              <w:bottom w:val="single" w:sz="4" w:space="0" w:color="auto"/>
              <w:right w:val="single" w:sz="4" w:space="0" w:color="auto"/>
            </w:tcBorders>
            <w:shd w:val="clear" w:color="auto" w:fill="auto"/>
            <w:vAlign w:val="center"/>
          </w:tcPr>
          <w:p w14:paraId="081BEF96"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32C300BF"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30-40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7E005C26" w14:textId="77777777" w:rsidR="00A320E6" w:rsidRDefault="00000000" w:rsidP="00A1539E">
            <w:pPr>
              <w:snapToGrid w:val="0"/>
              <w:rPr>
                <w:rFonts w:ascii="宋体" w:hAnsi="宋体" w:cs="宋体"/>
                <w:kern w:val="0"/>
                <w:szCs w:val="21"/>
              </w:rPr>
            </w:pPr>
            <w:r>
              <w:rPr>
                <w:rFonts w:ascii="宋体" w:hAnsi="宋体" w:cs="宋体" w:hint="eastAsia"/>
                <w:kern w:val="0"/>
                <w:szCs w:val="21"/>
              </w:rPr>
              <w:t>本项仅指PE管普通管道。其他材质、规格参照市场价确定补偿标准。</w:t>
            </w:r>
          </w:p>
        </w:tc>
      </w:tr>
      <w:tr w:rsidR="00A320E6" w14:paraId="0F8D6B90"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0F410FFD"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4E0F1AE0"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3486E58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主管道</w:t>
            </w:r>
          </w:p>
        </w:tc>
        <w:tc>
          <w:tcPr>
            <w:tcW w:w="644" w:type="pct"/>
            <w:tcBorders>
              <w:top w:val="nil"/>
              <w:left w:val="nil"/>
              <w:bottom w:val="single" w:sz="4" w:space="0" w:color="auto"/>
              <w:right w:val="single" w:sz="4" w:space="0" w:color="auto"/>
            </w:tcBorders>
            <w:shd w:val="clear" w:color="auto" w:fill="auto"/>
            <w:vAlign w:val="center"/>
          </w:tcPr>
          <w:p w14:paraId="36206A4C"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元/m</w:t>
            </w:r>
          </w:p>
        </w:tc>
        <w:tc>
          <w:tcPr>
            <w:tcW w:w="824" w:type="pct"/>
            <w:tcBorders>
              <w:top w:val="nil"/>
              <w:left w:val="nil"/>
              <w:bottom w:val="single" w:sz="4" w:space="0" w:color="auto"/>
              <w:right w:val="single" w:sz="4" w:space="0" w:color="auto"/>
            </w:tcBorders>
            <w:shd w:val="clear" w:color="auto" w:fill="auto"/>
            <w:vAlign w:val="center"/>
          </w:tcPr>
          <w:p w14:paraId="149AC1ED"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50-90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100E4C2F" w14:textId="77777777" w:rsidR="00A320E6" w:rsidRDefault="00A320E6" w:rsidP="00A1539E">
            <w:pPr>
              <w:snapToGrid w:val="0"/>
              <w:rPr>
                <w:rFonts w:ascii="宋体" w:hAnsi="宋体" w:cs="宋体"/>
                <w:kern w:val="0"/>
                <w:szCs w:val="21"/>
              </w:rPr>
            </w:pPr>
          </w:p>
        </w:tc>
      </w:tr>
      <w:tr w:rsidR="00A320E6" w14:paraId="5EAFDE86" w14:textId="77777777" w:rsidTr="00E77641">
        <w:trPr>
          <w:trHeight w:val="1655"/>
        </w:trPr>
        <w:tc>
          <w:tcPr>
            <w:tcW w:w="439" w:type="pct"/>
            <w:vMerge w:val="restart"/>
            <w:tcBorders>
              <w:top w:val="nil"/>
              <w:left w:val="single" w:sz="4" w:space="0" w:color="auto"/>
              <w:bottom w:val="single" w:sz="4" w:space="0" w:color="000000"/>
              <w:right w:val="single" w:sz="4" w:space="0" w:color="auto"/>
            </w:tcBorders>
            <w:shd w:val="clear" w:color="auto" w:fill="auto"/>
            <w:vAlign w:val="center"/>
          </w:tcPr>
          <w:p w14:paraId="3F64278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tcPr>
          <w:p w14:paraId="004DA3C4"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坟墓</w:t>
            </w:r>
          </w:p>
        </w:tc>
        <w:tc>
          <w:tcPr>
            <w:tcW w:w="1362" w:type="pct"/>
            <w:tcBorders>
              <w:top w:val="nil"/>
              <w:left w:val="nil"/>
              <w:bottom w:val="single" w:sz="4" w:space="0" w:color="auto"/>
              <w:right w:val="single" w:sz="4" w:space="0" w:color="auto"/>
            </w:tcBorders>
            <w:shd w:val="clear" w:color="auto" w:fill="auto"/>
            <w:vAlign w:val="center"/>
          </w:tcPr>
          <w:p w14:paraId="3D904662"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棺木</w:t>
            </w:r>
          </w:p>
        </w:tc>
        <w:tc>
          <w:tcPr>
            <w:tcW w:w="644" w:type="pct"/>
            <w:tcBorders>
              <w:top w:val="nil"/>
              <w:left w:val="nil"/>
              <w:bottom w:val="single" w:sz="4" w:space="0" w:color="auto"/>
              <w:right w:val="single" w:sz="4" w:space="0" w:color="auto"/>
            </w:tcBorders>
            <w:shd w:val="clear" w:color="auto" w:fill="auto"/>
            <w:vAlign w:val="center"/>
          </w:tcPr>
          <w:p w14:paraId="62E8EF93"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元/座</w:t>
            </w:r>
          </w:p>
        </w:tc>
        <w:tc>
          <w:tcPr>
            <w:tcW w:w="824" w:type="pct"/>
            <w:tcBorders>
              <w:top w:val="nil"/>
              <w:left w:val="nil"/>
              <w:bottom w:val="single" w:sz="4" w:space="0" w:color="auto"/>
              <w:right w:val="single" w:sz="4" w:space="0" w:color="auto"/>
            </w:tcBorders>
            <w:shd w:val="clear" w:color="auto" w:fill="auto"/>
            <w:vAlign w:val="center"/>
          </w:tcPr>
          <w:p w14:paraId="1D3BB7B1"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1300-2200</w:t>
            </w:r>
          </w:p>
        </w:tc>
        <w:tc>
          <w:tcPr>
            <w:tcW w:w="1228" w:type="pct"/>
            <w:vMerge w:val="restart"/>
            <w:tcBorders>
              <w:top w:val="nil"/>
              <w:left w:val="single" w:sz="4" w:space="0" w:color="auto"/>
              <w:bottom w:val="single" w:sz="4" w:space="0" w:color="000000"/>
              <w:right w:val="single" w:sz="4" w:space="0" w:color="auto"/>
            </w:tcBorders>
            <w:shd w:val="clear" w:color="auto" w:fill="auto"/>
            <w:vAlign w:val="center"/>
          </w:tcPr>
          <w:p w14:paraId="1702BA40" w14:textId="77777777" w:rsidR="00A320E6" w:rsidRDefault="00000000" w:rsidP="00A1539E">
            <w:pPr>
              <w:snapToGrid w:val="0"/>
              <w:rPr>
                <w:rFonts w:ascii="宋体" w:hAnsi="宋体" w:cs="宋体"/>
                <w:kern w:val="0"/>
                <w:szCs w:val="21"/>
              </w:rPr>
            </w:pPr>
            <w:r>
              <w:rPr>
                <w:rFonts w:ascii="宋体" w:hAnsi="宋体" w:cs="宋体" w:hint="eastAsia"/>
                <w:kern w:val="0"/>
                <w:szCs w:val="21"/>
              </w:rPr>
              <w:t>1.双棺可适当增加补偿，最高不超过500元。</w:t>
            </w:r>
            <w:r>
              <w:rPr>
                <w:rFonts w:ascii="宋体" w:hAnsi="宋体" w:cs="宋体" w:hint="eastAsia"/>
                <w:kern w:val="0"/>
                <w:szCs w:val="21"/>
              </w:rPr>
              <w:br/>
              <w:t>2.带石碑，可在价格范围内适当高评。</w:t>
            </w:r>
            <w:r>
              <w:rPr>
                <w:rFonts w:ascii="宋体" w:hAnsi="宋体" w:cs="宋体" w:hint="eastAsia"/>
                <w:kern w:val="0"/>
                <w:szCs w:val="21"/>
              </w:rPr>
              <w:br/>
              <w:t>3.少数民族按其殡葬习惯和特点补偿标准可以在上浮100%的范围内协商确定。</w:t>
            </w:r>
          </w:p>
        </w:tc>
      </w:tr>
      <w:tr w:rsidR="00A320E6" w14:paraId="13F2E4D2" w14:textId="77777777" w:rsidTr="00E77641">
        <w:trPr>
          <w:trHeight w:val="270"/>
        </w:trPr>
        <w:tc>
          <w:tcPr>
            <w:tcW w:w="439" w:type="pct"/>
            <w:vMerge/>
            <w:tcBorders>
              <w:top w:val="nil"/>
              <w:left w:val="single" w:sz="4" w:space="0" w:color="auto"/>
              <w:bottom w:val="single" w:sz="4" w:space="0" w:color="000000"/>
              <w:right w:val="single" w:sz="4" w:space="0" w:color="auto"/>
            </w:tcBorders>
            <w:shd w:val="clear" w:color="auto" w:fill="auto"/>
            <w:vAlign w:val="center"/>
          </w:tcPr>
          <w:p w14:paraId="1BF89A24" w14:textId="77777777" w:rsidR="00A320E6" w:rsidRDefault="00A320E6" w:rsidP="00A1539E">
            <w:pPr>
              <w:snapToGrid w:val="0"/>
              <w:jc w:val="left"/>
              <w:rPr>
                <w:rFonts w:ascii="宋体" w:hAnsi="宋体" w:cs="宋体"/>
                <w:kern w:val="0"/>
                <w:szCs w:val="21"/>
              </w:rPr>
            </w:pPr>
          </w:p>
        </w:tc>
        <w:tc>
          <w:tcPr>
            <w:tcW w:w="503" w:type="pct"/>
            <w:vMerge/>
            <w:tcBorders>
              <w:top w:val="nil"/>
              <w:left w:val="single" w:sz="4" w:space="0" w:color="auto"/>
              <w:bottom w:val="single" w:sz="4" w:space="0" w:color="000000"/>
              <w:right w:val="single" w:sz="4" w:space="0" w:color="auto"/>
            </w:tcBorders>
            <w:shd w:val="clear" w:color="auto" w:fill="auto"/>
            <w:vAlign w:val="center"/>
          </w:tcPr>
          <w:p w14:paraId="2B3E1A4A" w14:textId="77777777" w:rsidR="00A320E6" w:rsidRDefault="00A320E6" w:rsidP="00A1539E">
            <w:pPr>
              <w:snapToGrid w:val="0"/>
              <w:jc w:val="left"/>
              <w:rPr>
                <w:rFonts w:ascii="宋体" w:hAnsi="宋体" w:cs="宋体"/>
                <w:kern w:val="0"/>
                <w:szCs w:val="21"/>
              </w:rPr>
            </w:pPr>
          </w:p>
        </w:tc>
        <w:tc>
          <w:tcPr>
            <w:tcW w:w="1362" w:type="pct"/>
            <w:tcBorders>
              <w:top w:val="nil"/>
              <w:left w:val="nil"/>
              <w:bottom w:val="single" w:sz="4" w:space="0" w:color="auto"/>
              <w:right w:val="single" w:sz="4" w:space="0" w:color="auto"/>
            </w:tcBorders>
            <w:shd w:val="clear" w:color="auto" w:fill="auto"/>
            <w:vAlign w:val="center"/>
          </w:tcPr>
          <w:p w14:paraId="0883601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骨灰盒</w:t>
            </w:r>
          </w:p>
        </w:tc>
        <w:tc>
          <w:tcPr>
            <w:tcW w:w="644" w:type="pct"/>
            <w:tcBorders>
              <w:top w:val="nil"/>
              <w:left w:val="nil"/>
              <w:bottom w:val="single" w:sz="4" w:space="0" w:color="auto"/>
              <w:right w:val="single" w:sz="4" w:space="0" w:color="auto"/>
            </w:tcBorders>
            <w:shd w:val="clear" w:color="auto" w:fill="auto"/>
            <w:vAlign w:val="center"/>
          </w:tcPr>
          <w:p w14:paraId="330A8968" w14:textId="77777777" w:rsidR="00A320E6" w:rsidRDefault="00000000" w:rsidP="00A1539E">
            <w:pPr>
              <w:adjustRightInd w:val="0"/>
              <w:snapToGrid w:val="0"/>
              <w:jc w:val="center"/>
              <w:rPr>
                <w:rFonts w:ascii="宋体" w:hAnsi="宋体" w:cs="宋体"/>
                <w:kern w:val="0"/>
                <w:szCs w:val="21"/>
              </w:rPr>
            </w:pPr>
            <w:r>
              <w:rPr>
                <w:rFonts w:ascii="宋体" w:hAnsi="宋体" w:cs="宋体" w:hint="eastAsia"/>
                <w:kern w:val="0"/>
                <w:szCs w:val="21"/>
              </w:rPr>
              <w:t>元/座</w:t>
            </w:r>
          </w:p>
        </w:tc>
        <w:tc>
          <w:tcPr>
            <w:tcW w:w="824" w:type="pct"/>
            <w:tcBorders>
              <w:top w:val="nil"/>
              <w:left w:val="nil"/>
              <w:bottom w:val="single" w:sz="4" w:space="0" w:color="auto"/>
              <w:right w:val="single" w:sz="4" w:space="0" w:color="auto"/>
            </w:tcBorders>
            <w:shd w:val="clear" w:color="auto" w:fill="auto"/>
            <w:vAlign w:val="center"/>
          </w:tcPr>
          <w:p w14:paraId="36462AF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1200-1600</w:t>
            </w:r>
          </w:p>
        </w:tc>
        <w:tc>
          <w:tcPr>
            <w:tcW w:w="1228" w:type="pct"/>
            <w:vMerge/>
            <w:tcBorders>
              <w:top w:val="nil"/>
              <w:left w:val="single" w:sz="4" w:space="0" w:color="auto"/>
              <w:bottom w:val="single" w:sz="4" w:space="0" w:color="000000"/>
              <w:right w:val="single" w:sz="4" w:space="0" w:color="auto"/>
            </w:tcBorders>
            <w:shd w:val="clear" w:color="auto" w:fill="auto"/>
            <w:vAlign w:val="center"/>
          </w:tcPr>
          <w:p w14:paraId="3CEABA1E" w14:textId="77777777" w:rsidR="00A320E6" w:rsidRDefault="00A320E6" w:rsidP="00A1539E">
            <w:pPr>
              <w:snapToGrid w:val="0"/>
              <w:rPr>
                <w:rFonts w:ascii="宋体" w:hAnsi="宋体" w:cs="宋体"/>
                <w:kern w:val="0"/>
                <w:szCs w:val="21"/>
              </w:rPr>
            </w:pPr>
          </w:p>
        </w:tc>
      </w:tr>
      <w:tr w:rsidR="00A320E6" w14:paraId="6CF76522" w14:textId="77777777" w:rsidTr="00E77641">
        <w:trPr>
          <w:trHeight w:val="2040"/>
        </w:trPr>
        <w:tc>
          <w:tcPr>
            <w:tcW w:w="439" w:type="pct"/>
            <w:tcBorders>
              <w:top w:val="nil"/>
              <w:left w:val="single" w:sz="4" w:space="0" w:color="auto"/>
              <w:bottom w:val="single" w:sz="4" w:space="0" w:color="auto"/>
              <w:right w:val="single" w:sz="4" w:space="0" w:color="auto"/>
            </w:tcBorders>
            <w:shd w:val="clear" w:color="auto" w:fill="auto"/>
            <w:vAlign w:val="center"/>
          </w:tcPr>
          <w:p w14:paraId="6841108C"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31</w:t>
            </w:r>
          </w:p>
        </w:tc>
        <w:tc>
          <w:tcPr>
            <w:tcW w:w="503" w:type="pct"/>
            <w:tcBorders>
              <w:top w:val="nil"/>
              <w:left w:val="nil"/>
              <w:bottom w:val="single" w:sz="4" w:space="0" w:color="auto"/>
              <w:right w:val="single" w:sz="4" w:space="0" w:color="auto"/>
            </w:tcBorders>
            <w:shd w:val="clear" w:color="auto" w:fill="auto"/>
            <w:vAlign w:val="center"/>
          </w:tcPr>
          <w:p w14:paraId="2324B6E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粮食类</w:t>
            </w:r>
          </w:p>
        </w:tc>
        <w:tc>
          <w:tcPr>
            <w:tcW w:w="1362" w:type="pct"/>
            <w:tcBorders>
              <w:top w:val="nil"/>
              <w:left w:val="nil"/>
              <w:bottom w:val="single" w:sz="4" w:space="0" w:color="auto"/>
              <w:right w:val="single" w:sz="4" w:space="0" w:color="auto"/>
            </w:tcBorders>
            <w:shd w:val="clear" w:color="auto" w:fill="auto"/>
            <w:vAlign w:val="center"/>
          </w:tcPr>
          <w:p w14:paraId="5289B94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089587DA"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元/亩/年</w:t>
            </w:r>
          </w:p>
        </w:tc>
        <w:tc>
          <w:tcPr>
            <w:tcW w:w="824" w:type="pct"/>
            <w:tcBorders>
              <w:top w:val="nil"/>
              <w:left w:val="nil"/>
              <w:bottom w:val="single" w:sz="4" w:space="0" w:color="auto"/>
              <w:right w:val="single" w:sz="4" w:space="0" w:color="auto"/>
            </w:tcBorders>
            <w:shd w:val="clear" w:color="auto" w:fill="auto"/>
            <w:vAlign w:val="center"/>
          </w:tcPr>
          <w:p w14:paraId="6B896C5E"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2600-3600</w:t>
            </w:r>
          </w:p>
        </w:tc>
        <w:tc>
          <w:tcPr>
            <w:tcW w:w="1228" w:type="pct"/>
            <w:tcBorders>
              <w:top w:val="nil"/>
              <w:left w:val="nil"/>
              <w:bottom w:val="single" w:sz="4" w:space="0" w:color="auto"/>
              <w:right w:val="single" w:sz="4" w:space="0" w:color="auto"/>
            </w:tcBorders>
            <w:shd w:val="clear" w:color="auto" w:fill="auto"/>
            <w:vAlign w:val="center"/>
          </w:tcPr>
          <w:p w14:paraId="120F3881" w14:textId="77777777" w:rsidR="00A320E6" w:rsidRDefault="00000000" w:rsidP="00A1539E">
            <w:pPr>
              <w:snapToGrid w:val="0"/>
              <w:rPr>
                <w:rFonts w:ascii="宋体" w:hAnsi="宋体" w:cs="宋体"/>
                <w:kern w:val="0"/>
                <w:szCs w:val="21"/>
              </w:rPr>
            </w:pPr>
            <w:r>
              <w:rPr>
                <w:rFonts w:ascii="宋体" w:hAnsi="宋体" w:cs="宋体" w:hint="eastAsia"/>
                <w:kern w:val="0"/>
                <w:szCs w:val="21"/>
              </w:rPr>
              <w:t>1.青苗补偿标准，种植一年两季作物的，按补偿标准的50%补偿；种植一年一季作物的，按补偿标准补偿。2.经济作物根据种类参照市场价确定补偿标准。</w:t>
            </w:r>
          </w:p>
        </w:tc>
      </w:tr>
      <w:tr w:rsidR="00A320E6" w14:paraId="102DB9F0" w14:textId="77777777" w:rsidTr="00E77641">
        <w:trPr>
          <w:trHeight w:val="1020"/>
        </w:trPr>
        <w:tc>
          <w:tcPr>
            <w:tcW w:w="439" w:type="pct"/>
            <w:tcBorders>
              <w:top w:val="nil"/>
              <w:left w:val="single" w:sz="4" w:space="0" w:color="auto"/>
              <w:bottom w:val="single" w:sz="4" w:space="0" w:color="auto"/>
              <w:right w:val="single" w:sz="4" w:space="0" w:color="auto"/>
            </w:tcBorders>
            <w:shd w:val="clear" w:color="auto" w:fill="auto"/>
            <w:vAlign w:val="center"/>
          </w:tcPr>
          <w:p w14:paraId="69EFB30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32</w:t>
            </w:r>
          </w:p>
        </w:tc>
        <w:tc>
          <w:tcPr>
            <w:tcW w:w="503" w:type="pct"/>
            <w:tcBorders>
              <w:top w:val="nil"/>
              <w:left w:val="nil"/>
              <w:bottom w:val="single" w:sz="4" w:space="0" w:color="auto"/>
              <w:right w:val="single" w:sz="4" w:space="0" w:color="auto"/>
            </w:tcBorders>
            <w:shd w:val="clear" w:color="auto" w:fill="auto"/>
            <w:vAlign w:val="center"/>
          </w:tcPr>
          <w:p w14:paraId="2BB2E556"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蔬菜类</w:t>
            </w:r>
          </w:p>
        </w:tc>
        <w:tc>
          <w:tcPr>
            <w:tcW w:w="1362" w:type="pct"/>
            <w:tcBorders>
              <w:top w:val="nil"/>
              <w:left w:val="nil"/>
              <w:bottom w:val="single" w:sz="4" w:space="0" w:color="auto"/>
              <w:right w:val="single" w:sz="4" w:space="0" w:color="auto"/>
            </w:tcBorders>
            <w:shd w:val="clear" w:color="auto" w:fill="auto"/>
            <w:vAlign w:val="center"/>
          </w:tcPr>
          <w:p w14:paraId="0914E205"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 xml:space="preserve">　</w:t>
            </w:r>
          </w:p>
        </w:tc>
        <w:tc>
          <w:tcPr>
            <w:tcW w:w="644" w:type="pct"/>
            <w:tcBorders>
              <w:top w:val="nil"/>
              <w:left w:val="nil"/>
              <w:bottom w:val="single" w:sz="4" w:space="0" w:color="auto"/>
              <w:right w:val="single" w:sz="4" w:space="0" w:color="auto"/>
            </w:tcBorders>
            <w:shd w:val="clear" w:color="auto" w:fill="auto"/>
            <w:vAlign w:val="center"/>
          </w:tcPr>
          <w:p w14:paraId="012FA220"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元/亩</w:t>
            </w:r>
          </w:p>
        </w:tc>
        <w:tc>
          <w:tcPr>
            <w:tcW w:w="824" w:type="pct"/>
            <w:tcBorders>
              <w:top w:val="nil"/>
              <w:left w:val="nil"/>
              <w:bottom w:val="single" w:sz="4" w:space="0" w:color="auto"/>
              <w:right w:val="single" w:sz="4" w:space="0" w:color="auto"/>
            </w:tcBorders>
            <w:shd w:val="clear" w:color="auto" w:fill="auto"/>
            <w:vAlign w:val="center"/>
          </w:tcPr>
          <w:p w14:paraId="1B6B63F8" w14:textId="77777777" w:rsidR="00A320E6" w:rsidRDefault="00000000" w:rsidP="00A1539E">
            <w:pPr>
              <w:snapToGrid w:val="0"/>
              <w:jc w:val="center"/>
              <w:rPr>
                <w:rFonts w:ascii="宋体" w:hAnsi="宋体" w:cs="宋体"/>
                <w:kern w:val="0"/>
                <w:szCs w:val="21"/>
              </w:rPr>
            </w:pPr>
            <w:r>
              <w:rPr>
                <w:rFonts w:ascii="宋体" w:hAnsi="宋体" w:cs="宋体" w:hint="eastAsia"/>
                <w:kern w:val="0"/>
                <w:szCs w:val="21"/>
              </w:rPr>
              <w:t>3000-6000</w:t>
            </w:r>
          </w:p>
        </w:tc>
        <w:tc>
          <w:tcPr>
            <w:tcW w:w="1228" w:type="pct"/>
            <w:tcBorders>
              <w:top w:val="nil"/>
              <w:left w:val="nil"/>
              <w:bottom w:val="single" w:sz="4" w:space="0" w:color="auto"/>
              <w:right w:val="single" w:sz="4" w:space="0" w:color="auto"/>
            </w:tcBorders>
            <w:shd w:val="clear" w:color="auto" w:fill="auto"/>
            <w:vAlign w:val="center"/>
          </w:tcPr>
          <w:p w14:paraId="01E6D95F" w14:textId="77777777" w:rsidR="00A320E6" w:rsidRDefault="00000000" w:rsidP="00A1539E">
            <w:pPr>
              <w:snapToGrid w:val="0"/>
              <w:rPr>
                <w:rFonts w:ascii="宋体" w:hAnsi="宋体" w:cs="宋体"/>
                <w:kern w:val="0"/>
                <w:szCs w:val="21"/>
              </w:rPr>
            </w:pPr>
            <w:r>
              <w:rPr>
                <w:rFonts w:ascii="宋体" w:hAnsi="宋体" w:cs="宋体" w:hint="eastAsia"/>
                <w:kern w:val="0"/>
                <w:szCs w:val="21"/>
              </w:rPr>
              <w:t>不含大棚蔬菜，大棚蔬菜可按市场价格评估。能收获的不予补偿。</w:t>
            </w:r>
          </w:p>
        </w:tc>
      </w:tr>
    </w:tbl>
    <w:p w14:paraId="4542F2A9"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说明：</w:t>
      </w:r>
    </w:p>
    <w:p w14:paraId="346414A6"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1.对征地范围已确定，发布征地公告（预公告）之日起或征地调查登记开始后抢种、抢栽的青苗和其他地上附着物，以及抢建的房屋等建（构）筑物不予补偿。</w:t>
      </w:r>
    </w:p>
    <w:p w14:paraId="7E78FEF7" w14:textId="77777777" w:rsidR="00A320E6" w:rsidRDefault="00000000" w:rsidP="00AE0286">
      <w:pPr>
        <w:shd w:val="clear" w:color="auto" w:fill="FFFFFF"/>
        <w:spacing w:line="360" w:lineRule="auto"/>
        <w:ind w:firstLineChars="200" w:firstLine="480"/>
        <w:rPr>
          <w:rFonts w:ascii="宋体" w:hAnsi="宋体" w:cs="宋体"/>
          <w:kern w:val="0"/>
          <w:sz w:val="24"/>
          <w:szCs w:val="24"/>
        </w:rPr>
      </w:pPr>
      <w:r>
        <w:rPr>
          <w:rFonts w:ascii="宋体" w:hAnsi="宋体" w:cs="宋体" w:hint="eastAsia"/>
          <w:kern w:val="0"/>
          <w:sz w:val="24"/>
          <w:szCs w:val="24"/>
        </w:rPr>
        <w:t>2.国家和省确定的铁路、公路、机场、航道港口、水利工程、能源工程等重大基础设施项目征收土地地上附着物和青苗补偿等标准另有规定的，从其规定。</w:t>
      </w:r>
    </w:p>
    <w:p w14:paraId="02DA41B2" w14:textId="77777777" w:rsidR="00A320E6" w:rsidRDefault="00000000" w:rsidP="00A1539E">
      <w:pPr>
        <w:shd w:val="clear" w:color="auto" w:fill="FFFFFF"/>
        <w:spacing w:line="360" w:lineRule="auto"/>
        <w:ind w:firstLineChars="200" w:firstLine="480"/>
        <w:rPr>
          <w:rFonts w:ascii="宋体" w:hAnsi="宋体" w:cs="宋体"/>
          <w:kern w:val="0"/>
          <w:sz w:val="24"/>
        </w:rPr>
      </w:pPr>
      <w:r>
        <w:rPr>
          <w:rFonts w:ascii="宋体" w:hAnsi="宋体" w:cs="宋体" w:hint="eastAsia"/>
          <w:kern w:val="0"/>
          <w:sz w:val="24"/>
        </w:rPr>
        <w:t>3.对补偿标准有争议或难以确定补偿标准的，可委托有资质的价格评估机构进行评估。</w:t>
      </w:r>
    </w:p>
    <w:p w14:paraId="0A16F5CD" w14:textId="77777777" w:rsidR="00A320E6" w:rsidRDefault="00000000" w:rsidP="00F67407">
      <w:pPr>
        <w:keepNext/>
        <w:spacing w:beforeLines="50" w:before="156" w:afterLines="20" w:after="62" w:line="360" w:lineRule="auto"/>
        <w:jc w:val="center"/>
        <w:outlineLvl w:val="2"/>
        <w:rPr>
          <w:b/>
          <w:bCs/>
          <w:sz w:val="24"/>
          <w:lang w:eastAsia="zh-Hans"/>
        </w:rPr>
      </w:pPr>
      <w:bookmarkStart w:id="116" w:name="_Toc112227419"/>
      <w:r>
        <w:rPr>
          <w:rFonts w:hint="eastAsia"/>
          <w:b/>
          <w:bCs/>
          <w:sz w:val="24"/>
          <w:lang w:eastAsia="zh-Hans"/>
        </w:rPr>
        <w:t>关于济宁市征地地上附着物和青苗补偿标准的批复</w:t>
      </w:r>
      <w:bookmarkEnd w:id="116"/>
    </w:p>
    <w:p w14:paraId="2DE06C6D" w14:textId="77777777" w:rsidR="00A320E6" w:rsidRDefault="00000000" w:rsidP="00AE0286">
      <w:pPr>
        <w:pStyle w:val="10"/>
        <w:ind w:firstLineChars="0" w:firstLine="0"/>
        <w:rPr>
          <w:rStyle w:val="150"/>
          <w:rFonts w:hint="default"/>
          <w:sz w:val="24"/>
          <w:szCs w:val="24"/>
          <w:lang w:eastAsia="zh-Hans"/>
        </w:rPr>
      </w:pPr>
      <w:r>
        <w:rPr>
          <w:rStyle w:val="150"/>
          <w:rFonts w:hint="default"/>
          <w:sz w:val="24"/>
          <w:szCs w:val="24"/>
          <w:lang w:eastAsia="zh-Hans"/>
        </w:rPr>
        <w:t>济宁市自然资源和规划局、财政局：</w:t>
      </w:r>
    </w:p>
    <w:p w14:paraId="15AC6FDA"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你市《关于审批济宁市征地地上附着物和青苗补偿标准调整成果的请示》（济自资规呈〔2021〕378号）收悉。经研究，同意你市制定的征地地上附着物和青苗补偿标准（详见附件）。</w:t>
      </w:r>
    </w:p>
    <w:p w14:paraId="134BB5C2"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标准自批复之日起执行。</w:t>
      </w:r>
    </w:p>
    <w:p w14:paraId="5A888E1B"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附件：济宁市征地地上附着物和青苗补偿标准</w:t>
      </w:r>
    </w:p>
    <w:p w14:paraId="43C093F6" w14:textId="77777777" w:rsidR="00A320E6" w:rsidRDefault="00000000" w:rsidP="00AE0286">
      <w:pPr>
        <w:pStyle w:val="10"/>
        <w:ind w:firstLine="480"/>
        <w:jc w:val="right"/>
        <w:rPr>
          <w:rStyle w:val="150"/>
          <w:rFonts w:hint="default"/>
          <w:sz w:val="24"/>
          <w:szCs w:val="24"/>
          <w:lang w:eastAsia="zh-Hans"/>
        </w:rPr>
      </w:pPr>
      <w:r>
        <w:rPr>
          <w:rStyle w:val="150"/>
          <w:rFonts w:hint="default"/>
          <w:sz w:val="24"/>
          <w:szCs w:val="24"/>
          <w:lang w:eastAsia="zh-Hans"/>
        </w:rPr>
        <w:t>                           山东省自然资源厅  山东省财政厅  </w:t>
      </w:r>
    </w:p>
    <w:p w14:paraId="4DF926F9" w14:textId="77777777" w:rsidR="00A320E6" w:rsidRDefault="00000000" w:rsidP="00AE0286">
      <w:pPr>
        <w:pStyle w:val="10"/>
        <w:ind w:firstLine="480"/>
        <w:jc w:val="right"/>
        <w:rPr>
          <w:rStyle w:val="150"/>
          <w:rFonts w:hint="default"/>
          <w:sz w:val="24"/>
          <w:szCs w:val="24"/>
          <w:lang w:eastAsia="zh-Hans"/>
        </w:rPr>
      </w:pPr>
      <w:r>
        <w:rPr>
          <w:rStyle w:val="150"/>
          <w:rFonts w:hint="default"/>
          <w:sz w:val="24"/>
          <w:szCs w:val="24"/>
          <w:lang w:eastAsia="zh-Hans"/>
        </w:rPr>
        <w:t>                        2021年12月24日</w:t>
      </w:r>
    </w:p>
    <w:p w14:paraId="6A58F9CB" w14:textId="77777777" w:rsidR="00A320E6" w:rsidRDefault="00000000" w:rsidP="00AE0286">
      <w:pPr>
        <w:pStyle w:val="10"/>
        <w:ind w:firstLine="480"/>
        <w:jc w:val="center"/>
        <w:rPr>
          <w:rStyle w:val="150"/>
          <w:rFonts w:hint="default"/>
          <w:sz w:val="24"/>
          <w:szCs w:val="24"/>
          <w:lang w:eastAsia="zh-Hans"/>
        </w:rPr>
      </w:pPr>
      <w:r>
        <w:rPr>
          <w:rStyle w:val="150"/>
          <w:rFonts w:hint="default"/>
          <w:sz w:val="24"/>
          <w:szCs w:val="24"/>
          <w:lang w:eastAsia="zh-Hans"/>
        </w:rPr>
        <w:t>济宁市征地地上附着物和青苗补偿标准</w:t>
      </w:r>
    </w:p>
    <w:tbl>
      <w:tblPr>
        <w:tblW w:w="5000" w:type="pct"/>
        <w:jc w:val="center"/>
        <w:tblLook w:val="04A0" w:firstRow="1" w:lastRow="0" w:firstColumn="1" w:lastColumn="0" w:noHBand="0" w:noVBand="1"/>
      </w:tblPr>
      <w:tblGrid>
        <w:gridCol w:w="704"/>
        <w:gridCol w:w="883"/>
        <w:gridCol w:w="1313"/>
        <w:gridCol w:w="1335"/>
        <w:gridCol w:w="1932"/>
        <w:gridCol w:w="2779"/>
      </w:tblGrid>
      <w:tr w:rsidR="00A320E6" w14:paraId="08A85AF7" w14:textId="77777777" w:rsidTr="00E77641">
        <w:trPr>
          <w:trHeight w:val="300"/>
          <w:tblHeader/>
          <w:jc w:val="center"/>
        </w:trPr>
        <w:tc>
          <w:tcPr>
            <w:tcW w:w="393" w:type="pct"/>
            <w:tcBorders>
              <w:top w:val="single" w:sz="4" w:space="0" w:color="000000"/>
              <w:left w:val="single" w:sz="4" w:space="0" w:color="000000"/>
              <w:bottom w:val="single" w:sz="4" w:space="0" w:color="000000"/>
              <w:right w:val="single" w:sz="4" w:space="0" w:color="000000"/>
            </w:tcBorders>
            <w:vAlign w:val="center"/>
          </w:tcPr>
          <w:p w14:paraId="7273CAB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序号</w:t>
            </w:r>
          </w:p>
        </w:tc>
        <w:tc>
          <w:tcPr>
            <w:tcW w:w="493" w:type="pct"/>
            <w:tcBorders>
              <w:top w:val="single" w:sz="4" w:space="0" w:color="000000"/>
              <w:left w:val="single" w:sz="4" w:space="0" w:color="000000"/>
              <w:bottom w:val="single" w:sz="4" w:space="0" w:color="000000"/>
              <w:right w:val="single" w:sz="4" w:space="0" w:color="000000"/>
            </w:tcBorders>
            <w:vAlign w:val="center"/>
          </w:tcPr>
          <w:p w14:paraId="5F33E25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名称</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47FB93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类别</w:t>
            </w:r>
          </w:p>
        </w:tc>
        <w:tc>
          <w:tcPr>
            <w:tcW w:w="1080" w:type="pct"/>
            <w:tcBorders>
              <w:top w:val="single" w:sz="4" w:space="0" w:color="000000"/>
              <w:left w:val="single" w:sz="4" w:space="0" w:color="000000"/>
              <w:bottom w:val="single" w:sz="4" w:space="0" w:color="000000"/>
              <w:right w:val="single" w:sz="4" w:space="0" w:color="000000"/>
            </w:tcBorders>
            <w:vAlign w:val="center"/>
          </w:tcPr>
          <w:p w14:paraId="12F14C0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补偿标准</w:t>
            </w:r>
          </w:p>
        </w:tc>
        <w:tc>
          <w:tcPr>
            <w:tcW w:w="1553" w:type="pct"/>
            <w:tcBorders>
              <w:top w:val="single" w:sz="4" w:space="0" w:color="000000"/>
              <w:left w:val="single" w:sz="4" w:space="0" w:color="000000"/>
              <w:bottom w:val="single" w:sz="4" w:space="0" w:color="000000"/>
              <w:right w:val="single" w:sz="4" w:space="0" w:color="000000"/>
            </w:tcBorders>
            <w:vAlign w:val="center"/>
          </w:tcPr>
          <w:p w14:paraId="4DFD476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备注</w:t>
            </w:r>
          </w:p>
        </w:tc>
      </w:tr>
      <w:tr w:rsidR="00A320E6" w14:paraId="55A1BDFC" w14:textId="77777777" w:rsidTr="00E77641">
        <w:trPr>
          <w:trHeight w:val="435"/>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3DB6597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793431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非住宅房屋</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7816B7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多层楼房</w:t>
            </w:r>
          </w:p>
        </w:tc>
        <w:tc>
          <w:tcPr>
            <w:tcW w:w="1080" w:type="pct"/>
            <w:tcBorders>
              <w:top w:val="single" w:sz="4" w:space="0" w:color="000000"/>
              <w:left w:val="single" w:sz="4" w:space="0" w:color="000000"/>
              <w:bottom w:val="single" w:sz="4" w:space="0" w:color="000000"/>
              <w:right w:val="single" w:sz="4" w:space="0" w:color="000000"/>
            </w:tcBorders>
            <w:vAlign w:val="center"/>
          </w:tcPr>
          <w:p w14:paraId="0B03E70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1000-1400元/㎡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2FC3DA7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1.仅限集体土地上非住宅房屋，合法宅基地上的住宅房屋执行当地政府制定的新农村建设或合村并点搬迁补偿政策。</w:t>
            </w:r>
            <w:r>
              <w:rPr>
                <w:rStyle w:val="150"/>
                <w:rFonts w:hint="default"/>
                <w:sz w:val="21"/>
                <w:szCs w:val="21"/>
                <w:lang w:eastAsia="zh-Hans"/>
              </w:rPr>
              <w:br/>
              <w:t>2.表中面积系指建筑面积。</w:t>
            </w:r>
            <w:r>
              <w:rPr>
                <w:rStyle w:val="150"/>
                <w:rFonts w:hint="default"/>
                <w:sz w:val="21"/>
                <w:szCs w:val="21"/>
                <w:lang w:eastAsia="zh-Hans"/>
              </w:rPr>
              <w:br/>
              <w:t>3.房屋高度为2.8-3.6m，</w:t>
            </w:r>
          </w:p>
          <w:p w14:paraId="07A164B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超过或低于正常高度补偿价格应做调整。</w:t>
            </w:r>
            <w:r>
              <w:rPr>
                <w:rStyle w:val="150"/>
                <w:rFonts w:hint="default"/>
                <w:sz w:val="21"/>
                <w:szCs w:val="21"/>
                <w:lang w:eastAsia="zh-Hans"/>
              </w:rPr>
              <w:br/>
              <w:t>4.按时拆迁的，旧料归原主，否则拆迁物充抵拆迁费用。</w:t>
            </w:r>
          </w:p>
        </w:tc>
      </w:tr>
      <w:tr w:rsidR="00A320E6" w14:paraId="352FE3A6" w14:textId="77777777" w:rsidTr="00E77641">
        <w:trPr>
          <w:trHeight w:val="61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9024FE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8C0253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E606FB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乱石基、砖石墙、钢筋混凝土预制或现浇平屋顶平房或二层</w:t>
            </w:r>
          </w:p>
        </w:tc>
        <w:tc>
          <w:tcPr>
            <w:tcW w:w="1080" w:type="pct"/>
            <w:tcBorders>
              <w:top w:val="single" w:sz="4" w:space="0" w:color="000000"/>
              <w:left w:val="single" w:sz="4" w:space="0" w:color="000000"/>
              <w:bottom w:val="single" w:sz="4" w:space="0" w:color="000000"/>
              <w:right w:val="single" w:sz="4" w:space="0" w:color="000000"/>
            </w:tcBorders>
            <w:vAlign w:val="center"/>
          </w:tcPr>
          <w:p w14:paraId="04AABD4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650-1100元/㎡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52C7276"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372ECE1" w14:textId="77777777" w:rsidTr="00E77641">
        <w:trPr>
          <w:trHeight w:val="54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93D156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76B99F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5FE686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乱石基、砖石墙、木结构斜坡草或瓦屋顶</w:t>
            </w:r>
          </w:p>
        </w:tc>
        <w:tc>
          <w:tcPr>
            <w:tcW w:w="1080" w:type="pct"/>
            <w:tcBorders>
              <w:top w:val="single" w:sz="4" w:space="0" w:color="000000"/>
              <w:left w:val="single" w:sz="4" w:space="0" w:color="000000"/>
              <w:bottom w:val="single" w:sz="4" w:space="0" w:color="000000"/>
              <w:right w:val="single" w:sz="4" w:space="0" w:color="000000"/>
            </w:tcBorders>
            <w:vAlign w:val="center"/>
          </w:tcPr>
          <w:p w14:paraId="4BF72E4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550-700元/㎡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4B80A6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6B4C1ED" w14:textId="77777777" w:rsidTr="00E77641">
        <w:trPr>
          <w:trHeight w:val="60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AF62BB5"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0F7B2E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996C3A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乱石基、砖垛、坯墙、木结构斜坡草或瓦屋顶</w:t>
            </w:r>
          </w:p>
        </w:tc>
        <w:tc>
          <w:tcPr>
            <w:tcW w:w="1080" w:type="pct"/>
            <w:tcBorders>
              <w:top w:val="single" w:sz="4" w:space="0" w:color="000000"/>
              <w:left w:val="single" w:sz="4" w:space="0" w:color="000000"/>
              <w:bottom w:val="single" w:sz="4" w:space="0" w:color="000000"/>
              <w:right w:val="single" w:sz="4" w:space="0" w:color="000000"/>
            </w:tcBorders>
            <w:vAlign w:val="center"/>
          </w:tcPr>
          <w:p w14:paraId="67DC839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400-550元/㎡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11B0CCFD"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DC62485" w14:textId="77777777" w:rsidTr="00E77641">
        <w:trPr>
          <w:trHeight w:val="61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F808DE5"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1D05A2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11EE9A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乱石基、土坯墙、木结构斜坡草或瓦屋顶</w:t>
            </w:r>
          </w:p>
        </w:tc>
        <w:tc>
          <w:tcPr>
            <w:tcW w:w="1080" w:type="pct"/>
            <w:tcBorders>
              <w:top w:val="single" w:sz="4" w:space="0" w:color="000000"/>
              <w:left w:val="single" w:sz="4" w:space="0" w:color="000000"/>
              <w:bottom w:val="single" w:sz="4" w:space="0" w:color="000000"/>
              <w:right w:val="single" w:sz="4" w:space="0" w:color="000000"/>
            </w:tcBorders>
            <w:vAlign w:val="center"/>
          </w:tcPr>
          <w:p w14:paraId="29F6659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350-450元/㎡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CA414FD"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F5FFF74" w14:textId="77777777" w:rsidTr="00E77641">
        <w:trPr>
          <w:trHeight w:val="42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573F0D5"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BEB189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51AF9F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砖垛、苇箔、草顶简易平房</w:t>
            </w:r>
          </w:p>
        </w:tc>
        <w:tc>
          <w:tcPr>
            <w:tcW w:w="1080" w:type="pct"/>
            <w:tcBorders>
              <w:top w:val="single" w:sz="4" w:space="0" w:color="000000"/>
              <w:left w:val="single" w:sz="4" w:space="0" w:color="000000"/>
              <w:bottom w:val="single" w:sz="4" w:space="0" w:color="000000"/>
              <w:right w:val="single" w:sz="4" w:space="0" w:color="000000"/>
            </w:tcBorders>
            <w:vAlign w:val="center"/>
          </w:tcPr>
          <w:p w14:paraId="26F4AA3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200-350元/㎡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1333A57A"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9C1CEA1" w14:textId="77777777" w:rsidTr="00E77641">
        <w:trPr>
          <w:trHeight w:val="37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0D7DF9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4A913D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756A3E1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彩钢房、板房</w:t>
            </w:r>
          </w:p>
        </w:tc>
        <w:tc>
          <w:tcPr>
            <w:tcW w:w="1080" w:type="pct"/>
            <w:tcBorders>
              <w:top w:val="single" w:sz="4" w:space="0" w:color="000000"/>
              <w:left w:val="single" w:sz="4" w:space="0" w:color="000000"/>
              <w:bottom w:val="single" w:sz="4" w:space="0" w:color="000000"/>
              <w:right w:val="single" w:sz="4" w:space="0" w:color="000000"/>
            </w:tcBorders>
            <w:noWrap/>
            <w:vAlign w:val="center"/>
          </w:tcPr>
          <w:p w14:paraId="07DC302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180-300元/㎡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52F119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803F334"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3B20BFF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7272546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钢结构</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71BF6A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高度8m及以上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76D2A11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550-1100元/㎡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097BA8B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1.表中面积系指建筑面积。</w:t>
            </w:r>
            <w:r>
              <w:rPr>
                <w:rStyle w:val="150"/>
                <w:rFonts w:hint="default"/>
                <w:sz w:val="21"/>
                <w:szCs w:val="21"/>
                <w:lang w:eastAsia="zh-Hans"/>
              </w:rPr>
              <w:br/>
              <w:t>2.按时拆迁的，旧料归原主，否则拆迁物充抵拆迁费用。</w:t>
            </w:r>
          </w:p>
        </w:tc>
      </w:tr>
      <w:tr w:rsidR="00A320E6" w14:paraId="3D36E2B6"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7A960EB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9BF9A35"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68BDCB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高度5-8m</w:t>
            </w:r>
          </w:p>
        </w:tc>
        <w:tc>
          <w:tcPr>
            <w:tcW w:w="1080" w:type="pct"/>
            <w:tcBorders>
              <w:top w:val="single" w:sz="4" w:space="0" w:color="000000"/>
              <w:left w:val="single" w:sz="4" w:space="0" w:color="000000"/>
              <w:bottom w:val="single" w:sz="4" w:space="0" w:color="000000"/>
              <w:right w:val="single" w:sz="4" w:space="0" w:color="000000"/>
            </w:tcBorders>
            <w:vAlign w:val="center"/>
          </w:tcPr>
          <w:p w14:paraId="6E9F1CD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500-700元/㎡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9214A93"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D5C0A5F"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7DA43CE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0C058A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E15110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高度5m以下</w:t>
            </w:r>
          </w:p>
        </w:tc>
        <w:tc>
          <w:tcPr>
            <w:tcW w:w="1080" w:type="pct"/>
            <w:tcBorders>
              <w:top w:val="single" w:sz="4" w:space="0" w:color="000000"/>
              <w:left w:val="single" w:sz="4" w:space="0" w:color="000000"/>
              <w:bottom w:val="single" w:sz="4" w:space="0" w:color="000000"/>
              <w:right w:val="single" w:sz="4" w:space="0" w:color="000000"/>
            </w:tcBorders>
            <w:vAlign w:val="center"/>
          </w:tcPr>
          <w:p w14:paraId="593BDD2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350-550元/㎡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8A06BFF"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2C92A2E" w14:textId="77777777" w:rsidTr="00E77641">
        <w:trPr>
          <w:trHeight w:val="57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7F06DE9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595247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5A591B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钢方管、钢管、L钢支架简易轻钢房屋</w:t>
            </w:r>
          </w:p>
        </w:tc>
        <w:tc>
          <w:tcPr>
            <w:tcW w:w="1080" w:type="pct"/>
            <w:tcBorders>
              <w:top w:val="single" w:sz="4" w:space="0" w:color="000000"/>
              <w:left w:val="single" w:sz="4" w:space="0" w:color="000000"/>
              <w:bottom w:val="single" w:sz="4" w:space="0" w:color="000000"/>
              <w:right w:val="single" w:sz="4" w:space="0" w:color="000000"/>
            </w:tcBorders>
            <w:vAlign w:val="center"/>
          </w:tcPr>
          <w:p w14:paraId="3BD4368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250-400元/㎡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73CCE74"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6A72BA6"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0A64121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3C1694A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围墙</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950DEF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乱石基、砖墙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3E87B5C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90-130元/㎡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7756592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1.围墙墙体属于水泥砌块的，按砖石墙的同类补偿标准下限执行。</w:t>
            </w:r>
            <w:r>
              <w:rPr>
                <w:rStyle w:val="150"/>
                <w:rFonts w:hint="default"/>
                <w:sz w:val="21"/>
                <w:szCs w:val="21"/>
                <w:lang w:eastAsia="zh-Hans"/>
              </w:rPr>
              <w:br/>
              <w:t>2.铁皮围墙高度超过2.5m，根据实际情况另行评估。</w:t>
            </w:r>
            <w:r>
              <w:rPr>
                <w:rStyle w:val="150"/>
                <w:rFonts w:hint="default"/>
                <w:sz w:val="21"/>
                <w:szCs w:val="21"/>
                <w:lang w:eastAsia="zh-Hans"/>
              </w:rPr>
              <w:br/>
              <w:t>3.按时拆迁的，旧料归原主，否则拆迁物充抵拆迁费用。</w:t>
            </w:r>
          </w:p>
        </w:tc>
      </w:tr>
      <w:tr w:rsidR="00A320E6" w14:paraId="1E8162F9"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6424A2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823CBF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05521C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乱石基、土坯墙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3CFE38C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60-90元/㎡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FD4B71A"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EFC9B5B"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4BEAE1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22A8F9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35D258E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铁艺围墙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61A9B51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100-160元/㎡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6943686"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56409C8"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7BE0C26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88DF8A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988EA6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彩钢板围墙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1495FD4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40-70元/㎡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922C17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8AB053C"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9D80F8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0D9828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7370EA2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铁皮围墙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4DD4B39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3FA696A"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77869D0"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3F4C73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08B121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52430F3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铁网围墙</w:t>
            </w:r>
          </w:p>
        </w:tc>
        <w:tc>
          <w:tcPr>
            <w:tcW w:w="1080" w:type="pct"/>
            <w:tcBorders>
              <w:top w:val="single" w:sz="4" w:space="0" w:color="000000"/>
              <w:left w:val="single" w:sz="4" w:space="0" w:color="000000"/>
              <w:bottom w:val="single" w:sz="4" w:space="0" w:color="000000"/>
              <w:right w:val="single" w:sz="4" w:space="0" w:color="000000"/>
            </w:tcBorders>
            <w:vAlign w:val="center"/>
          </w:tcPr>
          <w:p w14:paraId="71ACB18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15-25元/㎡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0922CF53"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E93F3BA" w14:textId="77777777" w:rsidTr="00E77641">
        <w:trPr>
          <w:trHeight w:val="517"/>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01800F0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28CE524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畜禽舍</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E37E8A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砖混结构</w:t>
            </w:r>
          </w:p>
        </w:tc>
        <w:tc>
          <w:tcPr>
            <w:tcW w:w="1080" w:type="pct"/>
            <w:tcBorders>
              <w:top w:val="single" w:sz="4" w:space="0" w:color="000000"/>
              <w:left w:val="single" w:sz="4" w:space="0" w:color="000000"/>
              <w:bottom w:val="single" w:sz="4" w:space="0" w:color="000000"/>
              <w:right w:val="single" w:sz="4" w:space="0" w:color="000000"/>
            </w:tcBorders>
            <w:vAlign w:val="center"/>
          </w:tcPr>
          <w:p w14:paraId="11E5391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300-400元/㎡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21CC884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1.表中面积系指建筑面积。</w:t>
            </w:r>
            <w:r>
              <w:rPr>
                <w:rStyle w:val="150"/>
                <w:rFonts w:hint="default"/>
                <w:sz w:val="21"/>
                <w:szCs w:val="21"/>
                <w:lang w:eastAsia="zh-Hans"/>
              </w:rPr>
              <w:br/>
              <w:t>2.含畜禽舍内固定设施。</w:t>
            </w:r>
            <w:r>
              <w:rPr>
                <w:rStyle w:val="150"/>
                <w:rFonts w:hint="default"/>
                <w:sz w:val="21"/>
                <w:szCs w:val="21"/>
                <w:lang w:eastAsia="zh-Hans"/>
              </w:rPr>
              <w:br/>
              <w:t>3.按时拆迁的，旧料归原主，否则拆迁物充抵拆迁费用。</w:t>
            </w:r>
          </w:p>
        </w:tc>
      </w:tr>
      <w:tr w:rsidR="00A320E6" w14:paraId="6D9956B7" w14:textId="77777777" w:rsidTr="00E77641">
        <w:trPr>
          <w:trHeight w:val="544"/>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CF9FB0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D21070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717613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砖木结构</w:t>
            </w:r>
          </w:p>
        </w:tc>
        <w:tc>
          <w:tcPr>
            <w:tcW w:w="1080" w:type="pct"/>
            <w:tcBorders>
              <w:top w:val="single" w:sz="4" w:space="0" w:color="000000"/>
              <w:left w:val="single" w:sz="4" w:space="0" w:color="000000"/>
              <w:bottom w:val="single" w:sz="4" w:space="0" w:color="000000"/>
              <w:right w:val="single" w:sz="4" w:space="0" w:color="000000"/>
            </w:tcBorders>
            <w:vAlign w:val="center"/>
          </w:tcPr>
          <w:p w14:paraId="06F8AA3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200-350元/㎡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0CA6947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FC81213" w14:textId="77777777" w:rsidTr="00E77641">
        <w:trPr>
          <w:trHeight w:val="454"/>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2EA0960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1A7710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FA7795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简易结构</w:t>
            </w:r>
          </w:p>
        </w:tc>
        <w:tc>
          <w:tcPr>
            <w:tcW w:w="1080" w:type="pct"/>
            <w:tcBorders>
              <w:top w:val="single" w:sz="4" w:space="0" w:color="000000"/>
              <w:left w:val="single" w:sz="4" w:space="0" w:color="000000"/>
              <w:bottom w:val="single" w:sz="4" w:space="0" w:color="000000"/>
              <w:right w:val="single" w:sz="4" w:space="0" w:color="000000"/>
            </w:tcBorders>
            <w:vAlign w:val="center"/>
          </w:tcPr>
          <w:p w14:paraId="06E63AF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100-200元/㎡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9702F01"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064BD60" w14:textId="77777777" w:rsidTr="00E77641">
        <w:trPr>
          <w:trHeight w:val="450"/>
          <w:jc w:val="center"/>
        </w:trPr>
        <w:tc>
          <w:tcPr>
            <w:tcW w:w="393" w:type="pct"/>
            <w:tcBorders>
              <w:top w:val="single" w:sz="4" w:space="0" w:color="000000"/>
              <w:left w:val="single" w:sz="4" w:space="0" w:color="000000"/>
              <w:bottom w:val="single" w:sz="4" w:space="0" w:color="000000"/>
              <w:right w:val="single" w:sz="4" w:space="0" w:color="000000"/>
            </w:tcBorders>
            <w:vAlign w:val="center"/>
          </w:tcPr>
          <w:p w14:paraId="696A658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w:t>
            </w:r>
          </w:p>
        </w:tc>
        <w:tc>
          <w:tcPr>
            <w:tcW w:w="493" w:type="pct"/>
            <w:tcBorders>
              <w:top w:val="single" w:sz="4" w:space="0" w:color="000000"/>
              <w:left w:val="single" w:sz="4" w:space="0" w:color="000000"/>
              <w:bottom w:val="single" w:sz="4" w:space="0" w:color="000000"/>
              <w:right w:val="single" w:sz="4" w:space="0" w:color="000000"/>
            </w:tcBorders>
            <w:vAlign w:val="center"/>
          </w:tcPr>
          <w:p w14:paraId="31C4D06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迁坟</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67C687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棺木、拾骨、骨灰盒</w:t>
            </w:r>
          </w:p>
        </w:tc>
        <w:tc>
          <w:tcPr>
            <w:tcW w:w="1080" w:type="pct"/>
            <w:tcBorders>
              <w:top w:val="single" w:sz="4" w:space="0" w:color="000000"/>
              <w:left w:val="single" w:sz="4" w:space="0" w:color="000000"/>
              <w:bottom w:val="single" w:sz="4" w:space="0" w:color="000000"/>
              <w:right w:val="single" w:sz="4" w:space="0" w:color="000000"/>
            </w:tcBorders>
            <w:vAlign w:val="center"/>
          </w:tcPr>
          <w:p w14:paraId="4DBFB38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1100-1800元/座</w:t>
            </w:r>
          </w:p>
        </w:tc>
        <w:tc>
          <w:tcPr>
            <w:tcW w:w="1553" w:type="pct"/>
            <w:tcBorders>
              <w:top w:val="single" w:sz="4" w:space="0" w:color="000000"/>
              <w:left w:val="single" w:sz="4" w:space="0" w:color="000000"/>
              <w:bottom w:val="single" w:sz="4" w:space="0" w:color="000000"/>
              <w:right w:val="single" w:sz="4" w:space="0" w:color="000000"/>
            </w:tcBorders>
            <w:vAlign w:val="center"/>
          </w:tcPr>
          <w:p w14:paraId="4E5650C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包括迁葬工料等所有费用。</w:t>
            </w:r>
          </w:p>
        </w:tc>
      </w:tr>
      <w:tr w:rsidR="00A320E6" w14:paraId="68AFFA8F" w14:textId="77777777" w:rsidTr="00E77641">
        <w:trPr>
          <w:trHeight w:val="132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13C1EDB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1CA015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温室</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DA146D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砖墙、钢（或砼）骨架、玻璃/塑钢玻璃顶（含温室保温、通风、滤光、降温、卷扬机等系统）</w:t>
            </w:r>
          </w:p>
        </w:tc>
        <w:tc>
          <w:tcPr>
            <w:tcW w:w="1080" w:type="pct"/>
            <w:tcBorders>
              <w:top w:val="single" w:sz="4" w:space="0" w:color="000000"/>
              <w:left w:val="single" w:sz="4" w:space="0" w:color="000000"/>
              <w:bottom w:val="single" w:sz="4" w:space="0" w:color="000000"/>
              <w:right w:val="single" w:sz="4" w:space="0" w:color="000000"/>
            </w:tcBorders>
            <w:vAlign w:val="center"/>
          </w:tcPr>
          <w:p w14:paraId="7F2835D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200-350元/㎡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44A77E9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按时拆迁的，旧料归原主，否则拆迁物充抵拆迁费用。</w:t>
            </w:r>
          </w:p>
        </w:tc>
      </w:tr>
      <w:tr w:rsidR="00A320E6" w14:paraId="0A35690F" w14:textId="77777777" w:rsidTr="00E77641">
        <w:trPr>
          <w:trHeight w:val="90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22C376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55598F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FDA514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砖墙、钢（或砼）骨架、塑料薄膜顶（含温室保温、滤光、卷扬机等系统）</w:t>
            </w:r>
          </w:p>
        </w:tc>
        <w:tc>
          <w:tcPr>
            <w:tcW w:w="1080" w:type="pct"/>
            <w:tcBorders>
              <w:top w:val="single" w:sz="4" w:space="0" w:color="000000"/>
              <w:left w:val="single" w:sz="4" w:space="0" w:color="000000"/>
              <w:bottom w:val="single" w:sz="4" w:space="0" w:color="000000"/>
              <w:right w:val="single" w:sz="4" w:space="0" w:color="000000"/>
            </w:tcBorders>
            <w:vAlign w:val="center"/>
          </w:tcPr>
          <w:p w14:paraId="656D4CA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130-160元/㎡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D21F15E"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507F7CD" w14:textId="77777777" w:rsidTr="00E77641">
        <w:trPr>
          <w:trHeight w:val="70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E0C29F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3B3719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619FE9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钢骨架、塑料薄膜顶（含温室保温、滤光、卷扬机等系统）</w:t>
            </w:r>
          </w:p>
        </w:tc>
        <w:tc>
          <w:tcPr>
            <w:tcW w:w="1080" w:type="pct"/>
            <w:tcBorders>
              <w:top w:val="single" w:sz="4" w:space="0" w:color="000000"/>
              <w:left w:val="single" w:sz="4" w:space="0" w:color="000000"/>
              <w:bottom w:val="single" w:sz="4" w:space="0" w:color="000000"/>
              <w:right w:val="single" w:sz="4" w:space="0" w:color="000000"/>
            </w:tcBorders>
            <w:vAlign w:val="center"/>
          </w:tcPr>
          <w:p w14:paraId="6E495C3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70-110元/㎡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0F64B1DC"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FC528F9" w14:textId="77777777" w:rsidTr="00E77641">
        <w:trPr>
          <w:trHeight w:val="36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DBA33C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B6093D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31443F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塑料薄膜拱棚</w:t>
            </w:r>
          </w:p>
        </w:tc>
        <w:tc>
          <w:tcPr>
            <w:tcW w:w="1080" w:type="pct"/>
            <w:tcBorders>
              <w:top w:val="single" w:sz="4" w:space="0" w:color="000000"/>
              <w:left w:val="single" w:sz="4" w:space="0" w:color="000000"/>
              <w:bottom w:val="single" w:sz="4" w:space="0" w:color="000000"/>
              <w:right w:val="single" w:sz="4" w:space="0" w:color="000000"/>
            </w:tcBorders>
            <w:vAlign w:val="center"/>
          </w:tcPr>
          <w:p w14:paraId="2B80690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25-45元/㎡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849BC2E"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139615F"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09C1A07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7</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6435BE0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小桥</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CC9349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钢筋混凝土矩形板桥</w:t>
            </w:r>
          </w:p>
        </w:tc>
        <w:tc>
          <w:tcPr>
            <w:tcW w:w="1080" w:type="pct"/>
            <w:tcBorders>
              <w:top w:val="single" w:sz="4" w:space="0" w:color="000000"/>
              <w:left w:val="single" w:sz="4" w:space="0" w:color="000000"/>
              <w:bottom w:val="single" w:sz="4" w:space="0" w:color="000000"/>
              <w:right w:val="single" w:sz="4" w:space="0" w:color="000000"/>
            </w:tcBorders>
            <w:vAlign w:val="center"/>
          </w:tcPr>
          <w:p w14:paraId="4DF286D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1650-2300元/㎡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6C2B391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按桥面面积计算。</w:t>
            </w:r>
          </w:p>
        </w:tc>
      </w:tr>
      <w:tr w:rsidR="00A320E6" w14:paraId="2DA08C40"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215960D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CE4DE1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328E4D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平坦石拱桥</w:t>
            </w:r>
          </w:p>
        </w:tc>
        <w:tc>
          <w:tcPr>
            <w:tcW w:w="1080" w:type="pct"/>
            <w:tcBorders>
              <w:top w:val="single" w:sz="4" w:space="0" w:color="000000"/>
              <w:left w:val="single" w:sz="4" w:space="0" w:color="000000"/>
              <w:bottom w:val="single" w:sz="4" w:space="0" w:color="000000"/>
              <w:right w:val="single" w:sz="4" w:space="0" w:color="000000"/>
            </w:tcBorders>
            <w:vAlign w:val="center"/>
          </w:tcPr>
          <w:p w14:paraId="02E090E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1300-1600元/㎡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C24DF89"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6A228CE"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331390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264DFB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2E6343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石拱桥</w:t>
            </w:r>
          </w:p>
        </w:tc>
        <w:tc>
          <w:tcPr>
            <w:tcW w:w="1080" w:type="pct"/>
            <w:tcBorders>
              <w:top w:val="single" w:sz="4" w:space="0" w:color="000000"/>
              <w:left w:val="single" w:sz="4" w:space="0" w:color="000000"/>
              <w:bottom w:val="single" w:sz="4" w:space="0" w:color="000000"/>
              <w:right w:val="single" w:sz="4" w:space="0" w:color="000000"/>
            </w:tcBorders>
            <w:vAlign w:val="center"/>
          </w:tcPr>
          <w:p w14:paraId="146ED5B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2100-2600元/㎡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B0980E1"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3A05C62"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604446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CC1B80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5EBEBC3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简易桥（田间小桥）</w:t>
            </w:r>
          </w:p>
        </w:tc>
        <w:tc>
          <w:tcPr>
            <w:tcW w:w="1080" w:type="pct"/>
            <w:tcBorders>
              <w:top w:val="single" w:sz="4" w:space="0" w:color="000000"/>
              <w:left w:val="single" w:sz="4" w:space="0" w:color="000000"/>
              <w:bottom w:val="single" w:sz="4" w:space="0" w:color="000000"/>
              <w:right w:val="single" w:sz="4" w:space="0" w:color="000000"/>
            </w:tcBorders>
            <w:noWrap/>
            <w:vAlign w:val="center"/>
          </w:tcPr>
          <w:p w14:paraId="5648513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600-1100元/㎡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F5FA74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CC77B05"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3A04C11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636F7C1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涵洞</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6F98E0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石盖板涵跨径1-2m</w:t>
            </w:r>
          </w:p>
        </w:tc>
        <w:tc>
          <w:tcPr>
            <w:tcW w:w="1080" w:type="pct"/>
            <w:tcBorders>
              <w:top w:val="single" w:sz="4" w:space="0" w:color="000000"/>
              <w:left w:val="single" w:sz="4" w:space="0" w:color="000000"/>
              <w:bottom w:val="single" w:sz="4" w:space="0" w:color="000000"/>
              <w:right w:val="single" w:sz="4" w:space="0" w:color="000000"/>
            </w:tcBorders>
            <w:vAlign w:val="center"/>
          </w:tcPr>
          <w:p w14:paraId="6ECA511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850-1100元/m</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6295180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按时拆迁的，旧料归原主，否则拆迁物充抵拆迁费用。</w:t>
            </w:r>
          </w:p>
        </w:tc>
      </w:tr>
      <w:tr w:rsidR="00A320E6" w14:paraId="121B4F36"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BC7245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1C9056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7E203D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石拱涵跨径1-4m</w:t>
            </w:r>
          </w:p>
        </w:tc>
        <w:tc>
          <w:tcPr>
            <w:tcW w:w="1080" w:type="pct"/>
            <w:tcBorders>
              <w:top w:val="single" w:sz="4" w:space="0" w:color="000000"/>
              <w:left w:val="single" w:sz="4" w:space="0" w:color="000000"/>
              <w:bottom w:val="single" w:sz="4" w:space="0" w:color="000000"/>
              <w:right w:val="single" w:sz="4" w:space="0" w:color="000000"/>
            </w:tcBorders>
            <w:vAlign w:val="center"/>
          </w:tcPr>
          <w:p w14:paraId="54B8F48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2000-3000元/m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68A48E5"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1FA5C27" w14:textId="77777777" w:rsidTr="00E77641">
        <w:trPr>
          <w:trHeight w:val="46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CBA922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C868DB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0F8206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钢筋混凝土圆管涵跨径l-2m</w:t>
            </w:r>
          </w:p>
        </w:tc>
        <w:tc>
          <w:tcPr>
            <w:tcW w:w="1080" w:type="pct"/>
            <w:tcBorders>
              <w:top w:val="single" w:sz="4" w:space="0" w:color="000000"/>
              <w:left w:val="single" w:sz="4" w:space="0" w:color="000000"/>
              <w:bottom w:val="single" w:sz="4" w:space="0" w:color="000000"/>
              <w:right w:val="single" w:sz="4" w:space="0" w:color="000000"/>
            </w:tcBorders>
            <w:vAlign w:val="center"/>
          </w:tcPr>
          <w:p w14:paraId="3A00686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1800-2200元/m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3CB25F2F"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A8D75EC" w14:textId="77777777" w:rsidTr="00E77641">
        <w:trPr>
          <w:trHeight w:val="40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CAE01F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A8EF4C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950E35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钢筋混凝土盖板涵跨径1.5-4m</w:t>
            </w:r>
          </w:p>
        </w:tc>
        <w:tc>
          <w:tcPr>
            <w:tcW w:w="1080" w:type="pct"/>
            <w:tcBorders>
              <w:top w:val="single" w:sz="4" w:space="0" w:color="000000"/>
              <w:left w:val="single" w:sz="4" w:space="0" w:color="000000"/>
              <w:bottom w:val="single" w:sz="4" w:space="0" w:color="000000"/>
              <w:right w:val="single" w:sz="4" w:space="0" w:color="000000"/>
            </w:tcBorders>
            <w:vAlign w:val="center"/>
          </w:tcPr>
          <w:p w14:paraId="6F2E35C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2000-3200元/m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AD2F853"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7C88315" w14:textId="77777777" w:rsidTr="00E77641">
        <w:trPr>
          <w:trHeight w:val="450"/>
          <w:jc w:val="center"/>
        </w:trPr>
        <w:tc>
          <w:tcPr>
            <w:tcW w:w="393" w:type="pct"/>
            <w:tcBorders>
              <w:top w:val="single" w:sz="4" w:space="0" w:color="000000"/>
              <w:left w:val="single" w:sz="4" w:space="0" w:color="000000"/>
              <w:bottom w:val="single" w:sz="4" w:space="0" w:color="000000"/>
              <w:right w:val="single" w:sz="4" w:space="0" w:color="000000"/>
            </w:tcBorders>
            <w:vAlign w:val="center"/>
          </w:tcPr>
          <w:p w14:paraId="4FF1BC8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9</w:t>
            </w:r>
          </w:p>
        </w:tc>
        <w:tc>
          <w:tcPr>
            <w:tcW w:w="493" w:type="pct"/>
            <w:tcBorders>
              <w:top w:val="single" w:sz="4" w:space="0" w:color="000000"/>
              <w:left w:val="single" w:sz="4" w:space="0" w:color="000000"/>
              <w:bottom w:val="single" w:sz="4" w:space="0" w:color="000000"/>
              <w:right w:val="single" w:sz="4" w:space="0" w:color="000000"/>
            </w:tcBorders>
            <w:vAlign w:val="center"/>
          </w:tcPr>
          <w:p w14:paraId="07DB0A3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台田台堰</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923EB7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tcBorders>
              <w:top w:val="single" w:sz="4" w:space="0" w:color="000000"/>
              <w:left w:val="single" w:sz="4" w:space="0" w:color="000000"/>
              <w:bottom w:val="single" w:sz="4" w:space="0" w:color="000000"/>
              <w:right w:val="single" w:sz="4" w:space="0" w:color="000000"/>
            </w:tcBorders>
            <w:vAlign w:val="center"/>
          </w:tcPr>
          <w:p w14:paraId="720E493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100-150元/m</w:t>
            </w:r>
          </w:p>
        </w:tc>
        <w:tc>
          <w:tcPr>
            <w:tcW w:w="1553" w:type="pct"/>
            <w:tcBorders>
              <w:top w:val="single" w:sz="4" w:space="0" w:color="000000"/>
              <w:left w:val="single" w:sz="4" w:space="0" w:color="000000"/>
              <w:bottom w:val="single" w:sz="4" w:space="0" w:color="000000"/>
              <w:right w:val="single" w:sz="4" w:space="0" w:color="000000"/>
            </w:tcBorders>
            <w:vAlign w:val="center"/>
          </w:tcPr>
          <w:p w14:paraId="291BBA58"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ACDBC7D"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5259908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510B357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水渠水池</w:t>
            </w:r>
          </w:p>
        </w:tc>
        <w:tc>
          <w:tcPr>
            <w:tcW w:w="148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60F9BB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土筑水渠、水池</w:t>
            </w:r>
          </w:p>
        </w:tc>
        <w:tc>
          <w:tcPr>
            <w:tcW w:w="1080" w:type="pct"/>
            <w:vMerge w:val="restart"/>
            <w:tcBorders>
              <w:top w:val="single" w:sz="4" w:space="0" w:color="000000"/>
              <w:left w:val="single" w:sz="4" w:space="0" w:color="000000"/>
              <w:bottom w:val="single" w:sz="4" w:space="0" w:color="000000"/>
              <w:right w:val="single" w:sz="4" w:space="0" w:color="000000"/>
            </w:tcBorders>
            <w:vAlign w:val="center"/>
          </w:tcPr>
          <w:p w14:paraId="0FD62BE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20-28元/m3</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265FF88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不包括田间毛渠。</w:t>
            </w:r>
          </w:p>
        </w:tc>
      </w:tr>
      <w:tr w:rsidR="00A320E6" w14:paraId="3A4122A2" w14:textId="77777777" w:rsidTr="00E77641">
        <w:trPr>
          <w:trHeight w:val="31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1C4EDC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AE2305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vMerge/>
            <w:tcBorders>
              <w:top w:val="single" w:sz="4" w:space="0" w:color="000000"/>
              <w:left w:val="single" w:sz="4" w:space="0" w:color="000000"/>
              <w:bottom w:val="single" w:sz="4" w:space="0" w:color="000000"/>
              <w:right w:val="single" w:sz="4" w:space="0" w:color="000000"/>
            </w:tcBorders>
            <w:vAlign w:val="center"/>
          </w:tcPr>
          <w:p w14:paraId="2264BBD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vMerge/>
            <w:tcBorders>
              <w:top w:val="single" w:sz="4" w:space="0" w:color="000000"/>
              <w:left w:val="single" w:sz="4" w:space="0" w:color="000000"/>
              <w:bottom w:val="single" w:sz="4" w:space="0" w:color="000000"/>
              <w:right w:val="single" w:sz="4" w:space="0" w:color="000000"/>
            </w:tcBorders>
            <w:vAlign w:val="center"/>
          </w:tcPr>
          <w:p w14:paraId="0D87F3B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339D729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5EEFD87" w14:textId="77777777" w:rsidTr="00E77641">
        <w:trPr>
          <w:trHeight w:val="72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FDA614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7D335D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CC455F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预制板水渠（按水渠两侧预制板面积计算）</w:t>
            </w:r>
          </w:p>
        </w:tc>
        <w:tc>
          <w:tcPr>
            <w:tcW w:w="1080" w:type="pct"/>
            <w:tcBorders>
              <w:top w:val="single" w:sz="4" w:space="0" w:color="000000"/>
              <w:left w:val="single" w:sz="4" w:space="0" w:color="000000"/>
              <w:bottom w:val="single" w:sz="4" w:space="0" w:color="000000"/>
              <w:right w:val="single" w:sz="4" w:space="0" w:color="000000"/>
            </w:tcBorders>
            <w:vAlign w:val="center"/>
          </w:tcPr>
          <w:p w14:paraId="4323943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20-35元/㎡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46F8E82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土方另计。</w:t>
            </w:r>
          </w:p>
        </w:tc>
      </w:tr>
      <w:tr w:rsidR="00A320E6" w14:paraId="4F2A1971" w14:textId="77777777" w:rsidTr="00E77641">
        <w:trPr>
          <w:trHeight w:val="1269"/>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C810A5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D75C34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9D2672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石砌水渠、水池（水池应按水池四周及底面的平方面积计算、水渠应按水渠两侧及底面的平方面积计算）</w:t>
            </w:r>
          </w:p>
        </w:tc>
        <w:tc>
          <w:tcPr>
            <w:tcW w:w="1080" w:type="pct"/>
            <w:tcBorders>
              <w:top w:val="single" w:sz="4" w:space="0" w:color="000000"/>
              <w:left w:val="single" w:sz="4" w:space="0" w:color="000000"/>
              <w:bottom w:val="single" w:sz="4" w:space="0" w:color="000000"/>
              <w:right w:val="single" w:sz="4" w:space="0" w:color="000000"/>
            </w:tcBorders>
            <w:vAlign w:val="center"/>
          </w:tcPr>
          <w:p w14:paraId="17CCC2A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80-130元/㎡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555299C"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7208BF86" w14:textId="77777777" w:rsidTr="00E77641">
        <w:trPr>
          <w:trHeight w:val="71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D1EE0B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4A0809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auto"/>
              <w:right w:val="single" w:sz="4" w:space="0" w:color="000000"/>
            </w:tcBorders>
            <w:vAlign w:val="center"/>
          </w:tcPr>
          <w:p w14:paraId="5C71D0B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砖砌水渠、水池（面积计算方法同上）</w:t>
            </w:r>
          </w:p>
        </w:tc>
        <w:tc>
          <w:tcPr>
            <w:tcW w:w="1080" w:type="pct"/>
            <w:tcBorders>
              <w:top w:val="single" w:sz="4" w:space="0" w:color="000000"/>
              <w:left w:val="single" w:sz="4" w:space="0" w:color="000000"/>
              <w:bottom w:val="single" w:sz="4" w:space="0" w:color="auto"/>
              <w:right w:val="single" w:sz="4" w:space="0" w:color="000000"/>
            </w:tcBorders>
            <w:vAlign w:val="center"/>
          </w:tcPr>
          <w:p w14:paraId="156198C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100-140元/㎡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C2E29DC"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81DA350"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54A8796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11</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5E45684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地面</w:t>
            </w:r>
          </w:p>
        </w:tc>
        <w:tc>
          <w:tcPr>
            <w:tcW w:w="734" w:type="pct"/>
            <w:vMerge w:val="restart"/>
            <w:tcBorders>
              <w:top w:val="single" w:sz="4" w:space="0" w:color="auto"/>
              <w:left w:val="single" w:sz="4" w:space="0" w:color="000000"/>
              <w:bottom w:val="single" w:sz="4" w:space="0" w:color="000000"/>
              <w:right w:val="single" w:sz="4" w:space="0" w:color="000000"/>
            </w:tcBorders>
            <w:vAlign w:val="center"/>
          </w:tcPr>
          <w:p w14:paraId="27BDAD0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水泥</w:t>
            </w:r>
          </w:p>
        </w:tc>
        <w:tc>
          <w:tcPr>
            <w:tcW w:w="746" w:type="pct"/>
            <w:tcBorders>
              <w:top w:val="single" w:sz="4" w:space="0" w:color="auto"/>
              <w:left w:val="single" w:sz="4" w:space="0" w:color="000000"/>
              <w:bottom w:val="single" w:sz="4" w:space="0" w:color="000000"/>
              <w:right w:val="single" w:sz="4" w:space="0" w:color="000000"/>
            </w:tcBorders>
            <w:vAlign w:val="center"/>
          </w:tcPr>
          <w:p w14:paraId="32A2D0F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5cm以下</w:t>
            </w:r>
          </w:p>
        </w:tc>
        <w:tc>
          <w:tcPr>
            <w:tcW w:w="1080" w:type="pct"/>
            <w:tcBorders>
              <w:top w:val="single" w:sz="4" w:space="0" w:color="auto"/>
              <w:left w:val="single" w:sz="4" w:space="0" w:color="000000"/>
              <w:bottom w:val="single" w:sz="4" w:space="0" w:color="000000"/>
              <w:right w:val="single" w:sz="4" w:space="0" w:color="000000"/>
            </w:tcBorders>
            <w:vAlign w:val="center"/>
          </w:tcPr>
          <w:p w14:paraId="2B373FC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25-35元/㎡</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0196FAB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按时拆迁的，旧料归原主，否则拆迁物充抵拆迁费用。</w:t>
            </w:r>
          </w:p>
        </w:tc>
      </w:tr>
      <w:tr w:rsidR="00A320E6" w14:paraId="666B30F1"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40F039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F0885F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34" w:type="pct"/>
            <w:vMerge/>
            <w:tcBorders>
              <w:top w:val="single" w:sz="4" w:space="0" w:color="000000"/>
              <w:left w:val="single" w:sz="4" w:space="0" w:color="000000"/>
              <w:bottom w:val="single" w:sz="4" w:space="0" w:color="000000"/>
              <w:right w:val="single" w:sz="4" w:space="0" w:color="000000"/>
            </w:tcBorders>
            <w:vAlign w:val="center"/>
          </w:tcPr>
          <w:p w14:paraId="5507297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46" w:type="pct"/>
            <w:tcBorders>
              <w:top w:val="single" w:sz="4" w:space="0" w:color="000000"/>
              <w:left w:val="single" w:sz="4" w:space="0" w:color="000000"/>
              <w:bottom w:val="single" w:sz="4" w:space="0" w:color="000000"/>
              <w:right w:val="single" w:sz="4" w:space="0" w:color="000000"/>
            </w:tcBorders>
            <w:vAlign w:val="center"/>
          </w:tcPr>
          <w:p w14:paraId="0ECDCB6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5-10cm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0801628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35-60元/㎡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382E61D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B7605C6"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941793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FD45A3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34" w:type="pct"/>
            <w:vMerge/>
            <w:tcBorders>
              <w:top w:val="single" w:sz="4" w:space="0" w:color="000000"/>
              <w:left w:val="single" w:sz="4" w:space="0" w:color="000000"/>
              <w:bottom w:val="single" w:sz="4" w:space="0" w:color="000000"/>
              <w:right w:val="single" w:sz="4" w:space="0" w:color="000000"/>
            </w:tcBorders>
            <w:vAlign w:val="center"/>
          </w:tcPr>
          <w:p w14:paraId="3096005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46" w:type="pct"/>
            <w:tcBorders>
              <w:top w:val="single" w:sz="4" w:space="0" w:color="000000"/>
              <w:left w:val="single" w:sz="4" w:space="0" w:color="000000"/>
              <w:bottom w:val="single" w:sz="4" w:space="0" w:color="000000"/>
              <w:right w:val="single" w:sz="4" w:space="0" w:color="000000"/>
            </w:tcBorders>
            <w:vAlign w:val="center"/>
          </w:tcPr>
          <w:p w14:paraId="0598F0D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10-18cm</w:t>
            </w:r>
          </w:p>
        </w:tc>
        <w:tc>
          <w:tcPr>
            <w:tcW w:w="1080" w:type="pct"/>
            <w:tcBorders>
              <w:top w:val="single" w:sz="4" w:space="0" w:color="000000"/>
              <w:left w:val="single" w:sz="4" w:space="0" w:color="000000"/>
              <w:bottom w:val="single" w:sz="4" w:space="0" w:color="000000"/>
              <w:right w:val="single" w:sz="4" w:space="0" w:color="000000"/>
            </w:tcBorders>
            <w:vAlign w:val="center"/>
          </w:tcPr>
          <w:p w14:paraId="575B2D2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60-95元/㎡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FE0505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C97B3AC"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9C8484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38ACE3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34" w:type="pct"/>
            <w:vMerge/>
            <w:tcBorders>
              <w:top w:val="single" w:sz="4" w:space="0" w:color="000000"/>
              <w:left w:val="single" w:sz="4" w:space="0" w:color="000000"/>
              <w:bottom w:val="single" w:sz="4" w:space="0" w:color="000000"/>
              <w:right w:val="single" w:sz="4" w:space="0" w:color="000000"/>
            </w:tcBorders>
            <w:vAlign w:val="center"/>
          </w:tcPr>
          <w:p w14:paraId="0F1549A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46" w:type="pct"/>
            <w:tcBorders>
              <w:top w:val="single" w:sz="4" w:space="0" w:color="000000"/>
              <w:left w:val="single" w:sz="4" w:space="0" w:color="000000"/>
              <w:bottom w:val="single" w:sz="4" w:space="0" w:color="000000"/>
              <w:right w:val="single" w:sz="4" w:space="0" w:color="000000"/>
            </w:tcBorders>
            <w:vAlign w:val="center"/>
          </w:tcPr>
          <w:p w14:paraId="3EB75E5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18cm以上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1BAA0A5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95-130元/㎡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55A847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DE2B147"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2D4B86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5B34F5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AF7831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花砖地面</w:t>
            </w:r>
          </w:p>
        </w:tc>
        <w:tc>
          <w:tcPr>
            <w:tcW w:w="1080" w:type="pct"/>
            <w:tcBorders>
              <w:top w:val="single" w:sz="4" w:space="0" w:color="000000"/>
              <w:left w:val="single" w:sz="4" w:space="0" w:color="000000"/>
              <w:bottom w:val="single" w:sz="4" w:space="0" w:color="000000"/>
              <w:right w:val="single" w:sz="4" w:space="0" w:color="000000"/>
            </w:tcBorders>
            <w:vAlign w:val="center"/>
          </w:tcPr>
          <w:p w14:paraId="046DC68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55-80元/㎡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0265FE8A"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B8740B0"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CB7ACA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D67C54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107441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石板地面</w:t>
            </w:r>
          </w:p>
        </w:tc>
        <w:tc>
          <w:tcPr>
            <w:tcW w:w="1080" w:type="pct"/>
            <w:tcBorders>
              <w:top w:val="single" w:sz="4" w:space="0" w:color="000000"/>
              <w:left w:val="single" w:sz="4" w:space="0" w:color="000000"/>
              <w:bottom w:val="single" w:sz="4" w:space="0" w:color="000000"/>
              <w:right w:val="single" w:sz="4" w:space="0" w:color="000000"/>
            </w:tcBorders>
            <w:vAlign w:val="center"/>
          </w:tcPr>
          <w:p w14:paraId="2ECC6C1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80-120元/㎡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35B959B"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708F18D4"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2EC970A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0F2E8B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1D79E7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沥青路面</w:t>
            </w:r>
          </w:p>
        </w:tc>
        <w:tc>
          <w:tcPr>
            <w:tcW w:w="1080" w:type="pct"/>
            <w:tcBorders>
              <w:top w:val="single" w:sz="4" w:space="0" w:color="000000"/>
              <w:left w:val="single" w:sz="4" w:space="0" w:color="000000"/>
              <w:bottom w:val="single" w:sz="4" w:space="0" w:color="000000"/>
              <w:right w:val="single" w:sz="4" w:space="0" w:color="000000"/>
            </w:tcBorders>
            <w:vAlign w:val="center"/>
          </w:tcPr>
          <w:p w14:paraId="47E6DBC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90-150元/㎡</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E8933A4"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862BC0A" w14:textId="77777777" w:rsidTr="00E77641">
        <w:trPr>
          <w:trHeight w:val="4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3CB87FC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12</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0D0A5AB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水井</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14625F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手压井</w:t>
            </w:r>
          </w:p>
        </w:tc>
        <w:tc>
          <w:tcPr>
            <w:tcW w:w="1080" w:type="pct"/>
            <w:tcBorders>
              <w:top w:val="single" w:sz="4" w:space="0" w:color="000000"/>
              <w:left w:val="single" w:sz="4" w:space="0" w:color="000000"/>
              <w:bottom w:val="single" w:sz="4" w:space="0" w:color="000000"/>
              <w:right w:val="single" w:sz="4" w:space="0" w:color="000000"/>
            </w:tcBorders>
            <w:vAlign w:val="center"/>
          </w:tcPr>
          <w:p w14:paraId="5B2C7E7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30-40元/m</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54FCFC2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1.水井补偿包括开凿工程、用料及用工等费用。</w:t>
            </w:r>
            <w:r>
              <w:rPr>
                <w:rStyle w:val="150"/>
                <w:rFonts w:hint="default"/>
                <w:sz w:val="21"/>
                <w:szCs w:val="21"/>
                <w:lang w:eastAsia="zh-Hans"/>
              </w:rPr>
              <w:br/>
              <w:t>2.废井、枯井按同类井补偿标准30％-50％补偿。</w:t>
            </w:r>
            <w:r>
              <w:rPr>
                <w:rStyle w:val="150"/>
                <w:rFonts w:hint="default"/>
                <w:sz w:val="21"/>
                <w:szCs w:val="21"/>
                <w:lang w:eastAsia="zh-Hans"/>
              </w:rPr>
              <w:br/>
              <w:t>3.机井按井深分段计算补偿。</w:t>
            </w:r>
            <w:r>
              <w:rPr>
                <w:rStyle w:val="150"/>
                <w:rFonts w:hint="default"/>
                <w:sz w:val="21"/>
                <w:szCs w:val="21"/>
                <w:lang w:eastAsia="zh-Hans"/>
              </w:rPr>
              <w:br/>
              <w:t>4.水井是指历史上存在（三年以上）的或经有关部门批准建造的。</w:t>
            </w:r>
          </w:p>
        </w:tc>
      </w:tr>
      <w:tr w:rsidR="00A320E6" w14:paraId="4D2D3A3D"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ED48AD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AE0728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F96F6B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管井：管径10-30cm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7D82C6F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90-150元/m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1D186D7E"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F08A535"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B200A3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7354BA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2A3434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土井：直径1.2m</w:t>
            </w:r>
          </w:p>
        </w:tc>
        <w:tc>
          <w:tcPr>
            <w:tcW w:w="1080" w:type="pct"/>
            <w:tcBorders>
              <w:top w:val="single" w:sz="4" w:space="0" w:color="000000"/>
              <w:left w:val="single" w:sz="4" w:space="0" w:color="000000"/>
              <w:bottom w:val="single" w:sz="4" w:space="0" w:color="000000"/>
              <w:right w:val="single" w:sz="4" w:space="0" w:color="000000"/>
            </w:tcBorders>
            <w:vAlign w:val="center"/>
          </w:tcPr>
          <w:p w14:paraId="5C596BF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150-180元/m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D909748"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5147093" w14:textId="77777777" w:rsidTr="00E77641">
        <w:trPr>
          <w:trHeight w:val="94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9B6CC6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4CD5A3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nil"/>
              <w:right w:val="single" w:sz="4" w:space="0" w:color="000000"/>
            </w:tcBorders>
            <w:vAlign w:val="center"/>
          </w:tcPr>
          <w:p w14:paraId="750A1FE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砖井：（包括乱石井）</w:t>
            </w:r>
            <w:r>
              <w:rPr>
                <w:rStyle w:val="150"/>
                <w:rFonts w:hint="default"/>
                <w:sz w:val="21"/>
                <w:szCs w:val="21"/>
                <w:lang w:eastAsia="zh-Hans"/>
              </w:rPr>
              <w:br/>
              <w:t>深5-10m直径1.5m</w:t>
            </w:r>
            <w:r>
              <w:rPr>
                <w:rStyle w:val="150"/>
                <w:rFonts w:hint="default"/>
                <w:sz w:val="21"/>
                <w:szCs w:val="21"/>
                <w:lang w:eastAsia="zh-Hans"/>
              </w:rPr>
              <w:br/>
              <w:t>深10-20m直径2.5m</w:t>
            </w:r>
          </w:p>
        </w:tc>
        <w:tc>
          <w:tcPr>
            <w:tcW w:w="1080" w:type="pct"/>
            <w:tcBorders>
              <w:top w:val="single" w:sz="4" w:space="0" w:color="000000"/>
              <w:left w:val="single" w:sz="4" w:space="0" w:color="000000"/>
              <w:bottom w:val="nil"/>
              <w:right w:val="single" w:sz="4" w:space="0" w:color="000000"/>
            </w:tcBorders>
            <w:vAlign w:val="center"/>
          </w:tcPr>
          <w:p w14:paraId="2075F44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4000-6000元/口</w:t>
            </w:r>
            <w:r>
              <w:rPr>
                <w:rStyle w:val="150"/>
                <w:rFonts w:hint="default"/>
                <w:sz w:val="21"/>
                <w:szCs w:val="21"/>
                <w:lang w:eastAsia="zh-Hans"/>
              </w:rPr>
              <w:br/>
              <w:t>6000-8000元/口</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828ECE1"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E9563D4" w14:textId="77777777" w:rsidTr="00E77641">
        <w:trPr>
          <w:trHeight w:val="124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7C2F5C0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FEAE50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nil"/>
              <w:right w:val="single" w:sz="4" w:space="0" w:color="000000"/>
            </w:tcBorders>
            <w:vAlign w:val="center"/>
          </w:tcPr>
          <w:p w14:paraId="3160AE2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机井：深20-50m</w:t>
            </w:r>
            <w:r>
              <w:rPr>
                <w:rStyle w:val="150"/>
                <w:rFonts w:hint="default"/>
                <w:sz w:val="21"/>
                <w:szCs w:val="21"/>
                <w:lang w:eastAsia="zh-Hans"/>
              </w:rPr>
              <w:br/>
              <w:t>深50-100m</w:t>
            </w:r>
            <w:r>
              <w:rPr>
                <w:rStyle w:val="150"/>
                <w:rFonts w:hint="default"/>
                <w:sz w:val="21"/>
                <w:szCs w:val="21"/>
                <w:lang w:eastAsia="zh-Hans"/>
              </w:rPr>
              <w:br/>
              <w:t>深100-250m</w:t>
            </w:r>
            <w:r>
              <w:rPr>
                <w:rStyle w:val="150"/>
                <w:rFonts w:hint="default"/>
                <w:sz w:val="21"/>
                <w:szCs w:val="21"/>
                <w:lang w:eastAsia="zh-Hans"/>
              </w:rPr>
              <w:br/>
              <w:t>深250m以上</w:t>
            </w:r>
          </w:p>
        </w:tc>
        <w:tc>
          <w:tcPr>
            <w:tcW w:w="1080" w:type="pct"/>
            <w:tcBorders>
              <w:top w:val="single" w:sz="4" w:space="0" w:color="000000"/>
              <w:left w:val="single" w:sz="4" w:space="0" w:color="000000"/>
              <w:bottom w:val="nil"/>
              <w:right w:val="single" w:sz="4" w:space="0" w:color="000000"/>
            </w:tcBorders>
            <w:vAlign w:val="center"/>
          </w:tcPr>
          <w:p w14:paraId="650711D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250-300元/m</w:t>
            </w:r>
            <w:r>
              <w:rPr>
                <w:rStyle w:val="150"/>
                <w:rFonts w:hint="default"/>
                <w:sz w:val="21"/>
                <w:szCs w:val="21"/>
                <w:lang w:eastAsia="zh-Hans"/>
              </w:rPr>
              <w:br/>
              <w:t>300-400元/m</w:t>
            </w:r>
            <w:r>
              <w:rPr>
                <w:rStyle w:val="150"/>
                <w:rFonts w:hint="default"/>
                <w:sz w:val="21"/>
                <w:szCs w:val="21"/>
                <w:lang w:eastAsia="zh-Hans"/>
              </w:rPr>
              <w:br/>
              <w:t>400-500元/m</w:t>
            </w:r>
            <w:r>
              <w:rPr>
                <w:rStyle w:val="150"/>
                <w:rFonts w:hint="default"/>
                <w:sz w:val="21"/>
                <w:szCs w:val="21"/>
                <w:lang w:eastAsia="zh-Hans"/>
              </w:rPr>
              <w:br/>
              <w:t>500-600元/m</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B448454"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D96ABA0" w14:textId="77777777" w:rsidTr="00E77641">
        <w:trPr>
          <w:trHeight w:val="526"/>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7423A9A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w:t>
            </w:r>
          </w:p>
        </w:tc>
        <w:tc>
          <w:tcPr>
            <w:tcW w:w="493" w:type="pct"/>
            <w:vMerge w:val="restart"/>
            <w:tcBorders>
              <w:top w:val="single" w:sz="4" w:space="0" w:color="000000"/>
              <w:left w:val="single" w:sz="4" w:space="0" w:color="000000"/>
              <w:bottom w:val="single" w:sz="4" w:space="0" w:color="000000"/>
              <w:right w:val="single" w:sz="4" w:space="0" w:color="000000"/>
            </w:tcBorders>
            <w:noWrap/>
            <w:vAlign w:val="center"/>
          </w:tcPr>
          <w:p w14:paraId="172FA22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小农水</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96CF7E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地埋PVC管道</w:t>
            </w:r>
          </w:p>
        </w:tc>
        <w:tc>
          <w:tcPr>
            <w:tcW w:w="1080" w:type="pct"/>
            <w:tcBorders>
              <w:top w:val="single" w:sz="4" w:space="0" w:color="000000"/>
              <w:left w:val="single" w:sz="4" w:space="0" w:color="000000"/>
              <w:bottom w:val="single" w:sz="4" w:space="0" w:color="000000"/>
              <w:right w:val="single" w:sz="4" w:space="0" w:color="000000"/>
            </w:tcBorders>
            <w:vAlign w:val="center"/>
          </w:tcPr>
          <w:p w14:paraId="046F402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25-45元/m</w:t>
            </w:r>
          </w:p>
        </w:tc>
        <w:tc>
          <w:tcPr>
            <w:tcW w:w="1553" w:type="pct"/>
            <w:tcBorders>
              <w:top w:val="single" w:sz="4" w:space="0" w:color="000000"/>
              <w:left w:val="single" w:sz="4" w:space="0" w:color="000000"/>
              <w:bottom w:val="single" w:sz="4" w:space="0" w:color="000000"/>
              <w:right w:val="single" w:sz="4" w:space="0" w:color="000000"/>
            </w:tcBorders>
            <w:vAlign w:val="center"/>
          </w:tcPr>
          <w:p w14:paraId="3AFD970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分管径。</w:t>
            </w:r>
          </w:p>
        </w:tc>
      </w:tr>
      <w:tr w:rsidR="00A320E6" w14:paraId="3734253F" w14:textId="77777777" w:rsidTr="00E77641">
        <w:trPr>
          <w:trHeight w:val="56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842DDB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083F642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2F132D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地埋电缆</w:t>
            </w:r>
          </w:p>
        </w:tc>
        <w:tc>
          <w:tcPr>
            <w:tcW w:w="1080" w:type="pct"/>
            <w:tcBorders>
              <w:top w:val="single" w:sz="4" w:space="0" w:color="000000"/>
              <w:left w:val="single" w:sz="4" w:space="0" w:color="000000"/>
              <w:bottom w:val="single" w:sz="4" w:space="0" w:color="000000"/>
              <w:right w:val="single" w:sz="4" w:space="0" w:color="000000"/>
            </w:tcBorders>
            <w:vAlign w:val="center"/>
          </w:tcPr>
          <w:p w14:paraId="7A38F8D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20-40元/m</w:t>
            </w:r>
          </w:p>
        </w:tc>
        <w:tc>
          <w:tcPr>
            <w:tcW w:w="1553" w:type="pct"/>
            <w:tcBorders>
              <w:top w:val="single" w:sz="4" w:space="0" w:color="000000"/>
              <w:left w:val="single" w:sz="4" w:space="0" w:color="000000"/>
              <w:bottom w:val="single" w:sz="4" w:space="0" w:color="000000"/>
              <w:right w:val="single" w:sz="4" w:space="0" w:color="000000"/>
            </w:tcBorders>
            <w:vAlign w:val="center"/>
          </w:tcPr>
          <w:p w14:paraId="76AF1E8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分截面。</w:t>
            </w:r>
          </w:p>
        </w:tc>
      </w:tr>
      <w:tr w:rsidR="00A320E6" w14:paraId="303A5246" w14:textId="77777777" w:rsidTr="00E77641">
        <w:trPr>
          <w:trHeight w:val="54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685BED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33F85AD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9C0A35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出水口（栓）</w:t>
            </w:r>
          </w:p>
        </w:tc>
        <w:tc>
          <w:tcPr>
            <w:tcW w:w="1080" w:type="pct"/>
            <w:tcBorders>
              <w:top w:val="single" w:sz="4" w:space="0" w:color="000000"/>
              <w:left w:val="single" w:sz="4" w:space="0" w:color="000000"/>
              <w:bottom w:val="single" w:sz="4" w:space="0" w:color="000000"/>
              <w:right w:val="single" w:sz="4" w:space="0" w:color="000000"/>
            </w:tcBorders>
            <w:vAlign w:val="center"/>
          </w:tcPr>
          <w:p w14:paraId="4E465EC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100-160元/个</w:t>
            </w:r>
          </w:p>
        </w:tc>
        <w:tc>
          <w:tcPr>
            <w:tcW w:w="1553" w:type="pct"/>
            <w:tcBorders>
              <w:top w:val="single" w:sz="4" w:space="0" w:color="000000"/>
              <w:left w:val="single" w:sz="4" w:space="0" w:color="000000"/>
              <w:bottom w:val="single" w:sz="4" w:space="0" w:color="000000"/>
              <w:right w:val="single" w:sz="4" w:space="0" w:color="000000"/>
            </w:tcBorders>
            <w:vAlign w:val="center"/>
          </w:tcPr>
          <w:p w14:paraId="7CADBD0B"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FF66473" w14:textId="77777777" w:rsidTr="00E77641">
        <w:trPr>
          <w:trHeight w:val="506"/>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87303E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7F69586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77277E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机井保护器</w:t>
            </w:r>
          </w:p>
        </w:tc>
        <w:tc>
          <w:tcPr>
            <w:tcW w:w="1080" w:type="pct"/>
            <w:tcBorders>
              <w:top w:val="single" w:sz="4" w:space="0" w:color="000000"/>
              <w:left w:val="single" w:sz="4" w:space="0" w:color="000000"/>
              <w:bottom w:val="single" w:sz="4" w:space="0" w:color="000000"/>
              <w:right w:val="single" w:sz="4" w:space="0" w:color="000000"/>
            </w:tcBorders>
            <w:vAlign w:val="center"/>
          </w:tcPr>
          <w:p w14:paraId="4D6EFA8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600-1100元/套</w:t>
            </w:r>
          </w:p>
        </w:tc>
        <w:tc>
          <w:tcPr>
            <w:tcW w:w="1553" w:type="pct"/>
            <w:tcBorders>
              <w:top w:val="single" w:sz="4" w:space="0" w:color="000000"/>
              <w:left w:val="single" w:sz="4" w:space="0" w:color="000000"/>
              <w:bottom w:val="single" w:sz="4" w:space="0" w:color="000000"/>
              <w:right w:val="single" w:sz="4" w:space="0" w:color="000000"/>
            </w:tcBorders>
            <w:vAlign w:val="center"/>
          </w:tcPr>
          <w:p w14:paraId="358E524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含系统管理机、机井房。</w:t>
            </w:r>
          </w:p>
        </w:tc>
      </w:tr>
      <w:tr w:rsidR="00A320E6" w14:paraId="5692D2C0" w14:textId="77777777" w:rsidTr="00E77641">
        <w:trPr>
          <w:trHeight w:val="750"/>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1A786BA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14</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8C6409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果树</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8A84AF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苗木：地径在1.5cm以下</w:t>
            </w:r>
          </w:p>
        </w:tc>
        <w:tc>
          <w:tcPr>
            <w:tcW w:w="1080" w:type="pct"/>
            <w:tcBorders>
              <w:top w:val="single" w:sz="4" w:space="0" w:color="000000"/>
              <w:left w:val="single" w:sz="4" w:space="0" w:color="000000"/>
              <w:bottom w:val="single" w:sz="4" w:space="0" w:color="000000"/>
              <w:right w:val="single" w:sz="4" w:space="0" w:color="000000"/>
            </w:tcBorders>
            <w:vAlign w:val="center"/>
          </w:tcPr>
          <w:p w14:paraId="3B51312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8-15元/株（每亩不超过220株）</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34D7D1A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1.果树包括：苹果、梨、桃、杏、核桃、樱桃、柿、枣、板栗、李子等树种。</w:t>
            </w:r>
            <w:r>
              <w:rPr>
                <w:rStyle w:val="150"/>
                <w:rFonts w:hint="default"/>
                <w:sz w:val="21"/>
                <w:szCs w:val="21"/>
                <w:lang w:eastAsia="zh-Hans"/>
              </w:rPr>
              <w:br/>
              <w:t>2.按时清除的，树归原主，否则树木充抵拆迁费用。</w:t>
            </w:r>
          </w:p>
        </w:tc>
      </w:tr>
      <w:tr w:rsidR="00A320E6" w14:paraId="6B5944C0" w14:textId="77777777" w:rsidTr="00E77641">
        <w:trPr>
          <w:trHeight w:val="66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9ABFCD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60FD64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89CBD5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幼龄期：地径在3cm以下（2-3年）</w:t>
            </w:r>
          </w:p>
        </w:tc>
        <w:tc>
          <w:tcPr>
            <w:tcW w:w="1080" w:type="pct"/>
            <w:tcBorders>
              <w:top w:val="single" w:sz="4" w:space="0" w:color="000000"/>
              <w:left w:val="single" w:sz="4" w:space="0" w:color="000000"/>
              <w:bottom w:val="single" w:sz="4" w:space="0" w:color="000000"/>
              <w:right w:val="single" w:sz="4" w:space="0" w:color="000000"/>
            </w:tcBorders>
            <w:vAlign w:val="center"/>
          </w:tcPr>
          <w:p w14:paraId="501847A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60-80元/株（每亩不超过220株）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E81F9CE"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5BEEC73" w14:textId="77777777" w:rsidTr="00E77641">
        <w:trPr>
          <w:trHeight w:val="85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AAF6FB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75C892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407862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初果期：地径在3-6cm以下，冠幅直径在1m以上的（定植三年以上）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3FB3255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350-400元/株（每亩不超过120株）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6AD69C1"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8C13D2A" w14:textId="77777777" w:rsidTr="00E77641">
        <w:trPr>
          <w:trHeight w:val="795"/>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881E1B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9BD704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388B66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盛果期：地径超过6cm以上，冠幅直径在2m以上的（定植三年以上）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2ECB1F4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450-650元/株（每亩不超过80株）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17BE306"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1A40466" w14:textId="77777777" w:rsidTr="00E77641">
        <w:trPr>
          <w:trHeight w:val="57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85441E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3705BD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87FE75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地径在1.5cm以上，无冠</w:t>
            </w:r>
          </w:p>
        </w:tc>
        <w:tc>
          <w:tcPr>
            <w:tcW w:w="1080" w:type="pct"/>
            <w:tcBorders>
              <w:top w:val="single" w:sz="4" w:space="0" w:color="000000"/>
              <w:left w:val="single" w:sz="4" w:space="0" w:color="000000"/>
              <w:bottom w:val="single" w:sz="4" w:space="0" w:color="000000"/>
              <w:right w:val="single" w:sz="4" w:space="0" w:color="000000"/>
            </w:tcBorders>
            <w:vAlign w:val="center"/>
          </w:tcPr>
          <w:p w14:paraId="3DDA390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20-55元/株（每亩不超过120株）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7CAFEF5"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B49243C" w14:textId="77777777" w:rsidTr="00E77641">
        <w:trPr>
          <w:trHeight w:val="636"/>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C499F9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F7C11D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5C612F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衰老期（区分树种）</w:t>
            </w:r>
          </w:p>
        </w:tc>
        <w:tc>
          <w:tcPr>
            <w:tcW w:w="1080" w:type="pct"/>
            <w:tcBorders>
              <w:top w:val="single" w:sz="4" w:space="0" w:color="000000"/>
              <w:left w:val="single" w:sz="4" w:space="0" w:color="000000"/>
              <w:bottom w:val="single" w:sz="4" w:space="0" w:color="000000"/>
              <w:right w:val="single" w:sz="4" w:space="0" w:color="000000"/>
            </w:tcBorders>
            <w:vAlign w:val="center"/>
          </w:tcPr>
          <w:p w14:paraId="6AD36D9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180-350元/株</w:t>
            </w:r>
          </w:p>
        </w:tc>
        <w:tc>
          <w:tcPr>
            <w:tcW w:w="1553" w:type="pct"/>
            <w:vMerge/>
            <w:tcBorders>
              <w:top w:val="single" w:sz="4" w:space="0" w:color="000000"/>
              <w:left w:val="single" w:sz="4" w:space="0" w:color="000000"/>
              <w:bottom w:val="single" w:sz="4" w:space="0" w:color="auto"/>
              <w:right w:val="single" w:sz="4" w:space="0" w:color="000000"/>
            </w:tcBorders>
            <w:vAlign w:val="center"/>
          </w:tcPr>
          <w:p w14:paraId="4C203975"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6B717FE" w14:textId="77777777" w:rsidTr="00E77641">
        <w:trPr>
          <w:trHeight w:val="36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FFFC66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26AFE2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34" w:type="pct"/>
            <w:vMerge w:val="restart"/>
            <w:tcBorders>
              <w:top w:val="single" w:sz="4" w:space="0" w:color="000000"/>
              <w:left w:val="single" w:sz="4" w:space="0" w:color="000000"/>
              <w:bottom w:val="single" w:sz="4" w:space="0" w:color="000000"/>
              <w:right w:val="single" w:sz="4" w:space="0" w:color="000000"/>
            </w:tcBorders>
            <w:vAlign w:val="center"/>
          </w:tcPr>
          <w:p w14:paraId="3DA5533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葡萄</w:t>
            </w:r>
          </w:p>
        </w:tc>
        <w:tc>
          <w:tcPr>
            <w:tcW w:w="746" w:type="pct"/>
            <w:tcBorders>
              <w:top w:val="single" w:sz="4" w:space="0" w:color="000000"/>
              <w:left w:val="single" w:sz="4" w:space="0" w:color="000000"/>
              <w:bottom w:val="single" w:sz="4" w:space="0" w:color="000000"/>
              <w:right w:val="single" w:sz="4" w:space="0" w:color="000000"/>
            </w:tcBorders>
            <w:vAlign w:val="center"/>
          </w:tcPr>
          <w:p w14:paraId="0A75790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定植2年</w:t>
            </w:r>
          </w:p>
          <w:p w14:paraId="57B0256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以下</w:t>
            </w:r>
          </w:p>
        </w:tc>
        <w:tc>
          <w:tcPr>
            <w:tcW w:w="1080" w:type="pct"/>
            <w:tcBorders>
              <w:top w:val="single" w:sz="4" w:space="0" w:color="000000"/>
              <w:left w:val="single" w:sz="4" w:space="0" w:color="000000"/>
              <w:bottom w:val="single" w:sz="4" w:space="0" w:color="000000"/>
              <w:right w:val="single" w:sz="4" w:space="0" w:color="auto"/>
            </w:tcBorders>
            <w:vAlign w:val="center"/>
          </w:tcPr>
          <w:p w14:paraId="1B96EA6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8-15元/株</w:t>
            </w:r>
          </w:p>
        </w:tc>
        <w:tc>
          <w:tcPr>
            <w:tcW w:w="1553" w:type="pct"/>
            <w:vMerge w:val="restart"/>
            <w:tcBorders>
              <w:top w:val="single" w:sz="4" w:space="0" w:color="auto"/>
              <w:left w:val="single" w:sz="4" w:space="0" w:color="auto"/>
              <w:bottom w:val="single" w:sz="4" w:space="0" w:color="auto"/>
              <w:right w:val="single" w:sz="4" w:space="0" w:color="auto"/>
            </w:tcBorders>
            <w:vAlign w:val="center"/>
          </w:tcPr>
          <w:p w14:paraId="07AB6E6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集中栽植的每亩不超过440株，并有架材。</w:t>
            </w:r>
          </w:p>
        </w:tc>
      </w:tr>
      <w:tr w:rsidR="00A320E6" w14:paraId="3274DEDF"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9205C6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98632F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34" w:type="pct"/>
            <w:vMerge/>
            <w:tcBorders>
              <w:top w:val="single" w:sz="4" w:space="0" w:color="000000"/>
              <w:left w:val="single" w:sz="4" w:space="0" w:color="000000"/>
              <w:bottom w:val="single" w:sz="4" w:space="0" w:color="000000"/>
              <w:right w:val="single" w:sz="4" w:space="0" w:color="000000"/>
            </w:tcBorders>
            <w:vAlign w:val="center"/>
          </w:tcPr>
          <w:p w14:paraId="2C5EDDA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746" w:type="pct"/>
            <w:tcBorders>
              <w:top w:val="single" w:sz="4" w:space="0" w:color="000000"/>
              <w:left w:val="single" w:sz="4" w:space="0" w:color="000000"/>
              <w:bottom w:val="single" w:sz="4" w:space="0" w:color="000000"/>
              <w:right w:val="single" w:sz="4" w:space="0" w:color="000000"/>
            </w:tcBorders>
            <w:vAlign w:val="center"/>
          </w:tcPr>
          <w:p w14:paraId="4E69AC3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定植2年</w:t>
            </w:r>
          </w:p>
          <w:p w14:paraId="47010A2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以上</w:t>
            </w:r>
          </w:p>
        </w:tc>
        <w:tc>
          <w:tcPr>
            <w:tcW w:w="1080" w:type="pct"/>
            <w:tcBorders>
              <w:top w:val="single" w:sz="4" w:space="0" w:color="000000"/>
              <w:left w:val="single" w:sz="4" w:space="0" w:color="000000"/>
              <w:bottom w:val="single" w:sz="4" w:space="0" w:color="000000"/>
              <w:right w:val="single" w:sz="4" w:space="0" w:color="auto"/>
            </w:tcBorders>
            <w:vAlign w:val="center"/>
          </w:tcPr>
          <w:p w14:paraId="0DEE84C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30-80元/株</w:t>
            </w:r>
          </w:p>
        </w:tc>
        <w:tc>
          <w:tcPr>
            <w:tcW w:w="1553" w:type="pct"/>
            <w:vMerge/>
            <w:tcBorders>
              <w:top w:val="single" w:sz="4" w:space="0" w:color="auto"/>
              <w:left w:val="single" w:sz="4" w:space="0" w:color="auto"/>
              <w:bottom w:val="single" w:sz="4" w:space="0" w:color="auto"/>
              <w:right w:val="single" w:sz="4" w:space="0" w:color="auto"/>
            </w:tcBorders>
            <w:vAlign w:val="center"/>
          </w:tcPr>
          <w:p w14:paraId="1267C81E"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76764E3" w14:textId="77777777" w:rsidTr="00E77641">
        <w:trPr>
          <w:trHeight w:val="416"/>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4896DEC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5EEDB3B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用材乔木</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0134BA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胸径小于5cm</w:t>
            </w:r>
          </w:p>
        </w:tc>
        <w:tc>
          <w:tcPr>
            <w:tcW w:w="1080" w:type="pct"/>
            <w:tcBorders>
              <w:top w:val="single" w:sz="4" w:space="0" w:color="000000"/>
              <w:left w:val="single" w:sz="4" w:space="0" w:color="000000"/>
              <w:bottom w:val="single" w:sz="4" w:space="0" w:color="000000"/>
              <w:right w:val="single" w:sz="4" w:space="0" w:color="auto"/>
            </w:tcBorders>
            <w:vAlign w:val="center"/>
          </w:tcPr>
          <w:p w14:paraId="5F49B13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8-15元/株</w:t>
            </w:r>
          </w:p>
        </w:tc>
        <w:tc>
          <w:tcPr>
            <w:tcW w:w="1553" w:type="pct"/>
            <w:tcBorders>
              <w:top w:val="single" w:sz="4" w:space="0" w:color="auto"/>
              <w:left w:val="single" w:sz="4" w:space="0" w:color="auto"/>
              <w:bottom w:val="single" w:sz="4" w:space="0" w:color="auto"/>
              <w:right w:val="single" w:sz="4" w:space="0" w:color="auto"/>
            </w:tcBorders>
            <w:vAlign w:val="center"/>
          </w:tcPr>
          <w:p w14:paraId="29204E4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种植密度大的，补偿不超过苗圃补偿标准。</w:t>
            </w:r>
          </w:p>
        </w:tc>
      </w:tr>
      <w:tr w:rsidR="00A320E6" w14:paraId="05B96727" w14:textId="77777777" w:rsidTr="00E77641">
        <w:trPr>
          <w:trHeight w:val="62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4963EA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2EEF6A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479E21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胸径5-10cm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72E2D89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40-60元/株</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039BA94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1.主要指杨树、泡桐（梧桐）、刺槐、榆树、柳树、构树、椿树等用材乔木，不超过110棵/亩。</w:t>
            </w:r>
            <w:r>
              <w:rPr>
                <w:rStyle w:val="150"/>
                <w:rFonts w:hint="default"/>
                <w:sz w:val="21"/>
                <w:szCs w:val="21"/>
                <w:lang w:eastAsia="zh-Hans"/>
              </w:rPr>
              <w:br/>
              <w:t>2.按时清除的，树归原主，否则树木充抵拆迁费用。</w:t>
            </w:r>
          </w:p>
        </w:tc>
      </w:tr>
      <w:tr w:rsidR="00A320E6" w14:paraId="43B2CB85" w14:textId="77777777" w:rsidTr="00E77641">
        <w:trPr>
          <w:trHeight w:val="757"/>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4B707A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CAD6C4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41EEA9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胸径10-20cm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411B12D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60-100元/株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6AF072B"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348F1700" w14:textId="77777777" w:rsidTr="00E77641">
        <w:trPr>
          <w:trHeight w:val="750"/>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D36916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175A97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9F3DE4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胸径大于20cm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2BA40B5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100-120元/株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F52BFA6"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C5AB465" w14:textId="77777777" w:rsidTr="00E77641">
        <w:trPr>
          <w:trHeight w:val="340"/>
          <w:jc w:val="center"/>
        </w:trPr>
        <w:tc>
          <w:tcPr>
            <w:tcW w:w="393" w:type="pct"/>
            <w:vMerge w:val="restart"/>
            <w:tcBorders>
              <w:top w:val="single" w:sz="4" w:space="0" w:color="000000"/>
              <w:left w:val="single" w:sz="4" w:space="0" w:color="000000"/>
              <w:bottom w:val="single" w:sz="4" w:space="0" w:color="000000"/>
              <w:right w:val="single" w:sz="4" w:space="0" w:color="000000"/>
            </w:tcBorders>
            <w:noWrap/>
            <w:vAlign w:val="center"/>
          </w:tcPr>
          <w:p w14:paraId="707230B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16</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67C3D4E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ECB04C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花椒、香椿小苗</w:t>
            </w:r>
          </w:p>
        </w:tc>
        <w:tc>
          <w:tcPr>
            <w:tcW w:w="1080" w:type="pct"/>
            <w:tcBorders>
              <w:top w:val="single" w:sz="4" w:space="0" w:color="000000"/>
              <w:left w:val="single" w:sz="4" w:space="0" w:color="000000"/>
              <w:bottom w:val="single" w:sz="4" w:space="0" w:color="000000"/>
              <w:right w:val="single" w:sz="4" w:space="0" w:color="000000"/>
            </w:tcBorders>
            <w:vAlign w:val="center"/>
          </w:tcPr>
          <w:p w14:paraId="2D82E08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3元/株</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10EC17D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1.成片种植，不超过250株/亩。</w:t>
            </w:r>
            <w:r>
              <w:rPr>
                <w:rStyle w:val="150"/>
                <w:rFonts w:hint="default"/>
                <w:sz w:val="21"/>
                <w:szCs w:val="21"/>
                <w:lang w:eastAsia="zh-Hans"/>
              </w:rPr>
              <w:br/>
              <w:t>2.按时清除的，树归原主，否则树木充抵拆迁费用。</w:t>
            </w:r>
          </w:p>
        </w:tc>
      </w:tr>
      <w:tr w:rsidR="00A320E6" w14:paraId="2E5A8F74"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4EC7701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424F82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951C8E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花椒、香椿地径在2-5cm</w:t>
            </w:r>
          </w:p>
        </w:tc>
        <w:tc>
          <w:tcPr>
            <w:tcW w:w="1080" w:type="pct"/>
            <w:tcBorders>
              <w:top w:val="single" w:sz="4" w:space="0" w:color="000000"/>
              <w:left w:val="single" w:sz="4" w:space="0" w:color="000000"/>
              <w:bottom w:val="single" w:sz="4" w:space="0" w:color="000000"/>
              <w:right w:val="single" w:sz="4" w:space="0" w:color="000000"/>
            </w:tcBorders>
            <w:vAlign w:val="center"/>
          </w:tcPr>
          <w:p w14:paraId="4195886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15-20元/株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09FD27B"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7B037112"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633E15A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5FD1909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5A3EFE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花椒、香椿地径在5-10cm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7D3759F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45-65元/株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F834BE5"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D15718C" w14:textId="77777777" w:rsidTr="00E77641">
        <w:trPr>
          <w:trHeight w:val="450"/>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4E15BA6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29D96E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2B200D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花椒、香椿地径在10-20cm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61D62BE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65-100元/株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05F8F9D"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5342316" w14:textId="77777777" w:rsidTr="00E77641">
        <w:trPr>
          <w:trHeight w:val="570"/>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5AB1D6E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38E745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B11592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花椒、香椿地径在20cm以上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23965EF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100-120元/株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AC6519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EBE7F8C" w14:textId="77777777" w:rsidTr="00E77641">
        <w:trPr>
          <w:trHeight w:val="585"/>
          <w:jc w:val="center"/>
        </w:trPr>
        <w:tc>
          <w:tcPr>
            <w:tcW w:w="393" w:type="pct"/>
            <w:tcBorders>
              <w:top w:val="single" w:sz="4" w:space="0" w:color="000000"/>
              <w:left w:val="single" w:sz="4" w:space="0" w:color="000000"/>
              <w:bottom w:val="single" w:sz="4" w:space="0" w:color="000000"/>
              <w:right w:val="single" w:sz="4" w:space="0" w:color="000000"/>
            </w:tcBorders>
            <w:noWrap/>
            <w:vAlign w:val="center"/>
          </w:tcPr>
          <w:p w14:paraId="3C32BCB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17</w:t>
            </w:r>
          </w:p>
        </w:tc>
        <w:tc>
          <w:tcPr>
            <w:tcW w:w="493" w:type="pct"/>
            <w:tcBorders>
              <w:top w:val="single" w:sz="4" w:space="0" w:color="000000"/>
              <w:left w:val="single" w:sz="4" w:space="0" w:color="000000"/>
              <w:bottom w:val="single" w:sz="4" w:space="0" w:color="000000"/>
              <w:right w:val="single" w:sz="4" w:space="0" w:color="000000"/>
            </w:tcBorders>
            <w:vAlign w:val="center"/>
          </w:tcPr>
          <w:p w14:paraId="017D808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草皮、草坪</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46B8BE0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tcBorders>
              <w:top w:val="single" w:sz="4" w:space="0" w:color="000000"/>
              <w:left w:val="single" w:sz="4" w:space="0" w:color="000000"/>
              <w:bottom w:val="single" w:sz="4" w:space="0" w:color="000000"/>
              <w:right w:val="single" w:sz="4" w:space="0" w:color="000000"/>
            </w:tcBorders>
            <w:vAlign w:val="center"/>
          </w:tcPr>
          <w:p w14:paraId="385E8CC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10-15元/㎡</w:t>
            </w:r>
          </w:p>
        </w:tc>
        <w:tc>
          <w:tcPr>
            <w:tcW w:w="1553" w:type="pct"/>
            <w:tcBorders>
              <w:top w:val="single" w:sz="4" w:space="0" w:color="000000"/>
              <w:left w:val="single" w:sz="4" w:space="0" w:color="000000"/>
              <w:bottom w:val="single" w:sz="4" w:space="0" w:color="000000"/>
              <w:right w:val="single" w:sz="4" w:space="0" w:color="000000"/>
            </w:tcBorders>
            <w:vAlign w:val="center"/>
          </w:tcPr>
          <w:p w14:paraId="1E4B6DC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移栽及损失费。</w:t>
            </w:r>
          </w:p>
        </w:tc>
      </w:tr>
      <w:tr w:rsidR="00A320E6" w14:paraId="72971156" w14:textId="77777777" w:rsidTr="00E77641">
        <w:trPr>
          <w:trHeight w:val="450"/>
          <w:jc w:val="center"/>
        </w:trPr>
        <w:tc>
          <w:tcPr>
            <w:tcW w:w="393" w:type="pct"/>
            <w:tcBorders>
              <w:top w:val="single" w:sz="4" w:space="0" w:color="000000"/>
              <w:left w:val="single" w:sz="4" w:space="0" w:color="000000"/>
              <w:bottom w:val="single" w:sz="4" w:space="0" w:color="000000"/>
              <w:right w:val="single" w:sz="4" w:space="0" w:color="000000"/>
            </w:tcBorders>
            <w:noWrap/>
            <w:vAlign w:val="center"/>
          </w:tcPr>
          <w:p w14:paraId="7D2FF00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w:t>
            </w:r>
          </w:p>
        </w:tc>
        <w:tc>
          <w:tcPr>
            <w:tcW w:w="493" w:type="pct"/>
            <w:tcBorders>
              <w:top w:val="single" w:sz="4" w:space="0" w:color="000000"/>
              <w:left w:val="single" w:sz="4" w:space="0" w:color="000000"/>
              <w:bottom w:val="single" w:sz="4" w:space="0" w:color="000000"/>
              <w:right w:val="single" w:sz="4" w:space="0" w:color="000000"/>
            </w:tcBorders>
            <w:vAlign w:val="center"/>
          </w:tcPr>
          <w:p w14:paraId="33192CE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绿篱</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7DBFE9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tcBorders>
              <w:top w:val="single" w:sz="4" w:space="0" w:color="000000"/>
              <w:left w:val="single" w:sz="4" w:space="0" w:color="000000"/>
              <w:bottom w:val="single" w:sz="4" w:space="0" w:color="000000"/>
              <w:right w:val="single" w:sz="4" w:space="0" w:color="000000"/>
            </w:tcBorders>
            <w:vAlign w:val="center"/>
          </w:tcPr>
          <w:p w14:paraId="7DC1F56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50-80元/㎡</w:t>
            </w:r>
          </w:p>
        </w:tc>
        <w:tc>
          <w:tcPr>
            <w:tcW w:w="1553" w:type="pct"/>
            <w:tcBorders>
              <w:top w:val="single" w:sz="4" w:space="0" w:color="000000"/>
              <w:left w:val="single" w:sz="4" w:space="0" w:color="000000"/>
              <w:bottom w:val="single" w:sz="4" w:space="0" w:color="000000"/>
              <w:right w:val="single" w:sz="4" w:space="0" w:color="000000"/>
            </w:tcBorders>
            <w:vAlign w:val="center"/>
          </w:tcPr>
          <w:p w14:paraId="14F0BD3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移栽及损失费。</w:t>
            </w:r>
          </w:p>
        </w:tc>
      </w:tr>
      <w:tr w:rsidR="00A320E6" w14:paraId="0B2066CD" w14:textId="77777777" w:rsidTr="00E77641">
        <w:trPr>
          <w:trHeight w:val="660"/>
          <w:jc w:val="center"/>
        </w:trPr>
        <w:tc>
          <w:tcPr>
            <w:tcW w:w="393" w:type="pct"/>
            <w:tcBorders>
              <w:top w:val="single" w:sz="4" w:space="0" w:color="000000"/>
              <w:left w:val="single" w:sz="4" w:space="0" w:color="000000"/>
              <w:bottom w:val="single" w:sz="4" w:space="0" w:color="000000"/>
              <w:right w:val="single" w:sz="4" w:space="0" w:color="000000"/>
            </w:tcBorders>
            <w:noWrap/>
            <w:vAlign w:val="center"/>
          </w:tcPr>
          <w:p w14:paraId="2880F8D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19</w:t>
            </w:r>
          </w:p>
        </w:tc>
        <w:tc>
          <w:tcPr>
            <w:tcW w:w="493" w:type="pct"/>
            <w:tcBorders>
              <w:top w:val="single" w:sz="4" w:space="0" w:color="000000"/>
              <w:left w:val="single" w:sz="4" w:space="0" w:color="000000"/>
              <w:bottom w:val="single" w:sz="4" w:space="0" w:color="000000"/>
              <w:right w:val="single" w:sz="4" w:space="0" w:color="000000"/>
            </w:tcBorders>
            <w:vAlign w:val="center"/>
          </w:tcPr>
          <w:p w14:paraId="76D73FD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苗圃苗木</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AB854D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tcBorders>
              <w:top w:val="single" w:sz="4" w:space="0" w:color="000000"/>
              <w:left w:val="single" w:sz="4" w:space="0" w:color="000000"/>
              <w:bottom w:val="single" w:sz="4" w:space="0" w:color="000000"/>
              <w:right w:val="single" w:sz="4" w:space="0" w:color="000000"/>
            </w:tcBorders>
            <w:vAlign w:val="center"/>
          </w:tcPr>
          <w:p w14:paraId="4C9AEE1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7000-11000元/亩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6EAD584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1.根据苗木树种及培育期。</w:t>
            </w:r>
            <w:r>
              <w:rPr>
                <w:rStyle w:val="150"/>
                <w:rFonts w:hint="default"/>
                <w:sz w:val="21"/>
                <w:szCs w:val="21"/>
                <w:lang w:eastAsia="zh-Hans"/>
              </w:rPr>
              <w:br/>
              <w:t>2.移栽及损失费。</w:t>
            </w:r>
          </w:p>
        </w:tc>
      </w:tr>
      <w:tr w:rsidR="00A320E6" w14:paraId="6D15C963" w14:textId="77777777" w:rsidTr="00E77641">
        <w:trPr>
          <w:trHeight w:val="618"/>
          <w:jc w:val="center"/>
        </w:trPr>
        <w:tc>
          <w:tcPr>
            <w:tcW w:w="393" w:type="pct"/>
            <w:vMerge w:val="restart"/>
            <w:tcBorders>
              <w:top w:val="single" w:sz="4" w:space="0" w:color="000000"/>
              <w:left w:val="single" w:sz="4" w:space="0" w:color="000000"/>
              <w:bottom w:val="single" w:sz="4" w:space="0" w:color="000000"/>
              <w:right w:val="single" w:sz="4" w:space="0" w:color="000000"/>
            </w:tcBorders>
            <w:noWrap/>
            <w:vAlign w:val="center"/>
          </w:tcPr>
          <w:p w14:paraId="7514733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2C947C9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松柏等冠状景观树</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577C798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树高100cm以下</w:t>
            </w:r>
          </w:p>
        </w:tc>
        <w:tc>
          <w:tcPr>
            <w:tcW w:w="1080" w:type="pct"/>
            <w:tcBorders>
              <w:top w:val="single" w:sz="4" w:space="0" w:color="000000"/>
              <w:left w:val="single" w:sz="4" w:space="0" w:color="000000"/>
              <w:bottom w:val="single" w:sz="4" w:space="0" w:color="000000"/>
              <w:right w:val="single" w:sz="4" w:space="0" w:color="000000"/>
            </w:tcBorders>
            <w:vAlign w:val="center"/>
          </w:tcPr>
          <w:p w14:paraId="5D4E431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8-15元/株</w:t>
            </w:r>
          </w:p>
        </w:tc>
        <w:tc>
          <w:tcPr>
            <w:tcW w:w="1553" w:type="pct"/>
            <w:tcBorders>
              <w:top w:val="single" w:sz="4" w:space="0" w:color="000000"/>
              <w:left w:val="single" w:sz="4" w:space="0" w:color="000000"/>
              <w:bottom w:val="single" w:sz="4" w:space="0" w:color="auto"/>
              <w:right w:val="single" w:sz="4" w:space="0" w:color="000000"/>
            </w:tcBorders>
            <w:vAlign w:val="center"/>
          </w:tcPr>
          <w:p w14:paraId="1E70EBE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种植密度大的，补偿不超过苗圃补偿标准。</w:t>
            </w:r>
          </w:p>
        </w:tc>
      </w:tr>
      <w:tr w:rsidR="00A320E6" w14:paraId="29DC5D7E" w14:textId="77777777" w:rsidTr="00E77641">
        <w:trPr>
          <w:trHeight w:val="931"/>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77DBD312"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73D605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8A5946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树高100－200cm</w:t>
            </w:r>
          </w:p>
        </w:tc>
        <w:tc>
          <w:tcPr>
            <w:tcW w:w="1080" w:type="pct"/>
            <w:tcBorders>
              <w:top w:val="single" w:sz="4" w:space="0" w:color="000000"/>
              <w:left w:val="single" w:sz="4" w:space="0" w:color="000000"/>
              <w:bottom w:val="single" w:sz="4" w:space="0" w:color="000000"/>
              <w:right w:val="single" w:sz="4" w:space="0" w:color="auto"/>
            </w:tcBorders>
            <w:vAlign w:val="center"/>
          </w:tcPr>
          <w:p w14:paraId="233A8F4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15-60元/株</w:t>
            </w:r>
          </w:p>
        </w:tc>
        <w:tc>
          <w:tcPr>
            <w:tcW w:w="1553" w:type="pct"/>
            <w:vMerge w:val="restart"/>
            <w:tcBorders>
              <w:top w:val="single" w:sz="4" w:space="0" w:color="auto"/>
              <w:left w:val="single" w:sz="4" w:space="0" w:color="auto"/>
              <w:bottom w:val="single" w:sz="4" w:space="0" w:color="auto"/>
              <w:right w:val="single" w:sz="4" w:space="0" w:color="auto"/>
            </w:tcBorders>
            <w:vAlign w:val="center"/>
          </w:tcPr>
          <w:p w14:paraId="1898680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1.主要包括雪松、黑松、油松、白皮松、华山松、龙柏、花柏、钢笔柏、侧柏、蜀桧、圆柏等树种。</w:t>
            </w:r>
            <w:r>
              <w:rPr>
                <w:rStyle w:val="150"/>
                <w:rFonts w:hint="default"/>
                <w:sz w:val="21"/>
                <w:szCs w:val="21"/>
                <w:lang w:eastAsia="zh-Hans"/>
              </w:rPr>
              <w:br/>
              <w:t>2.成片栽植密度为55－110棵/亩，超过的按照苗圃补偿。</w:t>
            </w:r>
            <w:r>
              <w:rPr>
                <w:rStyle w:val="150"/>
                <w:rFonts w:hint="default"/>
                <w:sz w:val="21"/>
                <w:szCs w:val="21"/>
                <w:lang w:eastAsia="zh-Hans"/>
              </w:rPr>
              <w:br/>
              <w:t>3.移栽及损失费。</w:t>
            </w:r>
          </w:p>
        </w:tc>
      </w:tr>
      <w:tr w:rsidR="00A320E6" w14:paraId="094ED8C9" w14:textId="77777777" w:rsidTr="00E77641">
        <w:trPr>
          <w:trHeight w:val="823"/>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05FB690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8F97C4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6225D6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树高200－300cm</w:t>
            </w:r>
          </w:p>
        </w:tc>
        <w:tc>
          <w:tcPr>
            <w:tcW w:w="1080" w:type="pct"/>
            <w:tcBorders>
              <w:top w:val="single" w:sz="4" w:space="0" w:color="000000"/>
              <w:left w:val="single" w:sz="4" w:space="0" w:color="000000"/>
              <w:bottom w:val="single" w:sz="4" w:space="0" w:color="000000"/>
              <w:right w:val="single" w:sz="4" w:space="0" w:color="auto"/>
            </w:tcBorders>
            <w:vAlign w:val="center"/>
          </w:tcPr>
          <w:p w14:paraId="5F65300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60-110元/株</w:t>
            </w:r>
          </w:p>
        </w:tc>
        <w:tc>
          <w:tcPr>
            <w:tcW w:w="1553" w:type="pct"/>
            <w:vMerge/>
            <w:tcBorders>
              <w:top w:val="single" w:sz="4" w:space="0" w:color="auto"/>
              <w:left w:val="single" w:sz="4" w:space="0" w:color="auto"/>
              <w:bottom w:val="single" w:sz="4" w:space="0" w:color="auto"/>
              <w:right w:val="single" w:sz="4" w:space="0" w:color="auto"/>
            </w:tcBorders>
            <w:vAlign w:val="center"/>
          </w:tcPr>
          <w:p w14:paraId="47F12615"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77E2F1A" w14:textId="77777777" w:rsidTr="00E77641">
        <w:trPr>
          <w:trHeight w:val="664"/>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30DF52B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275ED9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1284D9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树高300－350cm</w:t>
            </w:r>
          </w:p>
        </w:tc>
        <w:tc>
          <w:tcPr>
            <w:tcW w:w="1080" w:type="pct"/>
            <w:tcBorders>
              <w:top w:val="single" w:sz="4" w:space="0" w:color="000000"/>
              <w:left w:val="single" w:sz="4" w:space="0" w:color="000000"/>
              <w:bottom w:val="single" w:sz="4" w:space="0" w:color="000000"/>
              <w:right w:val="single" w:sz="4" w:space="0" w:color="auto"/>
            </w:tcBorders>
            <w:vAlign w:val="center"/>
          </w:tcPr>
          <w:p w14:paraId="02345E6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110-200元/株</w:t>
            </w:r>
          </w:p>
        </w:tc>
        <w:tc>
          <w:tcPr>
            <w:tcW w:w="1553" w:type="pct"/>
            <w:vMerge/>
            <w:tcBorders>
              <w:top w:val="single" w:sz="4" w:space="0" w:color="auto"/>
              <w:left w:val="single" w:sz="4" w:space="0" w:color="auto"/>
              <w:bottom w:val="single" w:sz="4" w:space="0" w:color="auto"/>
              <w:right w:val="single" w:sz="4" w:space="0" w:color="auto"/>
            </w:tcBorders>
            <w:vAlign w:val="center"/>
          </w:tcPr>
          <w:p w14:paraId="2E15DAF8"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BE081F0" w14:textId="77777777" w:rsidTr="00E77641">
        <w:trPr>
          <w:trHeight w:val="560"/>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5EE1AE4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2E7DA5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3AFCCB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树高350cm以上</w:t>
            </w:r>
          </w:p>
        </w:tc>
        <w:tc>
          <w:tcPr>
            <w:tcW w:w="1080" w:type="pct"/>
            <w:tcBorders>
              <w:top w:val="single" w:sz="4" w:space="0" w:color="000000"/>
              <w:left w:val="single" w:sz="4" w:space="0" w:color="000000"/>
              <w:bottom w:val="single" w:sz="4" w:space="0" w:color="000000"/>
              <w:right w:val="single" w:sz="4" w:space="0" w:color="auto"/>
            </w:tcBorders>
            <w:vAlign w:val="center"/>
          </w:tcPr>
          <w:p w14:paraId="6A4C65A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200-300元/株</w:t>
            </w:r>
          </w:p>
        </w:tc>
        <w:tc>
          <w:tcPr>
            <w:tcW w:w="1553" w:type="pct"/>
            <w:vMerge/>
            <w:tcBorders>
              <w:top w:val="single" w:sz="4" w:space="0" w:color="auto"/>
              <w:left w:val="single" w:sz="4" w:space="0" w:color="auto"/>
              <w:bottom w:val="single" w:sz="4" w:space="0" w:color="auto"/>
              <w:right w:val="single" w:sz="4" w:space="0" w:color="auto"/>
            </w:tcBorders>
            <w:vAlign w:val="center"/>
          </w:tcPr>
          <w:p w14:paraId="0FE4E98D"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889EBB7" w14:textId="77777777" w:rsidTr="00E77641">
        <w:trPr>
          <w:trHeight w:val="23"/>
          <w:jc w:val="center"/>
        </w:trPr>
        <w:tc>
          <w:tcPr>
            <w:tcW w:w="393" w:type="pct"/>
            <w:vMerge w:val="restart"/>
            <w:tcBorders>
              <w:top w:val="single" w:sz="4" w:space="0" w:color="000000"/>
              <w:left w:val="single" w:sz="4" w:space="0" w:color="000000"/>
              <w:bottom w:val="single" w:sz="4" w:space="0" w:color="000000"/>
              <w:right w:val="single" w:sz="4" w:space="0" w:color="000000"/>
            </w:tcBorders>
            <w:noWrap/>
            <w:vAlign w:val="center"/>
          </w:tcPr>
          <w:p w14:paraId="4EE5CB7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21</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60BBC16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球状树种景观树</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DF6EA6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冠幅30-50cm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248B396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5-10元/株</w:t>
            </w:r>
          </w:p>
        </w:tc>
        <w:tc>
          <w:tcPr>
            <w:tcW w:w="1553" w:type="pct"/>
            <w:tcBorders>
              <w:top w:val="single" w:sz="4" w:space="0" w:color="auto"/>
              <w:left w:val="single" w:sz="4" w:space="0" w:color="000000"/>
              <w:bottom w:val="single" w:sz="4" w:space="0" w:color="000000"/>
              <w:right w:val="single" w:sz="4" w:space="0" w:color="000000"/>
            </w:tcBorders>
            <w:vAlign w:val="center"/>
          </w:tcPr>
          <w:p w14:paraId="0C26D36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1.种植密度大的，补偿不超过苗圃补偿标准。</w:t>
            </w:r>
            <w:r>
              <w:rPr>
                <w:rStyle w:val="150"/>
                <w:rFonts w:hint="default"/>
                <w:sz w:val="21"/>
                <w:szCs w:val="21"/>
                <w:lang w:eastAsia="zh-Hans"/>
              </w:rPr>
              <w:br/>
              <w:t>2.移栽及损失费。</w:t>
            </w:r>
          </w:p>
        </w:tc>
      </w:tr>
      <w:tr w:rsidR="00A320E6" w14:paraId="76057540" w14:textId="77777777" w:rsidTr="00E77641">
        <w:trPr>
          <w:trHeight w:val="551"/>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6E24B3A1"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10C13C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75EE57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冠幅50－100cm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2E953CC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10-30元/株</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2E4A5E0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1.主要包括龙柏球、蜀桧球、洒金球、冬青球、海桐球、女贞球、黄杨球等树种。</w:t>
            </w:r>
            <w:r>
              <w:rPr>
                <w:rStyle w:val="150"/>
                <w:rFonts w:hint="default"/>
                <w:sz w:val="21"/>
                <w:szCs w:val="21"/>
                <w:lang w:eastAsia="zh-Hans"/>
              </w:rPr>
              <w:br/>
              <w:t>2.成片栽植密度为55－110棵/亩，超过的按照苗圃补偿。</w:t>
            </w:r>
            <w:r>
              <w:rPr>
                <w:rStyle w:val="150"/>
                <w:rFonts w:hint="default"/>
                <w:sz w:val="21"/>
                <w:szCs w:val="21"/>
                <w:lang w:eastAsia="zh-Hans"/>
              </w:rPr>
              <w:br/>
              <w:t>3.移栽及损失费。</w:t>
            </w:r>
          </w:p>
        </w:tc>
      </w:tr>
      <w:tr w:rsidR="00A320E6" w14:paraId="6B86BDA5" w14:textId="77777777" w:rsidTr="00E77641">
        <w:trPr>
          <w:trHeight w:val="607"/>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4A70022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60E526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E7D006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冠幅100－150cm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0C85635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30-60元/株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74408DA4"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26EF02DB" w14:textId="77777777" w:rsidTr="00E77641">
        <w:trPr>
          <w:trHeight w:val="557"/>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2B264087"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75864FE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CB57C4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冠幅150－200cm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196EBF8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60-100元/株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48B6C6A2"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C41AF20" w14:textId="77777777" w:rsidTr="00E77641">
        <w:trPr>
          <w:trHeight w:val="557"/>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3A4D426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0F9681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B1C4D0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冠幅200cm以上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47C397E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100-150元/株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35A73FA7"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ED844AB" w14:textId="77777777" w:rsidTr="00E77641">
        <w:trPr>
          <w:trHeight w:val="23"/>
          <w:jc w:val="center"/>
        </w:trPr>
        <w:tc>
          <w:tcPr>
            <w:tcW w:w="393" w:type="pct"/>
            <w:vMerge w:val="restart"/>
            <w:tcBorders>
              <w:top w:val="single" w:sz="4" w:space="0" w:color="000000"/>
              <w:left w:val="single" w:sz="4" w:space="0" w:color="000000"/>
              <w:bottom w:val="single" w:sz="4" w:space="0" w:color="000000"/>
              <w:right w:val="single" w:sz="4" w:space="0" w:color="000000"/>
            </w:tcBorders>
            <w:noWrap/>
            <w:vAlign w:val="center"/>
          </w:tcPr>
          <w:p w14:paraId="2EE8471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22</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FFB85D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干径状树种景观树</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F4A25B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胸径5cm以下</w:t>
            </w:r>
          </w:p>
        </w:tc>
        <w:tc>
          <w:tcPr>
            <w:tcW w:w="1080" w:type="pct"/>
            <w:tcBorders>
              <w:top w:val="single" w:sz="4" w:space="0" w:color="000000"/>
              <w:left w:val="single" w:sz="4" w:space="0" w:color="000000"/>
              <w:bottom w:val="single" w:sz="4" w:space="0" w:color="000000"/>
              <w:right w:val="single" w:sz="4" w:space="0" w:color="000000"/>
            </w:tcBorders>
            <w:vAlign w:val="center"/>
          </w:tcPr>
          <w:p w14:paraId="2A96393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5-15元/株</w:t>
            </w:r>
          </w:p>
        </w:tc>
        <w:tc>
          <w:tcPr>
            <w:tcW w:w="1553" w:type="pct"/>
            <w:tcBorders>
              <w:top w:val="single" w:sz="4" w:space="0" w:color="000000"/>
              <w:left w:val="single" w:sz="4" w:space="0" w:color="000000"/>
              <w:bottom w:val="single" w:sz="4" w:space="0" w:color="000000"/>
              <w:right w:val="single" w:sz="4" w:space="0" w:color="000000"/>
            </w:tcBorders>
            <w:vAlign w:val="center"/>
          </w:tcPr>
          <w:p w14:paraId="601EF63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1.种植密度大的，补偿不超过苗圃补偿标准。</w:t>
            </w:r>
            <w:r>
              <w:rPr>
                <w:rStyle w:val="150"/>
                <w:rFonts w:hint="default"/>
                <w:sz w:val="21"/>
                <w:szCs w:val="21"/>
                <w:lang w:eastAsia="zh-Hans"/>
              </w:rPr>
              <w:br/>
              <w:t>2.移栽及损失费。</w:t>
            </w:r>
          </w:p>
        </w:tc>
      </w:tr>
      <w:tr w:rsidR="00A320E6" w14:paraId="379EC46E" w14:textId="77777777" w:rsidTr="00E77641">
        <w:trPr>
          <w:trHeight w:val="563"/>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69CF1FC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A03C07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CFC13B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胸径5-10cm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3D8C1B1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40-60元/株</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42F7CDC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1.主要包括樱花、柳树、国槐树、榉树、紫薇、玉兰、银杏、法桐、枫树等树种。</w:t>
            </w:r>
            <w:r>
              <w:rPr>
                <w:rStyle w:val="150"/>
                <w:rFonts w:hint="default"/>
                <w:sz w:val="21"/>
                <w:szCs w:val="21"/>
                <w:lang w:eastAsia="zh-Hans"/>
              </w:rPr>
              <w:br/>
              <w:t>2.成片栽植密度为55－110棵/亩，超过的按照苗圃补偿。</w:t>
            </w:r>
            <w:r>
              <w:rPr>
                <w:rStyle w:val="150"/>
                <w:rFonts w:hint="default"/>
                <w:sz w:val="21"/>
                <w:szCs w:val="21"/>
                <w:lang w:eastAsia="zh-Hans"/>
              </w:rPr>
              <w:br/>
              <w:t>3.银杏取上限。</w:t>
            </w:r>
            <w:r>
              <w:rPr>
                <w:rStyle w:val="150"/>
                <w:rFonts w:hint="default"/>
                <w:sz w:val="21"/>
                <w:szCs w:val="21"/>
                <w:lang w:eastAsia="zh-Hans"/>
              </w:rPr>
              <w:br/>
              <w:t>4.移栽及损失费。</w:t>
            </w:r>
          </w:p>
        </w:tc>
      </w:tr>
      <w:tr w:rsidR="00A320E6" w14:paraId="7DFAE4B8" w14:textId="77777777" w:rsidTr="00E77641">
        <w:trPr>
          <w:trHeight w:val="415"/>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60E2881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6D8B321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00E945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胸径10－15cm</w:t>
            </w:r>
          </w:p>
        </w:tc>
        <w:tc>
          <w:tcPr>
            <w:tcW w:w="1080" w:type="pct"/>
            <w:tcBorders>
              <w:top w:val="single" w:sz="4" w:space="0" w:color="000000"/>
              <w:left w:val="single" w:sz="4" w:space="0" w:color="000000"/>
              <w:bottom w:val="single" w:sz="4" w:space="0" w:color="000000"/>
              <w:right w:val="single" w:sz="4" w:space="0" w:color="000000"/>
            </w:tcBorders>
            <w:vAlign w:val="center"/>
          </w:tcPr>
          <w:p w14:paraId="1A5DE01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60-100元/株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1E6AB051"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7F31E246" w14:textId="77777777" w:rsidTr="00E77641">
        <w:trPr>
          <w:trHeight w:val="407"/>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1D256A1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F64E3BB"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C8146D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胸径15－20cm</w:t>
            </w:r>
          </w:p>
        </w:tc>
        <w:tc>
          <w:tcPr>
            <w:tcW w:w="1080" w:type="pct"/>
            <w:tcBorders>
              <w:top w:val="single" w:sz="4" w:space="0" w:color="000000"/>
              <w:left w:val="single" w:sz="4" w:space="0" w:color="000000"/>
              <w:bottom w:val="single" w:sz="4" w:space="0" w:color="000000"/>
              <w:right w:val="single" w:sz="4" w:space="0" w:color="000000"/>
            </w:tcBorders>
            <w:vAlign w:val="center"/>
          </w:tcPr>
          <w:p w14:paraId="2686772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100-200元/株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0F95C1A0"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0130B0B5" w14:textId="77777777" w:rsidTr="00E77641">
        <w:trPr>
          <w:trHeight w:val="711"/>
          <w:jc w:val="center"/>
        </w:trPr>
        <w:tc>
          <w:tcPr>
            <w:tcW w:w="393" w:type="pct"/>
            <w:vMerge/>
            <w:tcBorders>
              <w:top w:val="single" w:sz="4" w:space="0" w:color="000000"/>
              <w:left w:val="single" w:sz="4" w:space="0" w:color="000000"/>
              <w:bottom w:val="single" w:sz="4" w:space="0" w:color="000000"/>
              <w:right w:val="single" w:sz="4" w:space="0" w:color="000000"/>
            </w:tcBorders>
            <w:noWrap/>
            <w:vAlign w:val="center"/>
          </w:tcPr>
          <w:p w14:paraId="37C29EC0"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051076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F95406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胸径20cm以上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1BD558D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200-300元/株</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2BCD47D"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5950DEDD" w14:textId="77777777" w:rsidTr="00E77641">
        <w:trPr>
          <w:trHeight w:val="551"/>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43F7B57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23</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0F897E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灌木</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BE854C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一年生以内</w:t>
            </w:r>
          </w:p>
        </w:tc>
        <w:tc>
          <w:tcPr>
            <w:tcW w:w="1080" w:type="pct"/>
            <w:tcBorders>
              <w:top w:val="single" w:sz="4" w:space="0" w:color="000000"/>
              <w:left w:val="single" w:sz="4" w:space="0" w:color="000000"/>
              <w:bottom w:val="single" w:sz="4" w:space="0" w:color="000000"/>
              <w:right w:val="single" w:sz="4" w:space="0" w:color="000000"/>
            </w:tcBorders>
            <w:vAlign w:val="center"/>
          </w:tcPr>
          <w:p w14:paraId="0B094AA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7-10元/墩</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7E81EC3D"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1.每墩出条数按10-20根计算。</w:t>
            </w:r>
            <w:r>
              <w:rPr>
                <w:rStyle w:val="150"/>
                <w:rFonts w:hint="default"/>
                <w:sz w:val="21"/>
                <w:szCs w:val="21"/>
                <w:lang w:eastAsia="zh-Hans"/>
              </w:rPr>
              <w:br/>
              <w:t>2.种植密度大的，补偿不超过苗圃补偿标准。</w:t>
            </w:r>
            <w:r>
              <w:rPr>
                <w:rStyle w:val="150"/>
                <w:rFonts w:hint="default"/>
                <w:sz w:val="21"/>
                <w:szCs w:val="21"/>
                <w:lang w:eastAsia="zh-Hans"/>
              </w:rPr>
              <w:br/>
              <w:t>3.移栽及损失费。</w:t>
            </w:r>
          </w:p>
        </w:tc>
      </w:tr>
      <w:tr w:rsidR="00A320E6" w14:paraId="721CC124"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0E82A41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44DEF8F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9016B4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一年生以上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067C627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8-15元/墩</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6CD99457"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BADA878" w14:textId="77777777" w:rsidTr="00E77641">
        <w:trPr>
          <w:trHeight w:val="558"/>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542A85E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24</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7E5ECFB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桑园</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652BA0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三年生以内</w:t>
            </w:r>
          </w:p>
        </w:tc>
        <w:tc>
          <w:tcPr>
            <w:tcW w:w="1080" w:type="pct"/>
            <w:tcBorders>
              <w:top w:val="single" w:sz="4" w:space="0" w:color="000000"/>
              <w:left w:val="single" w:sz="4" w:space="0" w:color="000000"/>
              <w:bottom w:val="single" w:sz="4" w:space="0" w:color="000000"/>
              <w:right w:val="single" w:sz="4" w:space="0" w:color="000000"/>
            </w:tcBorders>
            <w:vAlign w:val="center"/>
          </w:tcPr>
          <w:p w14:paraId="7EB77AC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5000-6000元/亩</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5FEE152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大田种植养蚕用桑。</w:t>
            </w:r>
          </w:p>
        </w:tc>
      </w:tr>
      <w:tr w:rsidR="00A320E6" w14:paraId="26D863E6" w14:textId="77777777" w:rsidTr="00E77641">
        <w:trPr>
          <w:trHeight w:val="566"/>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024EBB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0374C44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319B5D2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三年生以上五年生以内</w:t>
            </w:r>
          </w:p>
        </w:tc>
        <w:tc>
          <w:tcPr>
            <w:tcW w:w="1080" w:type="pct"/>
            <w:tcBorders>
              <w:top w:val="single" w:sz="4" w:space="0" w:color="000000"/>
              <w:left w:val="single" w:sz="4" w:space="0" w:color="000000"/>
              <w:bottom w:val="single" w:sz="4" w:space="0" w:color="000000"/>
              <w:right w:val="single" w:sz="4" w:space="0" w:color="000000"/>
            </w:tcBorders>
            <w:vAlign w:val="center"/>
          </w:tcPr>
          <w:p w14:paraId="30511D7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6000-7000元/亩</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32E56ECC"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4DE48CFE" w14:textId="77777777" w:rsidTr="00E77641">
        <w:trPr>
          <w:trHeight w:val="546"/>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567D359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1C7D9CD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19F6229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五年生以上</w:t>
            </w:r>
          </w:p>
        </w:tc>
        <w:tc>
          <w:tcPr>
            <w:tcW w:w="1080" w:type="pct"/>
            <w:tcBorders>
              <w:top w:val="single" w:sz="4" w:space="0" w:color="000000"/>
              <w:left w:val="single" w:sz="4" w:space="0" w:color="000000"/>
              <w:bottom w:val="single" w:sz="4" w:space="0" w:color="000000"/>
              <w:right w:val="single" w:sz="4" w:space="0" w:color="000000"/>
            </w:tcBorders>
            <w:vAlign w:val="center"/>
          </w:tcPr>
          <w:p w14:paraId="129AEAA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7000-8000元/亩</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5C29E289"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7E6BFE4F" w14:textId="77777777" w:rsidTr="00E77641">
        <w:trPr>
          <w:trHeight w:val="23"/>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5401C35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25</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62AFBCF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电力通讯线路</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AF234B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经有关部门批准设立的低压线路</w:t>
            </w:r>
          </w:p>
        </w:tc>
        <w:tc>
          <w:tcPr>
            <w:tcW w:w="1080" w:type="pct"/>
            <w:tcBorders>
              <w:top w:val="single" w:sz="4" w:space="0" w:color="000000"/>
              <w:left w:val="single" w:sz="4" w:space="0" w:color="000000"/>
              <w:bottom w:val="single" w:sz="4" w:space="0" w:color="000000"/>
              <w:right w:val="single" w:sz="4" w:space="0" w:color="000000"/>
            </w:tcBorders>
            <w:vAlign w:val="center"/>
          </w:tcPr>
          <w:p w14:paraId="08DC2AA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1700-2500元/杆</w:t>
            </w:r>
          </w:p>
        </w:tc>
        <w:tc>
          <w:tcPr>
            <w:tcW w:w="1553" w:type="pct"/>
            <w:vMerge w:val="restart"/>
            <w:tcBorders>
              <w:top w:val="single" w:sz="4" w:space="0" w:color="000000"/>
              <w:left w:val="single" w:sz="4" w:space="0" w:color="000000"/>
              <w:bottom w:val="single" w:sz="4" w:space="0" w:color="000000"/>
              <w:right w:val="single" w:sz="4" w:space="0" w:color="000000"/>
            </w:tcBorders>
            <w:vAlign w:val="center"/>
          </w:tcPr>
          <w:p w14:paraId="015D96B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包括电线等材料损失及拆建工费。</w:t>
            </w:r>
          </w:p>
        </w:tc>
      </w:tr>
      <w:tr w:rsidR="00A320E6" w14:paraId="07F45AC8" w14:textId="77777777" w:rsidTr="00E77641">
        <w:trPr>
          <w:trHeight w:val="562"/>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0082B5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24746E2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21B34A3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通讯广播线路</w:t>
            </w:r>
          </w:p>
        </w:tc>
        <w:tc>
          <w:tcPr>
            <w:tcW w:w="1080" w:type="pct"/>
            <w:tcBorders>
              <w:top w:val="single" w:sz="4" w:space="0" w:color="000000"/>
              <w:left w:val="single" w:sz="4" w:space="0" w:color="000000"/>
              <w:bottom w:val="single" w:sz="4" w:space="0" w:color="000000"/>
              <w:right w:val="single" w:sz="4" w:space="0" w:color="000000"/>
            </w:tcBorders>
            <w:vAlign w:val="center"/>
          </w:tcPr>
          <w:p w14:paraId="76336E6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1500-2300元/杆</w:t>
            </w:r>
          </w:p>
        </w:tc>
        <w:tc>
          <w:tcPr>
            <w:tcW w:w="1553" w:type="pct"/>
            <w:vMerge/>
            <w:tcBorders>
              <w:top w:val="single" w:sz="4" w:space="0" w:color="000000"/>
              <w:left w:val="single" w:sz="4" w:space="0" w:color="000000"/>
              <w:bottom w:val="single" w:sz="4" w:space="0" w:color="000000"/>
              <w:right w:val="single" w:sz="4" w:space="0" w:color="000000"/>
            </w:tcBorders>
            <w:vAlign w:val="center"/>
          </w:tcPr>
          <w:p w14:paraId="2E1F75BB"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19B62F2C" w14:textId="77777777" w:rsidTr="00E77641">
        <w:trPr>
          <w:trHeight w:val="542"/>
          <w:jc w:val="center"/>
        </w:trPr>
        <w:tc>
          <w:tcPr>
            <w:tcW w:w="393" w:type="pct"/>
            <w:vMerge w:val="restart"/>
            <w:tcBorders>
              <w:top w:val="single" w:sz="4" w:space="0" w:color="000000"/>
              <w:left w:val="single" w:sz="4" w:space="0" w:color="000000"/>
              <w:bottom w:val="single" w:sz="4" w:space="0" w:color="000000"/>
              <w:right w:val="single" w:sz="4" w:space="0" w:color="000000"/>
            </w:tcBorders>
            <w:vAlign w:val="center"/>
          </w:tcPr>
          <w:p w14:paraId="444B67F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26</w:t>
            </w:r>
          </w:p>
        </w:tc>
        <w:tc>
          <w:tcPr>
            <w:tcW w:w="493" w:type="pct"/>
            <w:vMerge w:val="restart"/>
            <w:tcBorders>
              <w:top w:val="single" w:sz="4" w:space="0" w:color="000000"/>
              <w:left w:val="single" w:sz="4" w:space="0" w:color="000000"/>
              <w:bottom w:val="single" w:sz="4" w:space="0" w:color="000000"/>
              <w:right w:val="single" w:sz="4" w:space="0" w:color="000000"/>
            </w:tcBorders>
            <w:vAlign w:val="center"/>
          </w:tcPr>
          <w:p w14:paraId="1BDF9F16"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砖窑</w:t>
            </w: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CE6BF3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18、20、22、32门轮窑</w:t>
            </w:r>
          </w:p>
        </w:tc>
        <w:tc>
          <w:tcPr>
            <w:tcW w:w="1080" w:type="pct"/>
            <w:tcBorders>
              <w:top w:val="single" w:sz="4" w:space="0" w:color="000000"/>
              <w:left w:val="single" w:sz="4" w:space="0" w:color="000000"/>
              <w:bottom w:val="single" w:sz="4" w:space="0" w:color="000000"/>
              <w:right w:val="single" w:sz="4" w:space="0" w:color="000000"/>
            </w:tcBorders>
            <w:vAlign w:val="center"/>
          </w:tcPr>
          <w:p w14:paraId="6B43ACD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10000-15000元/门</w:t>
            </w:r>
          </w:p>
        </w:tc>
        <w:tc>
          <w:tcPr>
            <w:tcW w:w="1553" w:type="pct"/>
            <w:tcBorders>
              <w:top w:val="single" w:sz="4" w:space="0" w:color="000000"/>
              <w:left w:val="single" w:sz="4" w:space="0" w:color="000000"/>
              <w:bottom w:val="single" w:sz="4" w:space="0" w:color="000000"/>
              <w:right w:val="single" w:sz="4" w:space="0" w:color="000000"/>
            </w:tcBorders>
            <w:vAlign w:val="center"/>
          </w:tcPr>
          <w:p w14:paraId="1E4A0BD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包括烟囱。</w:t>
            </w:r>
          </w:p>
        </w:tc>
      </w:tr>
      <w:tr w:rsidR="00A320E6" w14:paraId="0EEFEE1C" w14:textId="77777777" w:rsidTr="00E77641">
        <w:trPr>
          <w:trHeight w:val="522"/>
          <w:jc w:val="center"/>
        </w:trPr>
        <w:tc>
          <w:tcPr>
            <w:tcW w:w="393" w:type="pct"/>
            <w:vMerge/>
            <w:tcBorders>
              <w:top w:val="single" w:sz="4" w:space="0" w:color="000000"/>
              <w:left w:val="single" w:sz="4" w:space="0" w:color="000000"/>
              <w:bottom w:val="single" w:sz="4" w:space="0" w:color="auto"/>
              <w:right w:val="single" w:sz="4" w:space="0" w:color="000000"/>
            </w:tcBorders>
            <w:vAlign w:val="center"/>
          </w:tcPr>
          <w:p w14:paraId="7D3C778F"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auto"/>
              <w:right w:val="single" w:sz="4" w:space="0" w:color="000000"/>
            </w:tcBorders>
            <w:vAlign w:val="center"/>
          </w:tcPr>
          <w:p w14:paraId="13C39B3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auto"/>
              <w:right w:val="single" w:sz="4" w:space="0" w:color="000000"/>
            </w:tcBorders>
            <w:vAlign w:val="center"/>
          </w:tcPr>
          <w:p w14:paraId="522666F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老式土窑</w:t>
            </w:r>
          </w:p>
        </w:tc>
        <w:tc>
          <w:tcPr>
            <w:tcW w:w="1080" w:type="pct"/>
            <w:tcBorders>
              <w:top w:val="single" w:sz="4" w:space="0" w:color="000000"/>
              <w:left w:val="single" w:sz="4" w:space="0" w:color="000000"/>
              <w:bottom w:val="single" w:sz="4" w:space="0" w:color="auto"/>
              <w:right w:val="single" w:sz="4" w:space="0" w:color="000000"/>
            </w:tcBorders>
            <w:vAlign w:val="center"/>
          </w:tcPr>
          <w:p w14:paraId="264917B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20000-35000元/座</w:t>
            </w:r>
          </w:p>
        </w:tc>
        <w:tc>
          <w:tcPr>
            <w:tcW w:w="1553" w:type="pct"/>
            <w:tcBorders>
              <w:top w:val="single" w:sz="4" w:space="0" w:color="000000"/>
              <w:left w:val="single" w:sz="4" w:space="0" w:color="000000"/>
              <w:bottom w:val="single" w:sz="4" w:space="0" w:color="auto"/>
              <w:right w:val="single" w:sz="4" w:space="0" w:color="000000"/>
            </w:tcBorders>
            <w:vAlign w:val="center"/>
          </w:tcPr>
          <w:p w14:paraId="5D1F2589"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包括烘干室。</w:t>
            </w:r>
          </w:p>
        </w:tc>
      </w:tr>
      <w:tr w:rsidR="00A320E6" w14:paraId="2A28D22B" w14:textId="77777777" w:rsidTr="00E77641">
        <w:trPr>
          <w:trHeight w:val="590"/>
          <w:jc w:val="center"/>
        </w:trPr>
        <w:tc>
          <w:tcPr>
            <w:tcW w:w="393" w:type="pct"/>
            <w:vMerge w:val="restart"/>
            <w:tcBorders>
              <w:top w:val="single" w:sz="4" w:space="0" w:color="auto"/>
              <w:left w:val="single" w:sz="4" w:space="0" w:color="auto"/>
              <w:bottom w:val="single" w:sz="4" w:space="0" w:color="000000"/>
              <w:right w:val="single" w:sz="4" w:space="0" w:color="000000"/>
            </w:tcBorders>
            <w:vAlign w:val="center"/>
          </w:tcPr>
          <w:p w14:paraId="258E6CE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27</w:t>
            </w:r>
          </w:p>
        </w:tc>
        <w:tc>
          <w:tcPr>
            <w:tcW w:w="493" w:type="pct"/>
            <w:vMerge w:val="restart"/>
            <w:tcBorders>
              <w:top w:val="single" w:sz="4" w:space="0" w:color="auto"/>
              <w:left w:val="single" w:sz="4" w:space="0" w:color="000000"/>
              <w:bottom w:val="single" w:sz="4" w:space="0" w:color="000000"/>
              <w:right w:val="single" w:sz="4" w:space="0" w:color="000000"/>
            </w:tcBorders>
            <w:vAlign w:val="center"/>
          </w:tcPr>
          <w:p w14:paraId="63F3E33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鱼塘</w:t>
            </w:r>
          </w:p>
        </w:tc>
        <w:tc>
          <w:tcPr>
            <w:tcW w:w="1480" w:type="pct"/>
            <w:gridSpan w:val="2"/>
            <w:tcBorders>
              <w:top w:val="single" w:sz="4" w:space="0" w:color="auto"/>
              <w:left w:val="single" w:sz="4" w:space="0" w:color="000000"/>
              <w:bottom w:val="single" w:sz="4" w:space="0" w:color="000000"/>
              <w:right w:val="single" w:sz="4" w:space="0" w:color="000000"/>
            </w:tcBorders>
            <w:vAlign w:val="center"/>
          </w:tcPr>
          <w:p w14:paraId="1E61331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石砌鱼塘</w:t>
            </w:r>
          </w:p>
        </w:tc>
        <w:tc>
          <w:tcPr>
            <w:tcW w:w="1080" w:type="pct"/>
            <w:tcBorders>
              <w:top w:val="single" w:sz="4" w:space="0" w:color="auto"/>
              <w:left w:val="single" w:sz="4" w:space="0" w:color="000000"/>
              <w:bottom w:val="single" w:sz="4" w:space="0" w:color="000000"/>
              <w:right w:val="single" w:sz="4" w:space="0" w:color="000000"/>
            </w:tcBorders>
            <w:vAlign w:val="center"/>
          </w:tcPr>
          <w:p w14:paraId="11F0C47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18000-26000元/亩</w:t>
            </w:r>
          </w:p>
        </w:tc>
        <w:tc>
          <w:tcPr>
            <w:tcW w:w="1553" w:type="pct"/>
            <w:vMerge w:val="restart"/>
            <w:tcBorders>
              <w:top w:val="single" w:sz="4" w:space="0" w:color="auto"/>
              <w:left w:val="single" w:sz="4" w:space="0" w:color="000000"/>
              <w:bottom w:val="single" w:sz="4" w:space="0" w:color="000000"/>
              <w:right w:val="single" w:sz="4" w:space="0" w:color="auto"/>
            </w:tcBorders>
            <w:vAlign w:val="center"/>
          </w:tcPr>
          <w:p w14:paraId="5CAE6A1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1.含土石方工程及鱼苗损失费。</w:t>
            </w:r>
            <w:r>
              <w:rPr>
                <w:rStyle w:val="150"/>
                <w:rFonts w:hint="default"/>
                <w:sz w:val="21"/>
                <w:szCs w:val="21"/>
                <w:lang w:eastAsia="zh-Hans"/>
              </w:rPr>
              <w:br/>
              <w:t>2.利用自然河道和坑塘的只补偿鱼损失。</w:t>
            </w:r>
          </w:p>
        </w:tc>
      </w:tr>
      <w:tr w:rsidR="00A320E6" w14:paraId="6B3633B8" w14:textId="77777777" w:rsidTr="00E77641">
        <w:trPr>
          <w:trHeight w:val="698"/>
          <w:jc w:val="center"/>
        </w:trPr>
        <w:tc>
          <w:tcPr>
            <w:tcW w:w="393" w:type="pct"/>
            <w:vMerge/>
            <w:tcBorders>
              <w:top w:val="single" w:sz="4" w:space="0" w:color="000000"/>
              <w:left w:val="single" w:sz="4" w:space="0" w:color="auto"/>
              <w:bottom w:val="single" w:sz="4" w:space="0" w:color="000000"/>
              <w:right w:val="single" w:sz="4" w:space="0" w:color="000000"/>
            </w:tcBorders>
            <w:vAlign w:val="center"/>
          </w:tcPr>
          <w:p w14:paraId="7B137EFA"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vAlign w:val="center"/>
          </w:tcPr>
          <w:p w14:paraId="35FB485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0412ED7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土坝鱼塘</w:t>
            </w:r>
          </w:p>
        </w:tc>
        <w:tc>
          <w:tcPr>
            <w:tcW w:w="1080" w:type="pct"/>
            <w:tcBorders>
              <w:top w:val="single" w:sz="4" w:space="0" w:color="000000"/>
              <w:left w:val="single" w:sz="4" w:space="0" w:color="000000"/>
              <w:bottom w:val="single" w:sz="4" w:space="0" w:color="000000"/>
              <w:right w:val="single" w:sz="4" w:space="0" w:color="000000"/>
            </w:tcBorders>
            <w:vAlign w:val="center"/>
          </w:tcPr>
          <w:p w14:paraId="652D19D0"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13000-18000元/亩</w:t>
            </w:r>
          </w:p>
        </w:tc>
        <w:tc>
          <w:tcPr>
            <w:tcW w:w="1553" w:type="pct"/>
            <w:vMerge/>
            <w:tcBorders>
              <w:top w:val="single" w:sz="4" w:space="0" w:color="000000"/>
              <w:left w:val="single" w:sz="4" w:space="0" w:color="000000"/>
              <w:bottom w:val="single" w:sz="4" w:space="0" w:color="000000"/>
              <w:right w:val="single" w:sz="4" w:space="0" w:color="auto"/>
            </w:tcBorders>
            <w:vAlign w:val="center"/>
          </w:tcPr>
          <w:p w14:paraId="0E443F1F" w14:textId="77777777" w:rsidR="00A320E6" w:rsidRDefault="00A320E6" w:rsidP="00AE0286">
            <w:pPr>
              <w:pStyle w:val="10"/>
              <w:spacing w:line="240" w:lineRule="auto"/>
              <w:ind w:firstLineChars="0" w:firstLine="0"/>
              <w:rPr>
                <w:rStyle w:val="150"/>
                <w:rFonts w:hint="default"/>
                <w:sz w:val="21"/>
                <w:szCs w:val="21"/>
                <w:lang w:eastAsia="zh-Hans"/>
              </w:rPr>
            </w:pPr>
          </w:p>
        </w:tc>
      </w:tr>
      <w:tr w:rsidR="00A320E6" w14:paraId="6ECDF48B" w14:textId="77777777" w:rsidTr="00E77641">
        <w:trPr>
          <w:trHeight w:val="1620"/>
          <w:jc w:val="center"/>
        </w:trPr>
        <w:tc>
          <w:tcPr>
            <w:tcW w:w="393" w:type="pct"/>
            <w:tcBorders>
              <w:top w:val="single" w:sz="4" w:space="0" w:color="000000"/>
              <w:left w:val="single" w:sz="4" w:space="0" w:color="auto"/>
              <w:bottom w:val="single" w:sz="4" w:space="0" w:color="auto"/>
              <w:right w:val="single" w:sz="4" w:space="0" w:color="000000"/>
            </w:tcBorders>
            <w:vAlign w:val="center"/>
          </w:tcPr>
          <w:p w14:paraId="196B012C"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28</w:t>
            </w:r>
          </w:p>
        </w:tc>
        <w:tc>
          <w:tcPr>
            <w:tcW w:w="493" w:type="pct"/>
            <w:tcBorders>
              <w:top w:val="single" w:sz="4" w:space="0" w:color="000000"/>
              <w:left w:val="single" w:sz="4" w:space="0" w:color="000000"/>
              <w:bottom w:val="single" w:sz="4" w:space="0" w:color="auto"/>
              <w:right w:val="single" w:sz="4" w:space="0" w:color="000000"/>
            </w:tcBorders>
            <w:vAlign w:val="center"/>
          </w:tcPr>
          <w:p w14:paraId="3918BB0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藕塘</w:t>
            </w:r>
          </w:p>
        </w:tc>
        <w:tc>
          <w:tcPr>
            <w:tcW w:w="1480" w:type="pct"/>
            <w:gridSpan w:val="2"/>
            <w:tcBorders>
              <w:top w:val="single" w:sz="4" w:space="0" w:color="000000"/>
              <w:left w:val="single" w:sz="4" w:space="0" w:color="000000"/>
              <w:bottom w:val="single" w:sz="4" w:space="0" w:color="auto"/>
              <w:right w:val="single" w:sz="4" w:space="0" w:color="000000"/>
            </w:tcBorders>
            <w:vAlign w:val="center"/>
          </w:tcPr>
          <w:p w14:paraId="04CC6878"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080" w:type="pct"/>
            <w:tcBorders>
              <w:top w:val="single" w:sz="4" w:space="0" w:color="000000"/>
              <w:left w:val="single" w:sz="4" w:space="0" w:color="000000"/>
              <w:bottom w:val="single" w:sz="4" w:space="0" w:color="auto"/>
              <w:right w:val="single" w:sz="4" w:space="0" w:color="000000"/>
            </w:tcBorders>
            <w:vAlign w:val="center"/>
          </w:tcPr>
          <w:p w14:paraId="30D08468"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10000-15000元/亩</w:t>
            </w:r>
          </w:p>
        </w:tc>
        <w:tc>
          <w:tcPr>
            <w:tcW w:w="1553" w:type="pct"/>
            <w:tcBorders>
              <w:top w:val="single" w:sz="4" w:space="0" w:color="000000"/>
              <w:left w:val="single" w:sz="4" w:space="0" w:color="000000"/>
              <w:bottom w:val="single" w:sz="4" w:space="0" w:color="auto"/>
              <w:right w:val="single" w:sz="4" w:space="0" w:color="auto"/>
            </w:tcBorders>
            <w:vAlign w:val="center"/>
          </w:tcPr>
          <w:p w14:paraId="4A74683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1.含土石方工程及藕秧损失费。</w:t>
            </w:r>
            <w:r>
              <w:rPr>
                <w:rStyle w:val="150"/>
                <w:rFonts w:hint="default"/>
                <w:sz w:val="21"/>
                <w:szCs w:val="21"/>
                <w:lang w:eastAsia="zh-Hans"/>
              </w:rPr>
              <w:br/>
              <w:t>2.利用自然河道和坑塘的只补偿藕损失。藕损失参照池藕。</w:t>
            </w:r>
          </w:p>
        </w:tc>
      </w:tr>
      <w:tr w:rsidR="00A320E6" w14:paraId="1A0A5D85" w14:textId="77777777" w:rsidTr="00E77641">
        <w:trPr>
          <w:trHeight w:val="742"/>
          <w:jc w:val="center"/>
        </w:trPr>
        <w:tc>
          <w:tcPr>
            <w:tcW w:w="393" w:type="pct"/>
            <w:vMerge w:val="restart"/>
            <w:tcBorders>
              <w:top w:val="single" w:sz="4" w:space="0" w:color="auto"/>
              <w:left w:val="single" w:sz="4" w:space="0" w:color="000000"/>
              <w:bottom w:val="single" w:sz="4" w:space="0" w:color="000000"/>
              <w:right w:val="single" w:sz="4" w:space="0" w:color="000000"/>
            </w:tcBorders>
            <w:vAlign w:val="center"/>
          </w:tcPr>
          <w:p w14:paraId="6E2B630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29</w:t>
            </w:r>
          </w:p>
        </w:tc>
        <w:tc>
          <w:tcPr>
            <w:tcW w:w="493" w:type="pct"/>
            <w:vMerge w:val="restart"/>
            <w:tcBorders>
              <w:top w:val="single" w:sz="4" w:space="0" w:color="auto"/>
              <w:left w:val="single" w:sz="4" w:space="0" w:color="000000"/>
              <w:bottom w:val="single" w:sz="4" w:space="0" w:color="000000"/>
              <w:right w:val="single" w:sz="4" w:space="0" w:color="000000"/>
            </w:tcBorders>
            <w:noWrap/>
            <w:vAlign w:val="center"/>
          </w:tcPr>
          <w:p w14:paraId="1183823A"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青苗</w:t>
            </w:r>
          </w:p>
        </w:tc>
        <w:tc>
          <w:tcPr>
            <w:tcW w:w="1480" w:type="pct"/>
            <w:gridSpan w:val="2"/>
            <w:tcBorders>
              <w:top w:val="single" w:sz="4" w:space="0" w:color="auto"/>
              <w:left w:val="single" w:sz="4" w:space="0" w:color="000000"/>
              <w:bottom w:val="single" w:sz="4" w:space="0" w:color="000000"/>
              <w:right w:val="single" w:sz="4" w:space="0" w:color="000000"/>
            </w:tcBorders>
            <w:noWrap/>
            <w:vAlign w:val="center"/>
          </w:tcPr>
          <w:p w14:paraId="7D27ADD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经济作物1</w:t>
            </w:r>
          </w:p>
        </w:tc>
        <w:tc>
          <w:tcPr>
            <w:tcW w:w="1080" w:type="pct"/>
            <w:tcBorders>
              <w:top w:val="single" w:sz="4" w:space="0" w:color="auto"/>
              <w:left w:val="single" w:sz="4" w:space="0" w:color="000000"/>
              <w:bottom w:val="single" w:sz="4" w:space="0" w:color="000000"/>
              <w:right w:val="single" w:sz="4" w:space="0" w:color="000000"/>
            </w:tcBorders>
            <w:vAlign w:val="center"/>
          </w:tcPr>
          <w:p w14:paraId="7644982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1300-1600元/亩</w:t>
            </w:r>
          </w:p>
        </w:tc>
        <w:tc>
          <w:tcPr>
            <w:tcW w:w="1553" w:type="pct"/>
            <w:tcBorders>
              <w:top w:val="single" w:sz="4" w:space="0" w:color="auto"/>
              <w:left w:val="single" w:sz="4" w:space="0" w:color="000000"/>
              <w:bottom w:val="single" w:sz="4" w:space="0" w:color="000000"/>
              <w:right w:val="single" w:sz="4" w:space="0" w:color="000000"/>
            </w:tcBorders>
            <w:vAlign w:val="center"/>
          </w:tcPr>
          <w:p w14:paraId="408DC6A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1.主要包括大豆、芝麻等。</w:t>
            </w:r>
            <w:r>
              <w:rPr>
                <w:rStyle w:val="150"/>
                <w:rFonts w:hint="default"/>
                <w:sz w:val="21"/>
                <w:szCs w:val="21"/>
                <w:lang w:eastAsia="zh-Hans"/>
              </w:rPr>
              <w:br/>
              <w:t>2.分作物种类与生长期。</w:t>
            </w:r>
          </w:p>
        </w:tc>
      </w:tr>
      <w:tr w:rsidR="00A320E6" w14:paraId="59F8EA2B"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AB265ED"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48FCE7D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2956625F"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经济作物2</w:t>
            </w:r>
          </w:p>
        </w:tc>
        <w:tc>
          <w:tcPr>
            <w:tcW w:w="1080" w:type="pct"/>
            <w:tcBorders>
              <w:top w:val="single" w:sz="4" w:space="0" w:color="000000"/>
              <w:left w:val="single" w:sz="4" w:space="0" w:color="000000"/>
              <w:bottom w:val="single" w:sz="4" w:space="0" w:color="000000"/>
              <w:right w:val="single" w:sz="4" w:space="0" w:color="000000"/>
            </w:tcBorders>
            <w:vAlign w:val="center"/>
          </w:tcPr>
          <w:p w14:paraId="72088C6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2000-5000元/亩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4CFE7C7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1.主要包括花生、棉花、土豆、地瓜等。</w:t>
            </w:r>
            <w:r>
              <w:rPr>
                <w:rStyle w:val="150"/>
                <w:rFonts w:hint="default"/>
                <w:sz w:val="21"/>
                <w:szCs w:val="21"/>
                <w:lang w:eastAsia="zh-Hans"/>
              </w:rPr>
              <w:br/>
              <w:t>2.分作物种类与生长期。</w:t>
            </w:r>
          </w:p>
        </w:tc>
      </w:tr>
      <w:tr w:rsidR="00A320E6" w14:paraId="77923E86"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3D3C5BC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4F9980D6"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4EF07DA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经济作物3</w:t>
            </w:r>
          </w:p>
        </w:tc>
        <w:tc>
          <w:tcPr>
            <w:tcW w:w="1080" w:type="pct"/>
            <w:tcBorders>
              <w:top w:val="single" w:sz="4" w:space="0" w:color="000000"/>
              <w:left w:val="single" w:sz="4" w:space="0" w:color="000000"/>
              <w:bottom w:val="single" w:sz="4" w:space="0" w:color="000000"/>
              <w:right w:val="single" w:sz="4" w:space="0" w:color="000000"/>
            </w:tcBorders>
            <w:vAlign w:val="center"/>
          </w:tcPr>
          <w:p w14:paraId="7B10C5A1"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4000-7000元/亩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4D7AB583"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1.主要包括尖椒、圆葱、葱、姜、大蒜、山药（山药豆播种）、烟叶、花卉、药材作物等。</w:t>
            </w:r>
            <w:r>
              <w:rPr>
                <w:rStyle w:val="150"/>
                <w:rFonts w:hint="default"/>
                <w:sz w:val="21"/>
                <w:szCs w:val="21"/>
                <w:lang w:eastAsia="zh-Hans"/>
              </w:rPr>
              <w:br/>
              <w:t>2.分作物种类与生长期。</w:t>
            </w:r>
          </w:p>
        </w:tc>
      </w:tr>
      <w:tr w:rsidR="00A320E6" w14:paraId="176DD5D6"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40759603"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7A08CA54"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noWrap/>
            <w:vAlign w:val="center"/>
          </w:tcPr>
          <w:p w14:paraId="3E46DF2B"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瓜果蔬菜</w:t>
            </w:r>
          </w:p>
        </w:tc>
        <w:tc>
          <w:tcPr>
            <w:tcW w:w="1080" w:type="pct"/>
            <w:tcBorders>
              <w:top w:val="single" w:sz="4" w:space="0" w:color="000000"/>
              <w:left w:val="single" w:sz="4" w:space="0" w:color="000000"/>
              <w:bottom w:val="single" w:sz="4" w:space="0" w:color="000000"/>
              <w:right w:val="single" w:sz="4" w:space="0" w:color="000000"/>
            </w:tcBorders>
            <w:vAlign w:val="center"/>
          </w:tcPr>
          <w:p w14:paraId="3FEC48C4"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3000-7000元/亩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66B0605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1.主要包括蔬菜（含白菜、萝卜、花菜、胡萝卜、秋葵、池藕、菜用瓜等）和瓜果类（如西瓜、甜瓜、草莓等)。</w:t>
            </w:r>
            <w:r>
              <w:rPr>
                <w:rStyle w:val="150"/>
                <w:rFonts w:hint="default"/>
                <w:sz w:val="21"/>
                <w:szCs w:val="21"/>
                <w:lang w:eastAsia="zh-Hans"/>
              </w:rPr>
              <w:br/>
              <w:t>2.分作物种类与生长期。</w:t>
            </w:r>
          </w:p>
        </w:tc>
      </w:tr>
      <w:tr w:rsidR="00A320E6" w14:paraId="5C99C434"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6BB1247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05D1E6FE"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6097636E"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山药</w:t>
            </w:r>
          </w:p>
        </w:tc>
        <w:tc>
          <w:tcPr>
            <w:tcW w:w="1080" w:type="pct"/>
            <w:tcBorders>
              <w:top w:val="single" w:sz="4" w:space="0" w:color="000000"/>
              <w:left w:val="single" w:sz="4" w:space="0" w:color="000000"/>
              <w:bottom w:val="single" w:sz="4" w:space="0" w:color="000000"/>
              <w:right w:val="single" w:sz="4" w:space="0" w:color="000000"/>
            </w:tcBorders>
            <w:vAlign w:val="center"/>
          </w:tcPr>
          <w:p w14:paraId="2ACE65E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8000-11000元/亩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4B281AD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1.山药豆播种见经济作物3。</w:t>
            </w:r>
            <w:r>
              <w:rPr>
                <w:rStyle w:val="150"/>
                <w:rFonts w:hint="default"/>
                <w:sz w:val="21"/>
                <w:szCs w:val="21"/>
                <w:lang w:eastAsia="zh-Hans"/>
              </w:rPr>
              <w:br/>
              <w:t>2.分生长期。</w:t>
            </w:r>
          </w:p>
        </w:tc>
      </w:tr>
      <w:tr w:rsidR="00A320E6" w14:paraId="7C35DA20" w14:textId="77777777" w:rsidTr="00E77641">
        <w:trPr>
          <w:trHeight w:val="23"/>
          <w:jc w:val="center"/>
        </w:trPr>
        <w:tc>
          <w:tcPr>
            <w:tcW w:w="393" w:type="pct"/>
            <w:vMerge/>
            <w:tcBorders>
              <w:top w:val="single" w:sz="4" w:space="0" w:color="000000"/>
              <w:left w:val="single" w:sz="4" w:space="0" w:color="000000"/>
              <w:bottom w:val="single" w:sz="4" w:space="0" w:color="000000"/>
              <w:right w:val="single" w:sz="4" w:space="0" w:color="000000"/>
            </w:tcBorders>
            <w:vAlign w:val="center"/>
          </w:tcPr>
          <w:p w14:paraId="1208D789" w14:textId="77777777" w:rsidR="00A320E6" w:rsidRDefault="00A320E6" w:rsidP="00AE0286">
            <w:pPr>
              <w:pStyle w:val="10"/>
              <w:spacing w:line="240" w:lineRule="auto"/>
              <w:ind w:firstLineChars="0" w:firstLine="0"/>
              <w:rPr>
                <w:rStyle w:val="150"/>
                <w:rFonts w:hint="default"/>
                <w:sz w:val="21"/>
                <w:szCs w:val="21"/>
                <w:lang w:eastAsia="zh-Hans"/>
              </w:rPr>
            </w:pPr>
          </w:p>
        </w:tc>
        <w:tc>
          <w:tcPr>
            <w:tcW w:w="493" w:type="pct"/>
            <w:vMerge/>
            <w:tcBorders>
              <w:top w:val="single" w:sz="4" w:space="0" w:color="000000"/>
              <w:left w:val="single" w:sz="4" w:space="0" w:color="000000"/>
              <w:bottom w:val="single" w:sz="4" w:space="0" w:color="000000"/>
              <w:right w:val="single" w:sz="4" w:space="0" w:color="000000"/>
            </w:tcBorders>
            <w:noWrap/>
            <w:vAlign w:val="center"/>
          </w:tcPr>
          <w:p w14:paraId="784151AC" w14:textId="77777777" w:rsidR="00A320E6" w:rsidRDefault="00A320E6" w:rsidP="00AE0286">
            <w:pPr>
              <w:pStyle w:val="10"/>
              <w:spacing w:line="240" w:lineRule="auto"/>
              <w:ind w:firstLineChars="0" w:firstLine="0"/>
              <w:rPr>
                <w:rStyle w:val="150"/>
                <w:rFonts w:hint="default"/>
                <w:sz w:val="21"/>
                <w:szCs w:val="21"/>
                <w:lang w:eastAsia="zh-Hans"/>
              </w:rPr>
            </w:pPr>
          </w:p>
        </w:tc>
        <w:tc>
          <w:tcPr>
            <w:tcW w:w="1480" w:type="pct"/>
            <w:gridSpan w:val="2"/>
            <w:tcBorders>
              <w:top w:val="single" w:sz="4" w:space="0" w:color="000000"/>
              <w:left w:val="single" w:sz="4" w:space="0" w:color="000000"/>
              <w:bottom w:val="single" w:sz="4" w:space="0" w:color="000000"/>
              <w:right w:val="single" w:sz="4" w:space="0" w:color="000000"/>
            </w:tcBorders>
            <w:vAlign w:val="center"/>
          </w:tcPr>
          <w:p w14:paraId="7CE7287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粮食作物</w:t>
            </w:r>
          </w:p>
        </w:tc>
        <w:tc>
          <w:tcPr>
            <w:tcW w:w="1080" w:type="pct"/>
            <w:tcBorders>
              <w:top w:val="single" w:sz="4" w:space="0" w:color="000000"/>
              <w:left w:val="single" w:sz="4" w:space="0" w:color="000000"/>
              <w:bottom w:val="single" w:sz="4" w:space="0" w:color="000000"/>
              <w:right w:val="single" w:sz="4" w:space="0" w:color="000000"/>
            </w:tcBorders>
            <w:vAlign w:val="center"/>
          </w:tcPr>
          <w:p w14:paraId="4B078C15"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1300-1600元/亩</w:t>
            </w:r>
          </w:p>
        </w:tc>
        <w:tc>
          <w:tcPr>
            <w:tcW w:w="1553" w:type="pct"/>
            <w:tcBorders>
              <w:top w:val="single" w:sz="4" w:space="0" w:color="000000"/>
              <w:left w:val="single" w:sz="4" w:space="0" w:color="000000"/>
              <w:bottom w:val="single" w:sz="4" w:space="0" w:color="000000"/>
              <w:right w:val="single" w:sz="4" w:space="0" w:color="000000"/>
            </w:tcBorders>
            <w:vAlign w:val="center"/>
          </w:tcPr>
          <w:p w14:paraId="7B95E667"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1.主要包括小麦、玉米、水稻等。</w:t>
            </w:r>
          </w:p>
          <w:p w14:paraId="40B50962" w14:textId="77777777" w:rsidR="00A320E6" w:rsidRDefault="00000000" w:rsidP="00AE0286">
            <w:pPr>
              <w:pStyle w:val="10"/>
              <w:spacing w:line="240" w:lineRule="auto"/>
              <w:ind w:firstLineChars="0" w:firstLine="0"/>
              <w:rPr>
                <w:rStyle w:val="150"/>
                <w:rFonts w:hint="default"/>
                <w:sz w:val="21"/>
                <w:szCs w:val="21"/>
                <w:lang w:eastAsia="zh-Hans"/>
              </w:rPr>
            </w:pPr>
            <w:r>
              <w:rPr>
                <w:rStyle w:val="150"/>
                <w:rFonts w:hint="default"/>
                <w:sz w:val="21"/>
                <w:szCs w:val="21"/>
                <w:lang w:eastAsia="zh-Hans"/>
              </w:rPr>
              <w:t>2.分作物种类与生长期。</w:t>
            </w:r>
          </w:p>
        </w:tc>
      </w:tr>
    </w:tbl>
    <w:p w14:paraId="38FE028C"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说明：</w:t>
      </w:r>
    </w:p>
    <w:p w14:paraId="03B497B2"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1．青苗补偿标准按一季作物产值补偿，露天蔬菜按蔬菜作物产值补偿一季。</w:t>
      </w:r>
    </w:p>
    <w:p w14:paraId="422C2B2E"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2．标准中的上限数含本数。</w:t>
      </w:r>
    </w:p>
    <w:p w14:paraId="3381614C"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3．发布拟征地公告后抢种、抢栽的青苗、树木以及抢建的建筑物、构筑物等，一律不予补偿。</w:t>
      </w:r>
    </w:p>
    <w:p w14:paraId="057E756F"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4．苗、幼龄期果园间种（套种）的农作物可参照青苗类补偿标准执行。</w:t>
      </w:r>
    </w:p>
    <w:p w14:paraId="5F6BC81D"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5．死树不补。</w:t>
      </w:r>
    </w:p>
    <w:p w14:paraId="44E8E17E"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6．林木内套种的果树原则上不定为盛果期。</w:t>
      </w:r>
    </w:p>
    <w:p w14:paraId="351F7A43"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7．乔木胸径是指距根茎1.3m处的树木直径。</w:t>
      </w:r>
    </w:p>
    <w:p w14:paraId="13A22DDD" w14:textId="77777777" w:rsidR="00A320E6" w:rsidRDefault="00000000" w:rsidP="00AE0286">
      <w:pPr>
        <w:pStyle w:val="10"/>
        <w:ind w:firstLine="480"/>
        <w:rPr>
          <w:rStyle w:val="150"/>
          <w:rFonts w:hint="default"/>
          <w:sz w:val="24"/>
          <w:szCs w:val="24"/>
          <w:lang w:eastAsia="zh-Hans"/>
        </w:rPr>
      </w:pPr>
      <w:r>
        <w:rPr>
          <w:rStyle w:val="150"/>
          <w:rFonts w:hint="default"/>
          <w:sz w:val="24"/>
          <w:szCs w:val="24"/>
          <w:lang w:eastAsia="zh-Hans"/>
        </w:rPr>
        <w:t>8．其他未列出的地上附着物和青苗，参照表中相近情况补偿。不能参照补偿的，可委托有资质的机构进行评估或认证，作为征地补偿的依据。</w:t>
      </w:r>
      <w:r>
        <w:rPr>
          <w:rStyle w:val="150"/>
          <w:rFonts w:hint="default"/>
          <w:sz w:val="24"/>
          <w:szCs w:val="24"/>
          <w:lang w:eastAsia="zh-Hans"/>
        </w:rPr>
        <w:tab/>
      </w:r>
    </w:p>
    <w:p w14:paraId="4FC642BD" w14:textId="77777777" w:rsidR="00A320E6" w:rsidRDefault="00000000" w:rsidP="00AE0286">
      <w:pPr>
        <w:pStyle w:val="a3"/>
        <w:spacing w:line="360" w:lineRule="auto"/>
        <w:ind w:firstLine="480"/>
        <w:jc w:val="center"/>
        <w:rPr>
          <w:rStyle w:val="150"/>
          <w:rFonts w:hint="default"/>
          <w:sz w:val="24"/>
          <w:szCs w:val="24"/>
          <w:lang w:eastAsia="zh-Hans"/>
        </w:rPr>
      </w:pPr>
      <w:r>
        <w:rPr>
          <w:rStyle w:val="150"/>
          <w:rFonts w:hint="default"/>
          <w:sz w:val="24"/>
          <w:szCs w:val="24"/>
          <w:lang w:eastAsia="zh-Hans"/>
        </w:rPr>
        <w:t>9．国家和省确定的铁路、公路、机场、航道港口、水利工程、能源工程等重大基础设施项目征收土地地上附着物和青苗补偿等标准另有规定的，从其规定。</w:t>
      </w:r>
    </w:p>
    <w:p w14:paraId="03FB2322" w14:textId="77777777" w:rsidR="00A320E6" w:rsidRDefault="00000000" w:rsidP="00F67407">
      <w:pPr>
        <w:keepNext/>
        <w:spacing w:beforeLines="50" w:before="156" w:afterLines="20" w:after="62" w:line="360" w:lineRule="auto"/>
        <w:jc w:val="center"/>
        <w:outlineLvl w:val="2"/>
        <w:rPr>
          <w:b/>
          <w:bCs/>
          <w:sz w:val="24"/>
          <w:lang w:eastAsia="zh-Hans"/>
        </w:rPr>
      </w:pPr>
      <w:bookmarkStart w:id="117" w:name="_Toc112227420"/>
      <w:r>
        <w:rPr>
          <w:rFonts w:hint="eastAsia"/>
          <w:b/>
          <w:bCs/>
          <w:sz w:val="24"/>
          <w:lang w:eastAsia="zh-Hans"/>
        </w:rPr>
        <w:t>关于菏泽市征地地上附着物和青苗补偿标准的批复</w:t>
      </w:r>
      <w:bookmarkEnd w:id="117"/>
    </w:p>
    <w:p w14:paraId="547F73FE" w14:textId="77777777" w:rsidR="00A320E6" w:rsidRDefault="00000000" w:rsidP="00AE0286">
      <w:pPr>
        <w:pStyle w:val="a5"/>
        <w:spacing w:line="360" w:lineRule="auto"/>
        <w:ind w:left="0"/>
        <w:rPr>
          <w:lang w:val="en-US" w:eastAsia="zh-Hans"/>
        </w:rPr>
      </w:pPr>
      <w:r>
        <w:rPr>
          <w:rFonts w:hint="eastAsia"/>
          <w:lang w:val="en-US" w:eastAsia="zh-Hans"/>
        </w:rPr>
        <w:t>菏泽市自然资源和规划局、财政局：</w:t>
      </w:r>
    </w:p>
    <w:p w14:paraId="3891AA4B"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你市《关于审批菏泽市征地地上附着物和青苗补偿标准制定成果的请示》（菏自然资规呈〔2021〕849号）收悉。经研究，同意你市制定的征地地上附着物和青苗补偿标准（详见附件）。</w:t>
      </w:r>
    </w:p>
    <w:p w14:paraId="473EE2FA"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标准自批复之日起执行。</w:t>
      </w:r>
    </w:p>
    <w:p w14:paraId="52966198"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附件：菏泽市征地地上附着物和青苗补偿标准</w:t>
      </w:r>
    </w:p>
    <w:p w14:paraId="6E2AD6B6" w14:textId="77777777" w:rsidR="00A320E6" w:rsidRDefault="00000000" w:rsidP="00AE0286">
      <w:pPr>
        <w:pStyle w:val="a5"/>
        <w:spacing w:line="360" w:lineRule="auto"/>
        <w:ind w:left="0" w:firstLineChars="200" w:firstLine="480"/>
        <w:jc w:val="right"/>
        <w:rPr>
          <w:lang w:val="en-US" w:eastAsia="zh-Hans"/>
        </w:rPr>
      </w:pPr>
      <w:r>
        <w:rPr>
          <w:rFonts w:hint="eastAsia"/>
          <w:lang w:val="en-US" w:eastAsia="zh-Hans"/>
        </w:rPr>
        <w:t>                           山东省自然资源厅  山东省财政厅  </w:t>
      </w:r>
    </w:p>
    <w:p w14:paraId="7C7C03CB" w14:textId="77777777" w:rsidR="00A320E6" w:rsidRDefault="00000000" w:rsidP="00AE0286">
      <w:pPr>
        <w:pStyle w:val="a5"/>
        <w:spacing w:line="360" w:lineRule="auto"/>
        <w:ind w:left="0" w:firstLineChars="200" w:firstLine="480"/>
        <w:jc w:val="right"/>
        <w:rPr>
          <w:lang w:val="en-US" w:eastAsia="zh-Hans"/>
        </w:rPr>
      </w:pPr>
      <w:r>
        <w:rPr>
          <w:rFonts w:hint="eastAsia"/>
          <w:lang w:val="en-US" w:eastAsia="zh-Hans"/>
        </w:rPr>
        <w:t>                         2021年12月24日</w:t>
      </w:r>
    </w:p>
    <w:p w14:paraId="3CAA705E" w14:textId="77777777" w:rsidR="00A320E6" w:rsidRDefault="00000000" w:rsidP="00AE0286">
      <w:pPr>
        <w:spacing w:line="360" w:lineRule="auto"/>
        <w:jc w:val="center"/>
        <w:rPr>
          <w:rFonts w:ascii="宋体" w:hAnsi="宋体" w:cs="宋体"/>
          <w:sz w:val="24"/>
          <w:szCs w:val="24"/>
        </w:rPr>
      </w:pPr>
      <w:r>
        <w:rPr>
          <w:rFonts w:ascii="宋体" w:hAnsi="宋体" w:cs="宋体" w:hint="eastAsia"/>
          <w:sz w:val="24"/>
          <w:szCs w:val="24"/>
        </w:rPr>
        <w:t>菏泽市征地地上附着物和青苗补偿标准</w:t>
      </w:r>
    </w:p>
    <w:p w14:paraId="71A59618" w14:textId="77777777" w:rsidR="00A320E6" w:rsidRDefault="00000000" w:rsidP="00A1539E">
      <w:pPr>
        <w:pStyle w:val="1a"/>
      </w:pPr>
      <w:r>
        <w:rPr>
          <w:rFonts w:hint="eastAsia"/>
        </w:rPr>
        <w:t>一、建筑类</w:t>
      </w:r>
    </w:p>
    <w:p w14:paraId="787C0FA6" w14:textId="77777777" w:rsidR="00A320E6" w:rsidRDefault="00000000" w:rsidP="00AE0286">
      <w:pPr>
        <w:spacing w:line="360" w:lineRule="auto"/>
        <w:rPr>
          <w:rFonts w:ascii="宋体" w:hAnsi="宋体" w:cs="宋体"/>
          <w:sz w:val="24"/>
          <w:szCs w:val="24"/>
        </w:rPr>
      </w:pPr>
      <w:r>
        <w:rPr>
          <w:rFonts w:ascii="宋体" w:hAnsi="宋体" w:cs="宋体" w:hint="eastAsia"/>
          <w:sz w:val="24"/>
          <w:szCs w:val="24"/>
        </w:rPr>
        <w:t>（一）房屋及构筑物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9"/>
        <w:gridCol w:w="705"/>
        <w:gridCol w:w="592"/>
        <w:gridCol w:w="2325"/>
        <w:gridCol w:w="1843"/>
        <w:gridCol w:w="993"/>
        <w:gridCol w:w="1669"/>
      </w:tblGrid>
      <w:tr w:rsidR="00A320E6" w14:paraId="0C4A6747" w14:textId="77777777" w:rsidTr="00A1539E">
        <w:trPr>
          <w:trHeight w:val="389"/>
          <w:tblHeader/>
          <w:jc w:val="center"/>
        </w:trPr>
        <w:tc>
          <w:tcPr>
            <w:tcW w:w="375" w:type="pct"/>
            <w:vAlign w:val="center"/>
          </w:tcPr>
          <w:p w14:paraId="4A715A1A"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序号</w:t>
            </w:r>
          </w:p>
        </w:tc>
        <w:tc>
          <w:tcPr>
            <w:tcW w:w="401" w:type="pct"/>
            <w:vAlign w:val="center"/>
          </w:tcPr>
          <w:p w14:paraId="799A6897"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名称</w:t>
            </w:r>
          </w:p>
        </w:tc>
        <w:tc>
          <w:tcPr>
            <w:tcW w:w="1660" w:type="pct"/>
            <w:gridSpan w:val="2"/>
            <w:vAlign w:val="center"/>
          </w:tcPr>
          <w:p w14:paraId="33AB5E32"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类型</w:t>
            </w:r>
          </w:p>
        </w:tc>
        <w:tc>
          <w:tcPr>
            <w:tcW w:w="1049" w:type="pct"/>
            <w:vAlign w:val="center"/>
          </w:tcPr>
          <w:p w14:paraId="50496906"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补偿标准</w:t>
            </w:r>
          </w:p>
        </w:tc>
        <w:tc>
          <w:tcPr>
            <w:tcW w:w="1515" w:type="pct"/>
            <w:gridSpan w:val="2"/>
            <w:vAlign w:val="center"/>
          </w:tcPr>
          <w:p w14:paraId="2B4EE23F"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备注</w:t>
            </w:r>
          </w:p>
        </w:tc>
      </w:tr>
      <w:tr w:rsidR="00A320E6" w14:paraId="365183A9" w14:textId="77777777" w:rsidTr="00A1539E">
        <w:trPr>
          <w:trHeight w:val="454"/>
          <w:jc w:val="center"/>
        </w:trPr>
        <w:tc>
          <w:tcPr>
            <w:tcW w:w="375" w:type="pct"/>
            <w:vMerge w:val="restart"/>
            <w:vAlign w:val="center"/>
          </w:tcPr>
          <w:p w14:paraId="1D68C0D9" w14:textId="77777777" w:rsidR="00A320E6" w:rsidRDefault="00000000" w:rsidP="00AE0286">
            <w:pPr>
              <w:jc w:val="center"/>
              <w:rPr>
                <w:rFonts w:ascii="宋体" w:hAnsi="宋体" w:cs="宋体"/>
                <w:szCs w:val="21"/>
              </w:rPr>
            </w:pPr>
            <w:r>
              <w:rPr>
                <w:rFonts w:ascii="宋体" w:hAnsi="宋体" w:cs="宋体" w:hint="eastAsia"/>
                <w:szCs w:val="21"/>
              </w:rPr>
              <w:t>1</w:t>
            </w:r>
          </w:p>
        </w:tc>
        <w:tc>
          <w:tcPr>
            <w:tcW w:w="401" w:type="pct"/>
            <w:vMerge w:val="restart"/>
            <w:vAlign w:val="center"/>
          </w:tcPr>
          <w:p w14:paraId="56BB0532"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房屋</w:t>
            </w:r>
          </w:p>
        </w:tc>
        <w:tc>
          <w:tcPr>
            <w:tcW w:w="1660" w:type="pct"/>
            <w:gridSpan w:val="2"/>
            <w:vAlign w:val="center"/>
          </w:tcPr>
          <w:p w14:paraId="5FC32A20" w14:textId="77777777" w:rsidR="00A320E6" w:rsidRDefault="00000000" w:rsidP="00AE0286">
            <w:pPr>
              <w:rPr>
                <w:rFonts w:ascii="宋体" w:hAnsi="宋体" w:cs="宋体"/>
                <w:szCs w:val="21"/>
              </w:rPr>
            </w:pPr>
            <w:r>
              <w:rPr>
                <w:rFonts w:ascii="宋体" w:hAnsi="宋体" w:cs="宋体" w:hint="eastAsia"/>
                <w:szCs w:val="21"/>
              </w:rPr>
              <w:t>砖基础，砖墙体承重，楼板或现浇平屋顶，内墙面涂料，水泥地面，屋顶防水。</w:t>
            </w:r>
          </w:p>
        </w:tc>
        <w:tc>
          <w:tcPr>
            <w:tcW w:w="1049" w:type="pct"/>
            <w:vAlign w:val="center"/>
          </w:tcPr>
          <w:p w14:paraId="5D33FB18" w14:textId="77777777" w:rsidR="00A320E6" w:rsidRDefault="00000000" w:rsidP="00AE0286">
            <w:pPr>
              <w:jc w:val="center"/>
              <w:rPr>
                <w:rFonts w:ascii="宋体" w:hAnsi="宋体" w:cs="宋体"/>
                <w:szCs w:val="21"/>
              </w:rPr>
            </w:pPr>
            <w:r>
              <w:rPr>
                <w:rFonts w:ascii="宋体" w:hAnsi="宋体" w:cs="宋体" w:hint="eastAsia"/>
                <w:szCs w:val="21"/>
              </w:rPr>
              <w:t>600-750元/㎡</w:t>
            </w:r>
          </w:p>
        </w:tc>
        <w:tc>
          <w:tcPr>
            <w:tcW w:w="1515" w:type="pct"/>
            <w:gridSpan w:val="2"/>
            <w:vMerge w:val="restart"/>
            <w:vAlign w:val="center"/>
          </w:tcPr>
          <w:p w14:paraId="2E34B005"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1、仅限承包地内看护用房及临时建筑，其他房屋参照当地新农村建设拆迁补偿政策确定。2、表中面积系指建筑面积。3、根据房屋建成年限、结构及养护情况在本等级房屋价格范围内确定。4、旧料归原主。</w:t>
            </w:r>
          </w:p>
        </w:tc>
      </w:tr>
      <w:tr w:rsidR="00A320E6" w14:paraId="2ABA3D93" w14:textId="77777777" w:rsidTr="00A1539E">
        <w:trPr>
          <w:trHeight w:val="630"/>
          <w:jc w:val="center"/>
        </w:trPr>
        <w:tc>
          <w:tcPr>
            <w:tcW w:w="375" w:type="pct"/>
            <w:vMerge/>
            <w:vAlign w:val="center"/>
          </w:tcPr>
          <w:p w14:paraId="7034CE0C" w14:textId="77777777" w:rsidR="00A320E6" w:rsidRDefault="00A320E6" w:rsidP="00AE0286">
            <w:pPr>
              <w:jc w:val="center"/>
              <w:rPr>
                <w:rFonts w:ascii="宋体" w:hAnsi="宋体" w:cs="宋体"/>
                <w:szCs w:val="21"/>
              </w:rPr>
            </w:pPr>
          </w:p>
        </w:tc>
        <w:tc>
          <w:tcPr>
            <w:tcW w:w="401" w:type="pct"/>
            <w:vMerge/>
            <w:vAlign w:val="center"/>
          </w:tcPr>
          <w:p w14:paraId="34D19287"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vAlign w:val="center"/>
          </w:tcPr>
          <w:p w14:paraId="66EF1BBC" w14:textId="77777777" w:rsidR="00A320E6" w:rsidRDefault="00000000" w:rsidP="00AE0286">
            <w:pPr>
              <w:rPr>
                <w:rFonts w:ascii="宋体" w:hAnsi="宋体" w:cs="宋体"/>
                <w:szCs w:val="21"/>
              </w:rPr>
            </w:pPr>
            <w:r>
              <w:rPr>
                <w:rFonts w:ascii="宋体" w:hAnsi="宋体" w:cs="宋体" w:hint="eastAsia"/>
                <w:szCs w:val="21"/>
              </w:rPr>
              <w:t>砖基础，砖墙体承重，木结构斜坡瓦屋顶，水泥或砖地面。</w:t>
            </w:r>
          </w:p>
        </w:tc>
        <w:tc>
          <w:tcPr>
            <w:tcW w:w="1049" w:type="pct"/>
            <w:vAlign w:val="center"/>
          </w:tcPr>
          <w:p w14:paraId="7E07DB34" w14:textId="77777777" w:rsidR="00A320E6" w:rsidRDefault="00000000" w:rsidP="00AE0286">
            <w:pPr>
              <w:jc w:val="center"/>
              <w:rPr>
                <w:rFonts w:ascii="宋体" w:hAnsi="宋体" w:cs="宋体"/>
                <w:szCs w:val="21"/>
              </w:rPr>
            </w:pPr>
            <w:r>
              <w:rPr>
                <w:rFonts w:ascii="宋体" w:hAnsi="宋体" w:cs="宋体" w:hint="eastAsia"/>
                <w:szCs w:val="21"/>
              </w:rPr>
              <w:t>500-650元/㎡</w:t>
            </w:r>
          </w:p>
        </w:tc>
        <w:tc>
          <w:tcPr>
            <w:tcW w:w="1515" w:type="pct"/>
            <w:gridSpan w:val="2"/>
            <w:vMerge/>
            <w:vAlign w:val="center"/>
          </w:tcPr>
          <w:p w14:paraId="0E7146EA" w14:textId="77777777" w:rsidR="00A320E6" w:rsidRDefault="00A320E6" w:rsidP="00AE0286">
            <w:pPr>
              <w:jc w:val="left"/>
              <w:rPr>
                <w:rFonts w:ascii="宋体" w:hAnsi="宋体" w:cs="宋体"/>
                <w:kern w:val="0"/>
                <w:szCs w:val="21"/>
              </w:rPr>
            </w:pPr>
          </w:p>
        </w:tc>
      </w:tr>
      <w:tr w:rsidR="00A320E6" w14:paraId="5374AD29" w14:textId="77777777" w:rsidTr="00A1539E">
        <w:trPr>
          <w:trHeight w:val="454"/>
          <w:jc w:val="center"/>
        </w:trPr>
        <w:tc>
          <w:tcPr>
            <w:tcW w:w="375" w:type="pct"/>
            <w:vMerge/>
            <w:vAlign w:val="center"/>
          </w:tcPr>
          <w:p w14:paraId="45D8FD94" w14:textId="77777777" w:rsidR="00A320E6" w:rsidRDefault="00A320E6" w:rsidP="00AE0286">
            <w:pPr>
              <w:jc w:val="center"/>
              <w:rPr>
                <w:rFonts w:ascii="宋体" w:hAnsi="宋体" w:cs="宋体"/>
                <w:szCs w:val="21"/>
              </w:rPr>
            </w:pPr>
          </w:p>
        </w:tc>
        <w:tc>
          <w:tcPr>
            <w:tcW w:w="401" w:type="pct"/>
            <w:vMerge/>
            <w:vAlign w:val="center"/>
          </w:tcPr>
          <w:p w14:paraId="3084F40D"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vAlign w:val="center"/>
          </w:tcPr>
          <w:p w14:paraId="77937607" w14:textId="77777777" w:rsidR="00A320E6" w:rsidRDefault="00000000" w:rsidP="00AE0286">
            <w:pPr>
              <w:rPr>
                <w:rFonts w:ascii="宋体" w:hAnsi="宋体" w:cs="宋体"/>
                <w:szCs w:val="21"/>
              </w:rPr>
            </w:pPr>
            <w:r>
              <w:rPr>
                <w:rFonts w:ascii="宋体" w:hAnsi="宋体" w:cs="宋体" w:hint="eastAsia"/>
                <w:szCs w:val="21"/>
              </w:rPr>
              <w:t>砖基、砖垛、坯墙、木结构斜坡草或瓦屋顶</w:t>
            </w:r>
          </w:p>
        </w:tc>
        <w:tc>
          <w:tcPr>
            <w:tcW w:w="1049" w:type="pct"/>
            <w:vAlign w:val="center"/>
          </w:tcPr>
          <w:p w14:paraId="6F23EC8A" w14:textId="77777777" w:rsidR="00A320E6" w:rsidRDefault="00000000" w:rsidP="00AE0286">
            <w:pPr>
              <w:jc w:val="center"/>
              <w:rPr>
                <w:rFonts w:ascii="宋体" w:hAnsi="宋体" w:cs="宋体"/>
                <w:szCs w:val="21"/>
              </w:rPr>
            </w:pPr>
            <w:r>
              <w:rPr>
                <w:rFonts w:ascii="宋体" w:hAnsi="宋体" w:cs="宋体" w:hint="eastAsia"/>
                <w:szCs w:val="21"/>
              </w:rPr>
              <w:t>350-480元/㎡</w:t>
            </w:r>
          </w:p>
        </w:tc>
        <w:tc>
          <w:tcPr>
            <w:tcW w:w="1515" w:type="pct"/>
            <w:gridSpan w:val="2"/>
            <w:vMerge/>
            <w:vAlign w:val="center"/>
          </w:tcPr>
          <w:p w14:paraId="50367007"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701AFAEC" w14:textId="77777777" w:rsidTr="00A1539E">
        <w:trPr>
          <w:trHeight w:val="454"/>
          <w:jc w:val="center"/>
        </w:trPr>
        <w:tc>
          <w:tcPr>
            <w:tcW w:w="375" w:type="pct"/>
            <w:vMerge/>
            <w:vAlign w:val="center"/>
          </w:tcPr>
          <w:p w14:paraId="3E23D7F5" w14:textId="77777777" w:rsidR="00A320E6" w:rsidRDefault="00A320E6" w:rsidP="00AE0286">
            <w:pPr>
              <w:jc w:val="center"/>
              <w:rPr>
                <w:rFonts w:ascii="宋体" w:hAnsi="宋体" w:cs="宋体"/>
                <w:szCs w:val="21"/>
              </w:rPr>
            </w:pPr>
          </w:p>
        </w:tc>
        <w:tc>
          <w:tcPr>
            <w:tcW w:w="401" w:type="pct"/>
            <w:vMerge/>
            <w:vAlign w:val="center"/>
          </w:tcPr>
          <w:p w14:paraId="0020B896"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vAlign w:val="center"/>
          </w:tcPr>
          <w:p w14:paraId="0255F929" w14:textId="77777777" w:rsidR="00A320E6" w:rsidRDefault="00000000" w:rsidP="00AE0286">
            <w:pPr>
              <w:rPr>
                <w:rFonts w:ascii="宋体" w:hAnsi="宋体" w:cs="宋体"/>
                <w:szCs w:val="21"/>
              </w:rPr>
            </w:pPr>
            <w:r>
              <w:rPr>
                <w:rFonts w:ascii="宋体" w:hAnsi="宋体" w:cs="宋体" w:hint="eastAsia"/>
                <w:szCs w:val="21"/>
              </w:rPr>
              <w:t>砖垛、苇箔、草顶简易平房</w:t>
            </w:r>
          </w:p>
        </w:tc>
        <w:tc>
          <w:tcPr>
            <w:tcW w:w="1049" w:type="pct"/>
            <w:vAlign w:val="center"/>
          </w:tcPr>
          <w:p w14:paraId="374442E2" w14:textId="77777777" w:rsidR="00A320E6" w:rsidRDefault="00000000" w:rsidP="00AE0286">
            <w:pPr>
              <w:jc w:val="center"/>
              <w:rPr>
                <w:rFonts w:ascii="宋体" w:hAnsi="宋体" w:cs="宋体"/>
                <w:szCs w:val="21"/>
              </w:rPr>
            </w:pPr>
            <w:r>
              <w:rPr>
                <w:rFonts w:ascii="宋体" w:hAnsi="宋体" w:cs="宋体" w:hint="eastAsia"/>
                <w:szCs w:val="21"/>
              </w:rPr>
              <w:t>250-350元/㎡</w:t>
            </w:r>
          </w:p>
        </w:tc>
        <w:tc>
          <w:tcPr>
            <w:tcW w:w="1515" w:type="pct"/>
            <w:gridSpan w:val="2"/>
            <w:vMerge/>
            <w:vAlign w:val="center"/>
          </w:tcPr>
          <w:p w14:paraId="50C6A7AA"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36775360" w14:textId="77777777" w:rsidTr="00A1539E">
        <w:trPr>
          <w:trHeight w:val="430"/>
          <w:jc w:val="center"/>
        </w:trPr>
        <w:tc>
          <w:tcPr>
            <w:tcW w:w="375" w:type="pct"/>
            <w:vMerge/>
            <w:vAlign w:val="center"/>
          </w:tcPr>
          <w:p w14:paraId="56192B97" w14:textId="77777777" w:rsidR="00A320E6" w:rsidRDefault="00A320E6" w:rsidP="00AE0286">
            <w:pPr>
              <w:jc w:val="center"/>
              <w:rPr>
                <w:rFonts w:ascii="宋体" w:hAnsi="宋体" w:cs="宋体"/>
                <w:szCs w:val="21"/>
              </w:rPr>
            </w:pPr>
          </w:p>
        </w:tc>
        <w:tc>
          <w:tcPr>
            <w:tcW w:w="401" w:type="pct"/>
            <w:vMerge/>
            <w:vAlign w:val="center"/>
          </w:tcPr>
          <w:p w14:paraId="1EAA2370"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vAlign w:val="center"/>
          </w:tcPr>
          <w:p w14:paraId="001E4287" w14:textId="77777777" w:rsidR="00A320E6" w:rsidRDefault="00000000" w:rsidP="00AE0286">
            <w:pPr>
              <w:rPr>
                <w:rFonts w:ascii="宋体" w:hAnsi="宋体" w:cs="宋体"/>
                <w:szCs w:val="21"/>
              </w:rPr>
            </w:pPr>
            <w:r>
              <w:rPr>
                <w:rFonts w:ascii="宋体" w:hAnsi="宋体" w:cs="宋体" w:hint="eastAsia"/>
                <w:szCs w:val="21"/>
              </w:rPr>
              <w:t>简易板房</w:t>
            </w:r>
          </w:p>
        </w:tc>
        <w:tc>
          <w:tcPr>
            <w:tcW w:w="1049" w:type="pct"/>
            <w:vAlign w:val="center"/>
          </w:tcPr>
          <w:p w14:paraId="23EAE96B" w14:textId="77777777" w:rsidR="00A320E6" w:rsidRDefault="00000000" w:rsidP="00AE0286">
            <w:pPr>
              <w:jc w:val="center"/>
              <w:rPr>
                <w:rFonts w:ascii="宋体" w:hAnsi="宋体" w:cs="宋体"/>
                <w:szCs w:val="21"/>
              </w:rPr>
            </w:pPr>
            <w:r>
              <w:rPr>
                <w:rFonts w:ascii="宋体" w:hAnsi="宋体" w:cs="宋体" w:hint="eastAsia"/>
                <w:szCs w:val="21"/>
              </w:rPr>
              <w:t>160-200元/㎡</w:t>
            </w:r>
          </w:p>
        </w:tc>
        <w:tc>
          <w:tcPr>
            <w:tcW w:w="1515" w:type="pct"/>
            <w:gridSpan w:val="2"/>
            <w:vMerge/>
            <w:vAlign w:val="center"/>
          </w:tcPr>
          <w:p w14:paraId="06098671"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2A671C8F" w14:textId="77777777" w:rsidTr="00A1539E">
        <w:trPr>
          <w:trHeight w:val="454"/>
          <w:jc w:val="center"/>
        </w:trPr>
        <w:tc>
          <w:tcPr>
            <w:tcW w:w="375" w:type="pct"/>
            <w:vMerge w:val="restart"/>
            <w:tcBorders>
              <w:top w:val="single" w:sz="4" w:space="0" w:color="auto"/>
              <w:left w:val="single" w:sz="4" w:space="0" w:color="auto"/>
              <w:right w:val="single" w:sz="4" w:space="0" w:color="auto"/>
            </w:tcBorders>
            <w:vAlign w:val="center"/>
          </w:tcPr>
          <w:p w14:paraId="1AC657CE" w14:textId="77777777" w:rsidR="00A320E6" w:rsidRDefault="00000000" w:rsidP="00AE0286">
            <w:pPr>
              <w:jc w:val="center"/>
              <w:rPr>
                <w:rFonts w:ascii="宋体" w:hAnsi="宋体" w:cs="宋体"/>
                <w:szCs w:val="21"/>
              </w:rPr>
            </w:pPr>
            <w:r>
              <w:rPr>
                <w:rFonts w:ascii="宋体" w:hAnsi="宋体" w:cs="宋体" w:hint="eastAsia"/>
                <w:szCs w:val="21"/>
              </w:rPr>
              <w:t>2</w:t>
            </w:r>
          </w:p>
        </w:tc>
        <w:tc>
          <w:tcPr>
            <w:tcW w:w="401" w:type="pct"/>
            <w:vMerge w:val="restart"/>
            <w:tcBorders>
              <w:top w:val="single" w:sz="4" w:space="0" w:color="auto"/>
              <w:left w:val="single" w:sz="4" w:space="0" w:color="auto"/>
              <w:right w:val="single" w:sz="4" w:space="0" w:color="auto"/>
            </w:tcBorders>
            <w:vAlign w:val="center"/>
          </w:tcPr>
          <w:p w14:paraId="462329B7" w14:textId="77777777" w:rsidR="00A320E6" w:rsidRDefault="00000000" w:rsidP="00AE0286">
            <w:pPr>
              <w:spacing w:line="270" w:lineRule="atLeast"/>
              <w:jc w:val="center"/>
              <w:textAlignment w:val="baseline"/>
              <w:rPr>
                <w:rFonts w:ascii="宋体" w:hAnsi="宋体" w:cs="宋体"/>
                <w:kern w:val="0"/>
                <w:szCs w:val="21"/>
              </w:rPr>
            </w:pPr>
            <w:r>
              <w:rPr>
                <w:rFonts w:ascii="宋体" w:hAnsi="宋体" w:cs="宋体" w:hint="eastAsia"/>
                <w:kern w:val="0"/>
                <w:szCs w:val="21"/>
              </w:rPr>
              <w:t>钢结</w:t>
            </w:r>
          </w:p>
          <w:p w14:paraId="4E042DF1" w14:textId="77777777" w:rsidR="00A320E6" w:rsidRDefault="00000000" w:rsidP="00AE0286">
            <w:pPr>
              <w:spacing w:line="270" w:lineRule="atLeast"/>
              <w:jc w:val="center"/>
              <w:textAlignment w:val="baseline"/>
              <w:rPr>
                <w:rFonts w:ascii="宋体" w:hAnsi="宋体" w:cs="宋体"/>
                <w:kern w:val="0"/>
                <w:szCs w:val="21"/>
              </w:rPr>
            </w:pPr>
            <w:r>
              <w:rPr>
                <w:rFonts w:ascii="宋体" w:hAnsi="宋体" w:cs="宋体" w:hint="eastAsia"/>
                <w:kern w:val="0"/>
                <w:szCs w:val="21"/>
              </w:rPr>
              <w:t>构房</w:t>
            </w:r>
          </w:p>
        </w:tc>
        <w:tc>
          <w:tcPr>
            <w:tcW w:w="1660" w:type="pct"/>
            <w:gridSpan w:val="2"/>
            <w:tcBorders>
              <w:top w:val="single" w:sz="4" w:space="0" w:color="auto"/>
              <w:left w:val="single" w:sz="4" w:space="0" w:color="auto"/>
              <w:right w:val="single" w:sz="4" w:space="0" w:color="auto"/>
            </w:tcBorders>
            <w:vAlign w:val="center"/>
          </w:tcPr>
          <w:p w14:paraId="116355F0" w14:textId="77777777" w:rsidR="00A320E6" w:rsidRDefault="00000000" w:rsidP="00AE0286">
            <w:pPr>
              <w:rPr>
                <w:rFonts w:ascii="宋体" w:hAnsi="宋体" w:cs="宋体"/>
                <w:szCs w:val="21"/>
              </w:rPr>
            </w:pPr>
            <w:r>
              <w:rPr>
                <w:rFonts w:ascii="宋体" w:hAnsi="宋体" w:cs="宋体" w:hint="eastAsia"/>
                <w:szCs w:val="21"/>
              </w:rPr>
              <w:t>跨度8m以上</w:t>
            </w:r>
          </w:p>
        </w:tc>
        <w:tc>
          <w:tcPr>
            <w:tcW w:w="1049" w:type="pct"/>
            <w:tcBorders>
              <w:top w:val="single" w:sz="4" w:space="0" w:color="auto"/>
              <w:left w:val="single" w:sz="4" w:space="0" w:color="auto"/>
            </w:tcBorders>
            <w:vAlign w:val="center"/>
          </w:tcPr>
          <w:p w14:paraId="2AE4946E" w14:textId="77777777" w:rsidR="00A320E6" w:rsidRDefault="00000000" w:rsidP="00AE0286">
            <w:pPr>
              <w:jc w:val="center"/>
              <w:rPr>
                <w:rFonts w:ascii="宋体" w:hAnsi="宋体" w:cs="宋体"/>
                <w:szCs w:val="21"/>
              </w:rPr>
            </w:pPr>
            <w:r>
              <w:rPr>
                <w:rFonts w:ascii="宋体" w:hAnsi="宋体" w:cs="宋体" w:hint="eastAsia"/>
                <w:szCs w:val="21"/>
              </w:rPr>
              <w:t>250-450元/㎡</w:t>
            </w:r>
          </w:p>
        </w:tc>
        <w:tc>
          <w:tcPr>
            <w:tcW w:w="1515" w:type="pct"/>
            <w:gridSpan w:val="2"/>
            <w:vMerge/>
            <w:vAlign w:val="center"/>
          </w:tcPr>
          <w:p w14:paraId="1E1F1B4D"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042D10B0" w14:textId="77777777" w:rsidTr="00A1539E">
        <w:trPr>
          <w:trHeight w:val="454"/>
          <w:jc w:val="center"/>
        </w:trPr>
        <w:tc>
          <w:tcPr>
            <w:tcW w:w="375" w:type="pct"/>
            <w:vMerge/>
            <w:tcBorders>
              <w:left w:val="single" w:sz="4" w:space="0" w:color="auto"/>
              <w:right w:val="single" w:sz="4" w:space="0" w:color="auto"/>
            </w:tcBorders>
            <w:vAlign w:val="center"/>
          </w:tcPr>
          <w:p w14:paraId="50BF6DA5"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ADE28A8" w14:textId="77777777" w:rsidR="00A320E6" w:rsidRDefault="00A320E6" w:rsidP="00AE0286">
            <w:pPr>
              <w:spacing w:line="270" w:lineRule="atLeast"/>
              <w:jc w:val="center"/>
              <w:textAlignment w:val="baseline"/>
              <w:rPr>
                <w:rFonts w:ascii="宋体" w:hAnsi="宋体" w:cs="宋体"/>
                <w:kern w:val="0"/>
                <w:szCs w:val="21"/>
              </w:rPr>
            </w:pPr>
          </w:p>
        </w:tc>
        <w:tc>
          <w:tcPr>
            <w:tcW w:w="1660" w:type="pct"/>
            <w:gridSpan w:val="2"/>
            <w:tcBorders>
              <w:top w:val="single" w:sz="4" w:space="0" w:color="auto"/>
              <w:left w:val="single" w:sz="4" w:space="0" w:color="auto"/>
              <w:right w:val="single" w:sz="4" w:space="0" w:color="auto"/>
            </w:tcBorders>
            <w:vAlign w:val="center"/>
          </w:tcPr>
          <w:p w14:paraId="17CAAD72" w14:textId="77777777" w:rsidR="00A320E6" w:rsidRDefault="00000000" w:rsidP="00AE0286">
            <w:pPr>
              <w:rPr>
                <w:rFonts w:ascii="宋体" w:hAnsi="宋体" w:cs="宋体"/>
                <w:szCs w:val="21"/>
              </w:rPr>
            </w:pPr>
            <w:r>
              <w:rPr>
                <w:rFonts w:ascii="宋体" w:hAnsi="宋体" w:cs="宋体" w:hint="eastAsia"/>
                <w:szCs w:val="21"/>
              </w:rPr>
              <w:t>跨度8m以下</w:t>
            </w:r>
          </w:p>
        </w:tc>
        <w:tc>
          <w:tcPr>
            <w:tcW w:w="1049" w:type="pct"/>
            <w:tcBorders>
              <w:left w:val="single" w:sz="4" w:space="0" w:color="auto"/>
            </w:tcBorders>
            <w:vAlign w:val="center"/>
          </w:tcPr>
          <w:p w14:paraId="556C9DEB" w14:textId="77777777" w:rsidR="00A320E6" w:rsidRDefault="00000000" w:rsidP="00AE0286">
            <w:pPr>
              <w:jc w:val="center"/>
              <w:rPr>
                <w:rFonts w:ascii="宋体" w:hAnsi="宋体" w:cs="宋体"/>
                <w:szCs w:val="21"/>
              </w:rPr>
            </w:pPr>
            <w:r>
              <w:rPr>
                <w:rFonts w:ascii="宋体" w:hAnsi="宋体" w:cs="宋体" w:hint="eastAsia"/>
                <w:szCs w:val="21"/>
              </w:rPr>
              <w:t>180-250元/㎡</w:t>
            </w:r>
          </w:p>
        </w:tc>
        <w:tc>
          <w:tcPr>
            <w:tcW w:w="1515" w:type="pct"/>
            <w:gridSpan w:val="2"/>
            <w:vMerge/>
            <w:vAlign w:val="center"/>
          </w:tcPr>
          <w:p w14:paraId="42F3205B"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28FD6188" w14:textId="77777777" w:rsidTr="00A1539E">
        <w:trPr>
          <w:trHeight w:val="454"/>
          <w:jc w:val="center"/>
        </w:trPr>
        <w:tc>
          <w:tcPr>
            <w:tcW w:w="375" w:type="pct"/>
            <w:vMerge w:val="restart"/>
            <w:tcBorders>
              <w:left w:val="single" w:sz="4" w:space="0" w:color="auto"/>
              <w:right w:val="single" w:sz="4" w:space="0" w:color="auto"/>
            </w:tcBorders>
            <w:vAlign w:val="center"/>
          </w:tcPr>
          <w:p w14:paraId="4FE5EA4E" w14:textId="77777777" w:rsidR="00A320E6" w:rsidRDefault="00000000" w:rsidP="00AE0286">
            <w:pPr>
              <w:jc w:val="center"/>
              <w:rPr>
                <w:rFonts w:ascii="宋体" w:hAnsi="宋体" w:cs="宋体"/>
                <w:szCs w:val="21"/>
              </w:rPr>
            </w:pPr>
            <w:r>
              <w:rPr>
                <w:rFonts w:ascii="宋体" w:hAnsi="宋体" w:cs="宋体" w:hint="eastAsia"/>
                <w:szCs w:val="21"/>
              </w:rPr>
              <w:t>3</w:t>
            </w:r>
          </w:p>
        </w:tc>
        <w:tc>
          <w:tcPr>
            <w:tcW w:w="401" w:type="pct"/>
            <w:vMerge w:val="restart"/>
            <w:tcBorders>
              <w:left w:val="single" w:sz="4" w:space="0" w:color="auto"/>
              <w:right w:val="single" w:sz="4" w:space="0" w:color="auto"/>
            </w:tcBorders>
            <w:vAlign w:val="center"/>
          </w:tcPr>
          <w:p w14:paraId="425A9F48" w14:textId="77777777" w:rsidR="00A320E6" w:rsidRDefault="00000000" w:rsidP="00AE0286">
            <w:pPr>
              <w:spacing w:line="270" w:lineRule="atLeast"/>
              <w:jc w:val="center"/>
              <w:textAlignment w:val="baseline"/>
              <w:rPr>
                <w:rFonts w:ascii="宋体" w:hAnsi="宋体" w:cs="宋体"/>
                <w:kern w:val="0"/>
                <w:szCs w:val="21"/>
              </w:rPr>
            </w:pPr>
            <w:r>
              <w:rPr>
                <w:rFonts w:ascii="宋体" w:hAnsi="宋体" w:cs="宋体" w:hint="eastAsia"/>
                <w:kern w:val="0"/>
                <w:szCs w:val="21"/>
              </w:rPr>
              <w:t>棚</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99D6B0B" w14:textId="77777777" w:rsidR="00A320E6" w:rsidRDefault="00000000" w:rsidP="00AE0286">
            <w:pPr>
              <w:rPr>
                <w:rFonts w:ascii="宋体" w:hAnsi="宋体" w:cs="宋体"/>
                <w:szCs w:val="21"/>
              </w:rPr>
            </w:pPr>
            <w:r>
              <w:rPr>
                <w:rFonts w:ascii="宋体" w:hAnsi="宋体" w:cs="宋体" w:hint="eastAsia"/>
                <w:szCs w:val="21"/>
              </w:rPr>
              <w:t>钢结构棚</w:t>
            </w:r>
          </w:p>
        </w:tc>
        <w:tc>
          <w:tcPr>
            <w:tcW w:w="1049" w:type="pct"/>
            <w:tcBorders>
              <w:top w:val="single" w:sz="4" w:space="0" w:color="auto"/>
              <w:left w:val="single" w:sz="4" w:space="0" w:color="auto"/>
              <w:bottom w:val="single" w:sz="4" w:space="0" w:color="auto"/>
            </w:tcBorders>
            <w:vAlign w:val="center"/>
          </w:tcPr>
          <w:p w14:paraId="17204F54" w14:textId="77777777" w:rsidR="00A320E6" w:rsidRDefault="00000000" w:rsidP="00AE0286">
            <w:pPr>
              <w:jc w:val="center"/>
              <w:rPr>
                <w:rFonts w:ascii="宋体" w:hAnsi="宋体" w:cs="宋体"/>
                <w:szCs w:val="21"/>
              </w:rPr>
            </w:pPr>
            <w:r>
              <w:rPr>
                <w:rFonts w:ascii="宋体" w:hAnsi="宋体" w:cs="宋体" w:hint="eastAsia"/>
                <w:szCs w:val="21"/>
              </w:rPr>
              <w:t>150-200元/㎡</w:t>
            </w:r>
          </w:p>
        </w:tc>
        <w:tc>
          <w:tcPr>
            <w:tcW w:w="1515" w:type="pct"/>
            <w:gridSpan w:val="2"/>
            <w:vMerge w:val="restart"/>
            <w:vAlign w:val="center"/>
          </w:tcPr>
          <w:p w14:paraId="4D90042F" w14:textId="77777777" w:rsidR="00A320E6" w:rsidRDefault="00000000" w:rsidP="00AE0286">
            <w:pPr>
              <w:spacing w:before="100" w:beforeAutospacing="1" w:after="100" w:afterAutospacing="1" w:line="400" w:lineRule="exact"/>
              <w:jc w:val="left"/>
              <w:rPr>
                <w:rFonts w:ascii="宋体" w:hAnsi="宋体" w:cs="宋体"/>
                <w:kern w:val="0"/>
                <w:szCs w:val="21"/>
              </w:rPr>
            </w:pPr>
            <w:r>
              <w:rPr>
                <w:rFonts w:ascii="宋体" w:hAnsi="宋体" w:cs="宋体" w:hint="eastAsia"/>
                <w:kern w:val="0"/>
                <w:szCs w:val="21"/>
              </w:rPr>
              <w:t>1、表中面积系指建筑面积。2、旧料归原主。</w:t>
            </w:r>
          </w:p>
        </w:tc>
      </w:tr>
      <w:tr w:rsidR="00A320E6" w14:paraId="7A6AF512" w14:textId="77777777" w:rsidTr="00A1539E">
        <w:trPr>
          <w:trHeight w:val="452"/>
          <w:jc w:val="center"/>
        </w:trPr>
        <w:tc>
          <w:tcPr>
            <w:tcW w:w="375" w:type="pct"/>
            <w:vMerge/>
            <w:tcBorders>
              <w:left w:val="single" w:sz="4" w:space="0" w:color="auto"/>
              <w:right w:val="single" w:sz="4" w:space="0" w:color="auto"/>
            </w:tcBorders>
            <w:vAlign w:val="center"/>
          </w:tcPr>
          <w:p w14:paraId="1B936BCF"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019BB008" w14:textId="77777777" w:rsidR="00A320E6" w:rsidRDefault="00A320E6" w:rsidP="00AE0286">
            <w:pPr>
              <w:spacing w:line="270" w:lineRule="atLeast"/>
              <w:jc w:val="center"/>
              <w:textAlignment w:val="baseline"/>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4CBCCF7D" w14:textId="77777777" w:rsidR="00A320E6" w:rsidRDefault="00000000" w:rsidP="00AE0286">
            <w:pPr>
              <w:rPr>
                <w:rFonts w:ascii="宋体" w:hAnsi="宋体" w:cs="宋体"/>
                <w:szCs w:val="21"/>
              </w:rPr>
            </w:pPr>
            <w:r>
              <w:rPr>
                <w:rFonts w:ascii="宋体" w:hAnsi="宋体" w:cs="宋体" w:hint="eastAsia"/>
                <w:szCs w:val="21"/>
              </w:rPr>
              <w:t>简易敞棚（石棉瓦、彩钢瓦顶等，一到三面围护）</w:t>
            </w:r>
          </w:p>
        </w:tc>
        <w:tc>
          <w:tcPr>
            <w:tcW w:w="1049" w:type="pct"/>
            <w:tcBorders>
              <w:top w:val="single" w:sz="4" w:space="0" w:color="auto"/>
              <w:left w:val="single" w:sz="4" w:space="0" w:color="auto"/>
              <w:bottom w:val="single" w:sz="4" w:space="0" w:color="auto"/>
            </w:tcBorders>
            <w:vAlign w:val="center"/>
          </w:tcPr>
          <w:p w14:paraId="0270CB2D" w14:textId="77777777" w:rsidR="00A320E6" w:rsidRDefault="00000000" w:rsidP="00AE0286">
            <w:pPr>
              <w:jc w:val="center"/>
              <w:rPr>
                <w:rFonts w:ascii="宋体" w:hAnsi="宋体" w:cs="宋体"/>
                <w:szCs w:val="21"/>
              </w:rPr>
            </w:pPr>
            <w:r>
              <w:rPr>
                <w:rFonts w:ascii="宋体" w:hAnsi="宋体" w:cs="宋体" w:hint="eastAsia"/>
                <w:szCs w:val="21"/>
              </w:rPr>
              <w:t>70-160元/㎡</w:t>
            </w:r>
          </w:p>
        </w:tc>
        <w:tc>
          <w:tcPr>
            <w:tcW w:w="1515" w:type="pct"/>
            <w:gridSpan w:val="2"/>
            <w:vMerge/>
            <w:vAlign w:val="center"/>
          </w:tcPr>
          <w:p w14:paraId="3C2F3758"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6D4373F2" w14:textId="77777777" w:rsidTr="00A1539E">
        <w:trPr>
          <w:trHeight w:val="454"/>
          <w:jc w:val="center"/>
        </w:trPr>
        <w:tc>
          <w:tcPr>
            <w:tcW w:w="375" w:type="pct"/>
            <w:vMerge/>
            <w:tcBorders>
              <w:left w:val="single" w:sz="4" w:space="0" w:color="auto"/>
              <w:right w:val="single" w:sz="4" w:space="0" w:color="auto"/>
            </w:tcBorders>
            <w:vAlign w:val="center"/>
          </w:tcPr>
          <w:p w14:paraId="7448BD08"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588C1BC" w14:textId="77777777" w:rsidR="00A320E6" w:rsidRDefault="00A320E6" w:rsidP="00AE0286">
            <w:pPr>
              <w:spacing w:line="270" w:lineRule="atLeast"/>
              <w:jc w:val="center"/>
              <w:textAlignment w:val="baseline"/>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A7D1D72" w14:textId="77777777" w:rsidR="00A320E6" w:rsidRDefault="00000000" w:rsidP="00AE0286">
            <w:pPr>
              <w:rPr>
                <w:rFonts w:ascii="宋体" w:hAnsi="宋体" w:cs="宋体"/>
                <w:szCs w:val="21"/>
              </w:rPr>
            </w:pPr>
            <w:r>
              <w:rPr>
                <w:rFonts w:ascii="宋体" w:hAnsi="宋体" w:cs="宋体" w:hint="eastAsia"/>
                <w:szCs w:val="21"/>
              </w:rPr>
              <w:t>无墙棚（只有顶棚及支撑柱，无围护结构）</w:t>
            </w:r>
          </w:p>
        </w:tc>
        <w:tc>
          <w:tcPr>
            <w:tcW w:w="1049" w:type="pct"/>
            <w:tcBorders>
              <w:top w:val="single" w:sz="4" w:space="0" w:color="auto"/>
              <w:left w:val="single" w:sz="4" w:space="0" w:color="auto"/>
              <w:bottom w:val="single" w:sz="4" w:space="0" w:color="auto"/>
            </w:tcBorders>
            <w:vAlign w:val="center"/>
          </w:tcPr>
          <w:p w14:paraId="7CDF5136" w14:textId="77777777" w:rsidR="00A320E6" w:rsidRDefault="00000000" w:rsidP="00AE0286">
            <w:pPr>
              <w:jc w:val="center"/>
              <w:rPr>
                <w:rFonts w:ascii="宋体" w:hAnsi="宋体" w:cs="宋体"/>
                <w:szCs w:val="21"/>
              </w:rPr>
            </w:pPr>
            <w:r>
              <w:rPr>
                <w:rFonts w:ascii="宋体" w:hAnsi="宋体" w:cs="宋体" w:hint="eastAsia"/>
                <w:szCs w:val="21"/>
              </w:rPr>
              <w:t>50-65元/㎡</w:t>
            </w:r>
          </w:p>
        </w:tc>
        <w:tc>
          <w:tcPr>
            <w:tcW w:w="1515" w:type="pct"/>
            <w:gridSpan w:val="2"/>
            <w:vMerge/>
            <w:vAlign w:val="center"/>
          </w:tcPr>
          <w:p w14:paraId="1E3B8AAB" w14:textId="77777777" w:rsidR="00A320E6" w:rsidRDefault="00A320E6" w:rsidP="00AE0286">
            <w:pPr>
              <w:spacing w:before="100" w:beforeAutospacing="1" w:after="100" w:afterAutospacing="1"/>
              <w:jc w:val="left"/>
              <w:rPr>
                <w:rFonts w:ascii="宋体" w:hAnsi="宋体" w:cs="宋体"/>
                <w:kern w:val="0"/>
                <w:szCs w:val="21"/>
              </w:rPr>
            </w:pPr>
          </w:p>
        </w:tc>
      </w:tr>
      <w:tr w:rsidR="00A320E6" w14:paraId="6A309789" w14:textId="77777777" w:rsidTr="00A1539E">
        <w:trPr>
          <w:trHeight w:val="441"/>
          <w:jc w:val="center"/>
        </w:trPr>
        <w:tc>
          <w:tcPr>
            <w:tcW w:w="375" w:type="pct"/>
            <w:vMerge w:val="restart"/>
            <w:tcBorders>
              <w:left w:val="single" w:sz="4" w:space="0" w:color="auto"/>
              <w:right w:val="single" w:sz="4" w:space="0" w:color="auto"/>
            </w:tcBorders>
            <w:vAlign w:val="center"/>
          </w:tcPr>
          <w:p w14:paraId="4FC40319" w14:textId="77777777" w:rsidR="00A320E6" w:rsidRDefault="00000000" w:rsidP="00AE0286">
            <w:pPr>
              <w:jc w:val="center"/>
              <w:rPr>
                <w:rFonts w:ascii="宋体" w:hAnsi="宋体" w:cs="宋体"/>
                <w:szCs w:val="21"/>
              </w:rPr>
            </w:pPr>
            <w:r>
              <w:rPr>
                <w:rFonts w:ascii="宋体" w:hAnsi="宋体" w:cs="宋体" w:hint="eastAsia"/>
                <w:szCs w:val="21"/>
              </w:rPr>
              <w:t>4</w:t>
            </w:r>
          </w:p>
        </w:tc>
        <w:tc>
          <w:tcPr>
            <w:tcW w:w="401" w:type="pct"/>
            <w:vMerge w:val="restart"/>
            <w:tcBorders>
              <w:left w:val="single" w:sz="4" w:space="0" w:color="auto"/>
              <w:right w:val="single" w:sz="4" w:space="0" w:color="auto"/>
            </w:tcBorders>
            <w:vAlign w:val="center"/>
          </w:tcPr>
          <w:p w14:paraId="2DB7BD69" w14:textId="77777777" w:rsidR="00A320E6" w:rsidRDefault="00000000" w:rsidP="00AE0286">
            <w:pPr>
              <w:jc w:val="center"/>
              <w:rPr>
                <w:rFonts w:ascii="宋体" w:hAnsi="宋体" w:cs="宋体"/>
                <w:kern w:val="0"/>
                <w:szCs w:val="21"/>
              </w:rPr>
            </w:pPr>
            <w:r>
              <w:rPr>
                <w:rFonts w:ascii="宋体" w:hAnsi="宋体" w:cs="宋体" w:hint="eastAsia"/>
                <w:kern w:val="0"/>
                <w:szCs w:val="21"/>
              </w:rPr>
              <w:t>围墙</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7CEA2B20" w14:textId="77777777" w:rsidR="00A320E6" w:rsidRDefault="00000000" w:rsidP="00AE0286">
            <w:pPr>
              <w:rPr>
                <w:rFonts w:ascii="宋体" w:hAnsi="宋体" w:cs="宋体"/>
                <w:szCs w:val="21"/>
              </w:rPr>
            </w:pPr>
            <w:r>
              <w:rPr>
                <w:rFonts w:ascii="宋体" w:hAnsi="宋体" w:cs="宋体" w:hint="eastAsia"/>
                <w:szCs w:val="21"/>
              </w:rPr>
              <w:t>砖墙，抹灰</w:t>
            </w:r>
          </w:p>
        </w:tc>
        <w:tc>
          <w:tcPr>
            <w:tcW w:w="1049" w:type="pct"/>
            <w:tcBorders>
              <w:top w:val="single" w:sz="4" w:space="0" w:color="auto"/>
              <w:left w:val="single" w:sz="4" w:space="0" w:color="auto"/>
              <w:bottom w:val="single" w:sz="4" w:space="0" w:color="auto"/>
            </w:tcBorders>
            <w:vAlign w:val="center"/>
          </w:tcPr>
          <w:p w14:paraId="3E855D7E" w14:textId="77777777" w:rsidR="00A320E6" w:rsidRDefault="00000000" w:rsidP="00AE0286">
            <w:pPr>
              <w:jc w:val="center"/>
              <w:rPr>
                <w:rFonts w:ascii="宋体" w:hAnsi="宋体" w:cs="宋体"/>
                <w:szCs w:val="21"/>
              </w:rPr>
            </w:pPr>
            <w:r>
              <w:rPr>
                <w:rFonts w:ascii="宋体" w:hAnsi="宋体" w:cs="宋体" w:hint="eastAsia"/>
                <w:szCs w:val="21"/>
              </w:rPr>
              <w:t>100-150元/㎡</w:t>
            </w:r>
          </w:p>
        </w:tc>
        <w:tc>
          <w:tcPr>
            <w:tcW w:w="1515" w:type="pct"/>
            <w:gridSpan w:val="2"/>
            <w:vMerge w:val="restart"/>
            <w:vAlign w:val="center"/>
          </w:tcPr>
          <w:p w14:paraId="1D606FC9"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1、砖墙体厚24㎝。</w:t>
            </w:r>
          </w:p>
          <w:p w14:paraId="17AD30AA"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2、旧料归原主。</w:t>
            </w:r>
          </w:p>
        </w:tc>
      </w:tr>
      <w:tr w:rsidR="00A320E6" w14:paraId="0056175F" w14:textId="77777777" w:rsidTr="00A1539E">
        <w:trPr>
          <w:trHeight w:val="441"/>
          <w:jc w:val="center"/>
        </w:trPr>
        <w:tc>
          <w:tcPr>
            <w:tcW w:w="375" w:type="pct"/>
            <w:vMerge/>
            <w:tcBorders>
              <w:left w:val="single" w:sz="4" w:space="0" w:color="auto"/>
              <w:right w:val="single" w:sz="4" w:space="0" w:color="auto"/>
            </w:tcBorders>
            <w:vAlign w:val="center"/>
          </w:tcPr>
          <w:p w14:paraId="6532624C"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8F1DD4B"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1C35E5C" w14:textId="77777777" w:rsidR="00A320E6" w:rsidRDefault="00000000" w:rsidP="00AE0286">
            <w:pPr>
              <w:rPr>
                <w:rFonts w:ascii="宋体" w:hAnsi="宋体" w:cs="宋体"/>
                <w:szCs w:val="21"/>
              </w:rPr>
            </w:pPr>
            <w:r>
              <w:rPr>
                <w:rFonts w:ascii="宋体" w:hAnsi="宋体" w:cs="宋体" w:hint="eastAsia"/>
                <w:szCs w:val="21"/>
              </w:rPr>
              <w:t>砖墙，清水</w:t>
            </w:r>
          </w:p>
        </w:tc>
        <w:tc>
          <w:tcPr>
            <w:tcW w:w="1049" w:type="pct"/>
            <w:tcBorders>
              <w:top w:val="single" w:sz="4" w:space="0" w:color="auto"/>
              <w:left w:val="single" w:sz="4" w:space="0" w:color="auto"/>
              <w:bottom w:val="single" w:sz="4" w:space="0" w:color="auto"/>
            </w:tcBorders>
            <w:vAlign w:val="center"/>
          </w:tcPr>
          <w:p w14:paraId="4F07E0A3" w14:textId="77777777" w:rsidR="00A320E6" w:rsidRDefault="00000000" w:rsidP="00AE0286">
            <w:pPr>
              <w:jc w:val="center"/>
              <w:rPr>
                <w:rFonts w:ascii="宋体" w:hAnsi="宋体" w:cs="宋体"/>
                <w:szCs w:val="21"/>
              </w:rPr>
            </w:pPr>
            <w:r>
              <w:rPr>
                <w:rFonts w:ascii="宋体" w:hAnsi="宋体" w:cs="宋体" w:hint="eastAsia"/>
                <w:szCs w:val="21"/>
              </w:rPr>
              <w:t>90-100元/㎡</w:t>
            </w:r>
          </w:p>
        </w:tc>
        <w:tc>
          <w:tcPr>
            <w:tcW w:w="1515" w:type="pct"/>
            <w:gridSpan w:val="2"/>
            <w:vMerge/>
            <w:vAlign w:val="center"/>
          </w:tcPr>
          <w:p w14:paraId="7C41B8A9" w14:textId="77777777" w:rsidR="00A320E6" w:rsidRDefault="00A320E6" w:rsidP="00AE0286">
            <w:pPr>
              <w:jc w:val="left"/>
              <w:rPr>
                <w:rFonts w:ascii="宋体" w:hAnsi="宋体" w:cs="宋体"/>
                <w:kern w:val="0"/>
                <w:szCs w:val="21"/>
              </w:rPr>
            </w:pPr>
          </w:p>
        </w:tc>
      </w:tr>
      <w:tr w:rsidR="00A320E6" w14:paraId="603E3FEF" w14:textId="77777777" w:rsidTr="00A1539E">
        <w:trPr>
          <w:trHeight w:val="441"/>
          <w:jc w:val="center"/>
        </w:trPr>
        <w:tc>
          <w:tcPr>
            <w:tcW w:w="375" w:type="pct"/>
            <w:vMerge/>
            <w:tcBorders>
              <w:left w:val="single" w:sz="4" w:space="0" w:color="auto"/>
              <w:right w:val="single" w:sz="4" w:space="0" w:color="auto"/>
            </w:tcBorders>
            <w:vAlign w:val="center"/>
          </w:tcPr>
          <w:p w14:paraId="01CB4140"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6D92EE65"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38D07F1C" w14:textId="77777777" w:rsidR="00A320E6" w:rsidRDefault="00000000" w:rsidP="00AE0286">
            <w:pPr>
              <w:rPr>
                <w:rFonts w:ascii="宋体" w:hAnsi="宋体" w:cs="宋体"/>
                <w:szCs w:val="21"/>
              </w:rPr>
            </w:pPr>
            <w:r>
              <w:rPr>
                <w:rFonts w:ascii="宋体" w:hAnsi="宋体" w:cs="宋体" w:hint="eastAsia"/>
                <w:szCs w:val="21"/>
              </w:rPr>
              <w:t>砖基土墙</w:t>
            </w:r>
          </w:p>
        </w:tc>
        <w:tc>
          <w:tcPr>
            <w:tcW w:w="1049" w:type="pct"/>
            <w:tcBorders>
              <w:top w:val="single" w:sz="4" w:space="0" w:color="auto"/>
              <w:left w:val="single" w:sz="4" w:space="0" w:color="auto"/>
              <w:bottom w:val="single" w:sz="4" w:space="0" w:color="auto"/>
            </w:tcBorders>
            <w:vAlign w:val="center"/>
          </w:tcPr>
          <w:p w14:paraId="31A9147D" w14:textId="77777777" w:rsidR="00A320E6" w:rsidRDefault="00000000" w:rsidP="00AE0286">
            <w:pPr>
              <w:jc w:val="center"/>
              <w:rPr>
                <w:rFonts w:ascii="宋体" w:hAnsi="宋体" w:cs="宋体"/>
                <w:szCs w:val="21"/>
              </w:rPr>
            </w:pPr>
            <w:r>
              <w:rPr>
                <w:rFonts w:ascii="宋体" w:hAnsi="宋体" w:cs="宋体" w:hint="eastAsia"/>
                <w:szCs w:val="21"/>
              </w:rPr>
              <w:t>40-45元/㎡</w:t>
            </w:r>
          </w:p>
        </w:tc>
        <w:tc>
          <w:tcPr>
            <w:tcW w:w="1515" w:type="pct"/>
            <w:gridSpan w:val="2"/>
            <w:vMerge/>
            <w:vAlign w:val="center"/>
          </w:tcPr>
          <w:p w14:paraId="3E83C58B" w14:textId="77777777" w:rsidR="00A320E6" w:rsidRDefault="00A320E6" w:rsidP="00AE0286">
            <w:pPr>
              <w:jc w:val="left"/>
              <w:rPr>
                <w:rFonts w:ascii="宋体" w:hAnsi="宋体" w:cs="宋体"/>
                <w:kern w:val="0"/>
                <w:szCs w:val="21"/>
              </w:rPr>
            </w:pPr>
          </w:p>
        </w:tc>
      </w:tr>
      <w:tr w:rsidR="00A320E6" w14:paraId="6DB118E1" w14:textId="77777777" w:rsidTr="00A1539E">
        <w:trPr>
          <w:trHeight w:val="441"/>
          <w:jc w:val="center"/>
        </w:trPr>
        <w:tc>
          <w:tcPr>
            <w:tcW w:w="375" w:type="pct"/>
            <w:vMerge/>
            <w:tcBorders>
              <w:left w:val="single" w:sz="4" w:space="0" w:color="auto"/>
              <w:right w:val="single" w:sz="4" w:space="0" w:color="auto"/>
            </w:tcBorders>
            <w:vAlign w:val="center"/>
          </w:tcPr>
          <w:p w14:paraId="4F2796E1"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3CD41486"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F2429E7" w14:textId="77777777" w:rsidR="00A320E6" w:rsidRDefault="00000000" w:rsidP="00AE0286">
            <w:pPr>
              <w:rPr>
                <w:rFonts w:ascii="宋体" w:hAnsi="宋体" w:cs="宋体"/>
                <w:szCs w:val="21"/>
              </w:rPr>
            </w:pPr>
            <w:r>
              <w:rPr>
                <w:rFonts w:ascii="宋体" w:hAnsi="宋体" w:cs="宋体" w:hint="eastAsia"/>
                <w:szCs w:val="21"/>
              </w:rPr>
              <w:t>彩钢板围墙</w:t>
            </w:r>
          </w:p>
        </w:tc>
        <w:tc>
          <w:tcPr>
            <w:tcW w:w="1049" w:type="pct"/>
            <w:tcBorders>
              <w:top w:val="single" w:sz="4" w:space="0" w:color="auto"/>
              <w:left w:val="single" w:sz="4" w:space="0" w:color="auto"/>
              <w:bottom w:val="single" w:sz="4" w:space="0" w:color="auto"/>
            </w:tcBorders>
            <w:vAlign w:val="center"/>
          </w:tcPr>
          <w:p w14:paraId="196858DD" w14:textId="77777777" w:rsidR="00A320E6" w:rsidRDefault="00000000" w:rsidP="00AE0286">
            <w:pPr>
              <w:jc w:val="center"/>
              <w:rPr>
                <w:rFonts w:ascii="宋体" w:hAnsi="宋体" w:cs="宋体"/>
                <w:szCs w:val="21"/>
              </w:rPr>
            </w:pPr>
            <w:r>
              <w:rPr>
                <w:rFonts w:ascii="宋体" w:hAnsi="宋体" w:cs="宋体" w:hint="eastAsia"/>
                <w:szCs w:val="21"/>
              </w:rPr>
              <w:t>20-30元/㎡</w:t>
            </w:r>
          </w:p>
        </w:tc>
        <w:tc>
          <w:tcPr>
            <w:tcW w:w="1515" w:type="pct"/>
            <w:gridSpan w:val="2"/>
            <w:vMerge/>
            <w:vAlign w:val="center"/>
          </w:tcPr>
          <w:p w14:paraId="5325D6DF" w14:textId="77777777" w:rsidR="00A320E6" w:rsidRDefault="00A320E6" w:rsidP="00AE0286">
            <w:pPr>
              <w:jc w:val="left"/>
              <w:rPr>
                <w:rFonts w:ascii="宋体" w:hAnsi="宋体" w:cs="宋体"/>
                <w:kern w:val="0"/>
                <w:szCs w:val="21"/>
              </w:rPr>
            </w:pPr>
          </w:p>
        </w:tc>
      </w:tr>
      <w:tr w:rsidR="00A320E6" w14:paraId="41841CF2" w14:textId="77777777" w:rsidTr="00A1539E">
        <w:trPr>
          <w:trHeight w:val="441"/>
          <w:jc w:val="center"/>
        </w:trPr>
        <w:tc>
          <w:tcPr>
            <w:tcW w:w="375" w:type="pct"/>
            <w:vMerge/>
            <w:tcBorders>
              <w:left w:val="single" w:sz="4" w:space="0" w:color="auto"/>
              <w:right w:val="single" w:sz="4" w:space="0" w:color="auto"/>
            </w:tcBorders>
            <w:vAlign w:val="center"/>
          </w:tcPr>
          <w:p w14:paraId="3E1450D9"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C6E57E5"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02EB579" w14:textId="77777777" w:rsidR="00A320E6" w:rsidRDefault="00000000" w:rsidP="00AE0286">
            <w:pPr>
              <w:rPr>
                <w:rFonts w:ascii="宋体" w:hAnsi="宋体" w:cs="宋体"/>
                <w:szCs w:val="21"/>
              </w:rPr>
            </w:pPr>
            <w:r>
              <w:rPr>
                <w:rFonts w:ascii="宋体" w:hAnsi="宋体" w:cs="宋体" w:hint="eastAsia"/>
                <w:szCs w:val="21"/>
              </w:rPr>
              <w:t>铁艺栅栏</w:t>
            </w:r>
          </w:p>
        </w:tc>
        <w:tc>
          <w:tcPr>
            <w:tcW w:w="1049" w:type="pct"/>
            <w:tcBorders>
              <w:top w:val="single" w:sz="4" w:space="0" w:color="auto"/>
              <w:left w:val="single" w:sz="4" w:space="0" w:color="auto"/>
              <w:bottom w:val="single" w:sz="4" w:space="0" w:color="auto"/>
            </w:tcBorders>
            <w:vAlign w:val="center"/>
          </w:tcPr>
          <w:p w14:paraId="3AF4AF29" w14:textId="77777777" w:rsidR="00A320E6" w:rsidRDefault="00000000" w:rsidP="00AE0286">
            <w:pPr>
              <w:jc w:val="center"/>
              <w:rPr>
                <w:rFonts w:ascii="宋体" w:hAnsi="宋体" w:cs="宋体"/>
                <w:szCs w:val="21"/>
              </w:rPr>
            </w:pPr>
            <w:r>
              <w:rPr>
                <w:rFonts w:ascii="宋体" w:hAnsi="宋体" w:cs="宋体" w:hint="eastAsia"/>
                <w:szCs w:val="21"/>
              </w:rPr>
              <w:t>100-130元/㎡</w:t>
            </w:r>
          </w:p>
        </w:tc>
        <w:tc>
          <w:tcPr>
            <w:tcW w:w="1515" w:type="pct"/>
            <w:gridSpan w:val="2"/>
            <w:vMerge/>
            <w:vAlign w:val="center"/>
          </w:tcPr>
          <w:p w14:paraId="57F08751" w14:textId="77777777" w:rsidR="00A320E6" w:rsidRDefault="00A320E6" w:rsidP="00AE0286">
            <w:pPr>
              <w:jc w:val="left"/>
              <w:rPr>
                <w:rFonts w:ascii="宋体" w:hAnsi="宋体" w:cs="宋体"/>
                <w:kern w:val="0"/>
                <w:szCs w:val="21"/>
              </w:rPr>
            </w:pPr>
          </w:p>
        </w:tc>
      </w:tr>
      <w:tr w:rsidR="00A320E6" w14:paraId="062241AC" w14:textId="77777777" w:rsidTr="00A1539E">
        <w:trPr>
          <w:trHeight w:val="441"/>
          <w:jc w:val="center"/>
        </w:trPr>
        <w:tc>
          <w:tcPr>
            <w:tcW w:w="375" w:type="pct"/>
            <w:vMerge/>
            <w:tcBorders>
              <w:left w:val="single" w:sz="4" w:space="0" w:color="auto"/>
              <w:right w:val="single" w:sz="4" w:space="0" w:color="auto"/>
            </w:tcBorders>
            <w:vAlign w:val="center"/>
          </w:tcPr>
          <w:p w14:paraId="045746AF"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33F6817"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288FCE4" w14:textId="77777777" w:rsidR="00A320E6" w:rsidRDefault="00000000" w:rsidP="00AE0286">
            <w:pPr>
              <w:rPr>
                <w:rFonts w:ascii="宋体" w:hAnsi="宋体" w:cs="宋体"/>
                <w:szCs w:val="21"/>
              </w:rPr>
            </w:pPr>
            <w:r>
              <w:rPr>
                <w:rFonts w:ascii="宋体" w:hAnsi="宋体" w:cs="宋体" w:hint="eastAsia"/>
                <w:szCs w:val="21"/>
              </w:rPr>
              <w:t>铁丝围网</w:t>
            </w:r>
          </w:p>
        </w:tc>
        <w:tc>
          <w:tcPr>
            <w:tcW w:w="1049" w:type="pct"/>
            <w:tcBorders>
              <w:top w:val="single" w:sz="4" w:space="0" w:color="auto"/>
              <w:left w:val="single" w:sz="4" w:space="0" w:color="auto"/>
              <w:bottom w:val="single" w:sz="4" w:space="0" w:color="auto"/>
            </w:tcBorders>
            <w:vAlign w:val="center"/>
          </w:tcPr>
          <w:p w14:paraId="6C5A9C0E" w14:textId="77777777" w:rsidR="00A320E6" w:rsidRDefault="00000000" w:rsidP="00AE0286">
            <w:pPr>
              <w:jc w:val="center"/>
              <w:rPr>
                <w:rFonts w:ascii="宋体" w:hAnsi="宋体" w:cs="宋体"/>
                <w:szCs w:val="21"/>
              </w:rPr>
            </w:pPr>
            <w:r>
              <w:rPr>
                <w:rFonts w:ascii="宋体" w:hAnsi="宋体" w:cs="宋体" w:hint="eastAsia"/>
                <w:szCs w:val="21"/>
              </w:rPr>
              <w:t>15-25元/㎡</w:t>
            </w:r>
          </w:p>
        </w:tc>
        <w:tc>
          <w:tcPr>
            <w:tcW w:w="1515" w:type="pct"/>
            <w:gridSpan w:val="2"/>
            <w:vMerge/>
            <w:vAlign w:val="center"/>
          </w:tcPr>
          <w:p w14:paraId="6B21AE22" w14:textId="77777777" w:rsidR="00A320E6" w:rsidRDefault="00A320E6" w:rsidP="00AE0286">
            <w:pPr>
              <w:jc w:val="left"/>
              <w:rPr>
                <w:rFonts w:ascii="宋体" w:hAnsi="宋体" w:cs="宋体"/>
                <w:kern w:val="0"/>
                <w:szCs w:val="21"/>
              </w:rPr>
            </w:pPr>
          </w:p>
        </w:tc>
      </w:tr>
      <w:tr w:rsidR="00A320E6" w14:paraId="39D3DCDC" w14:textId="77777777" w:rsidTr="00A1539E">
        <w:trPr>
          <w:trHeight w:val="438"/>
          <w:jc w:val="center"/>
        </w:trPr>
        <w:tc>
          <w:tcPr>
            <w:tcW w:w="375" w:type="pct"/>
            <w:vMerge w:val="restart"/>
            <w:tcBorders>
              <w:left w:val="single" w:sz="4" w:space="0" w:color="auto"/>
              <w:right w:val="single" w:sz="4" w:space="0" w:color="auto"/>
            </w:tcBorders>
            <w:vAlign w:val="center"/>
          </w:tcPr>
          <w:p w14:paraId="6B3E0593" w14:textId="77777777" w:rsidR="00A320E6" w:rsidRDefault="00000000" w:rsidP="00AE0286">
            <w:pPr>
              <w:jc w:val="center"/>
              <w:rPr>
                <w:rFonts w:ascii="宋体" w:hAnsi="宋体" w:cs="宋体"/>
                <w:szCs w:val="21"/>
              </w:rPr>
            </w:pPr>
            <w:r>
              <w:rPr>
                <w:rFonts w:ascii="宋体" w:hAnsi="宋体" w:cs="宋体" w:hint="eastAsia"/>
                <w:szCs w:val="21"/>
              </w:rPr>
              <w:t>5</w:t>
            </w:r>
          </w:p>
        </w:tc>
        <w:tc>
          <w:tcPr>
            <w:tcW w:w="401" w:type="pct"/>
            <w:vMerge w:val="restart"/>
            <w:tcBorders>
              <w:left w:val="single" w:sz="4" w:space="0" w:color="auto"/>
              <w:right w:val="single" w:sz="4" w:space="0" w:color="auto"/>
            </w:tcBorders>
            <w:vAlign w:val="center"/>
          </w:tcPr>
          <w:p w14:paraId="4568CB0B" w14:textId="77777777" w:rsidR="00A320E6" w:rsidRDefault="00000000" w:rsidP="00AE0286">
            <w:pPr>
              <w:jc w:val="center"/>
              <w:rPr>
                <w:rFonts w:ascii="宋体" w:hAnsi="宋体" w:cs="宋体"/>
                <w:kern w:val="0"/>
                <w:szCs w:val="21"/>
              </w:rPr>
            </w:pPr>
            <w:r>
              <w:rPr>
                <w:rFonts w:ascii="宋体" w:hAnsi="宋体" w:cs="宋体" w:hint="eastAsia"/>
                <w:kern w:val="0"/>
                <w:szCs w:val="21"/>
              </w:rPr>
              <w:t>厕所</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0423B89" w14:textId="77777777" w:rsidR="00A320E6" w:rsidRDefault="00000000" w:rsidP="00AE0286">
            <w:pPr>
              <w:rPr>
                <w:rFonts w:ascii="宋体" w:hAnsi="宋体" w:cs="宋体"/>
                <w:szCs w:val="21"/>
              </w:rPr>
            </w:pPr>
            <w:r>
              <w:rPr>
                <w:rFonts w:ascii="宋体" w:hAnsi="宋体" w:cs="宋体" w:hint="eastAsia"/>
                <w:szCs w:val="21"/>
              </w:rPr>
              <w:t>砖混（有顶）</w:t>
            </w:r>
          </w:p>
        </w:tc>
        <w:tc>
          <w:tcPr>
            <w:tcW w:w="1049" w:type="pct"/>
            <w:tcBorders>
              <w:top w:val="single" w:sz="4" w:space="0" w:color="auto"/>
              <w:left w:val="single" w:sz="4" w:space="0" w:color="auto"/>
              <w:bottom w:val="single" w:sz="4" w:space="0" w:color="auto"/>
            </w:tcBorders>
            <w:vAlign w:val="center"/>
          </w:tcPr>
          <w:p w14:paraId="67F2EF1A" w14:textId="77777777" w:rsidR="00A320E6" w:rsidRDefault="00000000" w:rsidP="00AE0286">
            <w:pPr>
              <w:jc w:val="center"/>
              <w:rPr>
                <w:rFonts w:ascii="宋体" w:hAnsi="宋体" w:cs="宋体"/>
                <w:szCs w:val="21"/>
              </w:rPr>
            </w:pPr>
            <w:r>
              <w:rPr>
                <w:rFonts w:ascii="宋体" w:hAnsi="宋体" w:cs="宋体" w:hint="eastAsia"/>
                <w:szCs w:val="21"/>
              </w:rPr>
              <w:t>280-380元/㎡</w:t>
            </w:r>
          </w:p>
        </w:tc>
        <w:tc>
          <w:tcPr>
            <w:tcW w:w="1515" w:type="pct"/>
            <w:gridSpan w:val="2"/>
            <w:vMerge w:val="restart"/>
            <w:vAlign w:val="center"/>
          </w:tcPr>
          <w:p w14:paraId="6DCBADB5" w14:textId="77777777" w:rsidR="00A320E6" w:rsidRDefault="00000000" w:rsidP="00AE0286">
            <w:pPr>
              <w:jc w:val="left"/>
              <w:rPr>
                <w:rFonts w:ascii="宋体" w:hAnsi="宋体" w:cs="宋体"/>
                <w:kern w:val="0"/>
                <w:szCs w:val="21"/>
              </w:rPr>
            </w:pPr>
            <w:r>
              <w:rPr>
                <w:rFonts w:ascii="宋体" w:hAnsi="宋体" w:cs="宋体" w:hint="eastAsia"/>
                <w:kern w:val="0"/>
                <w:szCs w:val="21"/>
              </w:rPr>
              <w:t>旧料归原主</w:t>
            </w:r>
          </w:p>
        </w:tc>
      </w:tr>
      <w:tr w:rsidR="00A320E6" w14:paraId="53B0EE53" w14:textId="77777777" w:rsidTr="00A1539E">
        <w:trPr>
          <w:trHeight w:val="457"/>
          <w:jc w:val="center"/>
        </w:trPr>
        <w:tc>
          <w:tcPr>
            <w:tcW w:w="375" w:type="pct"/>
            <w:vMerge/>
            <w:tcBorders>
              <w:left w:val="single" w:sz="4" w:space="0" w:color="auto"/>
              <w:right w:val="single" w:sz="4" w:space="0" w:color="auto"/>
            </w:tcBorders>
            <w:vAlign w:val="center"/>
          </w:tcPr>
          <w:p w14:paraId="0FCCB12D"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3AB5C93D"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AF60458" w14:textId="77777777" w:rsidR="00A320E6" w:rsidRDefault="00000000" w:rsidP="00AE0286">
            <w:pPr>
              <w:rPr>
                <w:rFonts w:ascii="宋体" w:hAnsi="宋体" w:cs="宋体"/>
                <w:szCs w:val="21"/>
              </w:rPr>
            </w:pPr>
            <w:r>
              <w:rPr>
                <w:rFonts w:ascii="宋体" w:hAnsi="宋体" w:cs="宋体" w:hint="eastAsia"/>
                <w:szCs w:val="21"/>
              </w:rPr>
              <w:t>砖木（有顶）</w:t>
            </w:r>
          </w:p>
        </w:tc>
        <w:tc>
          <w:tcPr>
            <w:tcW w:w="1049" w:type="pct"/>
            <w:tcBorders>
              <w:top w:val="single" w:sz="4" w:space="0" w:color="auto"/>
              <w:left w:val="single" w:sz="4" w:space="0" w:color="auto"/>
              <w:bottom w:val="single" w:sz="4" w:space="0" w:color="auto"/>
            </w:tcBorders>
            <w:vAlign w:val="center"/>
          </w:tcPr>
          <w:p w14:paraId="7B11A657" w14:textId="77777777" w:rsidR="00A320E6" w:rsidRDefault="00000000" w:rsidP="00AE0286">
            <w:pPr>
              <w:jc w:val="center"/>
              <w:rPr>
                <w:rFonts w:ascii="宋体" w:hAnsi="宋体" w:cs="宋体"/>
                <w:szCs w:val="21"/>
              </w:rPr>
            </w:pPr>
            <w:r>
              <w:rPr>
                <w:rFonts w:ascii="宋体" w:hAnsi="宋体" w:cs="宋体" w:hint="eastAsia"/>
                <w:szCs w:val="21"/>
              </w:rPr>
              <w:t>200-280元/㎡</w:t>
            </w:r>
          </w:p>
        </w:tc>
        <w:tc>
          <w:tcPr>
            <w:tcW w:w="1515" w:type="pct"/>
            <w:gridSpan w:val="2"/>
            <w:vMerge/>
            <w:vAlign w:val="center"/>
          </w:tcPr>
          <w:p w14:paraId="6F2759E7" w14:textId="77777777" w:rsidR="00A320E6" w:rsidRDefault="00A320E6" w:rsidP="00AE0286">
            <w:pPr>
              <w:jc w:val="left"/>
              <w:rPr>
                <w:rFonts w:ascii="宋体" w:hAnsi="宋体" w:cs="宋体"/>
                <w:kern w:val="0"/>
                <w:szCs w:val="21"/>
              </w:rPr>
            </w:pPr>
          </w:p>
        </w:tc>
      </w:tr>
      <w:tr w:rsidR="00A320E6" w14:paraId="23F52F4C" w14:textId="77777777" w:rsidTr="00A1539E">
        <w:trPr>
          <w:trHeight w:val="407"/>
          <w:jc w:val="center"/>
        </w:trPr>
        <w:tc>
          <w:tcPr>
            <w:tcW w:w="375" w:type="pct"/>
            <w:vMerge/>
            <w:tcBorders>
              <w:left w:val="single" w:sz="4" w:space="0" w:color="auto"/>
              <w:right w:val="single" w:sz="4" w:space="0" w:color="auto"/>
            </w:tcBorders>
            <w:vAlign w:val="center"/>
          </w:tcPr>
          <w:p w14:paraId="45B3C649"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1CCABA16"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851901F" w14:textId="77777777" w:rsidR="00A320E6" w:rsidRDefault="00000000" w:rsidP="00AE0286">
            <w:pPr>
              <w:rPr>
                <w:rFonts w:ascii="宋体" w:hAnsi="宋体" w:cs="宋体"/>
                <w:szCs w:val="21"/>
              </w:rPr>
            </w:pPr>
            <w:r>
              <w:rPr>
                <w:rFonts w:ascii="宋体" w:hAnsi="宋体" w:cs="宋体" w:hint="eastAsia"/>
                <w:szCs w:val="21"/>
              </w:rPr>
              <w:t>简易</w:t>
            </w:r>
          </w:p>
        </w:tc>
        <w:tc>
          <w:tcPr>
            <w:tcW w:w="1049" w:type="pct"/>
            <w:tcBorders>
              <w:top w:val="single" w:sz="4" w:space="0" w:color="auto"/>
              <w:left w:val="single" w:sz="4" w:space="0" w:color="auto"/>
              <w:bottom w:val="single" w:sz="4" w:space="0" w:color="auto"/>
            </w:tcBorders>
            <w:vAlign w:val="center"/>
          </w:tcPr>
          <w:p w14:paraId="5C12BC98" w14:textId="77777777" w:rsidR="00A320E6" w:rsidRDefault="00000000" w:rsidP="00AE0286">
            <w:pPr>
              <w:jc w:val="center"/>
              <w:rPr>
                <w:rFonts w:ascii="宋体" w:hAnsi="宋体" w:cs="宋体"/>
                <w:szCs w:val="21"/>
              </w:rPr>
            </w:pPr>
            <w:r>
              <w:rPr>
                <w:rFonts w:ascii="宋体" w:hAnsi="宋体" w:cs="宋体" w:hint="eastAsia"/>
                <w:szCs w:val="21"/>
              </w:rPr>
              <w:t>80-150元/㎡</w:t>
            </w:r>
          </w:p>
        </w:tc>
        <w:tc>
          <w:tcPr>
            <w:tcW w:w="1515" w:type="pct"/>
            <w:gridSpan w:val="2"/>
            <w:vMerge/>
            <w:vAlign w:val="center"/>
          </w:tcPr>
          <w:p w14:paraId="55D9EA0F" w14:textId="77777777" w:rsidR="00A320E6" w:rsidRDefault="00A320E6" w:rsidP="00AE0286">
            <w:pPr>
              <w:jc w:val="left"/>
              <w:rPr>
                <w:rFonts w:ascii="宋体" w:hAnsi="宋体" w:cs="宋体"/>
                <w:kern w:val="0"/>
                <w:szCs w:val="21"/>
              </w:rPr>
            </w:pPr>
          </w:p>
        </w:tc>
      </w:tr>
      <w:tr w:rsidR="00A320E6" w14:paraId="590AFB74" w14:textId="77777777" w:rsidTr="00A1539E">
        <w:trPr>
          <w:trHeight w:val="438"/>
          <w:jc w:val="center"/>
        </w:trPr>
        <w:tc>
          <w:tcPr>
            <w:tcW w:w="375" w:type="pct"/>
            <w:vMerge/>
            <w:tcBorders>
              <w:left w:val="single" w:sz="4" w:space="0" w:color="auto"/>
              <w:right w:val="single" w:sz="4" w:space="0" w:color="auto"/>
            </w:tcBorders>
            <w:vAlign w:val="center"/>
          </w:tcPr>
          <w:p w14:paraId="10243507"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8130CC8"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DDE3A2E" w14:textId="77777777" w:rsidR="00A320E6" w:rsidRDefault="00000000" w:rsidP="00AE0286">
            <w:pPr>
              <w:rPr>
                <w:rFonts w:ascii="宋体" w:hAnsi="宋体" w:cs="宋体"/>
                <w:szCs w:val="21"/>
              </w:rPr>
            </w:pPr>
            <w:r>
              <w:rPr>
                <w:rFonts w:ascii="宋体" w:hAnsi="宋体" w:cs="宋体" w:hint="eastAsia"/>
                <w:szCs w:val="21"/>
              </w:rPr>
              <w:t>化粪池</w:t>
            </w:r>
          </w:p>
        </w:tc>
        <w:tc>
          <w:tcPr>
            <w:tcW w:w="1049" w:type="pct"/>
            <w:tcBorders>
              <w:top w:val="single" w:sz="4" w:space="0" w:color="auto"/>
              <w:left w:val="single" w:sz="4" w:space="0" w:color="auto"/>
              <w:bottom w:val="single" w:sz="4" w:space="0" w:color="auto"/>
            </w:tcBorders>
            <w:vAlign w:val="center"/>
          </w:tcPr>
          <w:p w14:paraId="016AFBA3" w14:textId="77777777" w:rsidR="00A320E6" w:rsidRDefault="00000000" w:rsidP="00AE0286">
            <w:pPr>
              <w:jc w:val="center"/>
              <w:rPr>
                <w:rFonts w:ascii="宋体" w:hAnsi="宋体" w:cs="宋体"/>
                <w:szCs w:val="21"/>
              </w:rPr>
            </w:pPr>
            <w:r>
              <w:rPr>
                <w:rFonts w:ascii="宋体" w:hAnsi="宋体" w:cs="宋体" w:hint="eastAsia"/>
                <w:szCs w:val="21"/>
              </w:rPr>
              <w:t>130元/m³</w:t>
            </w:r>
          </w:p>
        </w:tc>
        <w:tc>
          <w:tcPr>
            <w:tcW w:w="1515" w:type="pct"/>
            <w:gridSpan w:val="2"/>
            <w:vMerge/>
            <w:vAlign w:val="center"/>
          </w:tcPr>
          <w:p w14:paraId="004458B0" w14:textId="77777777" w:rsidR="00A320E6" w:rsidRDefault="00A320E6" w:rsidP="00AE0286">
            <w:pPr>
              <w:jc w:val="left"/>
              <w:rPr>
                <w:rFonts w:ascii="宋体" w:hAnsi="宋体" w:cs="宋体"/>
                <w:kern w:val="0"/>
                <w:szCs w:val="21"/>
              </w:rPr>
            </w:pPr>
          </w:p>
        </w:tc>
      </w:tr>
      <w:tr w:rsidR="00A320E6" w14:paraId="4A9D8022" w14:textId="77777777" w:rsidTr="00A1539E">
        <w:trPr>
          <w:trHeight w:val="377"/>
          <w:jc w:val="center"/>
        </w:trPr>
        <w:tc>
          <w:tcPr>
            <w:tcW w:w="375" w:type="pct"/>
            <w:vMerge w:val="restart"/>
            <w:tcBorders>
              <w:left w:val="single" w:sz="4" w:space="0" w:color="auto"/>
              <w:bottom w:val="single" w:sz="4" w:space="0" w:color="auto"/>
              <w:right w:val="single" w:sz="4" w:space="0" w:color="auto"/>
            </w:tcBorders>
            <w:vAlign w:val="center"/>
          </w:tcPr>
          <w:p w14:paraId="155D7A3A" w14:textId="77777777" w:rsidR="00A320E6" w:rsidRDefault="00000000" w:rsidP="00AE0286">
            <w:pPr>
              <w:jc w:val="center"/>
              <w:rPr>
                <w:rFonts w:ascii="宋体" w:hAnsi="宋体" w:cs="宋体"/>
                <w:szCs w:val="21"/>
              </w:rPr>
            </w:pPr>
            <w:r>
              <w:rPr>
                <w:rFonts w:ascii="宋体" w:hAnsi="宋体" w:cs="宋体" w:hint="eastAsia"/>
                <w:szCs w:val="21"/>
              </w:rPr>
              <w:t>6</w:t>
            </w:r>
          </w:p>
        </w:tc>
        <w:tc>
          <w:tcPr>
            <w:tcW w:w="401" w:type="pct"/>
            <w:vMerge w:val="restart"/>
            <w:tcBorders>
              <w:left w:val="single" w:sz="4" w:space="0" w:color="auto"/>
              <w:bottom w:val="single" w:sz="4" w:space="0" w:color="auto"/>
              <w:right w:val="single" w:sz="4" w:space="0" w:color="auto"/>
            </w:tcBorders>
            <w:vAlign w:val="center"/>
          </w:tcPr>
          <w:p w14:paraId="3E26D26B" w14:textId="77777777" w:rsidR="00A320E6" w:rsidRDefault="00000000" w:rsidP="00AE0286">
            <w:pPr>
              <w:jc w:val="center"/>
              <w:rPr>
                <w:rFonts w:ascii="宋体" w:hAnsi="宋体" w:cs="宋体"/>
                <w:kern w:val="0"/>
                <w:szCs w:val="21"/>
              </w:rPr>
            </w:pPr>
            <w:r>
              <w:rPr>
                <w:rFonts w:ascii="宋体" w:hAnsi="宋体" w:cs="宋体" w:hint="eastAsia"/>
                <w:kern w:val="0"/>
                <w:szCs w:val="21"/>
              </w:rPr>
              <w:t>畜禽舍</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72633A6B" w14:textId="77777777" w:rsidR="00A320E6" w:rsidRDefault="00000000" w:rsidP="00AE0286">
            <w:pPr>
              <w:rPr>
                <w:rFonts w:ascii="宋体" w:hAnsi="宋体" w:cs="宋体"/>
                <w:szCs w:val="21"/>
              </w:rPr>
            </w:pPr>
            <w:r>
              <w:rPr>
                <w:rFonts w:ascii="宋体" w:hAnsi="宋体" w:cs="宋体" w:hint="eastAsia"/>
                <w:szCs w:val="21"/>
              </w:rPr>
              <w:t>砖混结构</w:t>
            </w:r>
          </w:p>
        </w:tc>
        <w:tc>
          <w:tcPr>
            <w:tcW w:w="1049" w:type="pct"/>
            <w:tcBorders>
              <w:top w:val="single" w:sz="4" w:space="0" w:color="auto"/>
              <w:left w:val="single" w:sz="4" w:space="0" w:color="auto"/>
              <w:bottom w:val="single" w:sz="4" w:space="0" w:color="auto"/>
            </w:tcBorders>
            <w:vAlign w:val="center"/>
          </w:tcPr>
          <w:p w14:paraId="63C51C1F" w14:textId="77777777" w:rsidR="00A320E6" w:rsidRDefault="00000000" w:rsidP="00AE0286">
            <w:pPr>
              <w:jc w:val="center"/>
              <w:rPr>
                <w:rFonts w:ascii="宋体" w:hAnsi="宋体" w:cs="宋体"/>
                <w:szCs w:val="21"/>
              </w:rPr>
            </w:pPr>
            <w:r>
              <w:rPr>
                <w:rFonts w:ascii="宋体" w:hAnsi="宋体" w:cs="宋体" w:hint="eastAsia"/>
                <w:szCs w:val="21"/>
              </w:rPr>
              <w:t>200-300元/㎡</w:t>
            </w:r>
          </w:p>
        </w:tc>
        <w:tc>
          <w:tcPr>
            <w:tcW w:w="1515" w:type="pct"/>
            <w:gridSpan w:val="2"/>
            <w:vMerge w:val="restart"/>
            <w:tcBorders>
              <w:bottom w:val="single" w:sz="4" w:space="0" w:color="auto"/>
            </w:tcBorders>
            <w:vAlign w:val="center"/>
          </w:tcPr>
          <w:p w14:paraId="1BD4B7D7" w14:textId="77777777" w:rsidR="00A320E6" w:rsidRDefault="00000000" w:rsidP="00AE0286">
            <w:pPr>
              <w:jc w:val="left"/>
              <w:rPr>
                <w:rFonts w:ascii="宋体" w:hAnsi="宋体" w:cs="宋体"/>
                <w:kern w:val="0"/>
                <w:szCs w:val="21"/>
              </w:rPr>
            </w:pPr>
            <w:r>
              <w:rPr>
                <w:rFonts w:ascii="宋体" w:hAnsi="宋体" w:cs="宋体" w:hint="eastAsia"/>
                <w:kern w:val="0"/>
                <w:szCs w:val="21"/>
              </w:rPr>
              <w:t>旧料归原主</w:t>
            </w:r>
          </w:p>
        </w:tc>
      </w:tr>
      <w:tr w:rsidR="00A320E6" w14:paraId="40DE7B5B" w14:textId="77777777" w:rsidTr="00A1539E">
        <w:trPr>
          <w:trHeight w:val="463"/>
          <w:jc w:val="center"/>
        </w:trPr>
        <w:tc>
          <w:tcPr>
            <w:tcW w:w="375" w:type="pct"/>
            <w:vMerge/>
            <w:tcBorders>
              <w:left w:val="single" w:sz="4" w:space="0" w:color="auto"/>
              <w:bottom w:val="single" w:sz="4" w:space="0" w:color="auto"/>
              <w:right w:val="single" w:sz="4" w:space="0" w:color="auto"/>
            </w:tcBorders>
            <w:vAlign w:val="center"/>
          </w:tcPr>
          <w:p w14:paraId="174967B4" w14:textId="77777777" w:rsidR="00A320E6" w:rsidRDefault="00A320E6" w:rsidP="00AE0286">
            <w:pPr>
              <w:jc w:val="center"/>
              <w:rPr>
                <w:rFonts w:ascii="宋体" w:hAnsi="宋体" w:cs="宋体"/>
                <w:szCs w:val="21"/>
              </w:rPr>
            </w:pPr>
          </w:p>
        </w:tc>
        <w:tc>
          <w:tcPr>
            <w:tcW w:w="401" w:type="pct"/>
            <w:vMerge/>
            <w:tcBorders>
              <w:left w:val="single" w:sz="4" w:space="0" w:color="auto"/>
              <w:bottom w:val="single" w:sz="4" w:space="0" w:color="auto"/>
              <w:right w:val="single" w:sz="4" w:space="0" w:color="auto"/>
            </w:tcBorders>
            <w:vAlign w:val="center"/>
          </w:tcPr>
          <w:p w14:paraId="761C2593"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30DA79A8" w14:textId="77777777" w:rsidR="00A320E6" w:rsidRDefault="00000000" w:rsidP="00AE0286">
            <w:pPr>
              <w:rPr>
                <w:rFonts w:ascii="宋体" w:hAnsi="宋体" w:cs="宋体"/>
                <w:szCs w:val="21"/>
              </w:rPr>
            </w:pPr>
            <w:r>
              <w:rPr>
                <w:rFonts w:ascii="宋体" w:hAnsi="宋体" w:cs="宋体" w:hint="eastAsia"/>
                <w:szCs w:val="21"/>
              </w:rPr>
              <w:t>砖木结构</w:t>
            </w:r>
          </w:p>
        </w:tc>
        <w:tc>
          <w:tcPr>
            <w:tcW w:w="1049" w:type="pct"/>
            <w:tcBorders>
              <w:top w:val="single" w:sz="4" w:space="0" w:color="auto"/>
              <w:left w:val="single" w:sz="4" w:space="0" w:color="auto"/>
              <w:bottom w:val="single" w:sz="4" w:space="0" w:color="auto"/>
            </w:tcBorders>
            <w:vAlign w:val="center"/>
          </w:tcPr>
          <w:p w14:paraId="4879E23F" w14:textId="77777777" w:rsidR="00A320E6" w:rsidRDefault="00000000" w:rsidP="00AE0286">
            <w:pPr>
              <w:jc w:val="center"/>
              <w:rPr>
                <w:rFonts w:ascii="宋体" w:hAnsi="宋体" w:cs="宋体"/>
                <w:szCs w:val="21"/>
              </w:rPr>
            </w:pPr>
            <w:r>
              <w:rPr>
                <w:rFonts w:ascii="宋体" w:hAnsi="宋体" w:cs="宋体" w:hint="eastAsia"/>
                <w:szCs w:val="21"/>
              </w:rPr>
              <w:t>150-240元/㎡</w:t>
            </w:r>
          </w:p>
        </w:tc>
        <w:tc>
          <w:tcPr>
            <w:tcW w:w="1515" w:type="pct"/>
            <w:gridSpan w:val="2"/>
            <w:vMerge/>
            <w:tcBorders>
              <w:bottom w:val="single" w:sz="4" w:space="0" w:color="auto"/>
            </w:tcBorders>
            <w:vAlign w:val="center"/>
          </w:tcPr>
          <w:p w14:paraId="06E957EB" w14:textId="77777777" w:rsidR="00A320E6" w:rsidRDefault="00A320E6" w:rsidP="00AE0286">
            <w:pPr>
              <w:jc w:val="left"/>
              <w:rPr>
                <w:rFonts w:ascii="宋体" w:hAnsi="宋体" w:cs="宋体"/>
                <w:kern w:val="0"/>
                <w:szCs w:val="21"/>
              </w:rPr>
            </w:pPr>
          </w:p>
        </w:tc>
      </w:tr>
      <w:tr w:rsidR="00A320E6" w14:paraId="74B254F6" w14:textId="77777777" w:rsidTr="00A1539E">
        <w:trPr>
          <w:trHeight w:val="463"/>
          <w:jc w:val="center"/>
        </w:trPr>
        <w:tc>
          <w:tcPr>
            <w:tcW w:w="375" w:type="pct"/>
            <w:vMerge/>
            <w:tcBorders>
              <w:left w:val="single" w:sz="4" w:space="0" w:color="auto"/>
              <w:right w:val="single" w:sz="4" w:space="0" w:color="auto"/>
            </w:tcBorders>
            <w:vAlign w:val="center"/>
          </w:tcPr>
          <w:p w14:paraId="322F399C"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8C1F08F"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3368474" w14:textId="77777777" w:rsidR="00A320E6" w:rsidRDefault="00000000" w:rsidP="00AE0286">
            <w:pPr>
              <w:rPr>
                <w:rFonts w:ascii="宋体" w:hAnsi="宋体" w:cs="宋体"/>
                <w:szCs w:val="21"/>
              </w:rPr>
            </w:pPr>
            <w:r>
              <w:rPr>
                <w:rFonts w:ascii="宋体" w:hAnsi="宋体" w:cs="宋体" w:hint="eastAsia"/>
                <w:szCs w:val="21"/>
              </w:rPr>
              <w:t>简易结构</w:t>
            </w:r>
          </w:p>
        </w:tc>
        <w:tc>
          <w:tcPr>
            <w:tcW w:w="1049" w:type="pct"/>
            <w:tcBorders>
              <w:top w:val="single" w:sz="4" w:space="0" w:color="auto"/>
              <w:left w:val="single" w:sz="4" w:space="0" w:color="auto"/>
              <w:bottom w:val="single" w:sz="4" w:space="0" w:color="auto"/>
            </w:tcBorders>
            <w:vAlign w:val="center"/>
          </w:tcPr>
          <w:p w14:paraId="7D841C32" w14:textId="77777777" w:rsidR="00A320E6" w:rsidRDefault="00000000" w:rsidP="00AE0286">
            <w:pPr>
              <w:jc w:val="center"/>
              <w:rPr>
                <w:rFonts w:ascii="宋体" w:hAnsi="宋体" w:cs="宋体"/>
                <w:szCs w:val="21"/>
              </w:rPr>
            </w:pPr>
            <w:r>
              <w:rPr>
                <w:rFonts w:ascii="宋体" w:hAnsi="宋体" w:cs="宋体" w:hint="eastAsia"/>
                <w:szCs w:val="21"/>
              </w:rPr>
              <w:t>75-100元/㎡</w:t>
            </w:r>
          </w:p>
        </w:tc>
        <w:tc>
          <w:tcPr>
            <w:tcW w:w="1515" w:type="pct"/>
            <w:gridSpan w:val="2"/>
            <w:vMerge/>
            <w:vAlign w:val="center"/>
          </w:tcPr>
          <w:p w14:paraId="503AA3FF" w14:textId="77777777" w:rsidR="00A320E6" w:rsidRDefault="00A320E6" w:rsidP="00AE0286">
            <w:pPr>
              <w:jc w:val="left"/>
              <w:rPr>
                <w:rFonts w:ascii="宋体" w:hAnsi="宋体" w:cs="宋体"/>
                <w:kern w:val="0"/>
                <w:szCs w:val="21"/>
              </w:rPr>
            </w:pPr>
          </w:p>
        </w:tc>
      </w:tr>
      <w:tr w:rsidR="00A320E6" w14:paraId="1611A3C2" w14:textId="77777777" w:rsidTr="00A1539E">
        <w:trPr>
          <w:trHeight w:val="425"/>
          <w:jc w:val="center"/>
        </w:trPr>
        <w:tc>
          <w:tcPr>
            <w:tcW w:w="375" w:type="pct"/>
            <w:vMerge w:val="restart"/>
            <w:tcBorders>
              <w:left w:val="single" w:sz="4" w:space="0" w:color="auto"/>
              <w:right w:val="single" w:sz="4" w:space="0" w:color="auto"/>
            </w:tcBorders>
            <w:vAlign w:val="center"/>
          </w:tcPr>
          <w:p w14:paraId="78724DB6" w14:textId="77777777" w:rsidR="00A320E6" w:rsidRDefault="00000000" w:rsidP="00AE0286">
            <w:pPr>
              <w:jc w:val="center"/>
              <w:rPr>
                <w:rFonts w:ascii="宋体" w:hAnsi="宋体" w:cs="宋体"/>
                <w:szCs w:val="21"/>
              </w:rPr>
            </w:pPr>
            <w:r>
              <w:rPr>
                <w:rFonts w:ascii="宋体" w:hAnsi="宋体" w:cs="宋体" w:hint="eastAsia"/>
                <w:szCs w:val="21"/>
              </w:rPr>
              <w:t>7</w:t>
            </w:r>
          </w:p>
        </w:tc>
        <w:tc>
          <w:tcPr>
            <w:tcW w:w="401" w:type="pct"/>
            <w:vMerge w:val="restart"/>
            <w:tcBorders>
              <w:left w:val="single" w:sz="4" w:space="0" w:color="auto"/>
              <w:right w:val="single" w:sz="4" w:space="0" w:color="auto"/>
            </w:tcBorders>
            <w:vAlign w:val="center"/>
          </w:tcPr>
          <w:p w14:paraId="541C3222" w14:textId="77777777" w:rsidR="00A320E6" w:rsidRDefault="00000000" w:rsidP="00AE0286">
            <w:pPr>
              <w:jc w:val="center"/>
              <w:rPr>
                <w:rFonts w:ascii="宋体" w:hAnsi="宋体" w:cs="宋体"/>
                <w:kern w:val="0"/>
                <w:szCs w:val="21"/>
              </w:rPr>
            </w:pPr>
            <w:r>
              <w:rPr>
                <w:rFonts w:ascii="宋体" w:hAnsi="宋体" w:cs="宋体" w:hint="eastAsia"/>
                <w:kern w:val="0"/>
                <w:szCs w:val="21"/>
              </w:rPr>
              <w:t>迁坟</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8BC154C" w14:textId="77777777" w:rsidR="00A320E6" w:rsidRDefault="00000000" w:rsidP="00AE0286">
            <w:pPr>
              <w:rPr>
                <w:rFonts w:ascii="宋体" w:hAnsi="宋体" w:cs="宋体"/>
                <w:szCs w:val="21"/>
              </w:rPr>
            </w:pPr>
            <w:r>
              <w:rPr>
                <w:rFonts w:ascii="宋体" w:hAnsi="宋体" w:cs="宋体" w:hint="eastAsia"/>
                <w:szCs w:val="21"/>
              </w:rPr>
              <w:t>棺木、拾骨、骨灰盒</w:t>
            </w:r>
          </w:p>
        </w:tc>
        <w:tc>
          <w:tcPr>
            <w:tcW w:w="1049" w:type="pct"/>
            <w:tcBorders>
              <w:top w:val="single" w:sz="4" w:space="0" w:color="auto"/>
              <w:left w:val="single" w:sz="4" w:space="0" w:color="auto"/>
              <w:bottom w:val="single" w:sz="4" w:space="0" w:color="auto"/>
            </w:tcBorders>
            <w:vAlign w:val="center"/>
          </w:tcPr>
          <w:p w14:paraId="4289E15F" w14:textId="77777777" w:rsidR="00A320E6" w:rsidRDefault="00000000" w:rsidP="00AE0286">
            <w:pPr>
              <w:jc w:val="center"/>
              <w:rPr>
                <w:rFonts w:ascii="宋体" w:hAnsi="宋体" w:cs="宋体"/>
                <w:szCs w:val="21"/>
              </w:rPr>
            </w:pPr>
            <w:r>
              <w:rPr>
                <w:rFonts w:ascii="宋体" w:hAnsi="宋体" w:cs="宋体" w:hint="eastAsia"/>
                <w:szCs w:val="21"/>
              </w:rPr>
              <w:t>1500元/座</w:t>
            </w:r>
          </w:p>
        </w:tc>
        <w:tc>
          <w:tcPr>
            <w:tcW w:w="565" w:type="pct"/>
            <w:vAlign w:val="center"/>
          </w:tcPr>
          <w:p w14:paraId="3E97CE68" w14:textId="77777777" w:rsidR="00A320E6" w:rsidRDefault="00000000" w:rsidP="00AE0286">
            <w:pPr>
              <w:jc w:val="left"/>
              <w:rPr>
                <w:rFonts w:ascii="宋体" w:hAnsi="宋体" w:cs="宋体"/>
                <w:kern w:val="0"/>
                <w:szCs w:val="21"/>
              </w:rPr>
            </w:pPr>
            <w:r>
              <w:rPr>
                <w:rFonts w:ascii="宋体" w:hAnsi="宋体" w:cs="宋体" w:hint="eastAsia"/>
                <w:kern w:val="0"/>
                <w:szCs w:val="21"/>
              </w:rPr>
              <w:t>一墓一棺</w:t>
            </w:r>
          </w:p>
        </w:tc>
        <w:tc>
          <w:tcPr>
            <w:tcW w:w="950" w:type="pct"/>
            <w:vMerge w:val="restart"/>
            <w:vAlign w:val="center"/>
          </w:tcPr>
          <w:p w14:paraId="60D63DE7" w14:textId="77777777" w:rsidR="00A320E6" w:rsidRDefault="00000000" w:rsidP="00AE0286">
            <w:pPr>
              <w:jc w:val="left"/>
              <w:rPr>
                <w:rFonts w:ascii="宋体" w:hAnsi="宋体" w:cs="宋体"/>
                <w:kern w:val="0"/>
                <w:szCs w:val="21"/>
              </w:rPr>
            </w:pPr>
            <w:r>
              <w:rPr>
                <w:rFonts w:ascii="宋体" w:hAnsi="宋体" w:cs="宋体" w:hint="eastAsia"/>
                <w:kern w:val="0"/>
                <w:szCs w:val="21"/>
              </w:rPr>
              <w:t>含坟墓挖掘、迁移、重新埋葬等费用。</w:t>
            </w:r>
          </w:p>
        </w:tc>
      </w:tr>
      <w:tr w:rsidR="00A320E6" w14:paraId="4776FFFC" w14:textId="77777777" w:rsidTr="00A1539E">
        <w:trPr>
          <w:trHeight w:val="425"/>
          <w:jc w:val="center"/>
        </w:trPr>
        <w:tc>
          <w:tcPr>
            <w:tcW w:w="375" w:type="pct"/>
            <w:vMerge/>
            <w:tcBorders>
              <w:left w:val="single" w:sz="4" w:space="0" w:color="auto"/>
              <w:right w:val="single" w:sz="4" w:space="0" w:color="auto"/>
            </w:tcBorders>
            <w:vAlign w:val="center"/>
          </w:tcPr>
          <w:p w14:paraId="3DC3FEFA"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3198AD3"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5EF7780" w14:textId="77777777" w:rsidR="00A320E6" w:rsidRDefault="00000000" w:rsidP="00AE0286">
            <w:pPr>
              <w:rPr>
                <w:rFonts w:ascii="宋体" w:hAnsi="宋体" w:cs="宋体"/>
                <w:szCs w:val="21"/>
              </w:rPr>
            </w:pPr>
            <w:r>
              <w:rPr>
                <w:rFonts w:ascii="宋体" w:hAnsi="宋体" w:cs="宋体" w:hint="eastAsia"/>
                <w:szCs w:val="21"/>
              </w:rPr>
              <w:t>棺木、拾骨、骨灰盒</w:t>
            </w:r>
          </w:p>
        </w:tc>
        <w:tc>
          <w:tcPr>
            <w:tcW w:w="1049" w:type="pct"/>
            <w:tcBorders>
              <w:top w:val="single" w:sz="4" w:space="0" w:color="auto"/>
              <w:left w:val="single" w:sz="4" w:space="0" w:color="auto"/>
              <w:bottom w:val="single" w:sz="4" w:space="0" w:color="auto"/>
            </w:tcBorders>
            <w:vAlign w:val="center"/>
          </w:tcPr>
          <w:p w14:paraId="6EC841D7" w14:textId="77777777" w:rsidR="00A320E6" w:rsidRDefault="00000000" w:rsidP="00AE0286">
            <w:pPr>
              <w:jc w:val="center"/>
              <w:rPr>
                <w:rFonts w:ascii="宋体" w:hAnsi="宋体" w:cs="宋体"/>
                <w:szCs w:val="21"/>
              </w:rPr>
            </w:pPr>
            <w:r>
              <w:rPr>
                <w:rFonts w:ascii="宋体" w:hAnsi="宋体" w:cs="宋体" w:hint="eastAsia"/>
                <w:szCs w:val="21"/>
              </w:rPr>
              <w:t>2000元/座</w:t>
            </w:r>
          </w:p>
        </w:tc>
        <w:tc>
          <w:tcPr>
            <w:tcW w:w="565" w:type="pct"/>
            <w:vAlign w:val="center"/>
          </w:tcPr>
          <w:p w14:paraId="1392B4DE" w14:textId="77777777" w:rsidR="00A320E6" w:rsidRDefault="00000000" w:rsidP="00AE0286">
            <w:pPr>
              <w:jc w:val="left"/>
              <w:rPr>
                <w:rFonts w:ascii="宋体" w:hAnsi="宋体" w:cs="宋体"/>
                <w:kern w:val="0"/>
                <w:szCs w:val="21"/>
              </w:rPr>
            </w:pPr>
            <w:r>
              <w:rPr>
                <w:rFonts w:ascii="宋体" w:hAnsi="宋体" w:cs="宋体" w:hint="eastAsia"/>
                <w:kern w:val="0"/>
                <w:szCs w:val="21"/>
              </w:rPr>
              <w:t>一墓多棺</w:t>
            </w:r>
          </w:p>
        </w:tc>
        <w:tc>
          <w:tcPr>
            <w:tcW w:w="950" w:type="pct"/>
            <w:vMerge/>
            <w:vAlign w:val="center"/>
          </w:tcPr>
          <w:p w14:paraId="7E316184" w14:textId="77777777" w:rsidR="00A320E6" w:rsidRDefault="00A320E6" w:rsidP="00AE0286">
            <w:pPr>
              <w:jc w:val="left"/>
              <w:rPr>
                <w:rFonts w:ascii="宋体" w:hAnsi="宋体" w:cs="宋体"/>
                <w:kern w:val="0"/>
                <w:szCs w:val="21"/>
              </w:rPr>
            </w:pPr>
          </w:p>
        </w:tc>
      </w:tr>
      <w:tr w:rsidR="00A320E6" w14:paraId="4C9FC44F" w14:textId="77777777" w:rsidTr="00A1539E">
        <w:trPr>
          <w:trHeight w:val="454"/>
          <w:jc w:val="center"/>
        </w:trPr>
        <w:tc>
          <w:tcPr>
            <w:tcW w:w="375" w:type="pct"/>
            <w:vMerge w:val="restart"/>
            <w:tcBorders>
              <w:left w:val="single" w:sz="4" w:space="0" w:color="auto"/>
              <w:right w:val="single" w:sz="4" w:space="0" w:color="auto"/>
            </w:tcBorders>
            <w:vAlign w:val="center"/>
          </w:tcPr>
          <w:p w14:paraId="3B474A47" w14:textId="77777777" w:rsidR="00A320E6" w:rsidRDefault="00000000" w:rsidP="00AE0286">
            <w:pPr>
              <w:jc w:val="center"/>
              <w:rPr>
                <w:rFonts w:ascii="宋体" w:hAnsi="宋体" w:cs="宋体"/>
                <w:szCs w:val="21"/>
              </w:rPr>
            </w:pPr>
            <w:r>
              <w:rPr>
                <w:rFonts w:ascii="宋体" w:hAnsi="宋体" w:cs="宋体" w:hint="eastAsia"/>
                <w:szCs w:val="21"/>
              </w:rPr>
              <w:t>8</w:t>
            </w:r>
          </w:p>
        </w:tc>
        <w:tc>
          <w:tcPr>
            <w:tcW w:w="401" w:type="pct"/>
            <w:vMerge w:val="restart"/>
            <w:tcBorders>
              <w:left w:val="single" w:sz="4" w:space="0" w:color="auto"/>
              <w:right w:val="single" w:sz="4" w:space="0" w:color="auto"/>
            </w:tcBorders>
            <w:vAlign w:val="center"/>
          </w:tcPr>
          <w:p w14:paraId="38F95691"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硬化地面</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07ACB2C" w14:textId="77777777" w:rsidR="00A320E6" w:rsidRDefault="00000000" w:rsidP="00AE0286">
            <w:pPr>
              <w:rPr>
                <w:rFonts w:ascii="宋体" w:hAnsi="宋体" w:cs="宋体"/>
                <w:szCs w:val="21"/>
              </w:rPr>
            </w:pPr>
            <w:r>
              <w:rPr>
                <w:rFonts w:ascii="宋体" w:hAnsi="宋体" w:cs="宋体" w:hint="eastAsia"/>
                <w:szCs w:val="21"/>
              </w:rPr>
              <w:t>沥青硬化</w:t>
            </w:r>
          </w:p>
        </w:tc>
        <w:tc>
          <w:tcPr>
            <w:tcW w:w="1049" w:type="pct"/>
            <w:tcBorders>
              <w:top w:val="single" w:sz="4" w:space="0" w:color="auto"/>
              <w:left w:val="single" w:sz="4" w:space="0" w:color="auto"/>
              <w:bottom w:val="single" w:sz="4" w:space="0" w:color="auto"/>
            </w:tcBorders>
            <w:vAlign w:val="center"/>
          </w:tcPr>
          <w:p w14:paraId="11D1304D" w14:textId="77777777" w:rsidR="00A320E6" w:rsidRDefault="00000000" w:rsidP="00AE0286">
            <w:pPr>
              <w:jc w:val="center"/>
              <w:rPr>
                <w:rFonts w:ascii="宋体" w:hAnsi="宋体" w:cs="宋体"/>
                <w:szCs w:val="21"/>
              </w:rPr>
            </w:pPr>
            <w:r>
              <w:rPr>
                <w:rFonts w:ascii="宋体" w:hAnsi="宋体" w:cs="宋体" w:hint="eastAsia"/>
                <w:szCs w:val="21"/>
              </w:rPr>
              <w:t>110-160元/㎡</w:t>
            </w:r>
          </w:p>
        </w:tc>
        <w:tc>
          <w:tcPr>
            <w:tcW w:w="1515" w:type="pct"/>
            <w:gridSpan w:val="2"/>
            <w:vMerge w:val="restart"/>
            <w:vAlign w:val="center"/>
          </w:tcPr>
          <w:p w14:paraId="2136C13B" w14:textId="77777777" w:rsidR="00A320E6" w:rsidRDefault="00000000" w:rsidP="00AE0286">
            <w:pPr>
              <w:jc w:val="left"/>
              <w:rPr>
                <w:rFonts w:ascii="宋体" w:hAnsi="宋体" w:cs="宋体"/>
                <w:kern w:val="0"/>
                <w:szCs w:val="21"/>
              </w:rPr>
            </w:pPr>
            <w:r>
              <w:rPr>
                <w:rFonts w:ascii="宋体" w:hAnsi="宋体" w:cs="宋体" w:hint="eastAsia"/>
                <w:kern w:val="0"/>
                <w:szCs w:val="21"/>
              </w:rPr>
              <w:t>旧料归原主</w:t>
            </w:r>
          </w:p>
        </w:tc>
      </w:tr>
      <w:tr w:rsidR="00A320E6" w14:paraId="6DE3A26D" w14:textId="77777777" w:rsidTr="00A1539E">
        <w:trPr>
          <w:trHeight w:val="454"/>
          <w:jc w:val="center"/>
        </w:trPr>
        <w:tc>
          <w:tcPr>
            <w:tcW w:w="375" w:type="pct"/>
            <w:vMerge/>
            <w:tcBorders>
              <w:left w:val="single" w:sz="4" w:space="0" w:color="auto"/>
              <w:right w:val="single" w:sz="4" w:space="0" w:color="auto"/>
            </w:tcBorders>
            <w:vAlign w:val="center"/>
          </w:tcPr>
          <w:p w14:paraId="283AD64E"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743C2C60"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437F4800" w14:textId="77777777" w:rsidR="00A320E6" w:rsidRDefault="00000000" w:rsidP="00AE0286">
            <w:pPr>
              <w:rPr>
                <w:rFonts w:ascii="宋体" w:hAnsi="宋体" w:cs="宋体"/>
                <w:szCs w:val="21"/>
              </w:rPr>
            </w:pPr>
            <w:r>
              <w:rPr>
                <w:rFonts w:ascii="宋体" w:hAnsi="宋体" w:cs="宋体" w:hint="eastAsia"/>
                <w:szCs w:val="21"/>
              </w:rPr>
              <w:t>水泥硬化（厚度：5㎝以下）</w:t>
            </w:r>
          </w:p>
        </w:tc>
        <w:tc>
          <w:tcPr>
            <w:tcW w:w="1049" w:type="pct"/>
            <w:tcBorders>
              <w:top w:val="single" w:sz="4" w:space="0" w:color="auto"/>
              <w:left w:val="single" w:sz="4" w:space="0" w:color="auto"/>
              <w:bottom w:val="single" w:sz="4" w:space="0" w:color="auto"/>
            </w:tcBorders>
            <w:vAlign w:val="center"/>
          </w:tcPr>
          <w:p w14:paraId="04F9FBD9" w14:textId="77777777" w:rsidR="00A320E6" w:rsidRDefault="00000000" w:rsidP="00AE0286">
            <w:pPr>
              <w:jc w:val="center"/>
              <w:rPr>
                <w:rFonts w:ascii="宋体" w:hAnsi="宋体" w:cs="宋体"/>
                <w:szCs w:val="21"/>
              </w:rPr>
            </w:pPr>
            <w:r>
              <w:rPr>
                <w:rFonts w:ascii="宋体" w:hAnsi="宋体" w:cs="宋体" w:hint="eastAsia"/>
                <w:szCs w:val="21"/>
              </w:rPr>
              <w:t>30-50元/㎡</w:t>
            </w:r>
          </w:p>
        </w:tc>
        <w:tc>
          <w:tcPr>
            <w:tcW w:w="1515" w:type="pct"/>
            <w:gridSpan w:val="2"/>
            <w:vMerge/>
            <w:vAlign w:val="center"/>
          </w:tcPr>
          <w:p w14:paraId="053F7121" w14:textId="77777777" w:rsidR="00A320E6" w:rsidRDefault="00A320E6" w:rsidP="00AE0286">
            <w:pPr>
              <w:jc w:val="left"/>
              <w:rPr>
                <w:rFonts w:ascii="宋体" w:hAnsi="宋体" w:cs="宋体"/>
                <w:kern w:val="0"/>
                <w:szCs w:val="21"/>
              </w:rPr>
            </w:pPr>
          </w:p>
        </w:tc>
      </w:tr>
      <w:tr w:rsidR="00A320E6" w14:paraId="13FCFD1D" w14:textId="77777777" w:rsidTr="00A1539E">
        <w:trPr>
          <w:trHeight w:val="454"/>
          <w:jc w:val="center"/>
        </w:trPr>
        <w:tc>
          <w:tcPr>
            <w:tcW w:w="375" w:type="pct"/>
            <w:vMerge/>
            <w:tcBorders>
              <w:left w:val="single" w:sz="4" w:space="0" w:color="auto"/>
              <w:right w:val="single" w:sz="4" w:space="0" w:color="auto"/>
            </w:tcBorders>
            <w:vAlign w:val="center"/>
          </w:tcPr>
          <w:p w14:paraId="50DB2C94"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034A02B6"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4956A488" w14:textId="77777777" w:rsidR="00A320E6" w:rsidRDefault="00000000" w:rsidP="00AE0286">
            <w:pPr>
              <w:rPr>
                <w:rFonts w:ascii="宋体" w:hAnsi="宋体" w:cs="宋体"/>
                <w:szCs w:val="21"/>
              </w:rPr>
            </w:pPr>
            <w:r>
              <w:rPr>
                <w:rFonts w:ascii="宋体" w:hAnsi="宋体" w:cs="宋体" w:hint="eastAsia"/>
                <w:szCs w:val="21"/>
              </w:rPr>
              <w:t>水泥硬化（厚度：5-10㎝）</w:t>
            </w:r>
          </w:p>
        </w:tc>
        <w:tc>
          <w:tcPr>
            <w:tcW w:w="1049" w:type="pct"/>
            <w:tcBorders>
              <w:top w:val="single" w:sz="4" w:space="0" w:color="auto"/>
              <w:left w:val="single" w:sz="4" w:space="0" w:color="auto"/>
              <w:bottom w:val="single" w:sz="4" w:space="0" w:color="auto"/>
            </w:tcBorders>
            <w:vAlign w:val="center"/>
          </w:tcPr>
          <w:p w14:paraId="1BF2D9E4" w14:textId="77777777" w:rsidR="00A320E6" w:rsidRDefault="00000000" w:rsidP="00AE0286">
            <w:pPr>
              <w:jc w:val="center"/>
              <w:rPr>
                <w:rFonts w:ascii="宋体" w:hAnsi="宋体" w:cs="宋体"/>
                <w:szCs w:val="21"/>
              </w:rPr>
            </w:pPr>
            <w:r>
              <w:rPr>
                <w:rFonts w:ascii="宋体" w:hAnsi="宋体" w:cs="宋体" w:hint="eastAsia"/>
                <w:szCs w:val="21"/>
              </w:rPr>
              <w:t>50-70元/㎡</w:t>
            </w:r>
          </w:p>
        </w:tc>
        <w:tc>
          <w:tcPr>
            <w:tcW w:w="1515" w:type="pct"/>
            <w:gridSpan w:val="2"/>
            <w:vMerge/>
            <w:vAlign w:val="center"/>
          </w:tcPr>
          <w:p w14:paraId="4E9DBA32" w14:textId="77777777" w:rsidR="00A320E6" w:rsidRDefault="00A320E6" w:rsidP="00AE0286">
            <w:pPr>
              <w:jc w:val="left"/>
              <w:rPr>
                <w:rFonts w:ascii="宋体" w:hAnsi="宋体" w:cs="宋体"/>
                <w:kern w:val="0"/>
                <w:szCs w:val="21"/>
              </w:rPr>
            </w:pPr>
          </w:p>
        </w:tc>
      </w:tr>
      <w:tr w:rsidR="00A320E6" w14:paraId="15D719BC" w14:textId="77777777" w:rsidTr="00A1539E">
        <w:trPr>
          <w:trHeight w:val="454"/>
          <w:jc w:val="center"/>
        </w:trPr>
        <w:tc>
          <w:tcPr>
            <w:tcW w:w="375" w:type="pct"/>
            <w:vMerge/>
            <w:tcBorders>
              <w:left w:val="single" w:sz="4" w:space="0" w:color="auto"/>
              <w:right w:val="single" w:sz="4" w:space="0" w:color="auto"/>
            </w:tcBorders>
            <w:vAlign w:val="center"/>
          </w:tcPr>
          <w:p w14:paraId="6B86F90E"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340D7EC7"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4C57954" w14:textId="77777777" w:rsidR="00A320E6" w:rsidRDefault="00000000" w:rsidP="00AE0286">
            <w:pPr>
              <w:rPr>
                <w:rFonts w:ascii="宋体" w:hAnsi="宋体" w:cs="宋体"/>
                <w:szCs w:val="21"/>
              </w:rPr>
            </w:pPr>
            <w:r>
              <w:rPr>
                <w:rFonts w:ascii="宋体" w:hAnsi="宋体" w:cs="宋体" w:hint="eastAsia"/>
                <w:szCs w:val="21"/>
              </w:rPr>
              <w:t>水泥硬化（厚度：10-18㎝）</w:t>
            </w:r>
          </w:p>
        </w:tc>
        <w:tc>
          <w:tcPr>
            <w:tcW w:w="1049" w:type="pct"/>
            <w:tcBorders>
              <w:top w:val="single" w:sz="4" w:space="0" w:color="auto"/>
              <w:left w:val="single" w:sz="4" w:space="0" w:color="auto"/>
              <w:bottom w:val="single" w:sz="4" w:space="0" w:color="auto"/>
            </w:tcBorders>
            <w:vAlign w:val="center"/>
          </w:tcPr>
          <w:p w14:paraId="26CC479C" w14:textId="77777777" w:rsidR="00A320E6" w:rsidRDefault="00000000" w:rsidP="00AE0286">
            <w:pPr>
              <w:jc w:val="center"/>
              <w:rPr>
                <w:rFonts w:ascii="宋体" w:hAnsi="宋体" w:cs="宋体"/>
                <w:szCs w:val="21"/>
              </w:rPr>
            </w:pPr>
            <w:r>
              <w:rPr>
                <w:rFonts w:ascii="宋体" w:hAnsi="宋体" w:cs="宋体" w:hint="eastAsia"/>
                <w:szCs w:val="21"/>
              </w:rPr>
              <w:t>70-120元/㎡</w:t>
            </w:r>
          </w:p>
        </w:tc>
        <w:tc>
          <w:tcPr>
            <w:tcW w:w="1515" w:type="pct"/>
            <w:gridSpan w:val="2"/>
            <w:vMerge/>
            <w:vAlign w:val="center"/>
          </w:tcPr>
          <w:p w14:paraId="05E3F914" w14:textId="77777777" w:rsidR="00A320E6" w:rsidRDefault="00A320E6" w:rsidP="00AE0286">
            <w:pPr>
              <w:jc w:val="left"/>
              <w:rPr>
                <w:rFonts w:ascii="宋体" w:hAnsi="宋体" w:cs="宋体"/>
                <w:kern w:val="0"/>
                <w:szCs w:val="21"/>
              </w:rPr>
            </w:pPr>
          </w:p>
        </w:tc>
      </w:tr>
      <w:tr w:rsidR="00A320E6" w14:paraId="4A468D52" w14:textId="77777777" w:rsidTr="00A1539E">
        <w:trPr>
          <w:trHeight w:val="454"/>
          <w:jc w:val="center"/>
        </w:trPr>
        <w:tc>
          <w:tcPr>
            <w:tcW w:w="375" w:type="pct"/>
            <w:vMerge/>
            <w:tcBorders>
              <w:left w:val="single" w:sz="4" w:space="0" w:color="auto"/>
              <w:right w:val="single" w:sz="4" w:space="0" w:color="auto"/>
            </w:tcBorders>
            <w:vAlign w:val="center"/>
          </w:tcPr>
          <w:p w14:paraId="7802EDE0"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36CAD80"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B48DC8C" w14:textId="77777777" w:rsidR="00A320E6" w:rsidRDefault="00000000" w:rsidP="00AE0286">
            <w:pPr>
              <w:rPr>
                <w:rFonts w:ascii="宋体" w:hAnsi="宋体" w:cs="宋体"/>
                <w:kern w:val="0"/>
                <w:szCs w:val="21"/>
              </w:rPr>
            </w:pPr>
            <w:r>
              <w:rPr>
                <w:rFonts w:ascii="宋体" w:hAnsi="宋体" w:cs="宋体" w:hint="eastAsia"/>
                <w:szCs w:val="21"/>
              </w:rPr>
              <w:t>水泥硬化（厚度：18㎝以上）</w:t>
            </w:r>
          </w:p>
        </w:tc>
        <w:tc>
          <w:tcPr>
            <w:tcW w:w="1049" w:type="pct"/>
            <w:tcBorders>
              <w:top w:val="single" w:sz="4" w:space="0" w:color="auto"/>
              <w:left w:val="single" w:sz="4" w:space="0" w:color="auto"/>
              <w:bottom w:val="single" w:sz="4" w:space="0" w:color="auto"/>
            </w:tcBorders>
            <w:vAlign w:val="center"/>
          </w:tcPr>
          <w:p w14:paraId="5541A08E" w14:textId="77777777" w:rsidR="00A320E6" w:rsidRDefault="00000000" w:rsidP="00AE0286">
            <w:pPr>
              <w:jc w:val="center"/>
              <w:rPr>
                <w:rFonts w:ascii="宋体" w:hAnsi="宋体" w:cs="宋体"/>
                <w:szCs w:val="21"/>
              </w:rPr>
            </w:pPr>
            <w:r>
              <w:rPr>
                <w:rFonts w:ascii="宋体" w:hAnsi="宋体" w:cs="宋体" w:hint="eastAsia"/>
                <w:szCs w:val="21"/>
              </w:rPr>
              <w:t>120-140元/㎡</w:t>
            </w:r>
          </w:p>
        </w:tc>
        <w:tc>
          <w:tcPr>
            <w:tcW w:w="1515" w:type="pct"/>
            <w:gridSpan w:val="2"/>
            <w:vMerge/>
            <w:vAlign w:val="center"/>
          </w:tcPr>
          <w:p w14:paraId="51B93C2E" w14:textId="77777777" w:rsidR="00A320E6" w:rsidRDefault="00A320E6" w:rsidP="00AE0286">
            <w:pPr>
              <w:jc w:val="left"/>
              <w:rPr>
                <w:rFonts w:ascii="宋体" w:hAnsi="宋体" w:cs="宋体"/>
                <w:kern w:val="0"/>
                <w:szCs w:val="21"/>
              </w:rPr>
            </w:pPr>
          </w:p>
        </w:tc>
      </w:tr>
      <w:tr w:rsidR="00A320E6" w14:paraId="5E89E5CE" w14:textId="77777777" w:rsidTr="00A1539E">
        <w:trPr>
          <w:trHeight w:val="454"/>
          <w:jc w:val="center"/>
        </w:trPr>
        <w:tc>
          <w:tcPr>
            <w:tcW w:w="375" w:type="pct"/>
            <w:vMerge/>
            <w:tcBorders>
              <w:left w:val="single" w:sz="4" w:space="0" w:color="auto"/>
              <w:right w:val="single" w:sz="4" w:space="0" w:color="auto"/>
            </w:tcBorders>
            <w:vAlign w:val="center"/>
          </w:tcPr>
          <w:p w14:paraId="0FA8701D"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4BE1BC89"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E0AAFDC" w14:textId="77777777" w:rsidR="00A320E6" w:rsidRDefault="00000000" w:rsidP="00AE0286">
            <w:pPr>
              <w:rPr>
                <w:rFonts w:ascii="宋体" w:hAnsi="宋体" w:cs="宋体"/>
                <w:szCs w:val="21"/>
              </w:rPr>
            </w:pPr>
            <w:r>
              <w:rPr>
                <w:rFonts w:ascii="宋体" w:hAnsi="宋体" w:cs="宋体" w:hint="eastAsia"/>
                <w:szCs w:val="21"/>
              </w:rPr>
              <w:t>花砖地面</w:t>
            </w:r>
          </w:p>
        </w:tc>
        <w:tc>
          <w:tcPr>
            <w:tcW w:w="1049" w:type="pct"/>
            <w:tcBorders>
              <w:top w:val="single" w:sz="4" w:space="0" w:color="auto"/>
              <w:left w:val="single" w:sz="4" w:space="0" w:color="auto"/>
              <w:bottom w:val="single" w:sz="4" w:space="0" w:color="auto"/>
            </w:tcBorders>
            <w:vAlign w:val="center"/>
          </w:tcPr>
          <w:p w14:paraId="6B094776" w14:textId="77777777" w:rsidR="00A320E6" w:rsidRDefault="00000000" w:rsidP="00AE0286">
            <w:pPr>
              <w:jc w:val="center"/>
              <w:rPr>
                <w:rFonts w:ascii="宋体" w:hAnsi="宋体" w:cs="宋体"/>
                <w:szCs w:val="21"/>
              </w:rPr>
            </w:pPr>
            <w:r>
              <w:rPr>
                <w:rFonts w:ascii="宋体" w:hAnsi="宋体" w:cs="宋体" w:hint="eastAsia"/>
                <w:szCs w:val="21"/>
              </w:rPr>
              <w:t>60-80元/㎡</w:t>
            </w:r>
          </w:p>
        </w:tc>
        <w:tc>
          <w:tcPr>
            <w:tcW w:w="1515" w:type="pct"/>
            <w:gridSpan w:val="2"/>
            <w:vMerge/>
            <w:vAlign w:val="center"/>
          </w:tcPr>
          <w:p w14:paraId="5E077114" w14:textId="77777777" w:rsidR="00A320E6" w:rsidRDefault="00A320E6" w:rsidP="00AE0286">
            <w:pPr>
              <w:jc w:val="left"/>
              <w:rPr>
                <w:rFonts w:ascii="宋体" w:hAnsi="宋体" w:cs="宋体"/>
                <w:kern w:val="0"/>
                <w:szCs w:val="21"/>
              </w:rPr>
            </w:pPr>
          </w:p>
        </w:tc>
      </w:tr>
      <w:tr w:rsidR="00A320E6" w14:paraId="1940C078" w14:textId="77777777" w:rsidTr="00A1539E">
        <w:trPr>
          <w:trHeight w:val="454"/>
          <w:jc w:val="center"/>
        </w:trPr>
        <w:tc>
          <w:tcPr>
            <w:tcW w:w="375" w:type="pct"/>
            <w:vMerge/>
            <w:tcBorders>
              <w:left w:val="single" w:sz="4" w:space="0" w:color="auto"/>
              <w:right w:val="single" w:sz="4" w:space="0" w:color="auto"/>
            </w:tcBorders>
            <w:vAlign w:val="center"/>
          </w:tcPr>
          <w:p w14:paraId="6B41EBFF"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B077F82"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49B39164"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其它硬化</w:t>
            </w:r>
          </w:p>
        </w:tc>
        <w:tc>
          <w:tcPr>
            <w:tcW w:w="1049" w:type="pct"/>
            <w:tcBorders>
              <w:top w:val="single" w:sz="4" w:space="0" w:color="auto"/>
              <w:left w:val="single" w:sz="4" w:space="0" w:color="auto"/>
              <w:bottom w:val="single" w:sz="4" w:space="0" w:color="auto"/>
            </w:tcBorders>
            <w:vAlign w:val="center"/>
          </w:tcPr>
          <w:p w14:paraId="08DD8A24" w14:textId="77777777" w:rsidR="00A320E6" w:rsidRDefault="00000000" w:rsidP="00AE0286">
            <w:pPr>
              <w:jc w:val="center"/>
              <w:rPr>
                <w:rFonts w:ascii="宋体" w:hAnsi="宋体" w:cs="宋体"/>
                <w:szCs w:val="21"/>
              </w:rPr>
            </w:pPr>
            <w:r>
              <w:rPr>
                <w:rFonts w:ascii="宋体" w:hAnsi="宋体" w:cs="宋体" w:hint="eastAsia"/>
                <w:szCs w:val="21"/>
              </w:rPr>
              <w:t>25-40元/㎡</w:t>
            </w:r>
          </w:p>
        </w:tc>
        <w:tc>
          <w:tcPr>
            <w:tcW w:w="1515" w:type="pct"/>
            <w:gridSpan w:val="2"/>
            <w:vMerge/>
            <w:vAlign w:val="center"/>
          </w:tcPr>
          <w:p w14:paraId="36092E44" w14:textId="77777777" w:rsidR="00A320E6" w:rsidRDefault="00A320E6" w:rsidP="00AE0286">
            <w:pPr>
              <w:jc w:val="left"/>
              <w:rPr>
                <w:rFonts w:ascii="宋体" w:hAnsi="宋体" w:cs="宋体"/>
                <w:kern w:val="0"/>
                <w:szCs w:val="21"/>
              </w:rPr>
            </w:pPr>
          </w:p>
        </w:tc>
      </w:tr>
      <w:tr w:rsidR="00A320E6" w14:paraId="10B905AB" w14:textId="77777777" w:rsidTr="00A1539E">
        <w:trPr>
          <w:trHeight w:val="613"/>
          <w:jc w:val="center"/>
        </w:trPr>
        <w:tc>
          <w:tcPr>
            <w:tcW w:w="375" w:type="pct"/>
            <w:vMerge w:val="restart"/>
            <w:tcBorders>
              <w:left w:val="single" w:sz="4" w:space="0" w:color="auto"/>
              <w:right w:val="single" w:sz="4" w:space="0" w:color="auto"/>
            </w:tcBorders>
            <w:vAlign w:val="center"/>
          </w:tcPr>
          <w:p w14:paraId="6424864C" w14:textId="77777777" w:rsidR="00A320E6" w:rsidRDefault="00000000" w:rsidP="00AE0286">
            <w:pPr>
              <w:jc w:val="center"/>
              <w:rPr>
                <w:rFonts w:ascii="宋体" w:hAnsi="宋体" w:cs="宋体"/>
                <w:szCs w:val="21"/>
              </w:rPr>
            </w:pPr>
            <w:r>
              <w:rPr>
                <w:rFonts w:ascii="宋体" w:hAnsi="宋体" w:cs="宋体" w:hint="eastAsia"/>
                <w:szCs w:val="21"/>
              </w:rPr>
              <w:t>9</w:t>
            </w:r>
          </w:p>
        </w:tc>
        <w:tc>
          <w:tcPr>
            <w:tcW w:w="401" w:type="pct"/>
            <w:vMerge w:val="restart"/>
            <w:tcBorders>
              <w:left w:val="single" w:sz="4" w:space="0" w:color="auto"/>
              <w:right w:val="single" w:sz="4" w:space="0" w:color="auto"/>
            </w:tcBorders>
            <w:vAlign w:val="center"/>
          </w:tcPr>
          <w:p w14:paraId="6840EF1E" w14:textId="77777777" w:rsidR="00A320E6" w:rsidRDefault="00000000" w:rsidP="00AE0286">
            <w:pPr>
              <w:jc w:val="center"/>
              <w:rPr>
                <w:rFonts w:ascii="宋体" w:hAnsi="宋体" w:cs="宋体"/>
                <w:kern w:val="0"/>
                <w:szCs w:val="21"/>
              </w:rPr>
            </w:pPr>
            <w:r>
              <w:rPr>
                <w:rFonts w:ascii="宋体" w:hAnsi="宋体" w:cs="宋体" w:hint="eastAsia"/>
                <w:kern w:val="0"/>
                <w:szCs w:val="21"/>
              </w:rPr>
              <w:t>水井</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E22461D" w14:textId="77777777" w:rsidR="00A320E6" w:rsidRDefault="00000000" w:rsidP="00AE0286">
            <w:pPr>
              <w:rPr>
                <w:rFonts w:ascii="宋体" w:hAnsi="宋体" w:cs="宋体"/>
                <w:szCs w:val="21"/>
              </w:rPr>
            </w:pPr>
            <w:r>
              <w:rPr>
                <w:rFonts w:ascii="宋体" w:hAnsi="宋体" w:cs="宋体" w:hint="eastAsia"/>
                <w:szCs w:val="21"/>
              </w:rPr>
              <w:t>压水井</w:t>
            </w:r>
          </w:p>
        </w:tc>
        <w:tc>
          <w:tcPr>
            <w:tcW w:w="1049" w:type="pct"/>
            <w:tcBorders>
              <w:top w:val="single" w:sz="4" w:space="0" w:color="auto"/>
              <w:left w:val="single" w:sz="4" w:space="0" w:color="auto"/>
              <w:bottom w:val="single" w:sz="4" w:space="0" w:color="auto"/>
            </w:tcBorders>
            <w:vAlign w:val="center"/>
          </w:tcPr>
          <w:p w14:paraId="23E895D0" w14:textId="77777777" w:rsidR="00A320E6" w:rsidRDefault="00000000" w:rsidP="00AE0286">
            <w:pPr>
              <w:jc w:val="center"/>
              <w:rPr>
                <w:rFonts w:ascii="宋体" w:hAnsi="宋体" w:cs="宋体"/>
                <w:szCs w:val="21"/>
              </w:rPr>
            </w:pPr>
            <w:r>
              <w:rPr>
                <w:rFonts w:ascii="宋体" w:hAnsi="宋体" w:cs="宋体" w:hint="eastAsia"/>
                <w:szCs w:val="21"/>
              </w:rPr>
              <w:t>300元/眼</w:t>
            </w:r>
          </w:p>
        </w:tc>
        <w:tc>
          <w:tcPr>
            <w:tcW w:w="1515" w:type="pct"/>
            <w:gridSpan w:val="2"/>
            <w:vMerge w:val="restart"/>
            <w:vAlign w:val="center"/>
          </w:tcPr>
          <w:p w14:paraId="2CC806C9"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1、水井补偿包括开凿工程、用料及用工等费用。2、废、枯井按同类井补偿标准30%补偿。3、机井按井深分段计算补偿，单井控制灌溉面积应符合国家相关文件、规范要求。</w:t>
            </w:r>
          </w:p>
        </w:tc>
      </w:tr>
      <w:tr w:rsidR="00A320E6" w14:paraId="40DE0F4E" w14:textId="77777777" w:rsidTr="00A1539E">
        <w:trPr>
          <w:trHeight w:val="576"/>
          <w:jc w:val="center"/>
        </w:trPr>
        <w:tc>
          <w:tcPr>
            <w:tcW w:w="375" w:type="pct"/>
            <w:vMerge/>
            <w:tcBorders>
              <w:left w:val="single" w:sz="4" w:space="0" w:color="auto"/>
              <w:right w:val="single" w:sz="4" w:space="0" w:color="auto"/>
            </w:tcBorders>
            <w:vAlign w:val="center"/>
          </w:tcPr>
          <w:p w14:paraId="251B30E3"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1F2F3E0C"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726C1412" w14:textId="77777777" w:rsidR="00A320E6" w:rsidRDefault="00000000" w:rsidP="00AE0286">
            <w:pPr>
              <w:rPr>
                <w:rFonts w:ascii="宋体" w:hAnsi="宋体" w:cs="宋体"/>
                <w:szCs w:val="21"/>
              </w:rPr>
            </w:pPr>
            <w:r>
              <w:rPr>
                <w:rFonts w:ascii="宋体" w:hAnsi="宋体" w:cs="宋体" w:hint="eastAsia"/>
                <w:szCs w:val="21"/>
              </w:rPr>
              <w:t>下管井</w:t>
            </w:r>
          </w:p>
        </w:tc>
        <w:tc>
          <w:tcPr>
            <w:tcW w:w="1049" w:type="pct"/>
            <w:tcBorders>
              <w:top w:val="single" w:sz="4" w:space="0" w:color="auto"/>
              <w:left w:val="single" w:sz="4" w:space="0" w:color="auto"/>
              <w:bottom w:val="single" w:sz="4" w:space="0" w:color="auto"/>
            </w:tcBorders>
            <w:vAlign w:val="center"/>
          </w:tcPr>
          <w:p w14:paraId="374ADBD8" w14:textId="77777777" w:rsidR="00A320E6" w:rsidRDefault="00000000" w:rsidP="00AE0286">
            <w:pPr>
              <w:jc w:val="center"/>
              <w:rPr>
                <w:rFonts w:ascii="宋体" w:hAnsi="宋体" w:cs="宋体"/>
                <w:szCs w:val="21"/>
              </w:rPr>
            </w:pPr>
            <w:r>
              <w:rPr>
                <w:rFonts w:ascii="宋体" w:hAnsi="宋体" w:cs="宋体" w:hint="eastAsia"/>
                <w:szCs w:val="21"/>
              </w:rPr>
              <w:t>1200-1400元/眼</w:t>
            </w:r>
          </w:p>
        </w:tc>
        <w:tc>
          <w:tcPr>
            <w:tcW w:w="1515" w:type="pct"/>
            <w:gridSpan w:val="2"/>
            <w:vMerge/>
            <w:vAlign w:val="center"/>
          </w:tcPr>
          <w:p w14:paraId="4DE0B71F" w14:textId="77777777" w:rsidR="00A320E6" w:rsidRDefault="00A320E6" w:rsidP="00AE0286">
            <w:pPr>
              <w:jc w:val="left"/>
              <w:rPr>
                <w:rFonts w:ascii="宋体" w:hAnsi="宋体" w:cs="宋体"/>
                <w:kern w:val="0"/>
                <w:szCs w:val="21"/>
              </w:rPr>
            </w:pPr>
          </w:p>
        </w:tc>
      </w:tr>
      <w:tr w:rsidR="00A320E6" w14:paraId="5DAAC0A5" w14:textId="77777777" w:rsidTr="00A1539E">
        <w:trPr>
          <w:trHeight w:val="545"/>
          <w:jc w:val="center"/>
        </w:trPr>
        <w:tc>
          <w:tcPr>
            <w:tcW w:w="375" w:type="pct"/>
            <w:vMerge/>
            <w:tcBorders>
              <w:left w:val="single" w:sz="4" w:space="0" w:color="auto"/>
              <w:right w:val="single" w:sz="4" w:space="0" w:color="auto"/>
            </w:tcBorders>
            <w:vAlign w:val="center"/>
          </w:tcPr>
          <w:p w14:paraId="21FE0485"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9002C59"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val="restart"/>
            <w:tcBorders>
              <w:top w:val="single" w:sz="4" w:space="0" w:color="auto"/>
              <w:left w:val="single" w:sz="4" w:space="0" w:color="auto"/>
              <w:right w:val="single" w:sz="4" w:space="0" w:color="auto"/>
            </w:tcBorders>
            <w:vAlign w:val="center"/>
          </w:tcPr>
          <w:p w14:paraId="06B2177F" w14:textId="77777777" w:rsidR="00A320E6" w:rsidRDefault="00000000" w:rsidP="00AE0286">
            <w:pPr>
              <w:rPr>
                <w:rFonts w:ascii="宋体" w:hAnsi="宋体" w:cs="宋体"/>
                <w:szCs w:val="21"/>
              </w:rPr>
            </w:pPr>
            <w:r>
              <w:rPr>
                <w:rFonts w:ascii="宋体" w:hAnsi="宋体" w:cs="宋体" w:hint="eastAsia"/>
                <w:szCs w:val="21"/>
              </w:rPr>
              <w:t>机井</w:t>
            </w:r>
          </w:p>
        </w:tc>
        <w:tc>
          <w:tcPr>
            <w:tcW w:w="1323" w:type="pct"/>
            <w:tcBorders>
              <w:top w:val="single" w:sz="4" w:space="0" w:color="auto"/>
              <w:left w:val="single" w:sz="4" w:space="0" w:color="auto"/>
              <w:bottom w:val="single" w:sz="4" w:space="0" w:color="auto"/>
              <w:right w:val="single" w:sz="4" w:space="0" w:color="auto"/>
            </w:tcBorders>
            <w:vAlign w:val="center"/>
          </w:tcPr>
          <w:p w14:paraId="793C0959" w14:textId="77777777" w:rsidR="00A320E6" w:rsidRDefault="00000000" w:rsidP="00AE0286">
            <w:pPr>
              <w:rPr>
                <w:rFonts w:ascii="宋体" w:hAnsi="宋体" w:cs="宋体"/>
                <w:szCs w:val="21"/>
              </w:rPr>
            </w:pPr>
            <w:r>
              <w:rPr>
                <w:rFonts w:ascii="宋体" w:hAnsi="宋体" w:cs="宋体" w:hint="eastAsia"/>
                <w:szCs w:val="21"/>
              </w:rPr>
              <w:t>深20-50m（含50m）</w:t>
            </w:r>
          </w:p>
        </w:tc>
        <w:tc>
          <w:tcPr>
            <w:tcW w:w="1049" w:type="pct"/>
            <w:tcBorders>
              <w:top w:val="single" w:sz="4" w:space="0" w:color="auto"/>
              <w:left w:val="single" w:sz="4" w:space="0" w:color="auto"/>
              <w:bottom w:val="single" w:sz="4" w:space="0" w:color="auto"/>
            </w:tcBorders>
            <w:vAlign w:val="center"/>
          </w:tcPr>
          <w:p w14:paraId="0F3F8D9A" w14:textId="77777777" w:rsidR="00A320E6" w:rsidRDefault="00000000" w:rsidP="00AE0286">
            <w:pPr>
              <w:jc w:val="center"/>
              <w:rPr>
                <w:rFonts w:ascii="宋体" w:hAnsi="宋体" w:cs="宋体"/>
                <w:szCs w:val="21"/>
              </w:rPr>
            </w:pPr>
            <w:r>
              <w:rPr>
                <w:rFonts w:ascii="宋体" w:hAnsi="宋体" w:cs="宋体" w:hint="eastAsia"/>
                <w:szCs w:val="21"/>
              </w:rPr>
              <w:t>200-250元/ｍ</w:t>
            </w:r>
          </w:p>
        </w:tc>
        <w:tc>
          <w:tcPr>
            <w:tcW w:w="1515" w:type="pct"/>
            <w:gridSpan w:val="2"/>
            <w:vMerge/>
            <w:vAlign w:val="center"/>
          </w:tcPr>
          <w:p w14:paraId="14280093" w14:textId="77777777" w:rsidR="00A320E6" w:rsidRDefault="00A320E6" w:rsidP="00AE0286">
            <w:pPr>
              <w:jc w:val="left"/>
              <w:rPr>
                <w:rFonts w:ascii="宋体" w:hAnsi="宋体" w:cs="宋体"/>
                <w:kern w:val="0"/>
                <w:szCs w:val="21"/>
              </w:rPr>
            </w:pPr>
          </w:p>
        </w:tc>
      </w:tr>
      <w:tr w:rsidR="00A320E6" w14:paraId="5661F2E2" w14:textId="77777777" w:rsidTr="00A1539E">
        <w:trPr>
          <w:trHeight w:val="527"/>
          <w:jc w:val="center"/>
        </w:trPr>
        <w:tc>
          <w:tcPr>
            <w:tcW w:w="375" w:type="pct"/>
            <w:vMerge/>
            <w:tcBorders>
              <w:left w:val="single" w:sz="4" w:space="0" w:color="auto"/>
              <w:bottom w:val="single" w:sz="4" w:space="0" w:color="auto"/>
              <w:right w:val="single" w:sz="4" w:space="0" w:color="auto"/>
            </w:tcBorders>
            <w:vAlign w:val="center"/>
          </w:tcPr>
          <w:p w14:paraId="7AAD7173" w14:textId="77777777" w:rsidR="00A320E6" w:rsidRDefault="00A320E6" w:rsidP="00AE0286">
            <w:pPr>
              <w:jc w:val="center"/>
              <w:rPr>
                <w:rFonts w:ascii="宋体" w:hAnsi="宋体" w:cs="宋体"/>
                <w:szCs w:val="21"/>
              </w:rPr>
            </w:pPr>
          </w:p>
        </w:tc>
        <w:tc>
          <w:tcPr>
            <w:tcW w:w="401" w:type="pct"/>
            <w:vMerge/>
            <w:tcBorders>
              <w:left w:val="single" w:sz="4" w:space="0" w:color="auto"/>
              <w:bottom w:val="single" w:sz="4" w:space="0" w:color="auto"/>
              <w:right w:val="single" w:sz="4" w:space="0" w:color="auto"/>
            </w:tcBorders>
            <w:vAlign w:val="center"/>
          </w:tcPr>
          <w:p w14:paraId="6AE63E1D"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tcBorders>
              <w:left w:val="single" w:sz="4" w:space="0" w:color="auto"/>
              <w:bottom w:val="single" w:sz="4" w:space="0" w:color="auto"/>
              <w:right w:val="single" w:sz="4" w:space="0" w:color="auto"/>
            </w:tcBorders>
            <w:vAlign w:val="center"/>
          </w:tcPr>
          <w:p w14:paraId="1DE9C9C3" w14:textId="77777777" w:rsidR="00A320E6" w:rsidRDefault="00A320E6" w:rsidP="00AE0286">
            <w:pPr>
              <w:rPr>
                <w:rFonts w:ascii="宋体" w:hAnsi="宋体" w:cs="宋体"/>
                <w:szCs w:val="21"/>
              </w:rPr>
            </w:pPr>
          </w:p>
        </w:tc>
        <w:tc>
          <w:tcPr>
            <w:tcW w:w="1323" w:type="pct"/>
            <w:tcBorders>
              <w:top w:val="single" w:sz="4" w:space="0" w:color="auto"/>
              <w:left w:val="single" w:sz="4" w:space="0" w:color="auto"/>
              <w:bottom w:val="single" w:sz="4" w:space="0" w:color="auto"/>
              <w:right w:val="single" w:sz="4" w:space="0" w:color="auto"/>
            </w:tcBorders>
            <w:vAlign w:val="center"/>
          </w:tcPr>
          <w:p w14:paraId="2CEDEE9F" w14:textId="77777777" w:rsidR="00A320E6" w:rsidRDefault="00000000" w:rsidP="00AE0286">
            <w:pPr>
              <w:rPr>
                <w:rFonts w:ascii="宋体" w:hAnsi="宋体" w:cs="宋体"/>
                <w:szCs w:val="21"/>
              </w:rPr>
            </w:pPr>
            <w:r>
              <w:rPr>
                <w:rFonts w:ascii="宋体" w:hAnsi="宋体" w:cs="宋体" w:hint="eastAsia"/>
                <w:szCs w:val="21"/>
              </w:rPr>
              <w:t>深50-100m（含100m）</w:t>
            </w:r>
          </w:p>
        </w:tc>
        <w:tc>
          <w:tcPr>
            <w:tcW w:w="1049" w:type="pct"/>
            <w:tcBorders>
              <w:top w:val="single" w:sz="4" w:space="0" w:color="auto"/>
              <w:left w:val="single" w:sz="4" w:space="0" w:color="auto"/>
              <w:bottom w:val="single" w:sz="4" w:space="0" w:color="auto"/>
            </w:tcBorders>
            <w:vAlign w:val="center"/>
          </w:tcPr>
          <w:p w14:paraId="3EE806C1" w14:textId="77777777" w:rsidR="00A320E6" w:rsidRDefault="00000000" w:rsidP="00AE0286">
            <w:pPr>
              <w:jc w:val="center"/>
              <w:rPr>
                <w:rFonts w:ascii="宋体" w:hAnsi="宋体" w:cs="宋体"/>
                <w:szCs w:val="21"/>
              </w:rPr>
            </w:pPr>
            <w:r>
              <w:rPr>
                <w:rFonts w:ascii="宋体" w:hAnsi="宋体" w:cs="宋体" w:hint="eastAsia"/>
                <w:szCs w:val="21"/>
              </w:rPr>
              <w:t>250-300元/ｍ</w:t>
            </w:r>
          </w:p>
        </w:tc>
        <w:tc>
          <w:tcPr>
            <w:tcW w:w="1515" w:type="pct"/>
            <w:gridSpan w:val="2"/>
            <w:vMerge/>
            <w:tcBorders>
              <w:bottom w:val="single" w:sz="4" w:space="0" w:color="auto"/>
            </w:tcBorders>
            <w:vAlign w:val="center"/>
          </w:tcPr>
          <w:p w14:paraId="6657EE68" w14:textId="77777777" w:rsidR="00A320E6" w:rsidRDefault="00A320E6" w:rsidP="00AE0286">
            <w:pPr>
              <w:jc w:val="left"/>
              <w:rPr>
                <w:rFonts w:ascii="宋体" w:hAnsi="宋体" w:cs="宋体"/>
                <w:kern w:val="0"/>
                <w:szCs w:val="21"/>
              </w:rPr>
            </w:pPr>
          </w:p>
        </w:tc>
      </w:tr>
      <w:tr w:rsidR="00A320E6" w14:paraId="48DC37A3" w14:textId="77777777" w:rsidTr="00A1539E">
        <w:trPr>
          <w:trHeight w:val="454"/>
          <w:jc w:val="center"/>
        </w:trPr>
        <w:tc>
          <w:tcPr>
            <w:tcW w:w="375" w:type="pct"/>
            <w:vMerge w:val="restart"/>
            <w:tcBorders>
              <w:left w:val="single" w:sz="4" w:space="0" w:color="auto"/>
              <w:bottom w:val="single" w:sz="4" w:space="0" w:color="auto"/>
              <w:right w:val="single" w:sz="4" w:space="0" w:color="auto"/>
            </w:tcBorders>
            <w:vAlign w:val="center"/>
          </w:tcPr>
          <w:p w14:paraId="06AF9F8C" w14:textId="77777777" w:rsidR="00A320E6" w:rsidRDefault="00000000" w:rsidP="00AE0286">
            <w:pPr>
              <w:jc w:val="center"/>
              <w:rPr>
                <w:rFonts w:ascii="宋体" w:hAnsi="宋体" w:cs="宋体"/>
                <w:szCs w:val="21"/>
              </w:rPr>
            </w:pPr>
            <w:r>
              <w:rPr>
                <w:rFonts w:ascii="宋体" w:hAnsi="宋体" w:cs="宋体" w:hint="eastAsia"/>
                <w:szCs w:val="21"/>
              </w:rPr>
              <w:t>10</w:t>
            </w:r>
          </w:p>
        </w:tc>
        <w:tc>
          <w:tcPr>
            <w:tcW w:w="401" w:type="pct"/>
            <w:vMerge w:val="restart"/>
            <w:tcBorders>
              <w:left w:val="single" w:sz="4" w:space="0" w:color="auto"/>
              <w:bottom w:val="single" w:sz="4" w:space="0" w:color="auto"/>
              <w:right w:val="single" w:sz="4" w:space="0" w:color="auto"/>
            </w:tcBorders>
            <w:vAlign w:val="center"/>
          </w:tcPr>
          <w:p w14:paraId="1A88705D" w14:textId="77777777" w:rsidR="00A320E6" w:rsidRDefault="00000000" w:rsidP="00AE0286">
            <w:pPr>
              <w:jc w:val="center"/>
              <w:rPr>
                <w:rFonts w:ascii="宋体" w:hAnsi="宋体" w:cs="宋体"/>
                <w:kern w:val="0"/>
                <w:szCs w:val="21"/>
              </w:rPr>
            </w:pPr>
            <w:r>
              <w:rPr>
                <w:rFonts w:ascii="宋体" w:hAnsi="宋体" w:cs="宋体" w:hint="eastAsia"/>
                <w:kern w:val="0"/>
                <w:szCs w:val="21"/>
              </w:rPr>
              <w:t>温室</w:t>
            </w:r>
          </w:p>
          <w:p w14:paraId="7F4B6397" w14:textId="77777777" w:rsidR="00A320E6" w:rsidRDefault="00000000" w:rsidP="00AE0286">
            <w:pPr>
              <w:jc w:val="center"/>
              <w:rPr>
                <w:rFonts w:ascii="宋体" w:hAnsi="宋体" w:cs="宋体"/>
                <w:kern w:val="0"/>
                <w:szCs w:val="21"/>
              </w:rPr>
            </w:pPr>
            <w:r>
              <w:rPr>
                <w:rFonts w:ascii="宋体" w:hAnsi="宋体" w:cs="宋体" w:hint="eastAsia"/>
                <w:kern w:val="0"/>
                <w:szCs w:val="21"/>
              </w:rPr>
              <w:t>类</w:t>
            </w:r>
          </w:p>
        </w:tc>
        <w:tc>
          <w:tcPr>
            <w:tcW w:w="337" w:type="pct"/>
            <w:vMerge w:val="restart"/>
            <w:tcBorders>
              <w:top w:val="single" w:sz="4" w:space="0" w:color="auto"/>
              <w:left w:val="single" w:sz="4" w:space="0" w:color="auto"/>
              <w:bottom w:val="single" w:sz="4" w:space="0" w:color="auto"/>
              <w:right w:val="single" w:sz="4" w:space="0" w:color="auto"/>
            </w:tcBorders>
            <w:vAlign w:val="center"/>
          </w:tcPr>
          <w:p w14:paraId="0A38A6D2" w14:textId="77777777" w:rsidR="00A320E6" w:rsidRDefault="00000000" w:rsidP="00AE0286">
            <w:pPr>
              <w:rPr>
                <w:rFonts w:ascii="宋体" w:hAnsi="宋体" w:cs="宋体"/>
                <w:szCs w:val="21"/>
              </w:rPr>
            </w:pPr>
            <w:r>
              <w:rPr>
                <w:rFonts w:ascii="宋体" w:hAnsi="宋体" w:cs="宋体" w:hint="eastAsia"/>
                <w:szCs w:val="21"/>
              </w:rPr>
              <w:t>大棚</w:t>
            </w:r>
          </w:p>
        </w:tc>
        <w:tc>
          <w:tcPr>
            <w:tcW w:w="1323" w:type="pct"/>
            <w:tcBorders>
              <w:top w:val="single" w:sz="4" w:space="0" w:color="auto"/>
              <w:left w:val="single" w:sz="4" w:space="0" w:color="auto"/>
              <w:bottom w:val="single" w:sz="4" w:space="0" w:color="auto"/>
              <w:right w:val="single" w:sz="4" w:space="0" w:color="auto"/>
            </w:tcBorders>
            <w:vAlign w:val="center"/>
          </w:tcPr>
          <w:p w14:paraId="3A648FA5" w14:textId="77777777" w:rsidR="00A320E6" w:rsidRDefault="00000000" w:rsidP="00AE0286">
            <w:pPr>
              <w:rPr>
                <w:rFonts w:ascii="宋体" w:hAnsi="宋体" w:cs="宋体"/>
                <w:szCs w:val="21"/>
              </w:rPr>
            </w:pPr>
            <w:r>
              <w:rPr>
                <w:rFonts w:ascii="宋体" w:hAnsi="宋体" w:cs="宋体" w:hint="eastAsia"/>
                <w:szCs w:val="21"/>
              </w:rPr>
              <w:t>钢、砼骨架、塑料薄膜顶、保温墙</w:t>
            </w:r>
          </w:p>
        </w:tc>
        <w:tc>
          <w:tcPr>
            <w:tcW w:w="1049" w:type="pct"/>
            <w:tcBorders>
              <w:top w:val="single" w:sz="4" w:space="0" w:color="auto"/>
              <w:left w:val="single" w:sz="4" w:space="0" w:color="auto"/>
              <w:bottom w:val="single" w:sz="4" w:space="0" w:color="auto"/>
            </w:tcBorders>
            <w:vAlign w:val="center"/>
          </w:tcPr>
          <w:p w14:paraId="3EE7801D" w14:textId="77777777" w:rsidR="00A320E6" w:rsidRDefault="00000000" w:rsidP="00AE0286">
            <w:pPr>
              <w:jc w:val="center"/>
              <w:rPr>
                <w:rFonts w:ascii="宋体" w:hAnsi="宋体" w:cs="宋体"/>
                <w:szCs w:val="21"/>
              </w:rPr>
            </w:pPr>
            <w:r>
              <w:rPr>
                <w:rFonts w:ascii="宋体" w:hAnsi="宋体" w:cs="宋体" w:hint="eastAsia"/>
                <w:szCs w:val="21"/>
              </w:rPr>
              <w:t>120-180元/㎡</w:t>
            </w:r>
          </w:p>
        </w:tc>
        <w:tc>
          <w:tcPr>
            <w:tcW w:w="1515" w:type="pct"/>
            <w:gridSpan w:val="2"/>
            <w:vMerge w:val="restart"/>
            <w:tcBorders>
              <w:bottom w:val="single" w:sz="4" w:space="0" w:color="auto"/>
            </w:tcBorders>
            <w:vAlign w:val="center"/>
          </w:tcPr>
          <w:p w14:paraId="522AA3D6"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1、表中面积是指占地面积。2、旧料归原主。</w:t>
            </w:r>
          </w:p>
        </w:tc>
      </w:tr>
      <w:tr w:rsidR="00A320E6" w14:paraId="4E5FCE05" w14:textId="77777777" w:rsidTr="00A1539E">
        <w:trPr>
          <w:trHeight w:val="454"/>
          <w:jc w:val="center"/>
        </w:trPr>
        <w:tc>
          <w:tcPr>
            <w:tcW w:w="375" w:type="pct"/>
            <w:vMerge/>
            <w:tcBorders>
              <w:left w:val="single" w:sz="4" w:space="0" w:color="auto"/>
              <w:right w:val="single" w:sz="4" w:space="0" w:color="auto"/>
            </w:tcBorders>
            <w:vAlign w:val="center"/>
          </w:tcPr>
          <w:p w14:paraId="434F3B76"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1A8F023"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tcBorders>
              <w:left w:val="single" w:sz="4" w:space="0" w:color="auto"/>
              <w:right w:val="single" w:sz="4" w:space="0" w:color="auto"/>
            </w:tcBorders>
            <w:vAlign w:val="center"/>
          </w:tcPr>
          <w:p w14:paraId="5911597D" w14:textId="77777777" w:rsidR="00A320E6" w:rsidRDefault="00A320E6" w:rsidP="00AE0286">
            <w:pPr>
              <w:rPr>
                <w:rFonts w:ascii="宋体" w:hAnsi="宋体" w:cs="宋体"/>
                <w:szCs w:val="21"/>
              </w:rPr>
            </w:pPr>
          </w:p>
        </w:tc>
        <w:tc>
          <w:tcPr>
            <w:tcW w:w="1323" w:type="pct"/>
            <w:tcBorders>
              <w:top w:val="single" w:sz="4" w:space="0" w:color="auto"/>
              <w:left w:val="single" w:sz="4" w:space="0" w:color="auto"/>
              <w:bottom w:val="single" w:sz="4" w:space="0" w:color="auto"/>
              <w:right w:val="single" w:sz="4" w:space="0" w:color="auto"/>
            </w:tcBorders>
            <w:vAlign w:val="center"/>
          </w:tcPr>
          <w:p w14:paraId="09A2E409" w14:textId="77777777" w:rsidR="00A320E6" w:rsidRDefault="00000000" w:rsidP="00AE0286">
            <w:pPr>
              <w:rPr>
                <w:rFonts w:ascii="宋体" w:hAnsi="宋体" w:cs="宋体"/>
                <w:szCs w:val="21"/>
              </w:rPr>
            </w:pPr>
            <w:r>
              <w:rPr>
                <w:rFonts w:ascii="宋体" w:hAnsi="宋体" w:cs="宋体" w:hint="eastAsia"/>
                <w:szCs w:val="21"/>
              </w:rPr>
              <w:t>简易大拱塑料薄膜棚，跨径5m以上</w:t>
            </w:r>
          </w:p>
        </w:tc>
        <w:tc>
          <w:tcPr>
            <w:tcW w:w="1049" w:type="pct"/>
            <w:tcBorders>
              <w:top w:val="single" w:sz="4" w:space="0" w:color="auto"/>
              <w:left w:val="single" w:sz="4" w:space="0" w:color="auto"/>
              <w:bottom w:val="single" w:sz="4" w:space="0" w:color="auto"/>
            </w:tcBorders>
            <w:vAlign w:val="center"/>
          </w:tcPr>
          <w:p w14:paraId="4912D5A8" w14:textId="77777777" w:rsidR="00A320E6" w:rsidRDefault="00000000" w:rsidP="00AE0286">
            <w:pPr>
              <w:jc w:val="center"/>
              <w:rPr>
                <w:rFonts w:ascii="宋体" w:hAnsi="宋体" w:cs="宋体"/>
                <w:szCs w:val="21"/>
              </w:rPr>
            </w:pPr>
            <w:r>
              <w:rPr>
                <w:rFonts w:ascii="宋体" w:hAnsi="宋体" w:cs="宋体" w:hint="eastAsia"/>
                <w:szCs w:val="21"/>
              </w:rPr>
              <w:t>30-60元/㎡</w:t>
            </w:r>
          </w:p>
        </w:tc>
        <w:tc>
          <w:tcPr>
            <w:tcW w:w="1515" w:type="pct"/>
            <w:gridSpan w:val="2"/>
            <w:vMerge/>
            <w:vAlign w:val="center"/>
          </w:tcPr>
          <w:p w14:paraId="729B6432" w14:textId="77777777" w:rsidR="00A320E6" w:rsidRDefault="00A320E6" w:rsidP="00AE0286">
            <w:pPr>
              <w:jc w:val="left"/>
              <w:rPr>
                <w:rFonts w:ascii="宋体" w:hAnsi="宋体" w:cs="宋体"/>
                <w:kern w:val="0"/>
                <w:szCs w:val="21"/>
              </w:rPr>
            </w:pPr>
          </w:p>
        </w:tc>
      </w:tr>
      <w:tr w:rsidR="00A320E6" w14:paraId="139113AE" w14:textId="77777777" w:rsidTr="00A1539E">
        <w:trPr>
          <w:trHeight w:val="454"/>
          <w:jc w:val="center"/>
        </w:trPr>
        <w:tc>
          <w:tcPr>
            <w:tcW w:w="375" w:type="pct"/>
            <w:vMerge/>
            <w:tcBorders>
              <w:left w:val="single" w:sz="4" w:space="0" w:color="auto"/>
              <w:right w:val="single" w:sz="4" w:space="0" w:color="auto"/>
            </w:tcBorders>
            <w:vAlign w:val="center"/>
          </w:tcPr>
          <w:p w14:paraId="4C6F7965"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6B9100E3"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tcBorders>
              <w:left w:val="single" w:sz="4" w:space="0" w:color="auto"/>
              <w:right w:val="single" w:sz="4" w:space="0" w:color="auto"/>
            </w:tcBorders>
            <w:vAlign w:val="center"/>
          </w:tcPr>
          <w:p w14:paraId="34DC0591" w14:textId="77777777" w:rsidR="00A320E6" w:rsidRDefault="00A320E6" w:rsidP="00AE0286">
            <w:pPr>
              <w:rPr>
                <w:rFonts w:ascii="宋体" w:hAnsi="宋体" w:cs="宋体"/>
                <w:szCs w:val="21"/>
              </w:rPr>
            </w:pPr>
          </w:p>
        </w:tc>
        <w:tc>
          <w:tcPr>
            <w:tcW w:w="1323" w:type="pct"/>
            <w:tcBorders>
              <w:top w:val="single" w:sz="4" w:space="0" w:color="auto"/>
              <w:left w:val="single" w:sz="4" w:space="0" w:color="auto"/>
              <w:bottom w:val="single" w:sz="4" w:space="0" w:color="auto"/>
              <w:right w:val="single" w:sz="4" w:space="0" w:color="auto"/>
            </w:tcBorders>
            <w:vAlign w:val="center"/>
          </w:tcPr>
          <w:p w14:paraId="77CE6450" w14:textId="77777777" w:rsidR="00A320E6" w:rsidRDefault="00000000" w:rsidP="00AE0286">
            <w:pPr>
              <w:rPr>
                <w:rFonts w:ascii="宋体" w:hAnsi="宋体" w:cs="宋体"/>
                <w:szCs w:val="21"/>
              </w:rPr>
            </w:pPr>
            <w:r>
              <w:rPr>
                <w:rFonts w:ascii="宋体" w:hAnsi="宋体" w:cs="宋体" w:hint="eastAsia"/>
                <w:szCs w:val="21"/>
              </w:rPr>
              <w:t>简易小拱塑料薄膜棚</w:t>
            </w:r>
          </w:p>
        </w:tc>
        <w:tc>
          <w:tcPr>
            <w:tcW w:w="1049" w:type="pct"/>
            <w:tcBorders>
              <w:top w:val="single" w:sz="4" w:space="0" w:color="auto"/>
              <w:left w:val="single" w:sz="4" w:space="0" w:color="auto"/>
              <w:bottom w:val="single" w:sz="4" w:space="0" w:color="auto"/>
            </w:tcBorders>
            <w:vAlign w:val="center"/>
          </w:tcPr>
          <w:p w14:paraId="43EB4CB2" w14:textId="77777777" w:rsidR="00A320E6" w:rsidRDefault="00000000" w:rsidP="00AE0286">
            <w:pPr>
              <w:jc w:val="center"/>
              <w:rPr>
                <w:rFonts w:ascii="宋体" w:hAnsi="宋体" w:cs="宋体"/>
                <w:szCs w:val="21"/>
              </w:rPr>
            </w:pPr>
            <w:r>
              <w:rPr>
                <w:rFonts w:ascii="宋体" w:hAnsi="宋体" w:cs="宋体" w:hint="eastAsia"/>
                <w:szCs w:val="21"/>
              </w:rPr>
              <w:t>20-30元/㎡</w:t>
            </w:r>
          </w:p>
        </w:tc>
        <w:tc>
          <w:tcPr>
            <w:tcW w:w="1515" w:type="pct"/>
            <w:gridSpan w:val="2"/>
            <w:vMerge/>
            <w:vAlign w:val="center"/>
          </w:tcPr>
          <w:p w14:paraId="34EA176A" w14:textId="77777777" w:rsidR="00A320E6" w:rsidRDefault="00A320E6" w:rsidP="00AE0286">
            <w:pPr>
              <w:jc w:val="left"/>
              <w:rPr>
                <w:rFonts w:ascii="宋体" w:hAnsi="宋体" w:cs="宋体"/>
                <w:kern w:val="0"/>
                <w:szCs w:val="21"/>
              </w:rPr>
            </w:pPr>
          </w:p>
        </w:tc>
      </w:tr>
      <w:tr w:rsidR="00A320E6" w14:paraId="4A8B7579" w14:textId="77777777" w:rsidTr="00A1539E">
        <w:trPr>
          <w:trHeight w:val="454"/>
          <w:jc w:val="center"/>
        </w:trPr>
        <w:tc>
          <w:tcPr>
            <w:tcW w:w="375" w:type="pct"/>
            <w:vMerge/>
            <w:tcBorders>
              <w:left w:val="single" w:sz="4" w:space="0" w:color="auto"/>
              <w:right w:val="single" w:sz="4" w:space="0" w:color="auto"/>
            </w:tcBorders>
            <w:vAlign w:val="center"/>
          </w:tcPr>
          <w:p w14:paraId="3FACA957"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DE9521C"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tcBorders>
              <w:left w:val="single" w:sz="4" w:space="0" w:color="auto"/>
              <w:bottom w:val="single" w:sz="4" w:space="0" w:color="auto"/>
              <w:right w:val="single" w:sz="4" w:space="0" w:color="auto"/>
            </w:tcBorders>
            <w:vAlign w:val="center"/>
          </w:tcPr>
          <w:p w14:paraId="5AFFDE67" w14:textId="77777777" w:rsidR="00A320E6" w:rsidRDefault="00A320E6" w:rsidP="00AE0286">
            <w:pPr>
              <w:rPr>
                <w:rFonts w:ascii="宋体" w:hAnsi="宋体" w:cs="宋体"/>
                <w:szCs w:val="21"/>
              </w:rPr>
            </w:pPr>
          </w:p>
        </w:tc>
        <w:tc>
          <w:tcPr>
            <w:tcW w:w="1323" w:type="pct"/>
            <w:tcBorders>
              <w:top w:val="single" w:sz="4" w:space="0" w:color="auto"/>
              <w:left w:val="single" w:sz="4" w:space="0" w:color="auto"/>
              <w:bottom w:val="single" w:sz="4" w:space="0" w:color="auto"/>
              <w:right w:val="single" w:sz="4" w:space="0" w:color="auto"/>
            </w:tcBorders>
            <w:vAlign w:val="center"/>
          </w:tcPr>
          <w:p w14:paraId="2503F447" w14:textId="77777777" w:rsidR="00A320E6" w:rsidRDefault="00000000" w:rsidP="00AE0286">
            <w:pPr>
              <w:rPr>
                <w:rFonts w:ascii="宋体" w:hAnsi="宋体" w:cs="宋体"/>
                <w:szCs w:val="21"/>
              </w:rPr>
            </w:pPr>
            <w:r>
              <w:rPr>
                <w:rFonts w:ascii="宋体" w:hAnsi="宋体" w:cs="宋体" w:hint="eastAsia"/>
                <w:szCs w:val="21"/>
              </w:rPr>
              <w:t>地棚（跨度2m、高度1m以内）</w:t>
            </w:r>
          </w:p>
        </w:tc>
        <w:tc>
          <w:tcPr>
            <w:tcW w:w="1049" w:type="pct"/>
            <w:tcBorders>
              <w:top w:val="single" w:sz="4" w:space="0" w:color="auto"/>
              <w:left w:val="single" w:sz="4" w:space="0" w:color="auto"/>
              <w:bottom w:val="single" w:sz="4" w:space="0" w:color="auto"/>
            </w:tcBorders>
            <w:vAlign w:val="center"/>
          </w:tcPr>
          <w:p w14:paraId="23BF1FFC" w14:textId="77777777" w:rsidR="00A320E6" w:rsidRDefault="00000000" w:rsidP="00AE0286">
            <w:pPr>
              <w:jc w:val="center"/>
              <w:rPr>
                <w:rFonts w:ascii="宋体" w:hAnsi="宋体" w:cs="宋体"/>
                <w:szCs w:val="21"/>
              </w:rPr>
            </w:pPr>
            <w:r>
              <w:rPr>
                <w:rFonts w:ascii="宋体" w:hAnsi="宋体" w:cs="宋体" w:hint="eastAsia"/>
                <w:szCs w:val="21"/>
              </w:rPr>
              <w:t>6-10元/㎡</w:t>
            </w:r>
          </w:p>
        </w:tc>
        <w:tc>
          <w:tcPr>
            <w:tcW w:w="1515" w:type="pct"/>
            <w:gridSpan w:val="2"/>
            <w:vMerge/>
            <w:vAlign w:val="center"/>
          </w:tcPr>
          <w:p w14:paraId="763AD85E" w14:textId="77777777" w:rsidR="00A320E6" w:rsidRDefault="00A320E6" w:rsidP="00AE0286">
            <w:pPr>
              <w:jc w:val="left"/>
              <w:rPr>
                <w:rFonts w:ascii="宋体" w:hAnsi="宋体" w:cs="宋体"/>
                <w:kern w:val="0"/>
                <w:szCs w:val="21"/>
              </w:rPr>
            </w:pPr>
          </w:p>
        </w:tc>
      </w:tr>
      <w:tr w:rsidR="00A320E6" w14:paraId="4213FE58" w14:textId="77777777" w:rsidTr="00A1539E">
        <w:trPr>
          <w:trHeight w:val="454"/>
          <w:jc w:val="center"/>
        </w:trPr>
        <w:tc>
          <w:tcPr>
            <w:tcW w:w="375" w:type="pct"/>
            <w:vMerge/>
            <w:tcBorders>
              <w:left w:val="single" w:sz="4" w:space="0" w:color="auto"/>
              <w:right w:val="single" w:sz="4" w:space="0" w:color="auto"/>
            </w:tcBorders>
            <w:vAlign w:val="center"/>
          </w:tcPr>
          <w:p w14:paraId="63268F60"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9574FB5"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val="restart"/>
            <w:tcBorders>
              <w:top w:val="single" w:sz="4" w:space="0" w:color="auto"/>
              <w:left w:val="single" w:sz="4" w:space="0" w:color="auto"/>
              <w:right w:val="single" w:sz="4" w:space="0" w:color="auto"/>
            </w:tcBorders>
            <w:vAlign w:val="center"/>
          </w:tcPr>
          <w:p w14:paraId="0599B9EF" w14:textId="77777777" w:rsidR="00A320E6" w:rsidRDefault="00000000" w:rsidP="00AE0286">
            <w:pPr>
              <w:jc w:val="left"/>
              <w:rPr>
                <w:rFonts w:ascii="宋体" w:hAnsi="宋体" w:cs="宋体"/>
                <w:szCs w:val="21"/>
              </w:rPr>
            </w:pPr>
            <w:r>
              <w:rPr>
                <w:rFonts w:ascii="宋体" w:hAnsi="宋体" w:cs="宋体" w:hint="eastAsia"/>
                <w:szCs w:val="21"/>
              </w:rPr>
              <w:t>附属设备</w:t>
            </w:r>
          </w:p>
        </w:tc>
        <w:tc>
          <w:tcPr>
            <w:tcW w:w="1323" w:type="pct"/>
            <w:tcBorders>
              <w:top w:val="single" w:sz="4" w:space="0" w:color="auto"/>
              <w:left w:val="single" w:sz="4" w:space="0" w:color="auto"/>
              <w:bottom w:val="single" w:sz="4" w:space="0" w:color="auto"/>
              <w:right w:val="single" w:sz="4" w:space="0" w:color="auto"/>
            </w:tcBorders>
            <w:vAlign w:val="center"/>
          </w:tcPr>
          <w:p w14:paraId="757EBDDE" w14:textId="77777777" w:rsidR="00A320E6" w:rsidRDefault="00000000" w:rsidP="00AE0286">
            <w:pPr>
              <w:rPr>
                <w:rFonts w:ascii="宋体" w:hAnsi="宋体" w:cs="宋体"/>
                <w:szCs w:val="21"/>
              </w:rPr>
            </w:pPr>
            <w:r>
              <w:rPr>
                <w:rFonts w:ascii="宋体" w:hAnsi="宋体" w:cs="宋体" w:hint="eastAsia"/>
                <w:szCs w:val="21"/>
              </w:rPr>
              <w:t>滴灌溉设备</w:t>
            </w:r>
          </w:p>
        </w:tc>
        <w:tc>
          <w:tcPr>
            <w:tcW w:w="1049" w:type="pct"/>
            <w:tcBorders>
              <w:top w:val="single" w:sz="4" w:space="0" w:color="auto"/>
              <w:left w:val="single" w:sz="4" w:space="0" w:color="auto"/>
              <w:bottom w:val="single" w:sz="4" w:space="0" w:color="auto"/>
            </w:tcBorders>
            <w:vAlign w:val="center"/>
          </w:tcPr>
          <w:p w14:paraId="1A46E8C2" w14:textId="77777777" w:rsidR="00A320E6" w:rsidRDefault="00000000" w:rsidP="00AE0286">
            <w:pPr>
              <w:jc w:val="center"/>
              <w:rPr>
                <w:rFonts w:ascii="宋体" w:hAnsi="宋体" w:cs="宋体"/>
                <w:szCs w:val="21"/>
              </w:rPr>
            </w:pPr>
            <w:r>
              <w:rPr>
                <w:rFonts w:ascii="宋体" w:hAnsi="宋体" w:cs="宋体" w:hint="eastAsia"/>
                <w:szCs w:val="21"/>
              </w:rPr>
              <w:t>1-1.5元/㎡</w:t>
            </w:r>
          </w:p>
        </w:tc>
        <w:tc>
          <w:tcPr>
            <w:tcW w:w="1515" w:type="pct"/>
            <w:gridSpan w:val="2"/>
            <w:vMerge/>
            <w:vAlign w:val="center"/>
          </w:tcPr>
          <w:p w14:paraId="2D5C1EBD" w14:textId="77777777" w:rsidR="00A320E6" w:rsidRDefault="00A320E6" w:rsidP="00AE0286">
            <w:pPr>
              <w:jc w:val="left"/>
              <w:rPr>
                <w:rFonts w:ascii="宋体" w:hAnsi="宋体" w:cs="宋体"/>
                <w:kern w:val="0"/>
                <w:szCs w:val="21"/>
              </w:rPr>
            </w:pPr>
          </w:p>
        </w:tc>
      </w:tr>
      <w:tr w:rsidR="00A320E6" w14:paraId="5B1ECDCB" w14:textId="77777777" w:rsidTr="00A1539E">
        <w:trPr>
          <w:trHeight w:val="454"/>
          <w:jc w:val="center"/>
        </w:trPr>
        <w:tc>
          <w:tcPr>
            <w:tcW w:w="375" w:type="pct"/>
            <w:vMerge/>
            <w:tcBorders>
              <w:left w:val="single" w:sz="4" w:space="0" w:color="auto"/>
              <w:right w:val="single" w:sz="4" w:space="0" w:color="auto"/>
            </w:tcBorders>
            <w:vAlign w:val="center"/>
          </w:tcPr>
          <w:p w14:paraId="14114CF7"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76C24EC8" w14:textId="77777777" w:rsidR="00A320E6" w:rsidRDefault="00A320E6" w:rsidP="00AE0286">
            <w:pPr>
              <w:spacing w:before="100" w:beforeAutospacing="1" w:after="100" w:afterAutospacing="1"/>
              <w:jc w:val="center"/>
              <w:rPr>
                <w:rFonts w:ascii="宋体" w:hAnsi="宋体" w:cs="宋体"/>
                <w:kern w:val="0"/>
                <w:szCs w:val="21"/>
              </w:rPr>
            </w:pPr>
          </w:p>
        </w:tc>
        <w:tc>
          <w:tcPr>
            <w:tcW w:w="337" w:type="pct"/>
            <w:vMerge/>
            <w:tcBorders>
              <w:left w:val="single" w:sz="4" w:space="0" w:color="auto"/>
              <w:bottom w:val="single" w:sz="4" w:space="0" w:color="auto"/>
              <w:right w:val="single" w:sz="4" w:space="0" w:color="auto"/>
            </w:tcBorders>
            <w:vAlign w:val="center"/>
          </w:tcPr>
          <w:p w14:paraId="1755518F" w14:textId="77777777" w:rsidR="00A320E6" w:rsidRDefault="00A320E6" w:rsidP="00AE0286">
            <w:pPr>
              <w:rPr>
                <w:rFonts w:ascii="宋体" w:hAnsi="宋体" w:cs="宋体"/>
                <w:szCs w:val="21"/>
              </w:rPr>
            </w:pPr>
          </w:p>
        </w:tc>
        <w:tc>
          <w:tcPr>
            <w:tcW w:w="1323" w:type="pct"/>
            <w:tcBorders>
              <w:top w:val="single" w:sz="4" w:space="0" w:color="auto"/>
              <w:left w:val="single" w:sz="4" w:space="0" w:color="auto"/>
              <w:bottom w:val="single" w:sz="4" w:space="0" w:color="auto"/>
              <w:right w:val="single" w:sz="4" w:space="0" w:color="auto"/>
            </w:tcBorders>
            <w:vAlign w:val="center"/>
          </w:tcPr>
          <w:p w14:paraId="3F269B03" w14:textId="77777777" w:rsidR="00A320E6" w:rsidRDefault="00000000" w:rsidP="00AE0286">
            <w:pPr>
              <w:rPr>
                <w:rFonts w:ascii="宋体" w:hAnsi="宋体" w:cs="宋体"/>
                <w:szCs w:val="21"/>
              </w:rPr>
            </w:pPr>
            <w:r>
              <w:rPr>
                <w:rFonts w:ascii="宋体" w:hAnsi="宋体" w:cs="宋体" w:hint="eastAsia"/>
                <w:szCs w:val="21"/>
              </w:rPr>
              <w:t>供暖设备</w:t>
            </w:r>
          </w:p>
        </w:tc>
        <w:tc>
          <w:tcPr>
            <w:tcW w:w="1049" w:type="pct"/>
            <w:tcBorders>
              <w:top w:val="single" w:sz="4" w:space="0" w:color="auto"/>
              <w:left w:val="single" w:sz="4" w:space="0" w:color="auto"/>
              <w:bottom w:val="single" w:sz="4" w:space="0" w:color="auto"/>
            </w:tcBorders>
            <w:vAlign w:val="center"/>
          </w:tcPr>
          <w:p w14:paraId="4715A78B" w14:textId="77777777" w:rsidR="00A320E6" w:rsidRDefault="00000000" w:rsidP="00AE0286">
            <w:pPr>
              <w:jc w:val="center"/>
              <w:rPr>
                <w:rFonts w:ascii="宋体" w:hAnsi="宋体" w:cs="宋体"/>
                <w:kern w:val="0"/>
                <w:szCs w:val="21"/>
              </w:rPr>
            </w:pPr>
            <w:r>
              <w:rPr>
                <w:rFonts w:ascii="宋体" w:hAnsi="宋体" w:cs="宋体" w:hint="eastAsia"/>
                <w:szCs w:val="21"/>
              </w:rPr>
              <w:t>3-5元/㎡</w:t>
            </w:r>
          </w:p>
        </w:tc>
        <w:tc>
          <w:tcPr>
            <w:tcW w:w="1515" w:type="pct"/>
            <w:gridSpan w:val="2"/>
            <w:vMerge/>
            <w:vAlign w:val="center"/>
          </w:tcPr>
          <w:p w14:paraId="24C95717" w14:textId="77777777" w:rsidR="00A320E6" w:rsidRDefault="00A320E6" w:rsidP="00AE0286">
            <w:pPr>
              <w:jc w:val="left"/>
              <w:rPr>
                <w:rFonts w:ascii="宋体" w:hAnsi="宋体" w:cs="宋体"/>
                <w:kern w:val="0"/>
                <w:szCs w:val="21"/>
              </w:rPr>
            </w:pPr>
          </w:p>
        </w:tc>
      </w:tr>
      <w:tr w:rsidR="00A320E6" w14:paraId="262FC7C5" w14:textId="77777777" w:rsidTr="00A1539E">
        <w:trPr>
          <w:trHeight w:val="454"/>
          <w:jc w:val="center"/>
        </w:trPr>
        <w:tc>
          <w:tcPr>
            <w:tcW w:w="375" w:type="pct"/>
            <w:vMerge w:val="restart"/>
            <w:tcBorders>
              <w:left w:val="single" w:sz="4" w:space="0" w:color="auto"/>
              <w:right w:val="single" w:sz="4" w:space="0" w:color="auto"/>
            </w:tcBorders>
            <w:vAlign w:val="center"/>
          </w:tcPr>
          <w:p w14:paraId="47C9C6AD" w14:textId="77777777" w:rsidR="00A320E6" w:rsidRDefault="00000000" w:rsidP="00AE0286">
            <w:pPr>
              <w:jc w:val="center"/>
              <w:rPr>
                <w:rFonts w:ascii="宋体" w:hAnsi="宋体" w:cs="宋体"/>
                <w:szCs w:val="21"/>
              </w:rPr>
            </w:pPr>
            <w:r>
              <w:rPr>
                <w:rFonts w:ascii="宋体" w:hAnsi="宋体" w:cs="宋体" w:hint="eastAsia"/>
                <w:szCs w:val="21"/>
              </w:rPr>
              <w:t>11</w:t>
            </w:r>
          </w:p>
        </w:tc>
        <w:tc>
          <w:tcPr>
            <w:tcW w:w="401" w:type="pct"/>
            <w:vMerge w:val="restart"/>
            <w:tcBorders>
              <w:left w:val="single" w:sz="4" w:space="0" w:color="auto"/>
              <w:right w:val="single" w:sz="4" w:space="0" w:color="auto"/>
            </w:tcBorders>
            <w:vAlign w:val="center"/>
          </w:tcPr>
          <w:p w14:paraId="22D7C433"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桥</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4A8E9AD7" w14:textId="77777777" w:rsidR="00A320E6" w:rsidRDefault="00000000" w:rsidP="00AE0286">
            <w:pPr>
              <w:rPr>
                <w:rFonts w:ascii="宋体" w:hAnsi="宋体" w:cs="宋体"/>
                <w:szCs w:val="21"/>
              </w:rPr>
            </w:pPr>
            <w:r>
              <w:rPr>
                <w:rFonts w:ascii="宋体" w:hAnsi="宋体" w:cs="宋体" w:hint="eastAsia"/>
                <w:szCs w:val="21"/>
              </w:rPr>
              <w:t>钢筋混凝土矩形板桥</w:t>
            </w:r>
          </w:p>
        </w:tc>
        <w:tc>
          <w:tcPr>
            <w:tcW w:w="1049" w:type="pct"/>
            <w:tcBorders>
              <w:top w:val="single" w:sz="4" w:space="0" w:color="auto"/>
              <w:left w:val="single" w:sz="4" w:space="0" w:color="auto"/>
              <w:bottom w:val="single" w:sz="4" w:space="0" w:color="auto"/>
            </w:tcBorders>
            <w:vAlign w:val="center"/>
          </w:tcPr>
          <w:p w14:paraId="5BD6FA6D" w14:textId="77777777" w:rsidR="00A320E6" w:rsidRDefault="00000000" w:rsidP="00AE0286">
            <w:pPr>
              <w:jc w:val="center"/>
              <w:rPr>
                <w:rFonts w:ascii="宋体" w:hAnsi="宋体" w:cs="宋体"/>
                <w:szCs w:val="21"/>
              </w:rPr>
            </w:pPr>
            <w:r>
              <w:rPr>
                <w:rFonts w:ascii="宋体" w:hAnsi="宋体" w:cs="宋体" w:hint="eastAsia"/>
                <w:szCs w:val="21"/>
              </w:rPr>
              <w:t>1800-2400元/㎡</w:t>
            </w:r>
          </w:p>
        </w:tc>
        <w:tc>
          <w:tcPr>
            <w:tcW w:w="1515" w:type="pct"/>
            <w:gridSpan w:val="2"/>
            <w:vMerge w:val="restart"/>
            <w:vAlign w:val="center"/>
          </w:tcPr>
          <w:p w14:paraId="61521D02" w14:textId="77777777" w:rsidR="00A320E6" w:rsidRDefault="00000000" w:rsidP="00AE0286">
            <w:pPr>
              <w:jc w:val="left"/>
              <w:rPr>
                <w:rFonts w:ascii="宋体" w:hAnsi="宋体" w:cs="宋体"/>
                <w:kern w:val="0"/>
                <w:szCs w:val="21"/>
              </w:rPr>
            </w:pPr>
            <w:r>
              <w:rPr>
                <w:rFonts w:ascii="宋体" w:hAnsi="宋体" w:cs="宋体" w:hint="eastAsia"/>
                <w:kern w:val="0"/>
                <w:szCs w:val="21"/>
              </w:rPr>
              <w:t>按桥面面积计算</w:t>
            </w:r>
          </w:p>
        </w:tc>
      </w:tr>
      <w:tr w:rsidR="00A320E6" w14:paraId="20EAE6D3" w14:textId="77777777" w:rsidTr="00A1539E">
        <w:trPr>
          <w:trHeight w:val="448"/>
          <w:jc w:val="center"/>
        </w:trPr>
        <w:tc>
          <w:tcPr>
            <w:tcW w:w="375" w:type="pct"/>
            <w:vMerge/>
            <w:tcBorders>
              <w:left w:val="single" w:sz="4" w:space="0" w:color="auto"/>
              <w:right w:val="single" w:sz="4" w:space="0" w:color="auto"/>
            </w:tcBorders>
            <w:vAlign w:val="center"/>
          </w:tcPr>
          <w:p w14:paraId="120F9594"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7AEA0D67"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right w:val="single" w:sz="4" w:space="0" w:color="auto"/>
            </w:tcBorders>
            <w:vAlign w:val="center"/>
          </w:tcPr>
          <w:p w14:paraId="001122EE" w14:textId="77777777" w:rsidR="00A320E6" w:rsidRDefault="00000000" w:rsidP="00AE0286">
            <w:pPr>
              <w:rPr>
                <w:rFonts w:ascii="宋体" w:hAnsi="宋体" w:cs="宋体"/>
                <w:szCs w:val="21"/>
              </w:rPr>
            </w:pPr>
            <w:r>
              <w:rPr>
                <w:rFonts w:ascii="宋体" w:hAnsi="宋体" w:cs="宋体" w:hint="eastAsia"/>
                <w:szCs w:val="21"/>
              </w:rPr>
              <w:t>石（砖）拱桥</w:t>
            </w:r>
          </w:p>
        </w:tc>
        <w:tc>
          <w:tcPr>
            <w:tcW w:w="1049" w:type="pct"/>
            <w:tcBorders>
              <w:top w:val="single" w:sz="4" w:space="0" w:color="auto"/>
              <w:left w:val="single" w:sz="4" w:space="0" w:color="auto"/>
            </w:tcBorders>
            <w:vAlign w:val="center"/>
          </w:tcPr>
          <w:p w14:paraId="2C75B757" w14:textId="77777777" w:rsidR="00A320E6" w:rsidRDefault="00000000" w:rsidP="00AE0286">
            <w:pPr>
              <w:jc w:val="center"/>
              <w:rPr>
                <w:rFonts w:ascii="宋体" w:hAnsi="宋体" w:cs="宋体"/>
                <w:szCs w:val="21"/>
              </w:rPr>
            </w:pPr>
            <w:r>
              <w:rPr>
                <w:rFonts w:ascii="宋体" w:hAnsi="宋体" w:cs="宋体" w:hint="eastAsia"/>
                <w:szCs w:val="21"/>
              </w:rPr>
              <w:t>1300-1800元/㎡</w:t>
            </w:r>
          </w:p>
        </w:tc>
        <w:tc>
          <w:tcPr>
            <w:tcW w:w="1515" w:type="pct"/>
            <w:gridSpan w:val="2"/>
            <w:vMerge/>
            <w:vAlign w:val="center"/>
          </w:tcPr>
          <w:p w14:paraId="3B0744E5" w14:textId="77777777" w:rsidR="00A320E6" w:rsidRDefault="00A320E6" w:rsidP="00AE0286">
            <w:pPr>
              <w:jc w:val="left"/>
              <w:rPr>
                <w:rFonts w:ascii="宋体" w:hAnsi="宋体" w:cs="宋体"/>
                <w:kern w:val="0"/>
                <w:szCs w:val="21"/>
              </w:rPr>
            </w:pPr>
          </w:p>
        </w:tc>
      </w:tr>
      <w:tr w:rsidR="00A320E6" w14:paraId="69221A2E" w14:textId="77777777" w:rsidTr="00A1539E">
        <w:trPr>
          <w:trHeight w:val="454"/>
          <w:jc w:val="center"/>
        </w:trPr>
        <w:tc>
          <w:tcPr>
            <w:tcW w:w="375" w:type="pct"/>
            <w:vMerge w:val="restart"/>
            <w:tcBorders>
              <w:left w:val="single" w:sz="4" w:space="0" w:color="auto"/>
              <w:right w:val="single" w:sz="4" w:space="0" w:color="auto"/>
            </w:tcBorders>
            <w:vAlign w:val="center"/>
          </w:tcPr>
          <w:p w14:paraId="6EA5FA20" w14:textId="77777777" w:rsidR="00A320E6" w:rsidRDefault="00000000" w:rsidP="00AE0286">
            <w:pPr>
              <w:jc w:val="center"/>
              <w:rPr>
                <w:rFonts w:ascii="宋体" w:hAnsi="宋体" w:cs="宋体"/>
                <w:szCs w:val="21"/>
              </w:rPr>
            </w:pPr>
            <w:r>
              <w:rPr>
                <w:rFonts w:ascii="宋体" w:hAnsi="宋体" w:cs="宋体" w:hint="eastAsia"/>
                <w:szCs w:val="21"/>
              </w:rPr>
              <w:t>12</w:t>
            </w:r>
          </w:p>
        </w:tc>
        <w:tc>
          <w:tcPr>
            <w:tcW w:w="401" w:type="pct"/>
            <w:vMerge w:val="restart"/>
            <w:tcBorders>
              <w:left w:val="single" w:sz="4" w:space="0" w:color="auto"/>
              <w:right w:val="single" w:sz="4" w:space="0" w:color="auto"/>
            </w:tcBorders>
            <w:vAlign w:val="center"/>
          </w:tcPr>
          <w:p w14:paraId="707996C8"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涵洞</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39A6BEC" w14:textId="77777777" w:rsidR="00A320E6" w:rsidRDefault="00000000" w:rsidP="00AE0286">
            <w:pPr>
              <w:rPr>
                <w:rFonts w:ascii="宋体" w:hAnsi="宋体" w:cs="宋体"/>
                <w:szCs w:val="21"/>
              </w:rPr>
            </w:pPr>
            <w:r>
              <w:rPr>
                <w:rFonts w:ascii="宋体" w:hAnsi="宋体" w:cs="宋体" w:hint="eastAsia"/>
                <w:szCs w:val="21"/>
              </w:rPr>
              <w:t>简易涵管</w:t>
            </w:r>
          </w:p>
        </w:tc>
        <w:tc>
          <w:tcPr>
            <w:tcW w:w="1049" w:type="pct"/>
            <w:tcBorders>
              <w:top w:val="single" w:sz="4" w:space="0" w:color="auto"/>
              <w:left w:val="single" w:sz="4" w:space="0" w:color="auto"/>
              <w:bottom w:val="single" w:sz="4" w:space="0" w:color="auto"/>
            </w:tcBorders>
            <w:vAlign w:val="center"/>
          </w:tcPr>
          <w:p w14:paraId="562AFA8D" w14:textId="77777777" w:rsidR="00A320E6" w:rsidRDefault="00000000" w:rsidP="00AE0286">
            <w:pPr>
              <w:jc w:val="center"/>
              <w:rPr>
                <w:rFonts w:ascii="宋体" w:hAnsi="宋体" w:cs="宋体"/>
                <w:szCs w:val="21"/>
              </w:rPr>
            </w:pPr>
            <w:r>
              <w:rPr>
                <w:rFonts w:ascii="宋体" w:hAnsi="宋体" w:cs="宋体" w:hint="eastAsia"/>
                <w:szCs w:val="21"/>
              </w:rPr>
              <w:t>200-400元/m</w:t>
            </w:r>
          </w:p>
        </w:tc>
        <w:tc>
          <w:tcPr>
            <w:tcW w:w="1515" w:type="pct"/>
            <w:gridSpan w:val="2"/>
            <w:vMerge w:val="restart"/>
            <w:vAlign w:val="center"/>
          </w:tcPr>
          <w:p w14:paraId="49DAC771" w14:textId="77777777" w:rsidR="00A320E6" w:rsidRDefault="00000000" w:rsidP="00AE0286">
            <w:pPr>
              <w:jc w:val="left"/>
              <w:rPr>
                <w:rFonts w:ascii="宋体" w:hAnsi="宋体" w:cs="宋体"/>
                <w:kern w:val="0"/>
                <w:szCs w:val="21"/>
              </w:rPr>
            </w:pPr>
            <w:r>
              <w:rPr>
                <w:rFonts w:ascii="宋体" w:hAnsi="宋体" w:cs="宋体" w:hint="eastAsia"/>
                <w:kern w:val="0"/>
                <w:szCs w:val="21"/>
              </w:rPr>
              <w:t>按涵洞长度计算</w:t>
            </w:r>
          </w:p>
        </w:tc>
      </w:tr>
      <w:tr w:rsidR="00A320E6" w14:paraId="0893467D" w14:textId="77777777" w:rsidTr="00A1539E">
        <w:trPr>
          <w:trHeight w:val="454"/>
          <w:jc w:val="center"/>
        </w:trPr>
        <w:tc>
          <w:tcPr>
            <w:tcW w:w="375" w:type="pct"/>
            <w:vMerge/>
            <w:tcBorders>
              <w:left w:val="single" w:sz="4" w:space="0" w:color="auto"/>
              <w:right w:val="single" w:sz="4" w:space="0" w:color="auto"/>
            </w:tcBorders>
            <w:vAlign w:val="center"/>
          </w:tcPr>
          <w:p w14:paraId="5C5358A3"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047C3DB6"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D581016" w14:textId="77777777" w:rsidR="00A320E6" w:rsidRDefault="00000000" w:rsidP="00AE0286">
            <w:pPr>
              <w:rPr>
                <w:rFonts w:ascii="宋体" w:hAnsi="宋体" w:cs="宋体"/>
                <w:szCs w:val="21"/>
              </w:rPr>
            </w:pPr>
            <w:r>
              <w:rPr>
                <w:rFonts w:ascii="宋体" w:hAnsi="宋体" w:cs="宋体" w:hint="eastAsia"/>
                <w:szCs w:val="21"/>
              </w:rPr>
              <w:t>石盖板涵跨径1-2m</w:t>
            </w:r>
          </w:p>
        </w:tc>
        <w:tc>
          <w:tcPr>
            <w:tcW w:w="1049" w:type="pct"/>
            <w:tcBorders>
              <w:top w:val="single" w:sz="4" w:space="0" w:color="auto"/>
              <w:left w:val="single" w:sz="4" w:space="0" w:color="auto"/>
              <w:bottom w:val="single" w:sz="4" w:space="0" w:color="auto"/>
            </w:tcBorders>
            <w:vAlign w:val="center"/>
          </w:tcPr>
          <w:p w14:paraId="266DF2D6" w14:textId="77777777" w:rsidR="00A320E6" w:rsidRDefault="00000000" w:rsidP="00AE0286">
            <w:pPr>
              <w:jc w:val="center"/>
              <w:rPr>
                <w:rFonts w:ascii="宋体" w:hAnsi="宋体" w:cs="宋体"/>
                <w:szCs w:val="21"/>
              </w:rPr>
            </w:pPr>
            <w:r>
              <w:rPr>
                <w:rFonts w:ascii="宋体" w:hAnsi="宋体" w:cs="宋体" w:hint="eastAsia"/>
                <w:szCs w:val="21"/>
              </w:rPr>
              <w:t>600-1000元/m</w:t>
            </w:r>
          </w:p>
        </w:tc>
        <w:tc>
          <w:tcPr>
            <w:tcW w:w="1515" w:type="pct"/>
            <w:gridSpan w:val="2"/>
            <w:vMerge/>
            <w:vAlign w:val="center"/>
          </w:tcPr>
          <w:p w14:paraId="6309C339" w14:textId="77777777" w:rsidR="00A320E6" w:rsidRDefault="00A320E6" w:rsidP="00AE0286">
            <w:pPr>
              <w:jc w:val="left"/>
              <w:rPr>
                <w:rFonts w:ascii="宋体" w:hAnsi="宋体" w:cs="宋体"/>
                <w:kern w:val="0"/>
                <w:szCs w:val="21"/>
              </w:rPr>
            </w:pPr>
          </w:p>
        </w:tc>
      </w:tr>
      <w:tr w:rsidR="00A320E6" w14:paraId="54272F78" w14:textId="77777777" w:rsidTr="00A1539E">
        <w:trPr>
          <w:trHeight w:val="454"/>
          <w:jc w:val="center"/>
        </w:trPr>
        <w:tc>
          <w:tcPr>
            <w:tcW w:w="375" w:type="pct"/>
            <w:vMerge/>
            <w:tcBorders>
              <w:left w:val="single" w:sz="4" w:space="0" w:color="auto"/>
              <w:right w:val="single" w:sz="4" w:space="0" w:color="auto"/>
            </w:tcBorders>
            <w:vAlign w:val="center"/>
          </w:tcPr>
          <w:p w14:paraId="1503E8A7"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2010DD5"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D7C82F1" w14:textId="77777777" w:rsidR="00A320E6" w:rsidRDefault="00000000" w:rsidP="00AE0286">
            <w:pPr>
              <w:rPr>
                <w:rFonts w:ascii="宋体" w:hAnsi="宋体" w:cs="宋体"/>
                <w:szCs w:val="21"/>
              </w:rPr>
            </w:pPr>
            <w:r>
              <w:rPr>
                <w:rFonts w:ascii="宋体" w:hAnsi="宋体" w:cs="宋体" w:hint="eastAsia"/>
                <w:szCs w:val="21"/>
              </w:rPr>
              <w:t>石（砖）拱涵跨径1-2m</w:t>
            </w:r>
          </w:p>
        </w:tc>
        <w:tc>
          <w:tcPr>
            <w:tcW w:w="1049" w:type="pct"/>
            <w:tcBorders>
              <w:top w:val="single" w:sz="4" w:space="0" w:color="auto"/>
              <w:left w:val="single" w:sz="4" w:space="0" w:color="auto"/>
              <w:bottom w:val="single" w:sz="4" w:space="0" w:color="auto"/>
            </w:tcBorders>
            <w:vAlign w:val="center"/>
          </w:tcPr>
          <w:p w14:paraId="7CB813DD" w14:textId="77777777" w:rsidR="00A320E6" w:rsidRDefault="00000000" w:rsidP="00AE0286">
            <w:pPr>
              <w:jc w:val="center"/>
              <w:rPr>
                <w:rFonts w:ascii="宋体" w:hAnsi="宋体" w:cs="宋体"/>
                <w:szCs w:val="21"/>
              </w:rPr>
            </w:pPr>
            <w:r>
              <w:rPr>
                <w:rFonts w:ascii="宋体" w:hAnsi="宋体" w:cs="宋体" w:hint="eastAsia"/>
                <w:szCs w:val="21"/>
              </w:rPr>
              <w:t>1000-1800元/m</w:t>
            </w:r>
          </w:p>
        </w:tc>
        <w:tc>
          <w:tcPr>
            <w:tcW w:w="1515" w:type="pct"/>
            <w:gridSpan w:val="2"/>
            <w:vMerge/>
            <w:vAlign w:val="center"/>
          </w:tcPr>
          <w:p w14:paraId="3CDF0DF4" w14:textId="77777777" w:rsidR="00A320E6" w:rsidRDefault="00A320E6" w:rsidP="00AE0286">
            <w:pPr>
              <w:jc w:val="left"/>
              <w:rPr>
                <w:rFonts w:ascii="宋体" w:hAnsi="宋体" w:cs="宋体"/>
                <w:kern w:val="0"/>
                <w:szCs w:val="21"/>
              </w:rPr>
            </w:pPr>
          </w:p>
        </w:tc>
      </w:tr>
      <w:tr w:rsidR="00A320E6" w14:paraId="13A4D840" w14:textId="77777777" w:rsidTr="00A1539E">
        <w:trPr>
          <w:trHeight w:val="454"/>
          <w:jc w:val="center"/>
        </w:trPr>
        <w:tc>
          <w:tcPr>
            <w:tcW w:w="375" w:type="pct"/>
            <w:vMerge/>
            <w:tcBorders>
              <w:left w:val="single" w:sz="4" w:space="0" w:color="auto"/>
              <w:right w:val="single" w:sz="4" w:space="0" w:color="auto"/>
            </w:tcBorders>
            <w:vAlign w:val="center"/>
          </w:tcPr>
          <w:p w14:paraId="7E54E2A9"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198865F5"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0BC2586" w14:textId="77777777" w:rsidR="00A320E6" w:rsidRDefault="00000000" w:rsidP="00AE0286">
            <w:pPr>
              <w:rPr>
                <w:rFonts w:ascii="宋体" w:hAnsi="宋体" w:cs="宋体"/>
                <w:szCs w:val="21"/>
              </w:rPr>
            </w:pPr>
            <w:r>
              <w:rPr>
                <w:rFonts w:ascii="宋体" w:hAnsi="宋体" w:cs="宋体" w:hint="eastAsia"/>
                <w:szCs w:val="21"/>
              </w:rPr>
              <w:t>石（砖）拱涵跨径2-4m</w:t>
            </w:r>
          </w:p>
        </w:tc>
        <w:tc>
          <w:tcPr>
            <w:tcW w:w="1049" w:type="pct"/>
            <w:tcBorders>
              <w:top w:val="single" w:sz="4" w:space="0" w:color="auto"/>
              <w:left w:val="single" w:sz="4" w:space="0" w:color="auto"/>
              <w:bottom w:val="single" w:sz="4" w:space="0" w:color="auto"/>
            </w:tcBorders>
            <w:vAlign w:val="center"/>
          </w:tcPr>
          <w:p w14:paraId="6CF83E06" w14:textId="77777777" w:rsidR="00A320E6" w:rsidRDefault="00000000" w:rsidP="00AE0286">
            <w:pPr>
              <w:jc w:val="center"/>
              <w:rPr>
                <w:rFonts w:ascii="宋体" w:hAnsi="宋体" w:cs="宋体"/>
                <w:szCs w:val="21"/>
              </w:rPr>
            </w:pPr>
            <w:r>
              <w:rPr>
                <w:rFonts w:ascii="宋体" w:hAnsi="宋体" w:cs="宋体" w:hint="eastAsia"/>
                <w:szCs w:val="21"/>
              </w:rPr>
              <w:t>1800-3000元/m</w:t>
            </w:r>
          </w:p>
        </w:tc>
        <w:tc>
          <w:tcPr>
            <w:tcW w:w="1515" w:type="pct"/>
            <w:gridSpan w:val="2"/>
            <w:vMerge/>
            <w:vAlign w:val="center"/>
          </w:tcPr>
          <w:p w14:paraId="0A705CCD" w14:textId="77777777" w:rsidR="00A320E6" w:rsidRDefault="00A320E6" w:rsidP="00AE0286">
            <w:pPr>
              <w:jc w:val="left"/>
              <w:rPr>
                <w:rFonts w:ascii="宋体" w:hAnsi="宋体" w:cs="宋体"/>
                <w:kern w:val="0"/>
                <w:szCs w:val="21"/>
              </w:rPr>
            </w:pPr>
          </w:p>
        </w:tc>
      </w:tr>
      <w:tr w:rsidR="00A320E6" w14:paraId="47F66F77" w14:textId="77777777" w:rsidTr="00A1539E">
        <w:trPr>
          <w:trHeight w:val="454"/>
          <w:jc w:val="center"/>
        </w:trPr>
        <w:tc>
          <w:tcPr>
            <w:tcW w:w="375" w:type="pct"/>
            <w:vMerge/>
            <w:tcBorders>
              <w:left w:val="single" w:sz="4" w:space="0" w:color="auto"/>
              <w:right w:val="single" w:sz="4" w:space="0" w:color="auto"/>
            </w:tcBorders>
            <w:vAlign w:val="center"/>
          </w:tcPr>
          <w:p w14:paraId="3608D66F"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0C17293C"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F958C28" w14:textId="77777777" w:rsidR="00A320E6" w:rsidRDefault="00000000" w:rsidP="00AE0286">
            <w:pPr>
              <w:rPr>
                <w:rFonts w:ascii="宋体" w:hAnsi="宋体" w:cs="宋体"/>
                <w:szCs w:val="21"/>
              </w:rPr>
            </w:pPr>
            <w:r>
              <w:rPr>
                <w:rFonts w:ascii="宋体" w:hAnsi="宋体" w:cs="宋体" w:hint="eastAsia"/>
                <w:szCs w:val="21"/>
              </w:rPr>
              <w:t>钢筋混凝土圆管涵跨径1-2m</w:t>
            </w:r>
          </w:p>
        </w:tc>
        <w:tc>
          <w:tcPr>
            <w:tcW w:w="1049" w:type="pct"/>
            <w:tcBorders>
              <w:top w:val="single" w:sz="4" w:space="0" w:color="auto"/>
              <w:left w:val="single" w:sz="4" w:space="0" w:color="auto"/>
              <w:bottom w:val="single" w:sz="4" w:space="0" w:color="auto"/>
            </w:tcBorders>
            <w:vAlign w:val="center"/>
          </w:tcPr>
          <w:p w14:paraId="572EBE8F" w14:textId="77777777" w:rsidR="00A320E6" w:rsidRDefault="00000000" w:rsidP="00AE0286">
            <w:pPr>
              <w:jc w:val="center"/>
              <w:rPr>
                <w:rFonts w:ascii="宋体" w:hAnsi="宋体" w:cs="宋体"/>
                <w:szCs w:val="21"/>
              </w:rPr>
            </w:pPr>
            <w:r>
              <w:rPr>
                <w:rFonts w:ascii="宋体" w:hAnsi="宋体" w:cs="宋体" w:hint="eastAsia"/>
                <w:szCs w:val="21"/>
              </w:rPr>
              <w:t>800-2000元/m</w:t>
            </w:r>
          </w:p>
        </w:tc>
        <w:tc>
          <w:tcPr>
            <w:tcW w:w="1515" w:type="pct"/>
            <w:gridSpan w:val="2"/>
            <w:vMerge/>
            <w:vAlign w:val="center"/>
          </w:tcPr>
          <w:p w14:paraId="375160AC" w14:textId="77777777" w:rsidR="00A320E6" w:rsidRDefault="00A320E6" w:rsidP="00AE0286">
            <w:pPr>
              <w:jc w:val="left"/>
              <w:rPr>
                <w:rFonts w:ascii="宋体" w:hAnsi="宋体" w:cs="宋体"/>
                <w:kern w:val="0"/>
                <w:szCs w:val="21"/>
              </w:rPr>
            </w:pPr>
          </w:p>
        </w:tc>
      </w:tr>
      <w:tr w:rsidR="00A320E6" w14:paraId="1D0B1D9A" w14:textId="77777777" w:rsidTr="00A1539E">
        <w:trPr>
          <w:trHeight w:val="454"/>
          <w:jc w:val="center"/>
        </w:trPr>
        <w:tc>
          <w:tcPr>
            <w:tcW w:w="375" w:type="pct"/>
            <w:vMerge/>
            <w:tcBorders>
              <w:left w:val="single" w:sz="4" w:space="0" w:color="auto"/>
              <w:right w:val="single" w:sz="4" w:space="0" w:color="auto"/>
            </w:tcBorders>
            <w:vAlign w:val="center"/>
          </w:tcPr>
          <w:p w14:paraId="541EFEEC"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442683A5"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495179A" w14:textId="77777777" w:rsidR="00A320E6" w:rsidRDefault="00000000" w:rsidP="00AE0286">
            <w:pPr>
              <w:rPr>
                <w:rFonts w:ascii="宋体" w:hAnsi="宋体" w:cs="宋体"/>
                <w:szCs w:val="21"/>
              </w:rPr>
            </w:pPr>
            <w:r>
              <w:rPr>
                <w:rFonts w:ascii="宋体" w:hAnsi="宋体" w:cs="宋体" w:hint="eastAsia"/>
                <w:szCs w:val="21"/>
              </w:rPr>
              <w:t>钢筋混凝土盖板涵跨径1.5-3m</w:t>
            </w:r>
          </w:p>
        </w:tc>
        <w:tc>
          <w:tcPr>
            <w:tcW w:w="1049" w:type="pct"/>
            <w:tcBorders>
              <w:top w:val="single" w:sz="4" w:space="0" w:color="auto"/>
              <w:left w:val="single" w:sz="4" w:space="0" w:color="auto"/>
              <w:bottom w:val="single" w:sz="4" w:space="0" w:color="auto"/>
            </w:tcBorders>
            <w:vAlign w:val="center"/>
          </w:tcPr>
          <w:p w14:paraId="36B72D70" w14:textId="77777777" w:rsidR="00A320E6" w:rsidRDefault="00000000" w:rsidP="00AE0286">
            <w:pPr>
              <w:jc w:val="center"/>
              <w:rPr>
                <w:rFonts w:ascii="宋体" w:hAnsi="宋体" w:cs="宋体"/>
                <w:szCs w:val="21"/>
              </w:rPr>
            </w:pPr>
            <w:r>
              <w:rPr>
                <w:rFonts w:ascii="宋体" w:hAnsi="宋体" w:cs="宋体" w:hint="eastAsia"/>
                <w:szCs w:val="21"/>
              </w:rPr>
              <w:t>1000-1800元/m</w:t>
            </w:r>
          </w:p>
        </w:tc>
        <w:tc>
          <w:tcPr>
            <w:tcW w:w="1515" w:type="pct"/>
            <w:gridSpan w:val="2"/>
            <w:vMerge/>
            <w:vAlign w:val="center"/>
          </w:tcPr>
          <w:p w14:paraId="2C56E7E6" w14:textId="77777777" w:rsidR="00A320E6" w:rsidRDefault="00A320E6" w:rsidP="00AE0286">
            <w:pPr>
              <w:jc w:val="left"/>
              <w:rPr>
                <w:rFonts w:ascii="宋体" w:hAnsi="宋体" w:cs="宋体"/>
                <w:kern w:val="0"/>
                <w:szCs w:val="21"/>
              </w:rPr>
            </w:pPr>
          </w:p>
        </w:tc>
      </w:tr>
      <w:tr w:rsidR="00A320E6" w14:paraId="536CE884" w14:textId="77777777" w:rsidTr="00A1539E">
        <w:trPr>
          <w:trHeight w:val="454"/>
          <w:jc w:val="center"/>
        </w:trPr>
        <w:tc>
          <w:tcPr>
            <w:tcW w:w="375" w:type="pct"/>
            <w:vMerge/>
            <w:tcBorders>
              <w:left w:val="single" w:sz="4" w:space="0" w:color="auto"/>
              <w:right w:val="single" w:sz="4" w:space="0" w:color="auto"/>
            </w:tcBorders>
            <w:vAlign w:val="center"/>
          </w:tcPr>
          <w:p w14:paraId="4E7B5584"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6C8C881C"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64E8E3C" w14:textId="77777777" w:rsidR="00A320E6" w:rsidRDefault="00000000" w:rsidP="00AE0286">
            <w:pPr>
              <w:rPr>
                <w:rFonts w:ascii="宋体" w:hAnsi="宋体" w:cs="宋体"/>
                <w:szCs w:val="21"/>
              </w:rPr>
            </w:pPr>
            <w:r>
              <w:rPr>
                <w:rFonts w:ascii="宋体" w:hAnsi="宋体" w:cs="宋体" w:hint="eastAsia"/>
                <w:szCs w:val="21"/>
              </w:rPr>
              <w:t>钢筋混凝土盖板涵跨径3-4m</w:t>
            </w:r>
          </w:p>
        </w:tc>
        <w:tc>
          <w:tcPr>
            <w:tcW w:w="1049" w:type="pct"/>
            <w:tcBorders>
              <w:top w:val="single" w:sz="4" w:space="0" w:color="auto"/>
              <w:left w:val="single" w:sz="4" w:space="0" w:color="auto"/>
              <w:bottom w:val="single" w:sz="4" w:space="0" w:color="auto"/>
            </w:tcBorders>
            <w:vAlign w:val="center"/>
          </w:tcPr>
          <w:p w14:paraId="6EB37B92" w14:textId="77777777" w:rsidR="00A320E6" w:rsidRDefault="00000000" w:rsidP="00AE0286">
            <w:pPr>
              <w:jc w:val="center"/>
              <w:rPr>
                <w:rFonts w:ascii="宋体" w:hAnsi="宋体" w:cs="宋体"/>
                <w:szCs w:val="21"/>
              </w:rPr>
            </w:pPr>
            <w:r>
              <w:rPr>
                <w:rFonts w:ascii="宋体" w:hAnsi="宋体" w:cs="宋体" w:hint="eastAsia"/>
                <w:szCs w:val="21"/>
              </w:rPr>
              <w:t>1800-3200元/m</w:t>
            </w:r>
          </w:p>
        </w:tc>
        <w:tc>
          <w:tcPr>
            <w:tcW w:w="1515" w:type="pct"/>
            <w:gridSpan w:val="2"/>
            <w:vMerge/>
            <w:vAlign w:val="center"/>
          </w:tcPr>
          <w:p w14:paraId="76987FD4" w14:textId="77777777" w:rsidR="00A320E6" w:rsidRDefault="00A320E6" w:rsidP="00AE0286">
            <w:pPr>
              <w:jc w:val="left"/>
              <w:rPr>
                <w:rFonts w:ascii="宋体" w:hAnsi="宋体" w:cs="宋体"/>
                <w:kern w:val="0"/>
                <w:szCs w:val="21"/>
              </w:rPr>
            </w:pPr>
          </w:p>
        </w:tc>
      </w:tr>
      <w:tr w:rsidR="00A320E6" w14:paraId="47F4793D" w14:textId="77777777" w:rsidTr="00A1539E">
        <w:trPr>
          <w:trHeight w:val="454"/>
          <w:jc w:val="center"/>
        </w:trPr>
        <w:tc>
          <w:tcPr>
            <w:tcW w:w="375" w:type="pct"/>
            <w:tcBorders>
              <w:left w:val="single" w:sz="4" w:space="0" w:color="auto"/>
              <w:right w:val="single" w:sz="4" w:space="0" w:color="auto"/>
            </w:tcBorders>
            <w:vAlign w:val="center"/>
          </w:tcPr>
          <w:p w14:paraId="1420FD94" w14:textId="77777777" w:rsidR="00A320E6" w:rsidRDefault="00000000" w:rsidP="00AE0286">
            <w:pPr>
              <w:jc w:val="center"/>
              <w:rPr>
                <w:rFonts w:ascii="宋体" w:hAnsi="宋体" w:cs="宋体"/>
                <w:szCs w:val="21"/>
              </w:rPr>
            </w:pPr>
            <w:r>
              <w:rPr>
                <w:rFonts w:ascii="宋体" w:hAnsi="宋体" w:cs="宋体" w:hint="eastAsia"/>
                <w:szCs w:val="21"/>
              </w:rPr>
              <w:t>13</w:t>
            </w:r>
          </w:p>
        </w:tc>
        <w:tc>
          <w:tcPr>
            <w:tcW w:w="401" w:type="pct"/>
            <w:tcBorders>
              <w:left w:val="single" w:sz="4" w:space="0" w:color="auto"/>
              <w:right w:val="single" w:sz="4" w:space="0" w:color="auto"/>
            </w:tcBorders>
            <w:vAlign w:val="center"/>
          </w:tcPr>
          <w:p w14:paraId="50ACC046"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涵闸</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E592F66" w14:textId="77777777" w:rsidR="00A320E6" w:rsidRDefault="00A320E6" w:rsidP="00AE0286">
            <w:pPr>
              <w:rPr>
                <w:rFonts w:ascii="宋体" w:hAnsi="宋体" w:cs="宋体"/>
                <w:szCs w:val="21"/>
              </w:rPr>
            </w:pPr>
          </w:p>
        </w:tc>
        <w:tc>
          <w:tcPr>
            <w:tcW w:w="1049" w:type="pct"/>
            <w:tcBorders>
              <w:top w:val="single" w:sz="4" w:space="0" w:color="auto"/>
              <w:left w:val="single" w:sz="4" w:space="0" w:color="auto"/>
              <w:bottom w:val="single" w:sz="4" w:space="0" w:color="auto"/>
            </w:tcBorders>
            <w:vAlign w:val="center"/>
          </w:tcPr>
          <w:p w14:paraId="0E7C1A19" w14:textId="77777777" w:rsidR="00A320E6" w:rsidRDefault="00000000" w:rsidP="00AE0286">
            <w:pPr>
              <w:jc w:val="center"/>
              <w:rPr>
                <w:rFonts w:ascii="宋体" w:hAnsi="宋体" w:cs="宋体"/>
                <w:szCs w:val="21"/>
              </w:rPr>
            </w:pPr>
            <w:r>
              <w:rPr>
                <w:rFonts w:ascii="宋体" w:hAnsi="宋体" w:cs="宋体" w:hint="eastAsia"/>
                <w:szCs w:val="21"/>
              </w:rPr>
              <w:t>20000-40000元/座</w:t>
            </w:r>
          </w:p>
        </w:tc>
        <w:tc>
          <w:tcPr>
            <w:tcW w:w="1515" w:type="pct"/>
            <w:gridSpan w:val="2"/>
            <w:vAlign w:val="center"/>
          </w:tcPr>
          <w:p w14:paraId="4A01F3D8" w14:textId="77777777" w:rsidR="00A320E6" w:rsidRDefault="00000000" w:rsidP="00AE0286">
            <w:pPr>
              <w:jc w:val="left"/>
              <w:rPr>
                <w:rFonts w:ascii="宋体" w:hAnsi="宋体" w:cs="宋体"/>
                <w:kern w:val="0"/>
                <w:szCs w:val="21"/>
              </w:rPr>
            </w:pPr>
            <w:r>
              <w:rPr>
                <w:rFonts w:ascii="宋体" w:hAnsi="宋体" w:cs="宋体" w:hint="eastAsia"/>
                <w:kern w:val="0"/>
                <w:szCs w:val="21"/>
              </w:rPr>
              <w:t>指沟渠上的简易涵闸，河道上的大中型水闸应经专业机构评估或认定。</w:t>
            </w:r>
          </w:p>
        </w:tc>
      </w:tr>
      <w:tr w:rsidR="00A320E6" w14:paraId="461E9951" w14:textId="77777777" w:rsidTr="00A1539E">
        <w:trPr>
          <w:trHeight w:val="747"/>
          <w:jc w:val="center"/>
        </w:trPr>
        <w:tc>
          <w:tcPr>
            <w:tcW w:w="375" w:type="pct"/>
            <w:vMerge w:val="restart"/>
            <w:tcBorders>
              <w:left w:val="single" w:sz="4" w:space="0" w:color="auto"/>
              <w:right w:val="single" w:sz="4" w:space="0" w:color="auto"/>
            </w:tcBorders>
            <w:vAlign w:val="center"/>
          </w:tcPr>
          <w:p w14:paraId="08DBF5DA" w14:textId="77777777" w:rsidR="00A320E6" w:rsidRDefault="00000000" w:rsidP="00AE0286">
            <w:pPr>
              <w:jc w:val="center"/>
              <w:rPr>
                <w:rFonts w:ascii="宋体" w:hAnsi="宋体" w:cs="宋体"/>
                <w:szCs w:val="21"/>
              </w:rPr>
            </w:pPr>
            <w:r>
              <w:rPr>
                <w:rFonts w:ascii="宋体" w:hAnsi="宋体" w:cs="宋体" w:hint="eastAsia"/>
                <w:szCs w:val="21"/>
              </w:rPr>
              <w:t>14</w:t>
            </w:r>
          </w:p>
        </w:tc>
        <w:tc>
          <w:tcPr>
            <w:tcW w:w="401" w:type="pct"/>
            <w:vMerge w:val="restart"/>
            <w:tcBorders>
              <w:left w:val="single" w:sz="4" w:space="0" w:color="auto"/>
              <w:right w:val="single" w:sz="4" w:space="0" w:color="auto"/>
            </w:tcBorders>
            <w:vAlign w:val="center"/>
          </w:tcPr>
          <w:p w14:paraId="797353C1" w14:textId="77777777" w:rsidR="00A320E6" w:rsidRDefault="00000000" w:rsidP="00AE0286">
            <w:pPr>
              <w:jc w:val="center"/>
              <w:rPr>
                <w:rFonts w:ascii="宋体" w:hAnsi="宋体" w:cs="宋体"/>
                <w:kern w:val="0"/>
                <w:szCs w:val="21"/>
              </w:rPr>
            </w:pPr>
            <w:r>
              <w:rPr>
                <w:rFonts w:ascii="宋体" w:hAnsi="宋体" w:cs="宋体" w:hint="eastAsia"/>
                <w:kern w:val="0"/>
                <w:szCs w:val="21"/>
              </w:rPr>
              <w:t>水渠、水池</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8610FB8"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土筑水渠、水池</w:t>
            </w:r>
          </w:p>
        </w:tc>
        <w:tc>
          <w:tcPr>
            <w:tcW w:w="1049" w:type="pct"/>
            <w:tcBorders>
              <w:top w:val="single" w:sz="4" w:space="0" w:color="auto"/>
              <w:left w:val="single" w:sz="4" w:space="0" w:color="auto"/>
              <w:bottom w:val="single" w:sz="4" w:space="0" w:color="auto"/>
            </w:tcBorders>
            <w:vAlign w:val="center"/>
          </w:tcPr>
          <w:p w14:paraId="1EA4E262" w14:textId="77777777" w:rsidR="00A320E6" w:rsidRDefault="00000000" w:rsidP="00AE0286">
            <w:pPr>
              <w:jc w:val="center"/>
              <w:rPr>
                <w:rFonts w:ascii="宋体" w:hAnsi="宋体" w:cs="宋体"/>
                <w:szCs w:val="21"/>
              </w:rPr>
            </w:pPr>
            <w:r>
              <w:rPr>
                <w:rFonts w:ascii="宋体" w:hAnsi="宋体" w:cs="宋体" w:hint="eastAsia"/>
                <w:szCs w:val="21"/>
              </w:rPr>
              <w:t>25-30元/m³</w:t>
            </w:r>
          </w:p>
        </w:tc>
        <w:tc>
          <w:tcPr>
            <w:tcW w:w="1515" w:type="pct"/>
            <w:gridSpan w:val="2"/>
            <w:vAlign w:val="center"/>
          </w:tcPr>
          <w:p w14:paraId="368D8997"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1、不包括田间毛渠。</w:t>
            </w:r>
          </w:p>
          <w:p w14:paraId="6EE44456"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2、按挖方体积计算。</w:t>
            </w:r>
          </w:p>
        </w:tc>
      </w:tr>
      <w:tr w:rsidR="00A320E6" w14:paraId="5963A021" w14:textId="77777777" w:rsidTr="00A1539E">
        <w:trPr>
          <w:trHeight w:val="454"/>
          <w:jc w:val="center"/>
        </w:trPr>
        <w:tc>
          <w:tcPr>
            <w:tcW w:w="375" w:type="pct"/>
            <w:vMerge/>
            <w:tcBorders>
              <w:left w:val="single" w:sz="4" w:space="0" w:color="auto"/>
              <w:right w:val="single" w:sz="4" w:space="0" w:color="auto"/>
            </w:tcBorders>
            <w:vAlign w:val="center"/>
          </w:tcPr>
          <w:p w14:paraId="1EEC9EDB"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7696F6A5"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88115E6"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石砌水渠、水池</w:t>
            </w:r>
          </w:p>
        </w:tc>
        <w:tc>
          <w:tcPr>
            <w:tcW w:w="1049" w:type="pct"/>
            <w:tcBorders>
              <w:top w:val="single" w:sz="4" w:space="0" w:color="auto"/>
              <w:left w:val="single" w:sz="4" w:space="0" w:color="auto"/>
              <w:bottom w:val="single" w:sz="4" w:space="0" w:color="auto"/>
            </w:tcBorders>
            <w:vAlign w:val="center"/>
          </w:tcPr>
          <w:p w14:paraId="2B31D912" w14:textId="77777777" w:rsidR="00A320E6" w:rsidRDefault="00000000" w:rsidP="00AE0286">
            <w:pPr>
              <w:jc w:val="center"/>
              <w:rPr>
                <w:rFonts w:ascii="宋体" w:hAnsi="宋体" w:cs="宋体"/>
                <w:szCs w:val="21"/>
              </w:rPr>
            </w:pPr>
            <w:r>
              <w:rPr>
                <w:rFonts w:ascii="宋体" w:hAnsi="宋体" w:cs="宋体" w:hint="eastAsia"/>
                <w:szCs w:val="21"/>
              </w:rPr>
              <w:t>80-120元/㎡</w:t>
            </w:r>
          </w:p>
        </w:tc>
        <w:tc>
          <w:tcPr>
            <w:tcW w:w="1515" w:type="pct"/>
            <w:gridSpan w:val="2"/>
            <w:vMerge w:val="restart"/>
            <w:vAlign w:val="center"/>
          </w:tcPr>
          <w:p w14:paraId="32614A14"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1、按砌体侧面积计算。2、土方另计：25-30元/m³。</w:t>
            </w:r>
          </w:p>
        </w:tc>
      </w:tr>
      <w:tr w:rsidR="00A320E6" w14:paraId="126F0648" w14:textId="77777777" w:rsidTr="00A1539E">
        <w:trPr>
          <w:trHeight w:val="454"/>
          <w:jc w:val="center"/>
        </w:trPr>
        <w:tc>
          <w:tcPr>
            <w:tcW w:w="375" w:type="pct"/>
            <w:vMerge/>
            <w:tcBorders>
              <w:left w:val="single" w:sz="4" w:space="0" w:color="auto"/>
              <w:right w:val="single" w:sz="4" w:space="0" w:color="auto"/>
            </w:tcBorders>
            <w:vAlign w:val="center"/>
          </w:tcPr>
          <w:p w14:paraId="5E02FB09"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33657B6F"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573D3221"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砖砌水渠、水池</w:t>
            </w:r>
          </w:p>
        </w:tc>
        <w:tc>
          <w:tcPr>
            <w:tcW w:w="1049" w:type="pct"/>
            <w:tcBorders>
              <w:top w:val="single" w:sz="4" w:space="0" w:color="auto"/>
              <w:left w:val="single" w:sz="4" w:space="0" w:color="auto"/>
              <w:bottom w:val="single" w:sz="4" w:space="0" w:color="auto"/>
            </w:tcBorders>
            <w:vAlign w:val="center"/>
          </w:tcPr>
          <w:p w14:paraId="61B90FE7" w14:textId="77777777" w:rsidR="00A320E6" w:rsidRDefault="00000000" w:rsidP="00AE0286">
            <w:pPr>
              <w:jc w:val="center"/>
              <w:rPr>
                <w:rFonts w:ascii="宋体" w:hAnsi="宋体" w:cs="宋体"/>
                <w:szCs w:val="21"/>
              </w:rPr>
            </w:pPr>
            <w:r>
              <w:rPr>
                <w:rFonts w:ascii="宋体" w:hAnsi="宋体" w:cs="宋体" w:hint="eastAsia"/>
                <w:szCs w:val="21"/>
              </w:rPr>
              <w:t>70-110元/㎡</w:t>
            </w:r>
          </w:p>
        </w:tc>
        <w:tc>
          <w:tcPr>
            <w:tcW w:w="1515" w:type="pct"/>
            <w:gridSpan w:val="2"/>
            <w:vMerge/>
            <w:vAlign w:val="center"/>
          </w:tcPr>
          <w:p w14:paraId="13A3EAAF" w14:textId="77777777" w:rsidR="00A320E6" w:rsidRDefault="00A320E6" w:rsidP="00AE0286">
            <w:pPr>
              <w:jc w:val="left"/>
              <w:rPr>
                <w:rFonts w:ascii="宋体" w:hAnsi="宋体" w:cs="宋体"/>
                <w:kern w:val="0"/>
                <w:szCs w:val="21"/>
              </w:rPr>
            </w:pPr>
          </w:p>
        </w:tc>
      </w:tr>
      <w:tr w:rsidR="00A320E6" w14:paraId="33C78058" w14:textId="77777777" w:rsidTr="00A1539E">
        <w:trPr>
          <w:trHeight w:val="635"/>
          <w:jc w:val="center"/>
        </w:trPr>
        <w:tc>
          <w:tcPr>
            <w:tcW w:w="375" w:type="pct"/>
            <w:vMerge/>
            <w:tcBorders>
              <w:left w:val="single" w:sz="4" w:space="0" w:color="auto"/>
              <w:right w:val="single" w:sz="4" w:space="0" w:color="auto"/>
            </w:tcBorders>
            <w:vAlign w:val="center"/>
          </w:tcPr>
          <w:p w14:paraId="4850AF4E"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A62112F" w14:textId="77777777" w:rsidR="00A320E6" w:rsidRDefault="00A320E6" w:rsidP="00AE0286">
            <w:pPr>
              <w:jc w:val="center"/>
              <w:rPr>
                <w:rFonts w:ascii="宋体" w:hAnsi="宋体" w:cs="宋体"/>
                <w:kern w:val="0"/>
                <w:szCs w:val="21"/>
              </w:rPr>
            </w:pPr>
          </w:p>
        </w:tc>
        <w:tc>
          <w:tcPr>
            <w:tcW w:w="1660" w:type="pct"/>
            <w:gridSpan w:val="2"/>
            <w:tcBorders>
              <w:top w:val="single" w:sz="4" w:space="0" w:color="auto"/>
              <w:left w:val="single" w:sz="4" w:space="0" w:color="auto"/>
              <w:right w:val="single" w:sz="4" w:space="0" w:color="auto"/>
            </w:tcBorders>
            <w:vAlign w:val="center"/>
          </w:tcPr>
          <w:p w14:paraId="7F3A2DB5"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预制板水渠</w:t>
            </w:r>
          </w:p>
        </w:tc>
        <w:tc>
          <w:tcPr>
            <w:tcW w:w="1049" w:type="pct"/>
            <w:tcBorders>
              <w:top w:val="single" w:sz="4" w:space="0" w:color="auto"/>
              <w:left w:val="single" w:sz="4" w:space="0" w:color="auto"/>
            </w:tcBorders>
            <w:vAlign w:val="center"/>
          </w:tcPr>
          <w:p w14:paraId="75F87FB2" w14:textId="77777777" w:rsidR="00A320E6" w:rsidRDefault="00000000" w:rsidP="00AE0286">
            <w:pPr>
              <w:jc w:val="center"/>
              <w:rPr>
                <w:rFonts w:ascii="宋体" w:hAnsi="宋体" w:cs="宋体"/>
                <w:szCs w:val="21"/>
              </w:rPr>
            </w:pPr>
            <w:r>
              <w:rPr>
                <w:rFonts w:ascii="宋体" w:hAnsi="宋体" w:cs="宋体" w:hint="eastAsia"/>
                <w:szCs w:val="21"/>
              </w:rPr>
              <w:t>60-100元/ｍ</w:t>
            </w:r>
          </w:p>
        </w:tc>
        <w:tc>
          <w:tcPr>
            <w:tcW w:w="1515" w:type="pct"/>
            <w:gridSpan w:val="2"/>
            <w:vAlign w:val="center"/>
          </w:tcPr>
          <w:p w14:paraId="5947D51C"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1、根据水渠深度、宽度在本等级水渠价格范围内确定。</w:t>
            </w:r>
          </w:p>
        </w:tc>
      </w:tr>
      <w:tr w:rsidR="00A320E6" w14:paraId="3482BBB4" w14:textId="77777777" w:rsidTr="00A1539E">
        <w:trPr>
          <w:trHeight w:val="454"/>
          <w:jc w:val="center"/>
        </w:trPr>
        <w:tc>
          <w:tcPr>
            <w:tcW w:w="375" w:type="pct"/>
            <w:vMerge w:val="restart"/>
            <w:tcBorders>
              <w:left w:val="single" w:sz="4" w:space="0" w:color="auto"/>
              <w:right w:val="single" w:sz="4" w:space="0" w:color="auto"/>
            </w:tcBorders>
            <w:vAlign w:val="center"/>
          </w:tcPr>
          <w:p w14:paraId="07937C66" w14:textId="77777777" w:rsidR="00A320E6" w:rsidRDefault="00000000" w:rsidP="00AE0286">
            <w:pPr>
              <w:jc w:val="center"/>
              <w:rPr>
                <w:rFonts w:ascii="宋体" w:hAnsi="宋体" w:cs="宋体"/>
                <w:szCs w:val="21"/>
              </w:rPr>
            </w:pPr>
            <w:r>
              <w:rPr>
                <w:rFonts w:ascii="宋体" w:hAnsi="宋体" w:cs="宋体" w:hint="eastAsia"/>
                <w:szCs w:val="21"/>
              </w:rPr>
              <w:t>15</w:t>
            </w:r>
          </w:p>
          <w:p w14:paraId="40181305" w14:textId="77777777" w:rsidR="00A320E6" w:rsidRDefault="00A320E6" w:rsidP="00AE0286">
            <w:pPr>
              <w:jc w:val="center"/>
              <w:rPr>
                <w:rFonts w:ascii="宋体" w:hAnsi="宋体" w:cs="宋体"/>
                <w:szCs w:val="21"/>
              </w:rPr>
            </w:pPr>
          </w:p>
        </w:tc>
        <w:tc>
          <w:tcPr>
            <w:tcW w:w="401" w:type="pct"/>
            <w:vMerge w:val="restart"/>
            <w:tcBorders>
              <w:left w:val="single" w:sz="4" w:space="0" w:color="auto"/>
              <w:right w:val="single" w:sz="4" w:space="0" w:color="auto"/>
            </w:tcBorders>
            <w:vAlign w:val="center"/>
          </w:tcPr>
          <w:p w14:paraId="769E88F8" w14:textId="77777777" w:rsidR="00A320E6" w:rsidRDefault="00000000" w:rsidP="00AE0286">
            <w:pPr>
              <w:spacing w:before="100" w:beforeAutospacing="1" w:after="100" w:afterAutospacing="1"/>
              <w:jc w:val="left"/>
              <w:rPr>
                <w:rFonts w:ascii="宋体" w:hAnsi="宋体" w:cs="宋体"/>
                <w:kern w:val="0"/>
                <w:szCs w:val="21"/>
              </w:rPr>
            </w:pPr>
            <w:r>
              <w:rPr>
                <w:rFonts w:ascii="宋体" w:hAnsi="宋体" w:cs="宋体" w:hint="eastAsia"/>
                <w:kern w:val="0"/>
                <w:szCs w:val="21"/>
              </w:rPr>
              <w:t>小农水</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3AF99059" w14:textId="77777777" w:rsidR="00A320E6" w:rsidRDefault="00000000" w:rsidP="00AE0286">
            <w:pPr>
              <w:rPr>
                <w:rFonts w:ascii="宋体" w:hAnsi="宋体" w:cs="宋体"/>
                <w:szCs w:val="21"/>
              </w:rPr>
            </w:pPr>
            <w:r>
              <w:rPr>
                <w:rFonts w:ascii="宋体" w:hAnsi="宋体" w:cs="宋体" w:hint="eastAsia"/>
                <w:szCs w:val="21"/>
              </w:rPr>
              <w:t>地埋PVC管道</w:t>
            </w:r>
          </w:p>
        </w:tc>
        <w:tc>
          <w:tcPr>
            <w:tcW w:w="1049" w:type="pct"/>
            <w:tcBorders>
              <w:top w:val="single" w:sz="4" w:space="0" w:color="auto"/>
              <w:left w:val="single" w:sz="4" w:space="0" w:color="auto"/>
              <w:bottom w:val="single" w:sz="4" w:space="0" w:color="auto"/>
            </w:tcBorders>
            <w:vAlign w:val="center"/>
          </w:tcPr>
          <w:p w14:paraId="132382B9" w14:textId="77777777" w:rsidR="00A320E6" w:rsidRDefault="00000000" w:rsidP="00AE0286">
            <w:pPr>
              <w:jc w:val="center"/>
              <w:rPr>
                <w:rFonts w:ascii="宋体" w:hAnsi="宋体" w:cs="宋体"/>
                <w:szCs w:val="21"/>
              </w:rPr>
            </w:pPr>
            <w:r>
              <w:rPr>
                <w:rFonts w:ascii="宋体" w:hAnsi="宋体" w:cs="宋体" w:hint="eastAsia"/>
                <w:szCs w:val="21"/>
              </w:rPr>
              <w:t>15-35元/ｍ</w:t>
            </w:r>
          </w:p>
        </w:tc>
        <w:tc>
          <w:tcPr>
            <w:tcW w:w="1515" w:type="pct"/>
            <w:gridSpan w:val="2"/>
            <w:vAlign w:val="center"/>
          </w:tcPr>
          <w:p w14:paraId="545AA542"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按管径大小在价格范围内确定。旧料归原主。</w:t>
            </w:r>
          </w:p>
        </w:tc>
      </w:tr>
      <w:tr w:rsidR="00A320E6" w14:paraId="0B26053A" w14:textId="77777777" w:rsidTr="00A1539E">
        <w:trPr>
          <w:trHeight w:val="454"/>
          <w:jc w:val="center"/>
        </w:trPr>
        <w:tc>
          <w:tcPr>
            <w:tcW w:w="375" w:type="pct"/>
            <w:vMerge/>
            <w:tcBorders>
              <w:left w:val="single" w:sz="4" w:space="0" w:color="auto"/>
              <w:right w:val="single" w:sz="4" w:space="0" w:color="auto"/>
            </w:tcBorders>
            <w:vAlign w:val="center"/>
          </w:tcPr>
          <w:p w14:paraId="1667C35B"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5BE412B"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ED6D090" w14:textId="77777777" w:rsidR="00A320E6" w:rsidRDefault="00000000" w:rsidP="00AE0286">
            <w:pPr>
              <w:rPr>
                <w:rFonts w:ascii="宋体" w:hAnsi="宋体" w:cs="宋体"/>
                <w:szCs w:val="21"/>
              </w:rPr>
            </w:pPr>
            <w:r>
              <w:rPr>
                <w:rFonts w:ascii="宋体" w:hAnsi="宋体" w:cs="宋体" w:hint="eastAsia"/>
                <w:szCs w:val="21"/>
              </w:rPr>
              <w:t>地埋电缆</w:t>
            </w:r>
          </w:p>
        </w:tc>
        <w:tc>
          <w:tcPr>
            <w:tcW w:w="1049" w:type="pct"/>
            <w:tcBorders>
              <w:top w:val="single" w:sz="4" w:space="0" w:color="auto"/>
              <w:left w:val="single" w:sz="4" w:space="0" w:color="auto"/>
              <w:bottom w:val="single" w:sz="4" w:space="0" w:color="auto"/>
            </w:tcBorders>
            <w:vAlign w:val="center"/>
          </w:tcPr>
          <w:p w14:paraId="620BD1CB" w14:textId="77777777" w:rsidR="00A320E6" w:rsidRDefault="00000000" w:rsidP="00AE0286">
            <w:pPr>
              <w:jc w:val="center"/>
              <w:rPr>
                <w:rFonts w:ascii="宋体" w:hAnsi="宋体" w:cs="宋体"/>
                <w:szCs w:val="21"/>
              </w:rPr>
            </w:pPr>
            <w:r>
              <w:rPr>
                <w:rFonts w:ascii="宋体" w:hAnsi="宋体" w:cs="宋体" w:hint="eastAsia"/>
                <w:szCs w:val="21"/>
              </w:rPr>
              <w:t>20-40元/ｍ</w:t>
            </w:r>
          </w:p>
        </w:tc>
        <w:tc>
          <w:tcPr>
            <w:tcW w:w="1515" w:type="pct"/>
            <w:gridSpan w:val="2"/>
            <w:vMerge w:val="restart"/>
            <w:vAlign w:val="center"/>
          </w:tcPr>
          <w:p w14:paraId="7A7C3C66" w14:textId="77777777" w:rsidR="00A320E6" w:rsidRDefault="00000000" w:rsidP="00AE0286">
            <w:pPr>
              <w:jc w:val="left"/>
              <w:rPr>
                <w:rFonts w:ascii="宋体" w:hAnsi="宋体" w:cs="宋体"/>
                <w:kern w:val="0"/>
                <w:szCs w:val="21"/>
              </w:rPr>
            </w:pPr>
            <w:r>
              <w:rPr>
                <w:rFonts w:ascii="宋体" w:hAnsi="宋体" w:cs="宋体" w:hint="eastAsia"/>
                <w:kern w:val="0"/>
                <w:szCs w:val="21"/>
              </w:rPr>
              <w:t>旧料归原主。</w:t>
            </w:r>
          </w:p>
        </w:tc>
      </w:tr>
      <w:tr w:rsidR="00A320E6" w14:paraId="3C285D9E" w14:textId="77777777" w:rsidTr="00A1539E">
        <w:trPr>
          <w:trHeight w:val="454"/>
          <w:jc w:val="center"/>
        </w:trPr>
        <w:tc>
          <w:tcPr>
            <w:tcW w:w="375" w:type="pct"/>
            <w:vMerge/>
            <w:tcBorders>
              <w:left w:val="single" w:sz="4" w:space="0" w:color="auto"/>
              <w:right w:val="single" w:sz="4" w:space="0" w:color="auto"/>
            </w:tcBorders>
            <w:vAlign w:val="center"/>
          </w:tcPr>
          <w:p w14:paraId="4CA33266"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BD152F7"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8689464" w14:textId="77777777" w:rsidR="00A320E6" w:rsidRDefault="00000000" w:rsidP="00AE0286">
            <w:pPr>
              <w:rPr>
                <w:rFonts w:ascii="宋体" w:hAnsi="宋体" w:cs="宋体"/>
                <w:szCs w:val="21"/>
              </w:rPr>
            </w:pPr>
            <w:r>
              <w:rPr>
                <w:rFonts w:ascii="宋体" w:hAnsi="宋体" w:cs="宋体" w:hint="eastAsia"/>
                <w:szCs w:val="21"/>
              </w:rPr>
              <w:t>出水口（栓）</w:t>
            </w:r>
          </w:p>
        </w:tc>
        <w:tc>
          <w:tcPr>
            <w:tcW w:w="1049" w:type="pct"/>
            <w:tcBorders>
              <w:top w:val="single" w:sz="4" w:space="0" w:color="auto"/>
              <w:left w:val="single" w:sz="4" w:space="0" w:color="auto"/>
              <w:bottom w:val="single" w:sz="4" w:space="0" w:color="auto"/>
            </w:tcBorders>
            <w:vAlign w:val="center"/>
          </w:tcPr>
          <w:p w14:paraId="7F117ED1" w14:textId="77777777" w:rsidR="00A320E6" w:rsidRDefault="00000000" w:rsidP="00AE0286">
            <w:pPr>
              <w:jc w:val="center"/>
              <w:rPr>
                <w:rFonts w:ascii="宋体" w:hAnsi="宋体" w:cs="宋体"/>
                <w:szCs w:val="21"/>
              </w:rPr>
            </w:pPr>
            <w:r>
              <w:rPr>
                <w:rFonts w:ascii="宋体" w:hAnsi="宋体" w:cs="宋体" w:hint="eastAsia"/>
                <w:szCs w:val="21"/>
              </w:rPr>
              <w:t>100-160元/个</w:t>
            </w:r>
          </w:p>
        </w:tc>
        <w:tc>
          <w:tcPr>
            <w:tcW w:w="1515" w:type="pct"/>
            <w:gridSpan w:val="2"/>
            <w:vMerge/>
            <w:vAlign w:val="center"/>
          </w:tcPr>
          <w:p w14:paraId="5D3B047F" w14:textId="77777777" w:rsidR="00A320E6" w:rsidRDefault="00A320E6" w:rsidP="00AE0286">
            <w:pPr>
              <w:jc w:val="left"/>
              <w:rPr>
                <w:rFonts w:ascii="宋体" w:hAnsi="宋体" w:cs="宋体"/>
                <w:kern w:val="0"/>
                <w:szCs w:val="21"/>
              </w:rPr>
            </w:pPr>
          </w:p>
        </w:tc>
      </w:tr>
      <w:tr w:rsidR="00A320E6" w14:paraId="42172D5C" w14:textId="77777777" w:rsidTr="00A1539E">
        <w:trPr>
          <w:trHeight w:val="496"/>
          <w:jc w:val="center"/>
        </w:trPr>
        <w:tc>
          <w:tcPr>
            <w:tcW w:w="375" w:type="pct"/>
            <w:vMerge/>
            <w:tcBorders>
              <w:left w:val="single" w:sz="4" w:space="0" w:color="auto"/>
              <w:right w:val="single" w:sz="4" w:space="0" w:color="auto"/>
            </w:tcBorders>
            <w:vAlign w:val="center"/>
          </w:tcPr>
          <w:p w14:paraId="739C5C4C"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508DD103" w14:textId="77777777" w:rsidR="00A320E6" w:rsidRDefault="00A320E6" w:rsidP="00AE0286">
            <w:pPr>
              <w:spacing w:before="100" w:beforeAutospacing="1" w:after="100" w:afterAutospacing="1"/>
              <w:jc w:val="left"/>
              <w:rPr>
                <w:rFonts w:ascii="宋体" w:hAnsi="宋体" w:cs="宋体"/>
                <w:kern w:val="0"/>
                <w:szCs w:val="21"/>
              </w:rPr>
            </w:pPr>
          </w:p>
        </w:tc>
        <w:tc>
          <w:tcPr>
            <w:tcW w:w="1660" w:type="pct"/>
            <w:gridSpan w:val="2"/>
            <w:tcBorders>
              <w:top w:val="single" w:sz="4" w:space="0" w:color="auto"/>
              <w:left w:val="single" w:sz="4" w:space="0" w:color="auto"/>
              <w:right w:val="single" w:sz="4" w:space="0" w:color="auto"/>
            </w:tcBorders>
            <w:vAlign w:val="center"/>
          </w:tcPr>
          <w:p w14:paraId="6B982E3D" w14:textId="77777777" w:rsidR="00A320E6" w:rsidRDefault="00000000" w:rsidP="00AE0286">
            <w:pPr>
              <w:rPr>
                <w:rFonts w:ascii="宋体" w:hAnsi="宋体" w:cs="宋体"/>
                <w:szCs w:val="21"/>
              </w:rPr>
            </w:pPr>
            <w:r>
              <w:rPr>
                <w:rFonts w:ascii="宋体" w:hAnsi="宋体" w:cs="宋体" w:hint="eastAsia"/>
                <w:szCs w:val="21"/>
              </w:rPr>
              <w:t>机井保护器</w:t>
            </w:r>
          </w:p>
        </w:tc>
        <w:tc>
          <w:tcPr>
            <w:tcW w:w="1049" w:type="pct"/>
            <w:tcBorders>
              <w:top w:val="single" w:sz="4" w:space="0" w:color="auto"/>
              <w:left w:val="single" w:sz="4" w:space="0" w:color="auto"/>
            </w:tcBorders>
            <w:vAlign w:val="center"/>
          </w:tcPr>
          <w:p w14:paraId="4832C54F" w14:textId="77777777" w:rsidR="00A320E6" w:rsidRDefault="00000000" w:rsidP="00AE0286">
            <w:pPr>
              <w:jc w:val="center"/>
              <w:rPr>
                <w:rFonts w:ascii="宋体" w:hAnsi="宋体" w:cs="宋体"/>
                <w:szCs w:val="21"/>
              </w:rPr>
            </w:pPr>
            <w:r>
              <w:rPr>
                <w:rFonts w:ascii="宋体" w:hAnsi="宋体" w:cs="宋体" w:hint="eastAsia"/>
                <w:szCs w:val="21"/>
              </w:rPr>
              <w:t>600-1200元/套</w:t>
            </w:r>
          </w:p>
        </w:tc>
        <w:tc>
          <w:tcPr>
            <w:tcW w:w="1515" w:type="pct"/>
            <w:gridSpan w:val="2"/>
            <w:vAlign w:val="center"/>
          </w:tcPr>
          <w:p w14:paraId="5EC837F2" w14:textId="77777777" w:rsidR="00A320E6" w:rsidRDefault="00000000" w:rsidP="00AE0286">
            <w:pPr>
              <w:jc w:val="left"/>
              <w:rPr>
                <w:rFonts w:ascii="宋体" w:hAnsi="宋体" w:cs="宋体"/>
                <w:kern w:val="0"/>
                <w:szCs w:val="21"/>
              </w:rPr>
            </w:pPr>
            <w:r>
              <w:rPr>
                <w:rFonts w:ascii="宋体" w:hAnsi="宋体" w:cs="宋体" w:hint="eastAsia"/>
                <w:kern w:val="0"/>
                <w:szCs w:val="21"/>
              </w:rPr>
              <w:t>含系统管理机。</w:t>
            </w:r>
          </w:p>
        </w:tc>
      </w:tr>
      <w:tr w:rsidR="00A320E6" w14:paraId="32071776" w14:textId="77777777" w:rsidTr="00A1539E">
        <w:trPr>
          <w:trHeight w:val="454"/>
          <w:jc w:val="center"/>
        </w:trPr>
        <w:tc>
          <w:tcPr>
            <w:tcW w:w="375" w:type="pct"/>
            <w:vMerge w:val="restart"/>
            <w:tcBorders>
              <w:left w:val="single" w:sz="4" w:space="0" w:color="auto"/>
              <w:right w:val="single" w:sz="4" w:space="0" w:color="auto"/>
            </w:tcBorders>
            <w:vAlign w:val="center"/>
          </w:tcPr>
          <w:p w14:paraId="0E33F239" w14:textId="77777777" w:rsidR="00A320E6" w:rsidRDefault="00000000" w:rsidP="00AE0286">
            <w:pPr>
              <w:jc w:val="center"/>
              <w:rPr>
                <w:rFonts w:ascii="宋体" w:hAnsi="宋体" w:cs="宋体"/>
                <w:szCs w:val="21"/>
              </w:rPr>
            </w:pPr>
            <w:r>
              <w:rPr>
                <w:rFonts w:ascii="宋体" w:hAnsi="宋体" w:cs="宋体" w:hint="eastAsia"/>
                <w:szCs w:val="21"/>
              </w:rPr>
              <w:t>16</w:t>
            </w:r>
          </w:p>
        </w:tc>
        <w:tc>
          <w:tcPr>
            <w:tcW w:w="401" w:type="pct"/>
            <w:vMerge w:val="restart"/>
            <w:tcBorders>
              <w:left w:val="single" w:sz="4" w:space="0" w:color="auto"/>
              <w:right w:val="single" w:sz="4" w:space="0" w:color="auto"/>
            </w:tcBorders>
            <w:vAlign w:val="center"/>
          </w:tcPr>
          <w:p w14:paraId="79E03957"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排水（污）管道</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2A04A722" w14:textId="77777777" w:rsidR="00A320E6" w:rsidRDefault="00000000" w:rsidP="00AE0286">
            <w:pPr>
              <w:rPr>
                <w:rFonts w:ascii="宋体" w:hAnsi="宋体" w:cs="宋体"/>
                <w:szCs w:val="21"/>
              </w:rPr>
            </w:pPr>
            <w:r>
              <w:rPr>
                <w:rFonts w:ascii="宋体" w:hAnsi="宋体" w:cs="宋体" w:hint="eastAsia"/>
                <w:szCs w:val="21"/>
              </w:rPr>
              <w:t>砖砌盖板跨径0.5ｍ以下</w:t>
            </w:r>
          </w:p>
        </w:tc>
        <w:tc>
          <w:tcPr>
            <w:tcW w:w="1049" w:type="pct"/>
            <w:tcBorders>
              <w:top w:val="single" w:sz="4" w:space="0" w:color="auto"/>
              <w:left w:val="single" w:sz="4" w:space="0" w:color="auto"/>
              <w:bottom w:val="single" w:sz="4" w:space="0" w:color="auto"/>
            </w:tcBorders>
            <w:vAlign w:val="center"/>
          </w:tcPr>
          <w:p w14:paraId="0F8C85D1" w14:textId="77777777" w:rsidR="00A320E6" w:rsidRDefault="00000000" w:rsidP="00AE0286">
            <w:pPr>
              <w:jc w:val="center"/>
              <w:rPr>
                <w:rFonts w:ascii="宋体" w:hAnsi="宋体" w:cs="宋体"/>
                <w:szCs w:val="21"/>
              </w:rPr>
            </w:pPr>
            <w:r>
              <w:rPr>
                <w:rFonts w:ascii="宋体" w:hAnsi="宋体" w:cs="宋体" w:hint="eastAsia"/>
                <w:szCs w:val="21"/>
              </w:rPr>
              <w:t>30-50元/ｍ</w:t>
            </w:r>
          </w:p>
        </w:tc>
        <w:tc>
          <w:tcPr>
            <w:tcW w:w="1515" w:type="pct"/>
            <w:gridSpan w:val="2"/>
            <w:vMerge w:val="restart"/>
            <w:vAlign w:val="center"/>
          </w:tcPr>
          <w:p w14:paraId="1CF65AD3" w14:textId="77777777" w:rsidR="00A320E6" w:rsidRDefault="00000000" w:rsidP="00AE0286">
            <w:pPr>
              <w:jc w:val="left"/>
              <w:rPr>
                <w:rFonts w:ascii="宋体" w:hAnsi="宋体" w:cs="宋体"/>
                <w:kern w:val="0"/>
                <w:szCs w:val="21"/>
              </w:rPr>
            </w:pPr>
            <w:r>
              <w:rPr>
                <w:rFonts w:ascii="宋体" w:hAnsi="宋体" w:cs="宋体" w:hint="eastAsia"/>
                <w:kern w:val="0"/>
                <w:szCs w:val="21"/>
              </w:rPr>
              <w:t>旧料损失、拆建人工费</w:t>
            </w:r>
          </w:p>
        </w:tc>
      </w:tr>
      <w:tr w:rsidR="00A320E6" w14:paraId="3DEBE752" w14:textId="77777777" w:rsidTr="00A1539E">
        <w:trPr>
          <w:trHeight w:val="454"/>
          <w:jc w:val="center"/>
        </w:trPr>
        <w:tc>
          <w:tcPr>
            <w:tcW w:w="375" w:type="pct"/>
            <w:vMerge/>
            <w:tcBorders>
              <w:left w:val="single" w:sz="4" w:space="0" w:color="auto"/>
              <w:right w:val="single" w:sz="4" w:space="0" w:color="auto"/>
            </w:tcBorders>
            <w:vAlign w:val="center"/>
          </w:tcPr>
          <w:p w14:paraId="551BD64B"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7F8DF94"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11A5EC90" w14:textId="77777777" w:rsidR="00A320E6" w:rsidRDefault="00000000" w:rsidP="00AE0286">
            <w:pPr>
              <w:rPr>
                <w:rFonts w:ascii="宋体" w:hAnsi="宋体" w:cs="宋体"/>
                <w:szCs w:val="21"/>
              </w:rPr>
            </w:pPr>
            <w:r>
              <w:rPr>
                <w:rFonts w:ascii="宋体" w:hAnsi="宋体" w:cs="宋体" w:hint="eastAsia"/>
                <w:szCs w:val="21"/>
              </w:rPr>
              <w:t>砖砌盖板跨径0.5ｍ以上</w:t>
            </w:r>
          </w:p>
        </w:tc>
        <w:tc>
          <w:tcPr>
            <w:tcW w:w="1049" w:type="pct"/>
            <w:tcBorders>
              <w:top w:val="single" w:sz="4" w:space="0" w:color="auto"/>
              <w:left w:val="single" w:sz="4" w:space="0" w:color="auto"/>
              <w:bottom w:val="single" w:sz="4" w:space="0" w:color="auto"/>
            </w:tcBorders>
            <w:vAlign w:val="center"/>
          </w:tcPr>
          <w:p w14:paraId="257101D8" w14:textId="77777777" w:rsidR="00A320E6" w:rsidRDefault="00000000" w:rsidP="00AE0286">
            <w:pPr>
              <w:jc w:val="center"/>
              <w:rPr>
                <w:rFonts w:ascii="宋体" w:hAnsi="宋体" w:cs="宋体"/>
                <w:szCs w:val="21"/>
              </w:rPr>
            </w:pPr>
            <w:r>
              <w:rPr>
                <w:rFonts w:ascii="宋体" w:hAnsi="宋体" w:cs="宋体" w:hint="eastAsia"/>
                <w:szCs w:val="21"/>
              </w:rPr>
              <w:t>50-100元/ｍ</w:t>
            </w:r>
          </w:p>
        </w:tc>
        <w:tc>
          <w:tcPr>
            <w:tcW w:w="1515" w:type="pct"/>
            <w:gridSpan w:val="2"/>
            <w:vMerge/>
            <w:vAlign w:val="center"/>
          </w:tcPr>
          <w:p w14:paraId="7B60716A" w14:textId="77777777" w:rsidR="00A320E6" w:rsidRDefault="00A320E6" w:rsidP="00AE0286">
            <w:pPr>
              <w:jc w:val="left"/>
              <w:rPr>
                <w:rFonts w:ascii="宋体" w:hAnsi="宋体" w:cs="宋体"/>
                <w:kern w:val="0"/>
                <w:szCs w:val="21"/>
              </w:rPr>
            </w:pPr>
          </w:p>
        </w:tc>
      </w:tr>
      <w:tr w:rsidR="00A320E6" w14:paraId="6B8182A0" w14:textId="77777777" w:rsidTr="00A1539E">
        <w:trPr>
          <w:trHeight w:val="454"/>
          <w:jc w:val="center"/>
        </w:trPr>
        <w:tc>
          <w:tcPr>
            <w:tcW w:w="375" w:type="pct"/>
            <w:vMerge/>
            <w:tcBorders>
              <w:left w:val="single" w:sz="4" w:space="0" w:color="auto"/>
              <w:right w:val="single" w:sz="4" w:space="0" w:color="auto"/>
            </w:tcBorders>
            <w:vAlign w:val="center"/>
          </w:tcPr>
          <w:p w14:paraId="1E15F95A"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4C0BACE3"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76F46D55" w14:textId="77777777" w:rsidR="00A320E6" w:rsidRDefault="00000000" w:rsidP="00AE0286">
            <w:pPr>
              <w:rPr>
                <w:rFonts w:ascii="宋体" w:hAnsi="宋体" w:cs="宋体"/>
                <w:szCs w:val="21"/>
              </w:rPr>
            </w:pPr>
            <w:r>
              <w:rPr>
                <w:rFonts w:ascii="宋体" w:hAnsi="宋体" w:cs="宋体" w:hint="eastAsia"/>
                <w:szCs w:val="21"/>
              </w:rPr>
              <w:t>钢筋混凝土管0.4ｍ以下</w:t>
            </w:r>
          </w:p>
        </w:tc>
        <w:tc>
          <w:tcPr>
            <w:tcW w:w="1049" w:type="pct"/>
            <w:tcBorders>
              <w:top w:val="single" w:sz="4" w:space="0" w:color="auto"/>
              <w:left w:val="single" w:sz="4" w:space="0" w:color="auto"/>
              <w:bottom w:val="single" w:sz="4" w:space="0" w:color="auto"/>
            </w:tcBorders>
            <w:vAlign w:val="center"/>
          </w:tcPr>
          <w:p w14:paraId="1A135329" w14:textId="77777777" w:rsidR="00A320E6" w:rsidRDefault="00000000" w:rsidP="00AE0286">
            <w:pPr>
              <w:jc w:val="center"/>
              <w:rPr>
                <w:rFonts w:ascii="宋体" w:hAnsi="宋体" w:cs="宋体"/>
                <w:szCs w:val="21"/>
              </w:rPr>
            </w:pPr>
            <w:r>
              <w:rPr>
                <w:rFonts w:ascii="宋体" w:hAnsi="宋体" w:cs="宋体" w:hint="eastAsia"/>
                <w:szCs w:val="21"/>
              </w:rPr>
              <w:t>50-60元/ｍ</w:t>
            </w:r>
          </w:p>
        </w:tc>
        <w:tc>
          <w:tcPr>
            <w:tcW w:w="1515" w:type="pct"/>
            <w:gridSpan w:val="2"/>
            <w:vMerge/>
            <w:vAlign w:val="center"/>
          </w:tcPr>
          <w:p w14:paraId="726A1A57" w14:textId="77777777" w:rsidR="00A320E6" w:rsidRDefault="00A320E6" w:rsidP="00AE0286">
            <w:pPr>
              <w:jc w:val="left"/>
              <w:rPr>
                <w:rFonts w:ascii="宋体" w:hAnsi="宋体" w:cs="宋体"/>
                <w:kern w:val="0"/>
                <w:szCs w:val="21"/>
              </w:rPr>
            </w:pPr>
          </w:p>
        </w:tc>
      </w:tr>
      <w:tr w:rsidR="00A320E6" w14:paraId="5AF5CE7A" w14:textId="77777777" w:rsidTr="00A1539E">
        <w:trPr>
          <w:trHeight w:val="454"/>
          <w:jc w:val="center"/>
        </w:trPr>
        <w:tc>
          <w:tcPr>
            <w:tcW w:w="375" w:type="pct"/>
            <w:vMerge w:val="restart"/>
            <w:tcBorders>
              <w:left w:val="single" w:sz="4" w:space="0" w:color="auto"/>
              <w:right w:val="single" w:sz="4" w:space="0" w:color="auto"/>
            </w:tcBorders>
            <w:vAlign w:val="center"/>
          </w:tcPr>
          <w:p w14:paraId="627D1A40" w14:textId="77777777" w:rsidR="00A320E6" w:rsidRDefault="00000000" w:rsidP="00AE0286">
            <w:pPr>
              <w:jc w:val="center"/>
              <w:rPr>
                <w:rFonts w:ascii="宋体" w:hAnsi="宋体" w:cs="宋体"/>
                <w:szCs w:val="21"/>
              </w:rPr>
            </w:pPr>
            <w:r>
              <w:rPr>
                <w:rFonts w:ascii="宋体" w:hAnsi="宋体" w:cs="宋体" w:hint="eastAsia"/>
                <w:szCs w:val="21"/>
              </w:rPr>
              <w:t>17</w:t>
            </w:r>
          </w:p>
        </w:tc>
        <w:tc>
          <w:tcPr>
            <w:tcW w:w="401" w:type="pct"/>
            <w:vMerge w:val="restart"/>
            <w:tcBorders>
              <w:left w:val="single" w:sz="4" w:space="0" w:color="auto"/>
              <w:right w:val="single" w:sz="4" w:space="0" w:color="auto"/>
            </w:tcBorders>
            <w:vAlign w:val="center"/>
          </w:tcPr>
          <w:p w14:paraId="7464F944"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自来水管</w:t>
            </w: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60BB94BF" w14:textId="77777777" w:rsidR="00A320E6" w:rsidRDefault="00000000" w:rsidP="00AE0286">
            <w:pPr>
              <w:rPr>
                <w:rFonts w:ascii="宋体" w:hAnsi="宋体" w:cs="宋体"/>
                <w:szCs w:val="21"/>
              </w:rPr>
            </w:pPr>
            <w:r>
              <w:rPr>
                <w:rFonts w:ascii="宋体" w:hAnsi="宋体" w:cs="宋体" w:hint="eastAsia"/>
                <w:szCs w:val="21"/>
              </w:rPr>
              <w:t>户内水管</w:t>
            </w:r>
          </w:p>
        </w:tc>
        <w:tc>
          <w:tcPr>
            <w:tcW w:w="1049" w:type="pct"/>
            <w:tcBorders>
              <w:top w:val="single" w:sz="4" w:space="0" w:color="auto"/>
              <w:left w:val="single" w:sz="4" w:space="0" w:color="auto"/>
              <w:bottom w:val="single" w:sz="4" w:space="0" w:color="auto"/>
            </w:tcBorders>
            <w:vAlign w:val="center"/>
          </w:tcPr>
          <w:p w14:paraId="174644B9" w14:textId="77777777" w:rsidR="00A320E6" w:rsidRDefault="00000000" w:rsidP="00AE0286">
            <w:pPr>
              <w:jc w:val="center"/>
              <w:rPr>
                <w:rFonts w:ascii="宋体" w:hAnsi="宋体" w:cs="宋体"/>
                <w:szCs w:val="21"/>
              </w:rPr>
            </w:pPr>
            <w:r>
              <w:rPr>
                <w:rFonts w:ascii="宋体" w:hAnsi="宋体" w:cs="宋体" w:hint="eastAsia"/>
                <w:szCs w:val="21"/>
              </w:rPr>
              <w:t>400元/表</w:t>
            </w:r>
          </w:p>
        </w:tc>
        <w:tc>
          <w:tcPr>
            <w:tcW w:w="1515" w:type="pct"/>
            <w:gridSpan w:val="2"/>
            <w:vMerge w:val="restart"/>
            <w:vAlign w:val="center"/>
          </w:tcPr>
          <w:p w14:paraId="7DC71ECE" w14:textId="77777777" w:rsidR="00A320E6" w:rsidRDefault="00000000" w:rsidP="00AE0286">
            <w:pPr>
              <w:jc w:val="left"/>
              <w:rPr>
                <w:rFonts w:ascii="宋体" w:hAnsi="宋体" w:cs="宋体"/>
                <w:kern w:val="0"/>
                <w:szCs w:val="21"/>
              </w:rPr>
            </w:pPr>
            <w:r>
              <w:rPr>
                <w:rFonts w:ascii="宋体" w:hAnsi="宋体" w:cs="宋体" w:hint="eastAsia"/>
                <w:kern w:val="0"/>
                <w:szCs w:val="21"/>
              </w:rPr>
              <w:t>旧料归原主。</w:t>
            </w:r>
          </w:p>
        </w:tc>
      </w:tr>
      <w:tr w:rsidR="00A320E6" w14:paraId="70BA3C96" w14:textId="77777777" w:rsidTr="00A1539E">
        <w:trPr>
          <w:trHeight w:val="454"/>
          <w:jc w:val="center"/>
        </w:trPr>
        <w:tc>
          <w:tcPr>
            <w:tcW w:w="375" w:type="pct"/>
            <w:vMerge/>
            <w:tcBorders>
              <w:left w:val="single" w:sz="4" w:space="0" w:color="auto"/>
              <w:right w:val="single" w:sz="4" w:space="0" w:color="auto"/>
            </w:tcBorders>
            <w:vAlign w:val="center"/>
          </w:tcPr>
          <w:p w14:paraId="22FF1216"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2E65A1D2"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right w:val="single" w:sz="4" w:space="0" w:color="auto"/>
            </w:tcBorders>
            <w:vAlign w:val="center"/>
          </w:tcPr>
          <w:p w14:paraId="0BFDC83D" w14:textId="77777777" w:rsidR="00A320E6" w:rsidRDefault="00000000" w:rsidP="00AE0286">
            <w:pPr>
              <w:rPr>
                <w:rFonts w:ascii="宋体" w:hAnsi="宋体" w:cs="宋体"/>
                <w:szCs w:val="21"/>
              </w:rPr>
            </w:pPr>
            <w:r>
              <w:rPr>
                <w:rFonts w:ascii="宋体" w:hAnsi="宋体" w:cs="宋体" w:hint="eastAsia"/>
                <w:szCs w:val="21"/>
              </w:rPr>
              <w:t>主管道</w:t>
            </w:r>
          </w:p>
        </w:tc>
        <w:tc>
          <w:tcPr>
            <w:tcW w:w="1049" w:type="pct"/>
            <w:tcBorders>
              <w:top w:val="single" w:sz="4" w:space="0" w:color="auto"/>
              <w:left w:val="single" w:sz="4" w:space="0" w:color="auto"/>
              <w:bottom w:val="single" w:sz="4" w:space="0" w:color="auto"/>
            </w:tcBorders>
            <w:vAlign w:val="center"/>
          </w:tcPr>
          <w:p w14:paraId="21F7828F" w14:textId="77777777" w:rsidR="00A320E6" w:rsidRDefault="00000000" w:rsidP="00AE0286">
            <w:pPr>
              <w:jc w:val="center"/>
              <w:rPr>
                <w:rFonts w:ascii="宋体" w:hAnsi="宋体" w:cs="宋体"/>
                <w:szCs w:val="21"/>
              </w:rPr>
            </w:pPr>
            <w:r>
              <w:rPr>
                <w:rFonts w:ascii="宋体" w:hAnsi="宋体" w:cs="宋体" w:hint="eastAsia"/>
                <w:szCs w:val="21"/>
              </w:rPr>
              <w:t>30元/ｍ</w:t>
            </w:r>
          </w:p>
        </w:tc>
        <w:tc>
          <w:tcPr>
            <w:tcW w:w="1515" w:type="pct"/>
            <w:gridSpan w:val="2"/>
            <w:vMerge/>
            <w:vAlign w:val="center"/>
          </w:tcPr>
          <w:p w14:paraId="2F587CD8" w14:textId="77777777" w:rsidR="00A320E6" w:rsidRDefault="00A320E6" w:rsidP="00AE0286">
            <w:pPr>
              <w:jc w:val="left"/>
              <w:rPr>
                <w:rFonts w:ascii="宋体" w:hAnsi="宋体" w:cs="宋体"/>
                <w:kern w:val="0"/>
                <w:szCs w:val="21"/>
              </w:rPr>
            </w:pPr>
          </w:p>
        </w:tc>
      </w:tr>
      <w:tr w:rsidR="00A320E6" w14:paraId="79FE5296" w14:textId="77777777" w:rsidTr="00A1539E">
        <w:trPr>
          <w:trHeight w:val="588"/>
          <w:jc w:val="center"/>
        </w:trPr>
        <w:tc>
          <w:tcPr>
            <w:tcW w:w="375" w:type="pct"/>
            <w:vMerge w:val="restart"/>
            <w:tcBorders>
              <w:left w:val="single" w:sz="4" w:space="0" w:color="auto"/>
              <w:right w:val="single" w:sz="4" w:space="0" w:color="auto"/>
            </w:tcBorders>
            <w:vAlign w:val="center"/>
          </w:tcPr>
          <w:p w14:paraId="33B349B1" w14:textId="77777777" w:rsidR="00A320E6" w:rsidRDefault="00000000" w:rsidP="00AE0286">
            <w:pPr>
              <w:jc w:val="center"/>
              <w:rPr>
                <w:rFonts w:ascii="宋体" w:hAnsi="宋体" w:cs="宋体"/>
                <w:szCs w:val="21"/>
              </w:rPr>
            </w:pPr>
            <w:r>
              <w:rPr>
                <w:rFonts w:ascii="宋体" w:hAnsi="宋体" w:cs="宋体" w:hint="eastAsia"/>
                <w:szCs w:val="21"/>
              </w:rPr>
              <w:t>18</w:t>
            </w:r>
          </w:p>
        </w:tc>
        <w:tc>
          <w:tcPr>
            <w:tcW w:w="401" w:type="pct"/>
            <w:vMerge w:val="restart"/>
            <w:tcBorders>
              <w:left w:val="single" w:sz="4" w:space="0" w:color="auto"/>
              <w:right w:val="single" w:sz="4" w:space="0" w:color="auto"/>
            </w:tcBorders>
            <w:vAlign w:val="center"/>
          </w:tcPr>
          <w:p w14:paraId="001EE73E" w14:textId="77777777" w:rsidR="00A320E6" w:rsidRDefault="00000000" w:rsidP="00AE0286">
            <w:pPr>
              <w:spacing w:before="100" w:beforeAutospacing="1" w:after="100" w:afterAutospacing="1"/>
              <w:jc w:val="center"/>
              <w:rPr>
                <w:rFonts w:ascii="宋体" w:hAnsi="宋体" w:cs="宋体"/>
                <w:kern w:val="0"/>
                <w:szCs w:val="21"/>
              </w:rPr>
            </w:pPr>
            <w:r>
              <w:rPr>
                <w:rFonts w:ascii="宋体" w:hAnsi="宋体" w:cs="宋体" w:hint="eastAsia"/>
                <w:kern w:val="0"/>
                <w:szCs w:val="21"/>
              </w:rPr>
              <w:t>电力通讯线路</w:t>
            </w:r>
          </w:p>
        </w:tc>
        <w:tc>
          <w:tcPr>
            <w:tcW w:w="1660" w:type="pct"/>
            <w:gridSpan w:val="2"/>
            <w:tcBorders>
              <w:top w:val="single" w:sz="4" w:space="0" w:color="auto"/>
              <w:left w:val="single" w:sz="4" w:space="0" w:color="auto"/>
              <w:bottom w:val="single" w:sz="4" w:space="0" w:color="auto"/>
            </w:tcBorders>
            <w:vAlign w:val="center"/>
          </w:tcPr>
          <w:p w14:paraId="3C99E421" w14:textId="77777777" w:rsidR="00A320E6" w:rsidRDefault="00000000" w:rsidP="00AE0286">
            <w:pPr>
              <w:rPr>
                <w:rFonts w:ascii="宋体" w:hAnsi="宋体" w:cs="宋体"/>
                <w:szCs w:val="21"/>
              </w:rPr>
            </w:pPr>
            <w:r>
              <w:rPr>
                <w:rFonts w:ascii="宋体" w:hAnsi="宋体" w:cs="宋体" w:hint="eastAsia"/>
                <w:szCs w:val="21"/>
              </w:rPr>
              <w:t>低压线路（正常使用）</w:t>
            </w:r>
          </w:p>
        </w:tc>
        <w:tc>
          <w:tcPr>
            <w:tcW w:w="1049" w:type="pct"/>
            <w:tcBorders>
              <w:top w:val="single" w:sz="4" w:space="0" w:color="auto"/>
              <w:left w:val="single" w:sz="4" w:space="0" w:color="auto"/>
              <w:bottom w:val="single" w:sz="4" w:space="0" w:color="auto"/>
            </w:tcBorders>
            <w:vAlign w:val="center"/>
          </w:tcPr>
          <w:p w14:paraId="76D19F14" w14:textId="77777777" w:rsidR="00A320E6" w:rsidRDefault="00000000" w:rsidP="00AE0286">
            <w:pPr>
              <w:jc w:val="center"/>
              <w:rPr>
                <w:rFonts w:ascii="宋体" w:hAnsi="宋体" w:cs="宋体"/>
                <w:szCs w:val="21"/>
              </w:rPr>
            </w:pPr>
            <w:r>
              <w:rPr>
                <w:rFonts w:ascii="宋体" w:hAnsi="宋体" w:cs="宋体" w:hint="eastAsia"/>
                <w:szCs w:val="21"/>
              </w:rPr>
              <w:t>1200-1500元/杆</w:t>
            </w:r>
          </w:p>
        </w:tc>
        <w:tc>
          <w:tcPr>
            <w:tcW w:w="1515" w:type="pct"/>
            <w:gridSpan w:val="2"/>
            <w:vMerge w:val="restart"/>
            <w:tcBorders>
              <w:top w:val="single" w:sz="4" w:space="0" w:color="auto"/>
              <w:left w:val="single" w:sz="4" w:space="0" w:color="auto"/>
            </w:tcBorders>
            <w:vAlign w:val="center"/>
          </w:tcPr>
          <w:p w14:paraId="62D0A95D"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1、包括电线等材料损失及拆建工费。2、废弃线路按同类补偿标准的50%补偿。3、旧料归原主。</w:t>
            </w:r>
          </w:p>
        </w:tc>
      </w:tr>
      <w:tr w:rsidR="00A320E6" w14:paraId="055E62AF" w14:textId="77777777" w:rsidTr="00A1539E">
        <w:trPr>
          <w:trHeight w:val="454"/>
          <w:jc w:val="center"/>
        </w:trPr>
        <w:tc>
          <w:tcPr>
            <w:tcW w:w="375" w:type="pct"/>
            <w:vMerge/>
            <w:tcBorders>
              <w:left w:val="single" w:sz="4" w:space="0" w:color="auto"/>
              <w:right w:val="single" w:sz="4" w:space="0" w:color="auto"/>
            </w:tcBorders>
            <w:vAlign w:val="center"/>
          </w:tcPr>
          <w:p w14:paraId="2CB343B9" w14:textId="77777777" w:rsidR="00A320E6" w:rsidRDefault="00A320E6" w:rsidP="00AE0286">
            <w:pPr>
              <w:jc w:val="center"/>
              <w:rPr>
                <w:rFonts w:ascii="宋体" w:hAnsi="宋体" w:cs="宋体"/>
                <w:szCs w:val="21"/>
              </w:rPr>
            </w:pPr>
          </w:p>
        </w:tc>
        <w:tc>
          <w:tcPr>
            <w:tcW w:w="401" w:type="pct"/>
            <w:vMerge/>
            <w:tcBorders>
              <w:left w:val="single" w:sz="4" w:space="0" w:color="auto"/>
              <w:right w:val="single" w:sz="4" w:space="0" w:color="auto"/>
            </w:tcBorders>
            <w:vAlign w:val="center"/>
          </w:tcPr>
          <w:p w14:paraId="7439D42A" w14:textId="77777777" w:rsidR="00A320E6" w:rsidRDefault="00A320E6" w:rsidP="00AE0286">
            <w:pPr>
              <w:spacing w:before="100" w:beforeAutospacing="1" w:after="100" w:afterAutospacing="1"/>
              <w:jc w:val="center"/>
              <w:rPr>
                <w:rFonts w:ascii="宋体" w:hAnsi="宋体" w:cs="宋体"/>
                <w:kern w:val="0"/>
                <w:szCs w:val="21"/>
              </w:rPr>
            </w:pPr>
          </w:p>
        </w:tc>
        <w:tc>
          <w:tcPr>
            <w:tcW w:w="1660" w:type="pct"/>
            <w:gridSpan w:val="2"/>
            <w:tcBorders>
              <w:top w:val="single" w:sz="4" w:space="0" w:color="auto"/>
              <w:left w:val="single" w:sz="4" w:space="0" w:color="auto"/>
              <w:bottom w:val="single" w:sz="4" w:space="0" w:color="auto"/>
            </w:tcBorders>
            <w:vAlign w:val="center"/>
          </w:tcPr>
          <w:p w14:paraId="698D45CB" w14:textId="77777777" w:rsidR="00A320E6" w:rsidRDefault="00000000" w:rsidP="00AE0286">
            <w:pPr>
              <w:rPr>
                <w:rFonts w:ascii="宋体" w:hAnsi="宋体" w:cs="宋体"/>
                <w:szCs w:val="21"/>
              </w:rPr>
            </w:pPr>
            <w:r>
              <w:rPr>
                <w:rFonts w:ascii="宋体" w:hAnsi="宋体" w:cs="宋体" w:hint="eastAsia"/>
                <w:szCs w:val="21"/>
              </w:rPr>
              <w:t>通讯广播线路（正常使用）</w:t>
            </w:r>
          </w:p>
        </w:tc>
        <w:tc>
          <w:tcPr>
            <w:tcW w:w="1049" w:type="pct"/>
            <w:tcBorders>
              <w:top w:val="single" w:sz="4" w:space="0" w:color="auto"/>
              <w:left w:val="single" w:sz="4" w:space="0" w:color="auto"/>
              <w:bottom w:val="single" w:sz="4" w:space="0" w:color="auto"/>
            </w:tcBorders>
            <w:vAlign w:val="center"/>
          </w:tcPr>
          <w:p w14:paraId="6BBB645F" w14:textId="77777777" w:rsidR="00A320E6" w:rsidRDefault="00000000" w:rsidP="00AE0286">
            <w:pPr>
              <w:jc w:val="center"/>
              <w:rPr>
                <w:rFonts w:ascii="宋体" w:hAnsi="宋体" w:cs="宋体"/>
                <w:szCs w:val="21"/>
              </w:rPr>
            </w:pPr>
            <w:r>
              <w:rPr>
                <w:rFonts w:ascii="宋体" w:hAnsi="宋体" w:cs="宋体" w:hint="eastAsia"/>
                <w:szCs w:val="21"/>
              </w:rPr>
              <w:t>1200-1500元/杆</w:t>
            </w:r>
          </w:p>
        </w:tc>
        <w:tc>
          <w:tcPr>
            <w:tcW w:w="1515" w:type="pct"/>
            <w:gridSpan w:val="2"/>
            <w:vMerge/>
            <w:tcBorders>
              <w:left w:val="single" w:sz="4" w:space="0" w:color="auto"/>
            </w:tcBorders>
            <w:vAlign w:val="center"/>
          </w:tcPr>
          <w:p w14:paraId="0F06725F" w14:textId="77777777" w:rsidR="00A320E6" w:rsidRDefault="00A320E6" w:rsidP="00AE0286">
            <w:pPr>
              <w:jc w:val="left"/>
              <w:rPr>
                <w:rFonts w:ascii="宋体" w:hAnsi="宋体" w:cs="宋体"/>
                <w:kern w:val="0"/>
                <w:szCs w:val="21"/>
              </w:rPr>
            </w:pPr>
          </w:p>
        </w:tc>
      </w:tr>
      <w:tr w:rsidR="00A320E6" w14:paraId="7CFF7404" w14:textId="77777777" w:rsidTr="00A1539E">
        <w:trPr>
          <w:trHeight w:val="454"/>
          <w:jc w:val="center"/>
        </w:trPr>
        <w:tc>
          <w:tcPr>
            <w:tcW w:w="375" w:type="pct"/>
            <w:vMerge w:val="restart"/>
            <w:tcBorders>
              <w:left w:val="single" w:sz="4" w:space="0" w:color="auto"/>
              <w:right w:val="single" w:sz="4" w:space="0" w:color="auto"/>
            </w:tcBorders>
            <w:vAlign w:val="center"/>
          </w:tcPr>
          <w:p w14:paraId="10FC8195" w14:textId="77777777" w:rsidR="00A320E6" w:rsidRDefault="00000000" w:rsidP="00AE0286">
            <w:pPr>
              <w:jc w:val="center"/>
              <w:rPr>
                <w:rFonts w:ascii="宋体" w:hAnsi="宋体" w:cs="宋体"/>
                <w:szCs w:val="21"/>
              </w:rPr>
            </w:pPr>
            <w:r>
              <w:rPr>
                <w:rFonts w:ascii="宋体" w:hAnsi="宋体" w:cs="宋体" w:hint="eastAsia"/>
                <w:szCs w:val="21"/>
              </w:rPr>
              <w:t>19</w:t>
            </w:r>
          </w:p>
        </w:tc>
        <w:tc>
          <w:tcPr>
            <w:tcW w:w="401" w:type="pct"/>
            <w:vMerge w:val="restart"/>
            <w:tcBorders>
              <w:left w:val="single" w:sz="4" w:space="0" w:color="auto"/>
              <w:right w:val="single" w:sz="4" w:space="0" w:color="auto"/>
            </w:tcBorders>
            <w:vAlign w:val="center"/>
          </w:tcPr>
          <w:p w14:paraId="4203F8D6" w14:textId="77777777" w:rsidR="00A320E6" w:rsidRDefault="00000000" w:rsidP="00AE0286">
            <w:pPr>
              <w:spacing w:before="150" w:after="150" w:line="270" w:lineRule="atLeast"/>
              <w:jc w:val="center"/>
              <w:textAlignment w:val="baseline"/>
              <w:rPr>
                <w:rFonts w:ascii="宋体" w:hAnsi="宋体" w:cs="宋体"/>
                <w:kern w:val="0"/>
                <w:szCs w:val="21"/>
              </w:rPr>
            </w:pPr>
            <w:r>
              <w:rPr>
                <w:rFonts w:ascii="宋体" w:hAnsi="宋体" w:cs="宋体" w:hint="eastAsia"/>
                <w:kern w:val="0"/>
                <w:szCs w:val="21"/>
              </w:rPr>
              <w:t>鱼塘藕塘</w:t>
            </w:r>
          </w:p>
        </w:tc>
        <w:tc>
          <w:tcPr>
            <w:tcW w:w="1660" w:type="pct"/>
            <w:gridSpan w:val="2"/>
            <w:tcBorders>
              <w:top w:val="single" w:sz="4" w:space="0" w:color="auto"/>
              <w:left w:val="single" w:sz="4" w:space="0" w:color="auto"/>
              <w:bottom w:val="single" w:sz="4" w:space="0" w:color="auto"/>
            </w:tcBorders>
            <w:vAlign w:val="center"/>
          </w:tcPr>
          <w:p w14:paraId="2D6DFD10" w14:textId="77777777" w:rsidR="00A320E6" w:rsidRDefault="00000000" w:rsidP="00AE0286">
            <w:pPr>
              <w:rPr>
                <w:rFonts w:ascii="宋体" w:hAnsi="宋体" w:cs="宋体"/>
                <w:szCs w:val="21"/>
              </w:rPr>
            </w:pPr>
            <w:r>
              <w:rPr>
                <w:rFonts w:ascii="宋体" w:hAnsi="宋体" w:cs="宋体" w:hint="eastAsia"/>
                <w:szCs w:val="21"/>
              </w:rPr>
              <w:t>土筑</w:t>
            </w:r>
          </w:p>
        </w:tc>
        <w:tc>
          <w:tcPr>
            <w:tcW w:w="1049" w:type="pct"/>
            <w:tcBorders>
              <w:top w:val="single" w:sz="4" w:space="0" w:color="auto"/>
              <w:left w:val="single" w:sz="4" w:space="0" w:color="auto"/>
            </w:tcBorders>
            <w:vAlign w:val="center"/>
          </w:tcPr>
          <w:p w14:paraId="6F92280D" w14:textId="77777777" w:rsidR="00A320E6" w:rsidRDefault="00000000" w:rsidP="00AE0286">
            <w:pPr>
              <w:jc w:val="center"/>
              <w:rPr>
                <w:rFonts w:ascii="宋体" w:hAnsi="宋体" w:cs="宋体"/>
                <w:szCs w:val="21"/>
              </w:rPr>
            </w:pPr>
            <w:r>
              <w:rPr>
                <w:rFonts w:ascii="宋体" w:hAnsi="宋体" w:cs="宋体" w:hint="eastAsia"/>
                <w:szCs w:val="21"/>
              </w:rPr>
              <w:t>6000-10000元/亩</w:t>
            </w:r>
          </w:p>
        </w:tc>
        <w:tc>
          <w:tcPr>
            <w:tcW w:w="1515" w:type="pct"/>
            <w:gridSpan w:val="2"/>
            <w:vMerge w:val="restart"/>
            <w:tcBorders>
              <w:left w:val="single" w:sz="4" w:space="0" w:color="auto"/>
            </w:tcBorders>
            <w:vAlign w:val="center"/>
          </w:tcPr>
          <w:p w14:paraId="55176160" w14:textId="77777777" w:rsidR="00A320E6" w:rsidRDefault="00000000" w:rsidP="00AE0286">
            <w:pPr>
              <w:jc w:val="left"/>
              <w:rPr>
                <w:rFonts w:ascii="宋体" w:hAnsi="宋体" w:cs="宋体"/>
                <w:kern w:val="0"/>
                <w:szCs w:val="21"/>
              </w:rPr>
            </w:pPr>
            <w:r>
              <w:rPr>
                <w:rFonts w:ascii="宋体" w:hAnsi="宋体" w:cs="宋体" w:hint="eastAsia"/>
                <w:kern w:val="0"/>
                <w:szCs w:val="21"/>
              </w:rPr>
              <w:t>包括鱼（藕）损失。利用自然河道和坑塘的只补偿鱼、藕损失。</w:t>
            </w:r>
          </w:p>
        </w:tc>
      </w:tr>
      <w:tr w:rsidR="00A320E6" w14:paraId="0A228E53" w14:textId="77777777" w:rsidTr="00A1539E">
        <w:trPr>
          <w:trHeight w:val="454"/>
          <w:jc w:val="center"/>
        </w:trPr>
        <w:tc>
          <w:tcPr>
            <w:tcW w:w="375" w:type="pct"/>
            <w:vMerge/>
            <w:tcBorders>
              <w:left w:val="single" w:sz="4" w:space="0" w:color="auto"/>
              <w:right w:val="single" w:sz="4" w:space="0" w:color="auto"/>
            </w:tcBorders>
            <w:vAlign w:val="center"/>
          </w:tcPr>
          <w:p w14:paraId="6F12BCFB" w14:textId="77777777" w:rsidR="00A320E6" w:rsidRDefault="00A320E6" w:rsidP="00AE0286">
            <w:pPr>
              <w:jc w:val="center"/>
              <w:rPr>
                <w:rFonts w:ascii="宋体" w:hAnsi="宋体" w:cs="宋体"/>
                <w:kern w:val="0"/>
                <w:szCs w:val="21"/>
              </w:rPr>
            </w:pPr>
          </w:p>
        </w:tc>
        <w:tc>
          <w:tcPr>
            <w:tcW w:w="401" w:type="pct"/>
            <w:vMerge/>
            <w:tcBorders>
              <w:left w:val="single" w:sz="4" w:space="0" w:color="auto"/>
              <w:right w:val="single" w:sz="4" w:space="0" w:color="auto"/>
            </w:tcBorders>
            <w:vAlign w:val="center"/>
          </w:tcPr>
          <w:p w14:paraId="3CE8C904" w14:textId="77777777" w:rsidR="00A320E6" w:rsidRDefault="00A320E6" w:rsidP="00AE0286">
            <w:pPr>
              <w:spacing w:before="150" w:after="150" w:line="270" w:lineRule="atLeast"/>
              <w:jc w:val="center"/>
              <w:textAlignment w:val="baseline"/>
              <w:rPr>
                <w:rFonts w:ascii="宋体" w:hAnsi="宋体" w:cs="宋体"/>
                <w:kern w:val="0"/>
                <w:szCs w:val="21"/>
              </w:rPr>
            </w:pPr>
          </w:p>
        </w:tc>
        <w:tc>
          <w:tcPr>
            <w:tcW w:w="1660" w:type="pct"/>
            <w:gridSpan w:val="2"/>
            <w:tcBorders>
              <w:top w:val="single" w:sz="4" w:space="0" w:color="auto"/>
              <w:left w:val="single" w:sz="4" w:space="0" w:color="auto"/>
              <w:bottom w:val="single" w:sz="4" w:space="0" w:color="auto"/>
            </w:tcBorders>
            <w:vAlign w:val="center"/>
          </w:tcPr>
          <w:p w14:paraId="49748495" w14:textId="77777777" w:rsidR="00A320E6" w:rsidRDefault="00000000" w:rsidP="00AE0286">
            <w:pPr>
              <w:rPr>
                <w:rFonts w:ascii="宋体" w:hAnsi="宋体" w:cs="宋体"/>
                <w:szCs w:val="21"/>
              </w:rPr>
            </w:pPr>
            <w:r>
              <w:rPr>
                <w:rFonts w:ascii="宋体" w:hAnsi="宋体" w:cs="宋体" w:hint="eastAsia"/>
                <w:szCs w:val="21"/>
              </w:rPr>
              <w:t>砖砌</w:t>
            </w:r>
          </w:p>
        </w:tc>
        <w:tc>
          <w:tcPr>
            <w:tcW w:w="1049" w:type="pct"/>
            <w:tcBorders>
              <w:left w:val="single" w:sz="4" w:space="0" w:color="auto"/>
            </w:tcBorders>
            <w:vAlign w:val="center"/>
          </w:tcPr>
          <w:p w14:paraId="160F11B6" w14:textId="77777777" w:rsidR="00A320E6" w:rsidRDefault="00000000" w:rsidP="00AE0286">
            <w:pPr>
              <w:jc w:val="center"/>
              <w:rPr>
                <w:rFonts w:ascii="宋体" w:hAnsi="宋体" w:cs="宋体"/>
                <w:szCs w:val="21"/>
              </w:rPr>
            </w:pPr>
            <w:r>
              <w:rPr>
                <w:rFonts w:ascii="宋体" w:hAnsi="宋体" w:cs="宋体" w:hint="eastAsia"/>
                <w:szCs w:val="21"/>
              </w:rPr>
              <w:t>8000-12000元/亩</w:t>
            </w:r>
          </w:p>
        </w:tc>
        <w:tc>
          <w:tcPr>
            <w:tcW w:w="1515" w:type="pct"/>
            <w:gridSpan w:val="2"/>
            <w:vMerge/>
            <w:tcBorders>
              <w:left w:val="single" w:sz="4" w:space="0" w:color="auto"/>
            </w:tcBorders>
            <w:vAlign w:val="center"/>
          </w:tcPr>
          <w:p w14:paraId="5B2734D4" w14:textId="77777777" w:rsidR="00A320E6" w:rsidRDefault="00A320E6" w:rsidP="00AE0286">
            <w:pPr>
              <w:jc w:val="left"/>
              <w:rPr>
                <w:rFonts w:ascii="宋体" w:hAnsi="宋体" w:cs="宋体"/>
                <w:kern w:val="0"/>
                <w:szCs w:val="21"/>
              </w:rPr>
            </w:pPr>
          </w:p>
        </w:tc>
      </w:tr>
      <w:tr w:rsidR="00A320E6" w14:paraId="42B19744" w14:textId="77777777" w:rsidTr="00A1539E">
        <w:trPr>
          <w:trHeight w:val="454"/>
          <w:jc w:val="center"/>
        </w:trPr>
        <w:tc>
          <w:tcPr>
            <w:tcW w:w="375" w:type="pct"/>
            <w:vMerge/>
            <w:tcBorders>
              <w:left w:val="single" w:sz="4" w:space="0" w:color="auto"/>
              <w:right w:val="single" w:sz="4" w:space="0" w:color="auto"/>
            </w:tcBorders>
            <w:vAlign w:val="center"/>
          </w:tcPr>
          <w:p w14:paraId="6ABAA971" w14:textId="77777777" w:rsidR="00A320E6" w:rsidRDefault="00A320E6" w:rsidP="00AE0286">
            <w:pPr>
              <w:jc w:val="center"/>
              <w:rPr>
                <w:rFonts w:ascii="宋体" w:hAnsi="宋体" w:cs="宋体"/>
                <w:kern w:val="0"/>
                <w:szCs w:val="21"/>
              </w:rPr>
            </w:pPr>
          </w:p>
        </w:tc>
        <w:tc>
          <w:tcPr>
            <w:tcW w:w="401" w:type="pct"/>
            <w:vMerge/>
            <w:tcBorders>
              <w:left w:val="single" w:sz="4" w:space="0" w:color="auto"/>
              <w:right w:val="single" w:sz="4" w:space="0" w:color="auto"/>
            </w:tcBorders>
            <w:vAlign w:val="center"/>
          </w:tcPr>
          <w:p w14:paraId="16034319" w14:textId="77777777" w:rsidR="00A320E6" w:rsidRDefault="00A320E6" w:rsidP="00AE0286">
            <w:pPr>
              <w:spacing w:before="150" w:after="150" w:line="270" w:lineRule="atLeast"/>
              <w:jc w:val="center"/>
              <w:textAlignment w:val="baseline"/>
              <w:rPr>
                <w:rFonts w:ascii="宋体" w:hAnsi="宋体" w:cs="宋体"/>
                <w:kern w:val="0"/>
                <w:szCs w:val="21"/>
              </w:rPr>
            </w:pPr>
          </w:p>
        </w:tc>
        <w:tc>
          <w:tcPr>
            <w:tcW w:w="1660" w:type="pct"/>
            <w:gridSpan w:val="2"/>
            <w:tcBorders>
              <w:top w:val="single" w:sz="4" w:space="0" w:color="auto"/>
              <w:left w:val="single" w:sz="4" w:space="0" w:color="auto"/>
            </w:tcBorders>
            <w:vAlign w:val="center"/>
          </w:tcPr>
          <w:p w14:paraId="1631D0E7" w14:textId="77777777" w:rsidR="00A320E6" w:rsidRDefault="00000000" w:rsidP="00AE0286">
            <w:pPr>
              <w:rPr>
                <w:rFonts w:ascii="宋体" w:hAnsi="宋体" w:cs="宋体"/>
                <w:szCs w:val="21"/>
              </w:rPr>
            </w:pPr>
            <w:r>
              <w:rPr>
                <w:rFonts w:ascii="宋体" w:hAnsi="宋体" w:cs="宋体" w:hint="eastAsia"/>
                <w:szCs w:val="21"/>
              </w:rPr>
              <w:t>石砌</w:t>
            </w:r>
          </w:p>
        </w:tc>
        <w:tc>
          <w:tcPr>
            <w:tcW w:w="1049" w:type="pct"/>
            <w:tcBorders>
              <w:left w:val="single" w:sz="4" w:space="0" w:color="auto"/>
            </w:tcBorders>
            <w:vAlign w:val="center"/>
          </w:tcPr>
          <w:p w14:paraId="1027F7F3" w14:textId="77777777" w:rsidR="00A320E6" w:rsidRDefault="00000000" w:rsidP="00AE0286">
            <w:pPr>
              <w:jc w:val="center"/>
              <w:rPr>
                <w:rFonts w:ascii="宋体" w:hAnsi="宋体" w:cs="宋体"/>
                <w:szCs w:val="21"/>
              </w:rPr>
            </w:pPr>
            <w:r>
              <w:rPr>
                <w:rFonts w:ascii="宋体" w:hAnsi="宋体" w:cs="宋体" w:hint="eastAsia"/>
                <w:szCs w:val="21"/>
              </w:rPr>
              <w:t>9000-15000元/亩</w:t>
            </w:r>
          </w:p>
        </w:tc>
        <w:tc>
          <w:tcPr>
            <w:tcW w:w="1515" w:type="pct"/>
            <w:gridSpan w:val="2"/>
            <w:vMerge/>
            <w:tcBorders>
              <w:left w:val="single" w:sz="4" w:space="0" w:color="auto"/>
            </w:tcBorders>
            <w:vAlign w:val="center"/>
          </w:tcPr>
          <w:p w14:paraId="685FEA6F" w14:textId="77777777" w:rsidR="00A320E6" w:rsidRDefault="00A320E6" w:rsidP="00AE0286">
            <w:pPr>
              <w:jc w:val="left"/>
              <w:rPr>
                <w:rFonts w:ascii="宋体" w:hAnsi="宋体" w:cs="宋体"/>
                <w:kern w:val="0"/>
                <w:szCs w:val="21"/>
              </w:rPr>
            </w:pPr>
          </w:p>
        </w:tc>
      </w:tr>
    </w:tbl>
    <w:p w14:paraId="3204D79B" w14:textId="77777777" w:rsidR="00A320E6" w:rsidRDefault="00000000" w:rsidP="00AE0286">
      <w:pPr>
        <w:ind w:firstLineChars="200" w:firstLine="480"/>
        <w:rPr>
          <w:rFonts w:ascii="宋体" w:hAnsi="宋体" w:cs="宋体"/>
          <w:sz w:val="24"/>
          <w:szCs w:val="24"/>
        </w:rPr>
      </w:pPr>
      <w:r>
        <w:rPr>
          <w:rFonts w:ascii="宋体" w:hAnsi="宋体" w:cs="宋体" w:hint="eastAsia"/>
          <w:sz w:val="24"/>
          <w:szCs w:val="24"/>
        </w:rPr>
        <w:t>（二）附属物</w:t>
      </w:r>
    </w:p>
    <w:tbl>
      <w:tblPr>
        <w:tblpPr w:leftFromText="180" w:rightFromText="180" w:vertAnchor="text" w:horzAnchor="margin" w:tblpXSpec="center" w:tblpY="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796"/>
        <w:gridCol w:w="3868"/>
        <w:gridCol w:w="1796"/>
        <w:gridCol w:w="1795"/>
      </w:tblGrid>
      <w:tr w:rsidR="00A320E6" w14:paraId="2443D609" w14:textId="77777777" w:rsidTr="00A1539E">
        <w:trPr>
          <w:trHeight w:val="454"/>
          <w:tblHeader/>
        </w:trPr>
        <w:tc>
          <w:tcPr>
            <w:tcW w:w="386" w:type="pct"/>
            <w:vAlign w:val="center"/>
          </w:tcPr>
          <w:p w14:paraId="7ED02F38" w14:textId="77777777" w:rsidR="00A320E6" w:rsidRDefault="00000000" w:rsidP="00AE0286">
            <w:pPr>
              <w:ind w:left="720" w:hanging="720"/>
              <w:jc w:val="center"/>
              <w:rPr>
                <w:rFonts w:ascii="宋体" w:hAnsi="宋体" w:cs="宋体"/>
                <w:szCs w:val="21"/>
              </w:rPr>
            </w:pPr>
            <w:r>
              <w:rPr>
                <w:rFonts w:ascii="宋体" w:hAnsi="宋体" w:cs="宋体" w:hint="eastAsia"/>
                <w:szCs w:val="21"/>
              </w:rPr>
              <w:t>序号</w:t>
            </w:r>
          </w:p>
        </w:tc>
        <w:tc>
          <w:tcPr>
            <w:tcW w:w="445" w:type="pct"/>
            <w:vAlign w:val="center"/>
          </w:tcPr>
          <w:p w14:paraId="13B0765A" w14:textId="77777777" w:rsidR="00A320E6" w:rsidRDefault="00000000" w:rsidP="00AE0286">
            <w:pPr>
              <w:ind w:left="720" w:hanging="720"/>
              <w:jc w:val="center"/>
              <w:rPr>
                <w:rFonts w:ascii="宋体" w:hAnsi="宋体" w:cs="宋体"/>
                <w:szCs w:val="21"/>
              </w:rPr>
            </w:pPr>
            <w:r>
              <w:rPr>
                <w:rFonts w:ascii="宋体" w:hAnsi="宋体" w:cs="宋体" w:hint="eastAsia"/>
                <w:szCs w:val="21"/>
              </w:rPr>
              <w:t>名称</w:t>
            </w:r>
          </w:p>
        </w:tc>
        <w:tc>
          <w:tcPr>
            <w:tcW w:w="2162" w:type="pct"/>
            <w:vAlign w:val="center"/>
          </w:tcPr>
          <w:p w14:paraId="73B909AC" w14:textId="77777777" w:rsidR="00A320E6" w:rsidRDefault="00000000" w:rsidP="00AE0286">
            <w:pPr>
              <w:ind w:left="720" w:hanging="720"/>
              <w:jc w:val="center"/>
              <w:rPr>
                <w:rFonts w:ascii="宋体" w:hAnsi="宋体" w:cs="宋体"/>
                <w:szCs w:val="21"/>
              </w:rPr>
            </w:pPr>
            <w:r>
              <w:rPr>
                <w:rFonts w:ascii="宋体" w:hAnsi="宋体" w:cs="宋体" w:hint="eastAsia"/>
                <w:szCs w:val="21"/>
              </w:rPr>
              <w:t>类型</w:t>
            </w:r>
          </w:p>
        </w:tc>
        <w:tc>
          <w:tcPr>
            <w:tcW w:w="1004" w:type="pct"/>
            <w:vAlign w:val="center"/>
          </w:tcPr>
          <w:p w14:paraId="1CB5076B" w14:textId="77777777" w:rsidR="00A320E6" w:rsidRDefault="00000000" w:rsidP="00AE0286">
            <w:pPr>
              <w:jc w:val="center"/>
              <w:rPr>
                <w:rFonts w:ascii="宋体" w:hAnsi="宋体" w:cs="宋体"/>
                <w:szCs w:val="21"/>
              </w:rPr>
            </w:pPr>
            <w:r>
              <w:rPr>
                <w:rFonts w:ascii="宋体" w:hAnsi="宋体" w:cs="宋体" w:hint="eastAsia"/>
                <w:szCs w:val="21"/>
              </w:rPr>
              <w:t>补偿标准</w:t>
            </w:r>
          </w:p>
        </w:tc>
        <w:tc>
          <w:tcPr>
            <w:tcW w:w="1003" w:type="pct"/>
            <w:vAlign w:val="center"/>
          </w:tcPr>
          <w:p w14:paraId="67EA5821" w14:textId="77777777" w:rsidR="00A320E6" w:rsidRDefault="00000000" w:rsidP="00AE0286">
            <w:pPr>
              <w:ind w:left="720" w:hanging="720"/>
              <w:jc w:val="center"/>
              <w:rPr>
                <w:rFonts w:ascii="宋体" w:hAnsi="宋体" w:cs="宋体"/>
                <w:szCs w:val="21"/>
              </w:rPr>
            </w:pPr>
            <w:r>
              <w:rPr>
                <w:rFonts w:ascii="宋体" w:hAnsi="宋体" w:cs="宋体" w:hint="eastAsia"/>
                <w:szCs w:val="21"/>
              </w:rPr>
              <w:t>备注</w:t>
            </w:r>
          </w:p>
        </w:tc>
      </w:tr>
      <w:tr w:rsidR="00A320E6" w14:paraId="47698D39" w14:textId="77777777" w:rsidTr="00A1539E">
        <w:trPr>
          <w:trHeight w:val="454"/>
        </w:trPr>
        <w:tc>
          <w:tcPr>
            <w:tcW w:w="386" w:type="pct"/>
            <w:vMerge w:val="restart"/>
            <w:shd w:val="clear" w:color="auto" w:fill="auto"/>
            <w:vAlign w:val="center"/>
          </w:tcPr>
          <w:p w14:paraId="5976EE43" w14:textId="77777777" w:rsidR="00A320E6" w:rsidRDefault="00000000" w:rsidP="00AE0286">
            <w:pPr>
              <w:jc w:val="center"/>
              <w:rPr>
                <w:rFonts w:ascii="宋体" w:hAnsi="宋体" w:cs="宋体"/>
                <w:szCs w:val="21"/>
              </w:rPr>
            </w:pPr>
            <w:r>
              <w:rPr>
                <w:rFonts w:ascii="宋体" w:hAnsi="宋体" w:cs="宋体" w:hint="eastAsia"/>
                <w:szCs w:val="21"/>
              </w:rPr>
              <w:t>1</w:t>
            </w:r>
          </w:p>
        </w:tc>
        <w:tc>
          <w:tcPr>
            <w:tcW w:w="445" w:type="pct"/>
            <w:vMerge w:val="restart"/>
            <w:shd w:val="clear" w:color="auto" w:fill="auto"/>
            <w:vAlign w:val="center"/>
          </w:tcPr>
          <w:p w14:paraId="429F55C2" w14:textId="77777777" w:rsidR="00A320E6" w:rsidRDefault="00000000" w:rsidP="00AE0286">
            <w:pPr>
              <w:jc w:val="center"/>
              <w:rPr>
                <w:rFonts w:ascii="宋体" w:hAnsi="宋体" w:cs="宋体"/>
                <w:kern w:val="0"/>
                <w:szCs w:val="21"/>
              </w:rPr>
            </w:pPr>
            <w:r>
              <w:rPr>
                <w:rFonts w:ascii="宋体" w:hAnsi="宋体" w:cs="宋体" w:hint="eastAsia"/>
                <w:kern w:val="0"/>
                <w:szCs w:val="21"/>
              </w:rPr>
              <w:t>通讯</w:t>
            </w:r>
          </w:p>
        </w:tc>
        <w:tc>
          <w:tcPr>
            <w:tcW w:w="2162" w:type="pct"/>
            <w:shd w:val="clear" w:color="auto" w:fill="auto"/>
            <w:vAlign w:val="center"/>
          </w:tcPr>
          <w:p w14:paraId="75A9D003" w14:textId="77777777" w:rsidR="00A320E6" w:rsidRDefault="00000000" w:rsidP="00AE0286">
            <w:pPr>
              <w:rPr>
                <w:rFonts w:ascii="宋体" w:hAnsi="宋体" w:cs="宋体"/>
                <w:szCs w:val="21"/>
              </w:rPr>
            </w:pPr>
            <w:r>
              <w:rPr>
                <w:rFonts w:ascii="宋体" w:hAnsi="宋体" w:cs="宋体" w:hint="eastAsia"/>
                <w:szCs w:val="21"/>
              </w:rPr>
              <w:t>有线电视</w:t>
            </w:r>
          </w:p>
        </w:tc>
        <w:tc>
          <w:tcPr>
            <w:tcW w:w="1004" w:type="pct"/>
            <w:shd w:val="clear" w:color="auto" w:fill="FFFFFF"/>
            <w:vAlign w:val="center"/>
          </w:tcPr>
          <w:p w14:paraId="0E9DE972" w14:textId="77777777" w:rsidR="00A320E6" w:rsidRDefault="00000000" w:rsidP="00AE0286">
            <w:pPr>
              <w:jc w:val="center"/>
              <w:rPr>
                <w:rFonts w:ascii="宋体" w:hAnsi="宋体" w:cs="宋体"/>
                <w:szCs w:val="21"/>
              </w:rPr>
            </w:pPr>
            <w:r>
              <w:rPr>
                <w:rFonts w:ascii="宋体" w:hAnsi="宋体" w:cs="宋体" w:hint="eastAsia"/>
                <w:szCs w:val="21"/>
              </w:rPr>
              <w:t>120元/户</w:t>
            </w:r>
          </w:p>
        </w:tc>
        <w:tc>
          <w:tcPr>
            <w:tcW w:w="1003" w:type="pct"/>
            <w:vMerge w:val="restart"/>
            <w:shd w:val="clear" w:color="auto" w:fill="auto"/>
            <w:vAlign w:val="center"/>
          </w:tcPr>
          <w:p w14:paraId="5B1172AF" w14:textId="77777777" w:rsidR="00A320E6" w:rsidRDefault="00000000" w:rsidP="00AE0286">
            <w:pPr>
              <w:jc w:val="center"/>
              <w:rPr>
                <w:rFonts w:ascii="宋体" w:hAnsi="宋体" w:cs="宋体"/>
                <w:kern w:val="0"/>
                <w:szCs w:val="21"/>
              </w:rPr>
            </w:pPr>
            <w:r>
              <w:rPr>
                <w:rFonts w:ascii="宋体" w:hAnsi="宋体" w:cs="宋体" w:hint="eastAsia"/>
                <w:kern w:val="0"/>
                <w:szCs w:val="21"/>
              </w:rPr>
              <w:t>移装费</w:t>
            </w:r>
          </w:p>
        </w:tc>
      </w:tr>
      <w:tr w:rsidR="00A320E6" w14:paraId="6D32C82F" w14:textId="77777777" w:rsidTr="00A1539E">
        <w:trPr>
          <w:trHeight w:val="454"/>
        </w:trPr>
        <w:tc>
          <w:tcPr>
            <w:tcW w:w="386" w:type="pct"/>
            <w:vMerge/>
            <w:vAlign w:val="center"/>
          </w:tcPr>
          <w:p w14:paraId="375BA1E5" w14:textId="77777777" w:rsidR="00A320E6" w:rsidRDefault="00A320E6" w:rsidP="00AE0286">
            <w:pPr>
              <w:jc w:val="center"/>
              <w:rPr>
                <w:rFonts w:ascii="宋体" w:hAnsi="宋体" w:cs="宋体"/>
                <w:szCs w:val="21"/>
              </w:rPr>
            </w:pPr>
          </w:p>
        </w:tc>
        <w:tc>
          <w:tcPr>
            <w:tcW w:w="445" w:type="pct"/>
            <w:vMerge/>
            <w:vAlign w:val="center"/>
          </w:tcPr>
          <w:p w14:paraId="515E8E08" w14:textId="77777777" w:rsidR="00A320E6" w:rsidRDefault="00A320E6" w:rsidP="00AE0286">
            <w:pPr>
              <w:jc w:val="center"/>
              <w:rPr>
                <w:rFonts w:ascii="宋体" w:hAnsi="宋体" w:cs="宋体"/>
                <w:kern w:val="0"/>
                <w:szCs w:val="21"/>
              </w:rPr>
            </w:pPr>
          </w:p>
        </w:tc>
        <w:tc>
          <w:tcPr>
            <w:tcW w:w="2162" w:type="pct"/>
            <w:vAlign w:val="center"/>
          </w:tcPr>
          <w:p w14:paraId="337B9975" w14:textId="77777777" w:rsidR="00A320E6" w:rsidRDefault="00000000" w:rsidP="00AE0286">
            <w:pPr>
              <w:rPr>
                <w:rFonts w:ascii="宋体" w:hAnsi="宋体" w:cs="宋体"/>
                <w:szCs w:val="21"/>
              </w:rPr>
            </w:pPr>
            <w:r>
              <w:rPr>
                <w:rFonts w:ascii="宋体" w:hAnsi="宋体" w:cs="宋体" w:hint="eastAsia"/>
                <w:szCs w:val="21"/>
              </w:rPr>
              <w:t>专线移装</w:t>
            </w:r>
          </w:p>
        </w:tc>
        <w:tc>
          <w:tcPr>
            <w:tcW w:w="1004" w:type="pct"/>
            <w:vAlign w:val="center"/>
          </w:tcPr>
          <w:p w14:paraId="27BADB19" w14:textId="77777777" w:rsidR="00A320E6" w:rsidRDefault="00000000" w:rsidP="00AE0286">
            <w:pPr>
              <w:jc w:val="center"/>
              <w:rPr>
                <w:rFonts w:ascii="宋体" w:hAnsi="宋体" w:cs="宋体"/>
                <w:szCs w:val="21"/>
              </w:rPr>
            </w:pPr>
            <w:r>
              <w:rPr>
                <w:rFonts w:ascii="宋体" w:hAnsi="宋体" w:cs="宋体" w:hint="eastAsia"/>
                <w:szCs w:val="21"/>
              </w:rPr>
              <w:t>2000元/条</w:t>
            </w:r>
          </w:p>
        </w:tc>
        <w:tc>
          <w:tcPr>
            <w:tcW w:w="1003" w:type="pct"/>
            <w:vMerge/>
            <w:vAlign w:val="center"/>
          </w:tcPr>
          <w:p w14:paraId="46740D65" w14:textId="77777777" w:rsidR="00A320E6" w:rsidRDefault="00A320E6" w:rsidP="00AE0286">
            <w:pPr>
              <w:jc w:val="center"/>
              <w:rPr>
                <w:rFonts w:ascii="宋体" w:hAnsi="宋体" w:cs="宋体"/>
                <w:kern w:val="0"/>
                <w:szCs w:val="21"/>
              </w:rPr>
            </w:pPr>
          </w:p>
        </w:tc>
      </w:tr>
      <w:tr w:rsidR="00A320E6" w14:paraId="76BD005A" w14:textId="77777777" w:rsidTr="00A1539E">
        <w:trPr>
          <w:trHeight w:val="454"/>
        </w:trPr>
        <w:tc>
          <w:tcPr>
            <w:tcW w:w="386" w:type="pct"/>
            <w:vMerge/>
            <w:vAlign w:val="center"/>
          </w:tcPr>
          <w:p w14:paraId="5036B3E0" w14:textId="77777777" w:rsidR="00A320E6" w:rsidRDefault="00A320E6" w:rsidP="00AE0286">
            <w:pPr>
              <w:jc w:val="center"/>
              <w:rPr>
                <w:rFonts w:ascii="宋体" w:hAnsi="宋体" w:cs="宋体"/>
                <w:szCs w:val="21"/>
              </w:rPr>
            </w:pPr>
          </w:p>
        </w:tc>
        <w:tc>
          <w:tcPr>
            <w:tcW w:w="445" w:type="pct"/>
            <w:vMerge/>
            <w:vAlign w:val="center"/>
          </w:tcPr>
          <w:p w14:paraId="5D9F7B81" w14:textId="77777777" w:rsidR="00A320E6" w:rsidRDefault="00A320E6" w:rsidP="00AE0286">
            <w:pPr>
              <w:jc w:val="center"/>
              <w:rPr>
                <w:rFonts w:ascii="宋体" w:hAnsi="宋体" w:cs="宋体"/>
                <w:kern w:val="0"/>
                <w:szCs w:val="21"/>
              </w:rPr>
            </w:pPr>
          </w:p>
        </w:tc>
        <w:tc>
          <w:tcPr>
            <w:tcW w:w="2162" w:type="pct"/>
            <w:vAlign w:val="center"/>
          </w:tcPr>
          <w:p w14:paraId="4A51E99E" w14:textId="77777777" w:rsidR="00A320E6" w:rsidRDefault="00000000" w:rsidP="00AE0286">
            <w:pPr>
              <w:rPr>
                <w:rFonts w:ascii="宋体" w:hAnsi="宋体" w:cs="宋体"/>
                <w:szCs w:val="21"/>
              </w:rPr>
            </w:pPr>
            <w:r>
              <w:rPr>
                <w:rFonts w:ascii="宋体" w:hAnsi="宋体" w:cs="宋体" w:hint="eastAsia"/>
                <w:szCs w:val="21"/>
              </w:rPr>
              <w:t>家庭宽带</w:t>
            </w:r>
          </w:p>
        </w:tc>
        <w:tc>
          <w:tcPr>
            <w:tcW w:w="1004" w:type="pct"/>
            <w:vAlign w:val="center"/>
          </w:tcPr>
          <w:p w14:paraId="437C1F80" w14:textId="77777777" w:rsidR="00A320E6" w:rsidRDefault="00000000" w:rsidP="00AE0286">
            <w:pPr>
              <w:jc w:val="center"/>
              <w:rPr>
                <w:rFonts w:ascii="宋体" w:hAnsi="宋体" w:cs="宋体"/>
                <w:szCs w:val="21"/>
              </w:rPr>
            </w:pPr>
            <w:r>
              <w:rPr>
                <w:rFonts w:ascii="宋体" w:hAnsi="宋体" w:cs="宋体" w:hint="eastAsia"/>
                <w:szCs w:val="21"/>
              </w:rPr>
              <w:t>100元/条</w:t>
            </w:r>
          </w:p>
        </w:tc>
        <w:tc>
          <w:tcPr>
            <w:tcW w:w="1003" w:type="pct"/>
            <w:vMerge/>
            <w:vAlign w:val="center"/>
          </w:tcPr>
          <w:p w14:paraId="0BD147D2" w14:textId="77777777" w:rsidR="00A320E6" w:rsidRDefault="00A320E6" w:rsidP="00AE0286">
            <w:pPr>
              <w:jc w:val="center"/>
              <w:rPr>
                <w:rFonts w:ascii="宋体" w:hAnsi="宋体" w:cs="宋体"/>
                <w:kern w:val="0"/>
                <w:szCs w:val="21"/>
              </w:rPr>
            </w:pPr>
          </w:p>
        </w:tc>
      </w:tr>
      <w:tr w:rsidR="00A320E6" w14:paraId="483C3AE6" w14:textId="77777777" w:rsidTr="00A1539E">
        <w:trPr>
          <w:trHeight w:val="454"/>
        </w:trPr>
        <w:tc>
          <w:tcPr>
            <w:tcW w:w="386" w:type="pct"/>
            <w:vMerge/>
            <w:vAlign w:val="center"/>
          </w:tcPr>
          <w:p w14:paraId="4BC37E52" w14:textId="77777777" w:rsidR="00A320E6" w:rsidRDefault="00A320E6" w:rsidP="00AE0286">
            <w:pPr>
              <w:jc w:val="center"/>
              <w:rPr>
                <w:rFonts w:ascii="宋体" w:hAnsi="宋体" w:cs="宋体"/>
                <w:szCs w:val="21"/>
              </w:rPr>
            </w:pPr>
          </w:p>
        </w:tc>
        <w:tc>
          <w:tcPr>
            <w:tcW w:w="445" w:type="pct"/>
            <w:vMerge/>
            <w:vAlign w:val="center"/>
          </w:tcPr>
          <w:p w14:paraId="25D1F2EC" w14:textId="77777777" w:rsidR="00A320E6" w:rsidRDefault="00A320E6" w:rsidP="00AE0286">
            <w:pPr>
              <w:jc w:val="center"/>
              <w:rPr>
                <w:rFonts w:ascii="宋体" w:hAnsi="宋体" w:cs="宋体"/>
                <w:kern w:val="0"/>
                <w:szCs w:val="21"/>
              </w:rPr>
            </w:pPr>
          </w:p>
        </w:tc>
        <w:tc>
          <w:tcPr>
            <w:tcW w:w="2162" w:type="pct"/>
            <w:vAlign w:val="center"/>
          </w:tcPr>
          <w:p w14:paraId="02610721" w14:textId="77777777" w:rsidR="00A320E6" w:rsidRDefault="00000000" w:rsidP="00AE0286">
            <w:pPr>
              <w:rPr>
                <w:rFonts w:ascii="宋体" w:hAnsi="宋体" w:cs="宋体"/>
                <w:szCs w:val="21"/>
              </w:rPr>
            </w:pPr>
            <w:r>
              <w:rPr>
                <w:rFonts w:ascii="宋体" w:hAnsi="宋体" w:cs="宋体" w:hint="eastAsia"/>
                <w:szCs w:val="21"/>
              </w:rPr>
              <w:t>固定电话</w:t>
            </w:r>
          </w:p>
        </w:tc>
        <w:tc>
          <w:tcPr>
            <w:tcW w:w="1004" w:type="pct"/>
            <w:vAlign w:val="center"/>
          </w:tcPr>
          <w:p w14:paraId="5F5B23BA" w14:textId="77777777" w:rsidR="00A320E6" w:rsidRDefault="00000000" w:rsidP="00AE0286">
            <w:pPr>
              <w:jc w:val="center"/>
              <w:rPr>
                <w:rFonts w:ascii="宋体" w:hAnsi="宋体" w:cs="宋体"/>
                <w:szCs w:val="21"/>
              </w:rPr>
            </w:pPr>
            <w:r>
              <w:rPr>
                <w:rFonts w:ascii="宋体" w:hAnsi="宋体" w:cs="宋体" w:hint="eastAsia"/>
                <w:szCs w:val="21"/>
              </w:rPr>
              <w:t>120元/部</w:t>
            </w:r>
          </w:p>
        </w:tc>
        <w:tc>
          <w:tcPr>
            <w:tcW w:w="1003" w:type="pct"/>
            <w:vMerge/>
            <w:vAlign w:val="center"/>
          </w:tcPr>
          <w:p w14:paraId="46766CE4" w14:textId="77777777" w:rsidR="00A320E6" w:rsidRDefault="00A320E6" w:rsidP="00AE0286">
            <w:pPr>
              <w:jc w:val="center"/>
              <w:rPr>
                <w:rFonts w:ascii="宋体" w:hAnsi="宋体" w:cs="宋体"/>
                <w:kern w:val="0"/>
                <w:szCs w:val="21"/>
              </w:rPr>
            </w:pPr>
          </w:p>
        </w:tc>
      </w:tr>
      <w:tr w:rsidR="00A320E6" w14:paraId="741FE6F0" w14:textId="77777777" w:rsidTr="00A1539E">
        <w:trPr>
          <w:trHeight w:val="454"/>
        </w:trPr>
        <w:tc>
          <w:tcPr>
            <w:tcW w:w="386" w:type="pct"/>
            <w:vAlign w:val="center"/>
          </w:tcPr>
          <w:p w14:paraId="49AC5BC0" w14:textId="77777777" w:rsidR="00A320E6" w:rsidRDefault="00000000" w:rsidP="00AE0286">
            <w:pPr>
              <w:jc w:val="center"/>
              <w:rPr>
                <w:rFonts w:ascii="宋体" w:hAnsi="宋体" w:cs="宋体"/>
                <w:szCs w:val="21"/>
              </w:rPr>
            </w:pPr>
            <w:r>
              <w:rPr>
                <w:rFonts w:ascii="宋体" w:hAnsi="宋体" w:cs="宋体" w:hint="eastAsia"/>
                <w:szCs w:val="21"/>
              </w:rPr>
              <w:t>2</w:t>
            </w:r>
          </w:p>
        </w:tc>
        <w:tc>
          <w:tcPr>
            <w:tcW w:w="445" w:type="pct"/>
            <w:vAlign w:val="center"/>
          </w:tcPr>
          <w:p w14:paraId="7448B88D" w14:textId="77777777" w:rsidR="00A320E6" w:rsidRDefault="00000000" w:rsidP="00AE0286">
            <w:pPr>
              <w:jc w:val="center"/>
              <w:rPr>
                <w:rFonts w:ascii="宋体" w:hAnsi="宋体" w:cs="宋体"/>
                <w:kern w:val="0"/>
                <w:szCs w:val="21"/>
              </w:rPr>
            </w:pPr>
            <w:r>
              <w:rPr>
                <w:rFonts w:ascii="宋体" w:hAnsi="宋体" w:cs="宋体" w:hint="eastAsia"/>
                <w:kern w:val="0"/>
                <w:szCs w:val="21"/>
              </w:rPr>
              <w:t>空调</w:t>
            </w:r>
          </w:p>
        </w:tc>
        <w:tc>
          <w:tcPr>
            <w:tcW w:w="2162" w:type="pct"/>
            <w:vAlign w:val="center"/>
          </w:tcPr>
          <w:p w14:paraId="24DCF754" w14:textId="77777777" w:rsidR="00A320E6" w:rsidRDefault="00A320E6" w:rsidP="00AE0286">
            <w:pPr>
              <w:rPr>
                <w:rFonts w:ascii="宋体" w:hAnsi="宋体" w:cs="宋体"/>
                <w:szCs w:val="21"/>
              </w:rPr>
            </w:pPr>
          </w:p>
        </w:tc>
        <w:tc>
          <w:tcPr>
            <w:tcW w:w="1004" w:type="pct"/>
            <w:vAlign w:val="center"/>
          </w:tcPr>
          <w:p w14:paraId="4C091FF7" w14:textId="77777777" w:rsidR="00A320E6" w:rsidRDefault="00000000" w:rsidP="00AE0286">
            <w:pPr>
              <w:jc w:val="center"/>
              <w:rPr>
                <w:rFonts w:ascii="宋体" w:hAnsi="宋体" w:cs="宋体"/>
                <w:szCs w:val="21"/>
              </w:rPr>
            </w:pPr>
            <w:r>
              <w:rPr>
                <w:rFonts w:ascii="宋体" w:hAnsi="宋体" w:cs="宋体" w:hint="eastAsia"/>
                <w:szCs w:val="21"/>
              </w:rPr>
              <w:t>200元/台</w:t>
            </w:r>
          </w:p>
        </w:tc>
        <w:tc>
          <w:tcPr>
            <w:tcW w:w="1003" w:type="pct"/>
            <w:vAlign w:val="center"/>
          </w:tcPr>
          <w:p w14:paraId="151C2764" w14:textId="77777777" w:rsidR="00A320E6" w:rsidRDefault="00000000" w:rsidP="00AE0286">
            <w:pPr>
              <w:jc w:val="center"/>
              <w:rPr>
                <w:rFonts w:ascii="宋体" w:hAnsi="宋体" w:cs="宋体"/>
                <w:kern w:val="0"/>
                <w:szCs w:val="21"/>
              </w:rPr>
            </w:pPr>
            <w:r>
              <w:rPr>
                <w:rFonts w:ascii="宋体" w:hAnsi="宋体" w:cs="宋体" w:hint="eastAsia"/>
                <w:kern w:val="0"/>
                <w:szCs w:val="21"/>
              </w:rPr>
              <w:t>移装费</w:t>
            </w:r>
          </w:p>
        </w:tc>
      </w:tr>
      <w:tr w:rsidR="00A320E6" w14:paraId="19FE36DA" w14:textId="77777777" w:rsidTr="00A1539E">
        <w:trPr>
          <w:trHeight w:val="454"/>
        </w:trPr>
        <w:tc>
          <w:tcPr>
            <w:tcW w:w="386" w:type="pct"/>
            <w:vMerge w:val="restart"/>
            <w:vAlign w:val="center"/>
          </w:tcPr>
          <w:p w14:paraId="06EB8D90" w14:textId="77777777" w:rsidR="00A320E6" w:rsidRDefault="00000000" w:rsidP="00AE0286">
            <w:pPr>
              <w:jc w:val="center"/>
              <w:rPr>
                <w:rFonts w:ascii="宋体" w:hAnsi="宋体" w:cs="宋体"/>
                <w:szCs w:val="21"/>
              </w:rPr>
            </w:pPr>
            <w:r>
              <w:rPr>
                <w:rFonts w:ascii="宋体" w:hAnsi="宋体" w:cs="宋体" w:hint="eastAsia"/>
                <w:szCs w:val="21"/>
              </w:rPr>
              <w:t>3</w:t>
            </w:r>
          </w:p>
        </w:tc>
        <w:tc>
          <w:tcPr>
            <w:tcW w:w="445" w:type="pct"/>
            <w:vMerge w:val="restart"/>
            <w:vAlign w:val="center"/>
          </w:tcPr>
          <w:p w14:paraId="15A270E8" w14:textId="77777777" w:rsidR="00A320E6" w:rsidRDefault="00000000" w:rsidP="00AE0286">
            <w:pPr>
              <w:jc w:val="center"/>
              <w:rPr>
                <w:rFonts w:ascii="宋体" w:hAnsi="宋体" w:cs="宋体"/>
                <w:kern w:val="0"/>
                <w:szCs w:val="21"/>
              </w:rPr>
            </w:pPr>
            <w:r>
              <w:rPr>
                <w:rFonts w:ascii="宋体" w:hAnsi="宋体" w:cs="宋体" w:hint="eastAsia"/>
                <w:kern w:val="0"/>
                <w:szCs w:val="21"/>
              </w:rPr>
              <w:t>热</w:t>
            </w:r>
          </w:p>
          <w:p w14:paraId="13D2327A" w14:textId="77777777" w:rsidR="00A320E6" w:rsidRDefault="00000000" w:rsidP="00AE0286">
            <w:pPr>
              <w:jc w:val="center"/>
              <w:rPr>
                <w:rFonts w:ascii="宋体" w:hAnsi="宋体" w:cs="宋体"/>
                <w:kern w:val="0"/>
                <w:szCs w:val="21"/>
              </w:rPr>
            </w:pPr>
            <w:r>
              <w:rPr>
                <w:rFonts w:ascii="宋体" w:hAnsi="宋体" w:cs="宋体" w:hint="eastAsia"/>
                <w:kern w:val="0"/>
                <w:szCs w:val="21"/>
              </w:rPr>
              <w:t>水器</w:t>
            </w:r>
          </w:p>
        </w:tc>
        <w:tc>
          <w:tcPr>
            <w:tcW w:w="2162" w:type="pct"/>
            <w:vAlign w:val="center"/>
          </w:tcPr>
          <w:p w14:paraId="01E71CA9" w14:textId="77777777" w:rsidR="00A320E6" w:rsidRDefault="00000000" w:rsidP="00AE0286">
            <w:pPr>
              <w:rPr>
                <w:rFonts w:ascii="宋体" w:hAnsi="宋体" w:cs="宋体"/>
                <w:szCs w:val="21"/>
              </w:rPr>
            </w:pPr>
            <w:r>
              <w:rPr>
                <w:rFonts w:ascii="宋体" w:hAnsi="宋体" w:cs="宋体" w:hint="eastAsia"/>
                <w:szCs w:val="21"/>
              </w:rPr>
              <w:t>太阳能</w:t>
            </w:r>
          </w:p>
        </w:tc>
        <w:tc>
          <w:tcPr>
            <w:tcW w:w="1004" w:type="pct"/>
            <w:vAlign w:val="center"/>
          </w:tcPr>
          <w:p w14:paraId="1A432490" w14:textId="77777777" w:rsidR="00A320E6" w:rsidRDefault="00000000" w:rsidP="00AE0286">
            <w:pPr>
              <w:jc w:val="center"/>
              <w:rPr>
                <w:rFonts w:ascii="宋体" w:hAnsi="宋体" w:cs="宋体"/>
                <w:szCs w:val="21"/>
              </w:rPr>
            </w:pPr>
            <w:r>
              <w:rPr>
                <w:rFonts w:ascii="宋体" w:hAnsi="宋体" w:cs="宋体" w:hint="eastAsia"/>
                <w:szCs w:val="21"/>
              </w:rPr>
              <w:t>200元/个</w:t>
            </w:r>
          </w:p>
        </w:tc>
        <w:tc>
          <w:tcPr>
            <w:tcW w:w="1003" w:type="pct"/>
            <w:vMerge w:val="restart"/>
            <w:vAlign w:val="center"/>
          </w:tcPr>
          <w:p w14:paraId="1CDE5F64" w14:textId="77777777" w:rsidR="00A320E6" w:rsidRDefault="00000000" w:rsidP="00AE0286">
            <w:pPr>
              <w:jc w:val="center"/>
              <w:rPr>
                <w:rFonts w:ascii="宋体" w:hAnsi="宋体" w:cs="宋体"/>
                <w:kern w:val="0"/>
                <w:szCs w:val="21"/>
              </w:rPr>
            </w:pPr>
            <w:r>
              <w:rPr>
                <w:rFonts w:ascii="宋体" w:hAnsi="宋体" w:cs="宋体" w:hint="eastAsia"/>
                <w:kern w:val="0"/>
                <w:szCs w:val="21"/>
              </w:rPr>
              <w:t>移装费</w:t>
            </w:r>
          </w:p>
        </w:tc>
      </w:tr>
      <w:tr w:rsidR="00A320E6" w14:paraId="4253E6B4" w14:textId="77777777" w:rsidTr="00A1539E">
        <w:trPr>
          <w:trHeight w:val="454"/>
        </w:trPr>
        <w:tc>
          <w:tcPr>
            <w:tcW w:w="386" w:type="pct"/>
            <w:vMerge/>
            <w:vAlign w:val="center"/>
          </w:tcPr>
          <w:p w14:paraId="488B1386" w14:textId="77777777" w:rsidR="00A320E6" w:rsidRDefault="00A320E6" w:rsidP="00AE0286">
            <w:pPr>
              <w:jc w:val="center"/>
              <w:rPr>
                <w:rFonts w:ascii="宋体" w:hAnsi="宋体" w:cs="宋体"/>
                <w:szCs w:val="21"/>
              </w:rPr>
            </w:pPr>
          </w:p>
        </w:tc>
        <w:tc>
          <w:tcPr>
            <w:tcW w:w="445" w:type="pct"/>
            <w:vMerge/>
            <w:vAlign w:val="center"/>
          </w:tcPr>
          <w:p w14:paraId="1A78DCB7" w14:textId="77777777" w:rsidR="00A320E6" w:rsidRDefault="00A320E6" w:rsidP="00AE0286">
            <w:pPr>
              <w:jc w:val="center"/>
              <w:rPr>
                <w:rFonts w:ascii="宋体" w:hAnsi="宋体" w:cs="宋体"/>
                <w:kern w:val="0"/>
                <w:szCs w:val="21"/>
              </w:rPr>
            </w:pPr>
          </w:p>
        </w:tc>
        <w:tc>
          <w:tcPr>
            <w:tcW w:w="2162" w:type="pct"/>
            <w:vAlign w:val="center"/>
          </w:tcPr>
          <w:p w14:paraId="29B81493" w14:textId="77777777" w:rsidR="00A320E6" w:rsidRDefault="00000000" w:rsidP="00AE0286">
            <w:pPr>
              <w:rPr>
                <w:rFonts w:ascii="宋体" w:hAnsi="宋体" w:cs="宋体"/>
                <w:szCs w:val="21"/>
              </w:rPr>
            </w:pPr>
            <w:r>
              <w:rPr>
                <w:rFonts w:ascii="宋体" w:hAnsi="宋体" w:cs="宋体" w:hint="eastAsia"/>
                <w:szCs w:val="21"/>
              </w:rPr>
              <w:t>电能</w:t>
            </w:r>
          </w:p>
        </w:tc>
        <w:tc>
          <w:tcPr>
            <w:tcW w:w="1004" w:type="pct"/>
            <w:vAlign w:val="center"/>
          </w:tcPr>
          <w:p w14:paraId="15FA18CE" w14:textId="77777777" w:rsidR="00A320E6" w:rsidRDefault="00000000" w:rsidP="00AE0286">
            <w:pPr>
              <w:jc w:val="center"/>
              <w:rPr>
                <w:rFonts w:ascii="宋体" w:hAnsi="宋体" w:cs="宋体"/>
                <w:szCs w:val="21"/>
              </w:rPr>
            </w:pPr>
            <w:r>
              <w:rPr>
                <w:rFonts w:ascii="宋体" w:hAnsi="宋体" w:cs="宋体" w:hint="eastAsia"/>
                <w:szCs w:val="21"/>
              </w:rPr>
              <w:t>100元/个</w:t>
            </w:r>
          </w:p>
        </w:tc>
        <w:tc>
          <w:tcPr>
            <w:tcW w:w="1003" w:type="pct"/>
            <w:vMerge/>
            <w:vAlign w:val="center"/>
          </w:tcPr>
          <w:p w14:paraId="369662AA" w14:textId="77777777" w:rsidR="00A320E6" w:rsidRDefault="00A320E6" w:rsidP="00AE0286">
            <w:pPr>
              <w:jc w:val="center"/>
              <w:rPr>
                <w:rFonts w:ascii="宋体" w:hAnsi="宋体" w:cs="宋体"/>
                <w:kern w:val="0"/>
                <w:szCs w:val="21"/>
              </w:rPr>
            </w:pPr>
          </w:p>
        </w:tc>
      </w:tr>
      <w:tr w:rsidR="00A320E6" w14:paraId="79D28C22" w14:textId="77777777" w:rsidTr="00A1539E">
        <w:trPr>
          <w:trHeight w:val="454"/>
        </w:trPr>
        <w:tc>
          <w:tcPr>
            <w:tcW w:w="386" w:type="pct"/>
            <w:vMerge/>
            <w:vAlign w:val="center"/>
          </w:tcPr>
          <w:p w14:paraId="27C66427" w14:textId="77777777" w:rsidR="00A320E6" w:rsidRDefault="00A320E6" w:rsidP="00AE0286">
            <w:pPr>
              <w:jc w:val="center"/>
              <w:rPr>
                <w:rFonts w:ascii="宋体" w:hAnsi="宋体" w:cs="宋体"/>
                <w:szCs w:val="21"/>
              </w:rPr>
            </w:pPr>
          </w:p>
        </w:tc>
        <w:tc>
          <w:tcPr>
            <w:tcW w:w="445" w:type="pct"/>
            <w:vMerge/>
            <w:vAlign w:val="center"/>
          </w:tcPr>
          <w:p w14:paraId="00FD0111" w14:textId="77777777" w:rsidR="00A320E6" w:rsidRDefault="00A320E6" w:rsidP="00AE0286">
            <w:pPr>
              <w:jc w:val="center"/>
              <w:rPr>
                <w:rFonts w:ascii="宋体" w:hAnsi="宋体" w:cs="宋体"/>
                <w:kern w:val="0"/>
                <w:szCs w:val="21"/>
              </w:rPr>
            </w:pPr>
          </w:p>
        </w:tc>
        <w:tc>
          <w:tcPr>
            <w:tcW w:w="2162" w:type="pct"/>
            <w:vAlign w:val="center"/>
          </w:tcPr>
          <w:p w14:paraId="051E94F0" w14:textId="77777777" w:rsidR="00A320E6" w:rsidRDefault="00000000" w:rsidP="00AE0286">
            <w:pPr>
              <w:rPr>
                <w:rFonts w:ascii="宋体" w:hAnsi="宋体" w:cs="宋体"/>
                <w:szCs w:val="21"/>
              </w:rPr>
            </w:pPr>
            <w:r>
              <w:rPr>
                <w:rFonts w:ascii="宋体" w:hAnsi="宋体" w:cs="宋体" w:hint="eastAsia"/>
                <w:szCs w:val="21"/>
              </w:rPr>
              <w:t>燃、煤气</w:t>
            </w:r>
          </w:p>
        </w:tc>
        <w:tc>
          <w:tcPr>
            <w:tcW w:w="1004" w:type="pct"/>
            <w:vAlign w:val="center"/>
          </w:tcPr>
          <w:p w14:paraId="014471AA" w14:textId="77777777" w:rsidR="00A320E6" w:rsidRDefault="00000000" w:rsidP="00AE0286">
            <w:pPr>
              <w:jc w:val="center"/>
              <w:rPr>
                <w:rFonts w:ascii="宋体" w:hAnsi="宋体" w:cs="宋体"/>
                <w:szCs w:val="21"/>
              </w:rPr>
            </w:pPr>
            <w:r>
              <w:rPr>
                <w:rFonts w:ascii="宋体" w:hAnsi="宋体" w:cs="宋体" w:hint="eastAsia"/>
                <w:szCs w:val="21"/>
              </w:rPr>
              <w:t>100元/个</w:t>
            </w:r>
          </w:p>
        </w:tc>
        <w:tc>
          <w:tcPr>
            <w:tcW w:w="1003" w:type="pct"/>
            <w:vMerge/>
            <w:vAlign w:val="center"/>
          </w:tcPr>
          <w:p w14:paraId="39C947C1" w14:textId="77777777" w:rsidR="00A320E6" w:rsidRDefault="00A320E6" w:rsidP="00AE0286">
            <w:pPr>
              <w:jc w:val="center"/>
              <w:rPr>
                <w:rFonts w:ascii="宋体" w:hAnsi="宋体" w:cs="宋体"/>
                <w:kern w:val="0"/>
                <w:szCs w:val="21"/>
              </w:rPr>
            </w:pPr>
          </w:p>
        </w:tc>
      </w:tr>
      <w:tr w:rsidR="00A320E6" w14:paraId="012CF9C0" w14:textId="77777777" w:rsidTr="00A1539E">
        <w:trPr>
          <w:trHeight w:val="487"/>
        </w:trPr>
        <w:tc>
          <w:tcPr>
            <w:tcW w:w="386" w:type="pct"/>
            <w:vMerge w:val="restart"/>
            <w:vAlign w:val="center"/>
          </w:tcPr>
          <w:p w14:paraId="1D56E01A" w14:textId="77777777" w:rsidR="00A320E6" w:rsidRDefault="00000000" w:rsidP="00AE0286">
            <w:pPr>
              <w:jc w:val="center"/>
              <w:rPr>
                <w:rFonts w:ascii="宋体" w:hAnsi="宋体" w:cs="宋体"/>
                <w:szCs w:val="21"/>
              </w:rPr>
            </w:pPr>
            <w:r>
              <w:rPr>
                <w:rFonts w:ascii="宋体" w:hAnsi="宋体" w:cs="宋体" w:hint="eastAsia"/>
                <w:szCs w:val="21"/>
              </w:rPr>
              <w:t>4</w:t>
            </w:r>
          </w:p>
        </w:tc>
        <w:tc>
          <w:tcPr>
            <w:tcW w:w="445" w:type="pct"/>
            <w:vMerge w:val="restart"/>
            <w:vAlign w:val="center"/>
          </w:tcPr>
          <w:p w14:paraId="28E000B7" w14:textId="77777777" w:rsidR="00A320E6" w:rsidRDefault="00000000" w:rsidP="00AE0286">
            <w:pPr>
              <w:jc w:val="center"/>
              <w:rPr>
                <w:rFonts w:ascii="宋体" w:hAnsi="宋体" w:cs="宋体"/>
                <w:kern w:val="0"/>
                <w:szCs w:val="21"/>
              </w:rPr>
            </w:pPr>
            <w:r>
              <w:rPr>
                <w:rFonts w:ascii="宋体" w:hAnsi="宋体" w:cs="宋体" w:hint="eastAsia"/>
                <w:kern w:val="0"/>
                <w:szCs w:val="21"/>
              </w:rPr>
              <w:t>院落门</w:t>
            </w:r>
          </w:p>
        </w:tc>
        <w:tc>
          <w:tcPr>
            <w:tcW w:w="2162" w:type="pct"/>
            <w:vAlign w:val="center"/>
          </w:tcPr>
          <w:p w14:paraId="348839F5" w14:textId="77777777" w:rsidR="00A320E6" w:rsidRDefault="00000000" w:rsidP="00AE0286">
            <w:pPr>
              <w:rPr>
                <w:rFonts w:ascii="宋体" w:hAnsi="宋体" w:cs="宋体"/>
                <w:szCs w:val="21"/>
              </w:rPr>
            </w:pPr>
            <w:r>
              <w:rPr>
                <w:rFonts w:ascii="宋体" w:hAnsi="宋体" w:cs="宋体" w:hint="eastAsia"/>
                <w:szCs w:val="21"/>
              </w:rPr>
              <w:t>铁门</w:t>
            </w:r>
          </w:p>
        </w:tc>
        <w:tc>
          <w:tcPr>
            <w:tcW w:w="1004" w:type="pct"/>
            <w:vAlign w:val="center"/>
          </w:tcPr>
          <w:p w14:paraId="69243ECC" w14:textId="77777777" w:rsidR="00A320E6" w:rsidRDefault="00000000" w:rsidP="00AE0286">
            <w:pPr>
              <w:jc w:val="center"/>
              <w:rPr>
                <w:rFonts w:ascii="宋体" w:hAnsi="宋体" w:cs="宋体"/>
                <w:szCs w:val="21"/>
              </w:rPr>
            </w:pPr>
            <w:r>
              <w:rPr>
                <w:rFonts w:ascii="宋体" w:hAnsi="宋体" w:cs="宋体" w:hint="eastAsia"/>
                <w:szCs w:val="21"/>
              </w:rPr>
              <w:t>60-70元/㎡</w:t>
            </w:r>
          </w:p>
        </w:tc>
        <w:tc>
          <w:tcPr>
            <w:tcW w:w="1003" w:type="pct"/>
            <w:vMerge w:val="restart"/>
            <w:vAlign w:val="center"/>
          </w:tcPr>
          <w:p w14:paraId="2E8A0D4C" w14:textId="77777777" w:rsidR="00A320E6" w:rsidRDefault="00A320E6" w:rsidP="00AE0286">
            <w:pPr>
              <w:jc w:val="center"/>
              <w:rPr>
                <w:rFonts w:ascii="宋体" w:hAnsi="宋体" w:cs="宋体"/>
                <w:kern w:val="0"/>
                <w:szCs w:val="21"/>
              </w:rPr>
            </w:pPr>
          </w:p>
        </w:tc>
      </w:tr>
      <w:tr w:rsidR="00A320E6" w14:paraId="1F607F4C" w14:textId="77777777" w:rsidTr="00A1539E">
        <w:trPr>
          <w:trHeight w:val="454"/>
        </w:trPr>
        <w:tc>
          <w:tcPr>
            <w:tcW w:w="386" w:type="pct"/>
            <w:vMerge/>
            <w:vAlign w:val="center"/>
          </w:tcPr>
          <w:p w14:paraId="3575E5C3" w14:textId="77777777" w:rsidR="00A320E6" w:rsidRDefault="00A320E6" w:rsidP="00AE0286">
            <w:pPr>
              <w:jc w:val="center"/>
              <w:rPr>
                <w:rFonts w:ascii="宋体" w:hAnsi="宋体" w:cs="宋体"/>
                <w:szCs w:val="21"/>
              </w:rPr>
            </w:pPr>
          </w:p>
        </w:tc>
        <w:tc>
          <w:tcPr>
            <w:tcW w:w="445" w:type="pct"/>
            <w:vMerge/>
            <w:vAlign w:val="center"/>
          </w:tcPr>
          <w:p w14:paraId="06FC275C" w14:textId="77777777" w:rsidR="00A320E6" w:rsidRDefault="00A320E6" w:rsidP="00AE0286">
            <w:pPr>
              <w:jc w:val="center"/>
              <w:rPr>
                <w:rFonts w:ascii="宋体" w:hAnsi="宋体" w:cs="宋体"/>
                <w:kern w:val="0"/>
                <w:szCs w:val="21"/>
              </w:rPr>
            </w:pPr>
          </w:p>
        </w:tc>
        <w:tc>
          <w:tcPr>
            <w:tcW w:w="2162" w:type="pct"/>
            <w:vAlign w:val="center"/>
          </w:tcPr>
          <w:p w14:paraId="127EB83C" w14:textId="77777777" w:rsidR="00A320E6" w:rsidRDefault="00000000" w:rsidP="00AE0286">
            <w:pPr>
              <w:rPr>
                <w:rFonts w:ascii="宋体" w:hAnsi="宋体" w:cs="宋体"/>
                <w:szCs w:val="21"/>
              </w:rPr>
            </w:pPr>
            <w:r>
              <w:rPr>
                <w:rFonts w:ascii="宋体" w:hAnsi="宋体" w:cs="宋体" w:hint="eastAsia"/>
                <w:szCs w:val="21"/>
              </w:rPr>
              <w:t>不锈钢伸缩门</w:t>
            </w:r>
          </w:p>
        </w:tc>
        <w:tc>
          <w:tcPr>
            <w:tcW w:w="1004" w:type="pct"/>
            <w:vAlign w:val="center"/>
          </w:tcPr>
          <w:p w14:paraId="226E9809" w14:textId="77777777" w:rsidR="00A320E6" w:rsidRDefault="00000000" w:rsidP="00AE0286">
            <w:pPr>
              <w:jc w:val="center"/>
              <w:rPr>
                <w:rFonts w:ascii="宋体" w:hAnsi="宋体" w:cs="宋体"/>
                <w:szCs w:val="21"/>
              </w:rPr>
            </w:pPr>
            <w:r>
              <w:rPr>
                <w:rFonts w:ascii="宋体" w:hAnsi="宋体" w:cs="宋体" w:hint="eastAsia"/>
                <w:szCs w:val="21"/>
              </w:rPr>
              <w:t>450-550/ｍ</w:t>
            </w:r>
          </w:p>
        </w:tc>
        <w:tc>
          <w:tcPr>
            <w:tcW w:w="1003" w:type="pct"/>
            <w:vMerge/>
            <w:vAlign w:val="center"/>
          </w:tcPr>
          <w:p w14:paraId="07CB5AA1" w14:textId="77777777" w:rsidR="00A320E6" w:rsidRDefault="00A320E6" w:rsidP="00AE0286">
            <w:pPr>
              <w:jc w:val="center"/>
              <w:rPr>
                <w:rFonts w:ascii="宋体" w:hAnsi="宋体" w:cs="宋体"/>
                <w:kern w:val="0"/>
                <w:szCs w:val="21"/>
              </w:rPr>
            </w:pPr>
          </w:p>
        </w:tc>
      </w:tr>
      <w:tr w:rsidR="00A320E6" w14:paraId="4C34FF9F" w14:textId="77777777" w:rsidTr="00A1539E">
        <w:trPr>
          <w:trHeight w:val="518"/>
        </w:trPr>
        <w:tc>
          <w:tcPr>
            <w:tcW w:w="386" w:type="pct"/>
            <w:vMerge w:val="restart"/>
            <w:tcBorders>
              <w:bottom w:val="single" w:sz="4" w:space="0" w:color="auto"/>
            </w:tcBorders>
            <w:vAlign w:val="center"/>
          </w:tcPr>
          <w:p w14:paraId="540051E9" w14:textId="77777777" w:rsidR="00A320E6" w:rsidRDefault="00000000" w:rsidP="00AE0286">
            <w:pPr>
              <w:jc w:val="center"/>
              <w:rPr>
                <w:rFonts w:ascii="宋体" w:hAnsi="宋体" w:cs="宋体"/>
                <w:szCs w:val="21"/>
              </w:rPr>
            </w:pPr>
            <w:r>
              <w:rPr>
                <w:rFonts w:ascii="宋体" w:hAnsi="宋体" w:cs="宋体" w:hint="eastAsia"/>
                <w:szCs w:val="21"/>
              </w:rPr>
              <w:t>5</w:t>
            </w:r>
          </w:p>
        </w:tc>
        <w:tc>
          <w:tcPr>
            <w:tcW w:w="445" w:type="pct"/>
            <w:vMerge w:val="restart"/>
            <w:tcBorders>
              <w:bottom w:val="single" w:sz="4" w:space="0" w:color="auto"/>
            </w:tcBorders>
            <w:vAlign w:val="center"/>
          </w:tcPr>
          <w:p w14:paraId="2B53468A" w14:textId="77777777" w:rsidR="00A320E6" w:rsidRDefault="00000000" w:rsidP="00AE0286">
            <w:pPr>
              <w:jc w:val="center"/>
              <w:rPr>
                <w:rFonts w:ascii="宋体" w:hAnsi="宋体" w:cs="宋体"/>
                <w:kern w:val="0"/>
                <w:szCs w:val="21"/>
              </w:rPr>
            </w:pPr>
            <w:r>
              <w:rPr>
                <w:rFonts w:ascii="宋体" w:hAnsi="宋体" w:cs="宋体" w:hint="eastAsia"/>
                <w:kern w:val="0"/>
                <w:szCs w:val="21"/>
              </w:rPr>
              <w:t>炉灶</w:t>
            </w:r>
          </w:p>
        </w:tc>
        <w:tc>
          <w:tcPr>
            <w:tcW w:w="2162" w:type="pct"/>
            <w:vAlign w:val="center"/>
          </w:tcPr>
          <w:p w14:paraId="34C5EF61" w14:textId="77777777" w:rsidR="00A320E6" w:rsidRDefault="00000000" w:rsidP="00AE0286">
            <w:pPr>
              <w:rPr>
                <w:rFonts w:ascii="宋体" w:hAnsi="宋体" w:cs="宋体"/>
                <w:szCs w:val="21"/>
              </w:rPr>
            </w:pPr>
            <w:r>
              <w:rPr>
                <w:rFonts w:ascii="宋体" w:hAnsi="宋体" w:cs="宋体" w:hint="eastAsia"/>
                <w:szCs w:val="21"/>
              </w:rPr>
              <w:t>锅灶</w:t>
            </w:r>
          </w:p>
        </w:tc>
        <w:tc>
          <w:tcPr>
            <w:tcW w:w="1004" w:type="pct"/>
            <w:vAlign w:val="center"/>
          </w:tcPr>
          <w:p w14:paraId="287D2E83" w14:textId="77777777" w:rsidR="00A320E6" w:rsidRDefault="00000000" w:rsidP="00AE0286">
            <w:pPr>
              <w:jc w:val="center"/>
              <w:rPr>
                <w:rFonts w:ascii="宋体" w:hAnsi="宋体" w:cs="宋体"/>
                <w:szCs w:val="21"/>
              </w:rPr>
            </w:pPr>
            <w:r>
              <w:rPr>
                <w:rFonts w:ascii="宋体" w:hAnsi="宋体" w:cs="宋体" w:hint="eastAsia"/>
                <w:szCs w:val="21"/>
              </w:rPr>
              <w:t>500元/个</w:t>
            </w:r>
          </w:p>
        </w:tc>
        <w:tc>
          <w:tcPr>
            <w:tcW w:w="1003" w:type="pct"/>
            <w:vMerge w:val="restart"/>
            <w:tcBorders>
              <w:bottom w:val="single" w:sz="4" w:space="0" w:color="auto"/>
            </w:tcBorders>
            <w:vAlign w:val="center"/>
          </w:tcPr>
          <w:p w14:paraId="656E1BFF" w14:textId="77777777" w:rsidR="00A320E6" w:rsidRDefault="00000000" w:rsidP="00AE0286">
            <w:pPr>
              <w:jc w:val="center"/>
              <w:rPr>
                <w:rFonts w:ascii="宋体" w:hAnsi="宋体" w:cs="宋体"/>
                <w:kern w:val="0"/>
                <w:szCs w:val="21"/>
              </w:rPr>
            </w:pPr>
            <w:r>
              <w:rPr>
                <w:rFonts w:ascii="宋体" w:hAnsi="宋体" w:cs="宋体" w:hint="eastAsia"/>
                <w:kern w:val="0"/>
                <w:szCs w:val="21"/>
              </w:rPr>
              <w:t>含烟囱</w:t>
            </w:r>
          </w:p>
        </w:tc>
      </w:tr>
      <w:tr w:rsidR="00A320E6" w14:paraId="26B7FD6C" w14:textId="77777777" w:rsidTr="00A1539E">
        <w:trPr>
          <w:trHeight w:val="454"/>
        </w:trPr>
        <w:tc>
          <w:tcPr>
            <w:tcW w:w="386" w:type="pct"/>
            <w:vMerge/>
            <w:vAlign w:val="center"/>
          </w:tcPr>
          <w:p w14:paraId="283F4583" w14:textId="77777777" w:rsidR="00A320E6" w:rsidRDefault="00A320E6" w:rsidP="00AE0286">
            <w:pPr>
              <w:ind w:left="720" w:hanging="720"/>
              <w:jc w:val="center"/>
              <w:rPr>
                <w:rFonts w:ascii="宋体" w:hAnsi="宋体" w:cs="宋体"/>
                <w:szCs w:val="21"/>
              </w:rPr>
            </w:pPr>
          </w:p>
        </w:tc>
        <w:tc>
          <w:tcPr>
            <w:tcW w:w="445" w:type="pct"/>
            <w:vMerge/>
            <w:vAlign w:val="center"/>
          </w:tcPr>
          <w:p w14:paraId="1E5A88C2" w14:textId="77777777" w:rsidR="00A320E6" w:rsidRDefault="00A320E6" w:rsidP="00AE0286">
            <w:pPr>
              <w:ind w:left="720" w:hanging="720"/>
              <w:jc w:val="center"/>
              <w:rPr>
                <w:rFonts w:ascii="宋体" w:hAnsi="宋体" w:cs="宋体"/>
                <w:szCs w:val="21"/>
              </w:rPr>
            </w:pPr>
          </w:p>
        </w:tc>
        <w:tc>
          <w:tcPr>
            <w:tcW w:w="2162" w:type="pct"/>
            <w:vAlign w:val="center"/>
          </w:tcPr>
          <w:p w14:paraId="123D4FF9" w14:textId="77777777" w:rsidR="00A320E6" w:rsidRDefault="00000000" w:rsidP="00AE0286">
            <w:pPr>
              <w:rPr>
                <w:rFonts w:ascii="宋体" w:hAnsi="宋体" w:cs="宋体"/>
                <w:szCs w:val="21"/>
              </w:rPr>
            </w:pPr>
            <w:r>
              <w:rPr>
                <w:rFonts w:ascii="宋体" w:hAnsi="宋体" w:cs="宋体" w:hint="eastAsia"/>
                <w:szCs w:val="21"/>
              </w:rPr>
              <w:t>灶台</w:t>
            </w:r>
          </w:p>
        </w:tc>
        <w:tc>
          <w:tcPr>
            <w:tcW w:w="1004" w:type="pct"/>
            <w:vAlign w:val="center"/>
          </w:tcPr>
          <w:p w14:paraId="5531C099" w14:textId="77777777" w:rsidR="00A320E6" w:rsidRDefault="00000000" w:rsidP="00AE0286">
            <w:pPr>
              <w:jc w:val="center"/>
              <w:rPr>
                <w:rFonts w:ascii="宋体" w:hAnsi="宋体" w:cs="宋体"/>
                <w:szCs w:val="21"/>
              </w:rPr>
            </w:pPr>
            <w:r>
              <w:rPr>
                <w:rFonts w:ascii="宋体" w:hAnsi="宋体" w:cs="宋体" w:hint="eastAsia"/>
                <w:szCs w:val="21"/>
              </w:rPr>
              <w:t>160元/ｍ</w:t>
            </w:r>
          </w:p>
        </w:tc>
        <w:tc>
          <w:tcPr>
            <w:tcW w:w="1003" w:type="pct"/>
            <w:vMerge/>
            <w:vAlign w:val="center"/>
          </w:tcPr>
          <w:p w14:paraId="70B68FCF" w14:textId="77777777" w:rsidR="00A320E6" w:rsidRDefault="00A320E6" w:rsidP="00AE0286">
            <w:pPr>
              <w:jc w:val="center"/>
              <w:rPr>
                <w:rFonts w:ascii="宋体" w:hAnsi="宋体" w:cs="宋体"/>
                <w:kern w:val="0"/>
                <w:szCs w:val="21"/>
              </w:rPr>
            </w:pPr>
          </w:p>
        </w:tc>
      </w:tr>
      <w:tr w:rsidR="00A320E6" w14:paraId="27B7A79F" w14:textId="77777777" w:rsidTr="00A1539E">
        <w:trPr>
          <w:trHeight w:val="454"/>
        </w:trPr>
        <w:tc>
          <w:tcPr>
            <w:tcW w:w="386" w:type="pct"/>
            <w:vMerge w:val="restart"/>
            <w:vAlign w:val="center"/>
          </w:tcPr>
          <w:p w14:paraId="7B81F092" w14:textId="77777777" w:rsidR="00A320E6" w:rsidRDefault="00000000" w:rsidP="00AE0286">
            <w:pPr>
              <w:jc w:val="center"/>
              <w:rPr>
                <w:rFonts w:ascii="宋体" w:hAnsi="宋体" w:cs="宋体"/>
                <w:szCs w:val="21"/>
              </w:rPr>
            </w:pPr>
            <w:r>
              <w:rPr>
                <w:rFonts w:ascii="宋体" w:hAnsi="宋体" w:cs="宋体" w:hint="eastAsia"/>
                <w:szCs w:val="21"/>
              </w:rPr>
              <w:t>6</w:t>
            </w:r>
          </w:p>
        </w:tc>
        <w:tc>
          <w:tcPr>
            <w:tcW w:w="445" w:type="pct"/>
            <w:vMerge w:val="restart"/>
            <w:vAlign w:val="center"/>
          </w:tcPr>
          <w:p w14:paraId="42F71729" w14:textId="77777777" w:rsidR="00A320E6" w:rsidRDefault="00000000" w:rsidP="00AE0286">
            <w:pPr>
              <w:ind w:left="720" w:hanging="720"/>
              <w:jc w:val="center"/>
              <w:rPr>
                <w:rFonts w:ascii="宋体" w:hAnsi="宋体" w:cs="宋体"/>
                <w:szCs w:val="21"/>
              </w:rPr>
            </w:pPr>
            <w:r>
              <w:rPr>
                <w:rFonts w:ascii="宋体" w:hAnsi="宋体" w:cs="宋体" w:hint="eastAsia"/>
                <w:szCs w:val="21"/>
              </w:rPr>
              <w:t>卫生</w:t>
            </w:r>
          </w:p>
          <w:p w14:paraId="1C405F22" w14:textId="77777777" w:rsidR="00A320E6" w:rsidRDefault="00000000" w:rsidP="00AE0286">
            <w:pPr>
              <w:ind w:left="720" w:hanging="720"/>
              <w:jc w:val="center"/>
              <w:rPr>
                <w:rFonts w:ascii="宋体" w:hAnsi="宋体" w:cs="宋体"/>
                <w:szCs w:val="21"/>
              </w:rPr>
            </w:pPr>
            <w:r>
              <w:rPr>
                <w:rFonts w:ascii="宋体" w:hAnsi="宋体" w:cs="宋体" w:hint="eastAsia"/>
                <w:szCs w:val="21"/>
              </w:rPr>
              <w:t>设施</w:t>
            </w:r>
          </w:p>
        </w:tc>
        <w:tc>
          <w:tcPr>
            <w:tcW w:w="2162" w:type="pct"/>
            <w:vAlign w:val="center"/>
          </w:tcPr>
          <w:p w14:paraId="6C8E49A8" w14:textId="77777777" w:rsidR="00A320E6" w:rsidRDefault="00000000" w:rsidP="00AE0286">
            <w:pPr>
              <w:rPr>
                <w:rFonts w:ascii="宋体" w:hAnsi="宋体" w:cs="宋体"/>
                <w:szCs w:val="21"/>
              </w:rPr>
            </w:pPr>
            <w:r>
              <w:rPr>
                <w:rFonts w:ascii="宋体" w:hAnsi="宋体" w:cs="宋体" w:hint="eastAsia"/>
                <w:szCs w:val="21"/>
              </w:rPr>
              <w:t>浴缸</w:t>
            </w:r>
          </w:p>
        </w:tc>
        <w:tc>
          <w:tcPr>
            <w:tcW w:w="1004" w:type="pct"/>
            <w:vAlign w:val="center"/>
          </w:tcPr>
          <w:p w14:paraId="29AC959D" w14:textId="77777777" w:rsidR="00A320E6" w:rsidRDefault="00000000" w:rsidP="00AE0286">
            <w:pPr>
              <w:jc w:val="center"/>
              <w:rPr>
                <w:rFonts w:ascii="宋体" w:hAnsi="宋体" w:cs="宋体"/>
                <w:szCs w:val="21"/>
              </w:rPr>
            </w:pPr>
            <w:r>
              <w:rPr>
                <w:rFonts w:ascii="宋体" w:hAnsi="宋体" w:cs="宋体" w:hint="eastAsia"/>
                <w:szCs w:val="21"/>
              </w:rPr>
              <w:t>300元/个</w:t>
            </w:r>
          </w:p>
        </w:tc>
        <w:tc>
          <w:tcPr>
            <w:tcW w:w="1003" w:type="pct"/>
            <w:vMerge w:val="restart"/>
            <w:vAlign w:val="center"/>
          </w:tcPr>
          <w:p w14:paraId="5CF46AF2" w14:textId="77777777" w:rsidR="00A320E6" w:rsidRDefault="00A320E6" w:rsidP="00AE0286">
            <w:pPr>
              <w:jc w:val="center"/>
              <w:rPr>
                <w:rFonts w:ascii="宋体" w:hAnsi="宋体" w:cs="宋体"/>
                <w:kern w:val="0"/>
                <w:szCs w:val="21"/>
              </w:rPr>
            </w:pPr>
          </w:p>
        </w:tc>
      </w:tr>
      <w:tr w:rsidR="00A320E6" w14:paraId="05564251" w14:textId="77777777" w:rsidTr="00A1539E">
        <w:trPr>
          <w:trHeight w:val="454"/>
        </w:trPr>
        <w:tc>
          <w:tcPr>
            <w:tcW w:w="386" w:type="pct"/>
            <w:vMerge/>
            <w:vAlign w:val="center"/>
          </w:tcPr>
          <w:p w14:paraId="4BA65335" w14:textId="77777777" w:rsidR="00A320E6" w:rsidRDefault="00A320E6" w:rsidP="00AE0286">
            <w:pPr>
              <w:jc w:val="center"/>
              <w:rPr>
                <w:rFonts w:ascii="宋体" w:hAnsi="宋体" w:cs="宋体"/>
                <w:szCs w:val="21"/>
              </w:rPr>
            </w:pPr>
          </w:p>
        </w:tc>
        <w:tc>
          <w:tcPr>
            <w:tcW w:w="445" w:type="pct"/>
            <w:vMerge/>
            <w:vAlign w:val="center"/>
          </w:tcPr>
          <w:p w14:paraId="46D2E6EE" w14:textId="77777777" w:rsidR="00A320E6" w:rsidRDefault="00A320E6" w:rsidP="00AE0286">
            <w:pPr>
              <w:ind w:left="720" w:hanging="720"/>
              <w:jc w:val="center"/>
              <w:rPr>
                <w:rFonts w:ascii="宋体" w:hAnsi="宋体" w:cs="宋体"/>
                <w:szCs w:val="21"/>
              </w:rPr>
            </w:pPr>
          </w:p>
        </w:tc>
        <w:tc>
          <w:tcPr>
            <w:tcW w:w="2162" w:type="pct"/>
            <w:vAlign w:val="center"/>
          </w:tcPr>
          <w:p w14:paraId="23F207AA" w14:textId="77777777" w:rsidR="00A320E6" w:rsidRDefault="00000000" w:rsidP="00AE0286">
            <w:pPr>
              <w:rPr>
                <w:rFonts w:ascii="宋体" w:hAnsi="宋体" w:cs="宋体"/>
                <w:szCs w:val="21"/>
              </w:rPr>
            </w:pPr>
            <w:r>
              <w:rPr>
                <w:rFonts w:ascii="宋体" w:hAnsi="宋体" w:cs="宋体" w:hint="eastAsia"/>
                <w:szCs w:val="21"/>
              </w:rPr>
              <w:t>座便器</w:t>
            </w:r>
          </w:p>
        </w:tc>
        <w:tc>
          <w:tcPr>
            <w:tcW w:w="1004" w:type="pct"/>
            <w:vAlign w:val="center"/>
          </w:tcPr>
          <w:p w14:paraId="171CB803" w14:textId="77777777" w:rsidR="00A320E6" w:rsidRDefault="00000000" w:rsidP="00AE0286">
            <w:pPr>
              <w:jc w:val="center"/>
              <w:rPr>
                <w:rFonts w:ascii="宋体" w:hAnsi="宋体" w:cs="宋体"/>
                <w:szCs w:val="21"/>
              </w:rPr>
            </w:pPr>
            <w:r>
              <w:rPr>
                <w:rFonts w:ascii="宋体" w:hAnsi="宋体" w:cs="宋体" w:hint="eastAsia"/>
                <w:szCs w:val="21"/>
              </w:rPr>
              <w:t>150元/个</w:t>
            </w:r>
          </w:p>
        </w:tc>
        <w:tc>
          <w:tcPr>
            <w:tcW w:w="1003" w:type="pct"/>
            <w:vMerge/>
            <w:vAlign w:val="center"/>
          </w:tcPr>
          <w:p w14:paraId="43CC07DB" w14:textId="77777777" w:rsidR="00A320E6" w:rsidRDefault="00A320E6" w:rsidP="00AE0286">
            <w:pPr>
              <w:jc w:val="center"/>
              <w:rPr>
                <w:rFonts w:ascii="宋体" w:hAnsi="宋体" w:cs="宋体"/>
                <w:kern w:val="0"/>
                <w:szCs w:val="21"/>
              </w:rPr>
            </w:pPr>
          </w:p>
        </w:tc>
      </w:tr>
      <w:tr w:rsidR="00A320E6" w14:paraId="3A585082" w14:textId="77777777" w:rsidTr="00A1539E">
        <w:trPr>
          <w:trHeight w:val="454"/>
        </w:trPr>
        <w:tc>
          <w:tcPr>
            <w:tcW w:w="386" w:type="pct"/>
            <w:vMerge/>
            <w:vAlign w:val="center"/>
          </w:tcPr>
          <w:p w14:paraId="593AC42A" w14:textId="77777777" w:rsidR="00A320E6" w:rsidRDefault="00A320E6" w:rsidP="00AE0286">
            <w:pPr>
              <w:jc w:val="center"/>
              <w:rPr>
                <w:rFonts w:ascii="宋体" w:hAnsi="宋体" w:cs="宋体"/>
                <w:szCs w:val="21"/>
              </w:rPr>
            </w:pPr>
          </w:p>
        </w:tc>
        <w:tc>
          <w:tcPr>
            <w:tcW w:w="445" w:type="pct"/>
            <w:vMerge/>
            <w:vAlign w:val="center"/>
          </w:tcPr>
          <w:p w14:paraId="3E845593" w14:textId="77777777" w:rsidR="00A320E6" w:rsidRDefault="00A320E6" w:rsidP="00AE0286">
            <w:pPr>
              <w:ind w:left="720" w:hanging="720"/>
              <w:jc w:val="center"/>
              <w:rPr>
                <w:rFonts w:ascii="宋体" w:hAnsi="宋体" w:cs="宋体"/>
                <w:szCs w:val="21"/>
              </w:rPr>
            </w:pPr>
          </w:p>
        </w:tc>
        <w:tc>
          <w:tcPr>
            <w:tcW w:w="2162" w:type="pct"/>
            <w:vAlign w:val="center"/>
          </w:tcPr>
          <w:p w14:paraId="75D3CBD4" w14:textId="77777777" w:rsidR="00A320E6" w:rsidRDefault="00000000" w:rsidP="00AE0286">
            <w:pPr>
              <w:rPr>
                <w:rFonts w:ascii="宋体" w:hAnsi="宋体" w:cs="宋体"/>
                <w:szCs w:val="21"/>
              </w:rPr>
            </w:pPr>
            <w:r>
              <w:rPr>
                <w:rFonts w:ascii="宋体" w:hAnsi="宋体" w:cs="宋体" w:hint="eastAsia"/>
                <w:szCs w:val="21"/>
              </w:rPr>
              <w:t>蹲便器</w:t>
            </w:r>
          </w:p>
        </w:tc>
        <w:tc>
          <w:tcPr>
            <w:tcW w:w="1004" w:type="pct"/>
            <w:vAlign w:val="center"/>
          </w:tcPr>
          <w:p w14:paraId="593F85A4" w14:textId="77777777" w:rsidR="00A320E6" w:rsidRDefault="00000000" w:rsidP="00AE0286">
            <w:pPr>
              <w:jc w:val="center"/>
              <w:rPr>
                <w:rFonts w:ascii="宋体" w:hAnsi="宋体" w:cs="宋体"/>
                <w:szCs w:val="21"/>
              </w:rPr>
            </w:pPr>
            <w:r>
              <w:rPr>
                <w:rFonts w:ascii="宋体" w:hAnsi="宋体" w:cs="宋体" w:hint="eastAsia"/>
                <w:szCs w:val="21"/>
              </w:rPr>
              <w:t>100元/个</w:t>
            </w:r>
          </w:p>
        </w:tc>
        <w:tc>
          <w:tcPr>
            <w:tcW w:w="1003" w:type="pct"/>
            <w:vMerge/>
            <w:vAlign w:val="center"/>
          </w:tcPr>
          <w:p w14:paraId="74F6C7B5" w14:textId="77777777" w:rsidR="00A320E6" w:rsidRDefault="00A320E6" w:rsidP="00AE0286">
            <w:pPr>
              <w:jc w:val="center"/>
              <w:rPr>
                <w:rFonts w:ascii="宋体" w:hAnsi="宋体" w:cs="宋体"/>
                <w:kern w:val="0"/>
                <w:szCs w:val="21"/>
              </w:rPr>
            </w:pPr>
          </w:p>
        </w:tc>
      </w:tr>
      <w:tr w:rsidR="00A320E6" w14:paraId="4A1B9A58" w14:textId="77777777" w:rsidTr="00A1539E">
        <w:trPr>
          <w:trHeight w:val="454"/>
        </w:trPr>
        <w:tc>
          <w:tcPr>
            <w:tcW w:w="386" w:type="pct"/>
            <w:vMerge w:val="restart"/>
            <w:vAlign w:val="center"/>
          </w:tcPr>
          <w:p w14:paraId="6915587A" w14:textId="77777777" w:rsidR="00A320E6" w:rsidRDefault="00000000" w:rsidP="00AE0286">
            <w:pPr>
              <w:jc w:val="center"/>
              <w:rPr>
                <w:rFonts w:ascii="宋体" w:hAnsi="宋体" w:cs="宋体"/>
                <w:szCs w:val="21"/>
              </w:rPr>
            </w:pPr>
            <w:r>
              <w:rPr>
                <w:rFonts w:ascii="宋体" w:hAnsi="宋体" w:cs="宋体" w:hint="eastAsia"/>
                <w:szCs w:val="21"/>
              </w:rPr>
              <w:t>7</w:t>
            </w:r>
          </w:p>
        </w:tc>
        <w:tc>
          <w:tcPr>
            <w:tcW w:w="445" w:type="pct"/>
            <w:vMerge w:val="restart"/>
            <w:vAlign w:val="center"/>
          </w:tcPr>
          <w:p w14:paraId="72F02492" w14:textId="77777777" w:rsidR="00A320E6" w:rsidRDefault="00000000" w:rsidP="00AE0286">
            <w:pPr>
              <w:jc w:val="center"/>
              <w:rPr>
                <w:rFonts w:ascii="宋体" w:hAnsi="宋体" w:cs="宋体"/>
                <w:szCs w:val="21"/>
              </w:rPr>
            </w:pPr>
            <w:r>
              <w:rPr>
                <w:rFonts w:ascii="宋体" w:hAnsi="宋体" w:cs="宋体" w:hint="eastAsia"/>
                <w:szCs w:val="21"/>
              </w:rPr>
              <w:t>雨搭</w:t>
            </w:r>
          </w:p>
        </w:tc>
        <w:tc>
          <w:tcPr>
            <w:tcW w:w="2162" w:type="pct"/>
            <w:vAlign w:val="center"/>
          </w:tcPr>
          <w:p w14:paraId="01B7F698" w14:textId="77777777" w:rsidR="00A320E6" w:rsidRDefault="00000000" w:rsidP="00AE0286">
            <w:pPr>
              <w:rPr>
                <w:rFonts w:ascii="宋体" w:hAnsi="宋体" w:cs="宋体"/>
                <w:szCs w:val="21"/>
              </w:rPr>
            </w:pPr>
            <w:r>
              <w:rPr>
                <w:rFonts w:ascii="宋体" w:hAnsi="宋体" w:cs="宋体" w:hint="eastAsia"/>
                <w:szCs w:val="21"/>
              </w:rPr>
              <w:t>铁皮</w:t>
            </w:r>
          </w:p>
        </w:tc>
        <w:tc>
          <w:tcPr>
            <w:tcW w:w="1004" w:type="pct"/>
            <w:vAlign w:val="center"/>
          </w:tcPr>
          <w:p w14:paraId="097BDAF2" w14:textId="77777777" w:rsidR="00A320E6" w:rsidRDefault="00000000" w:rsidP="00AE0286">
            <w:pPr>
              <w:jc w:val="center"/>
              <w:rPr>
                <w:rFonts w:ascii="宋体" w:hAnsi="宋体" w:cs="宋体"/>
                <w:szCs w:val="21"/>
              </w:rPr>
            </w:pPr>
            <w:r>
              <w:rPr>
                <w:rFonts w:ascii="宋体" w:hAnsi="宋体" w:cs="宋体" w:hint="eastAsia"/>
                <w:szCs w:val="21"/>
              </w:rPr>
              <w:t>80元/㎡</w:t>
            </w:r>
          </w:p>
        </w:tc>
        <w:tc>
          <w:tcPr>
            <w:tcW w:w="1003" w:type="pct"/>
            <w:vMerge w:val="restart"/>
            <w:vAlign w:val="center"/>
          </w:tcPr>
          <w:p w14:paraId="6F8B3275" w14:textId="77777777" w:rsidR="00A320E6" w:rsidRDefault="00A320E6" w:rsidP="00AE0286">
            <w:pPr>
              <w:jc w:val="center"/>
              <w:rPr>
                <w:rFonts w:ascii="宋体" w:hAnsi="宋体" w:cs="宋体"/>
                <w:kern w:val="0"/>
                <w:szCs w:val="21"/>
              </w:rPr>
            </w:pPr>
          </w:p>
        </w:tc>
      </w:tr>
      <w:tr w:rsidR="00A320E6" w14:paraId="02AF2E6E" w14:textId="77777777" w:rsidTr="00A1539E">
        <w:trPr>
          <w:trHeight w:val="454"/>
        </w:trPr>
        <w:tc>
          <w:tcPr>
            <w:tcW w:w="386" w:type="pct"/>
            <w:vMerge/>
            <w:vAlign w:val="center"/>
          </w:tcPr>
          <w:p w14:paraId="1FFD0999" w14:textId="77777777" w:rsidR="00A320E6" w:rsidRDefault="00A320E6" w:rsidP="00AE0286">
            <w:pPr>
              <w:jc w:val="center"/>
              <w:rPr>
                <w:rFonts w:ascii="宋体" w:hAnsi="宋体" w:cs="宋体"/>
                <w:szCs w:val="21"/>
              </w:rPr>
            </w:pPr>
          </w:p>
        </w:tc>
        <w:tc>
          <w:tcPr>
            <w:tcW w:w="445" w:type="pct"/>
            <w:vMerge/>
            <w:vAlign w:val="center"/>
          </w:tcPr>
          <w:p w14:paraId="4965EE13" w14:textId="77777777" w:rsidR="00A320E6" w:rsidRDefault="00A320E6" w:rsidP="00AE0286">
            <w:pPr>
              <w:jc w:val="center"/>
              <w:rPr>
                <w:rFonts w:ascii="宋体" w:hAnsi="宋体" w:cs="宋体"/>
                <w:szCs w:val="21"/>
              </w:rPr>
            </w:pPr>
          </w:p>
        </w:tc>
        <w:tc>
          <w:tcPr>
            <w:tcW w:w="2162" w:type="pct"/>
            <w:vAlign w:val="center"/>
          </w:tcPr>
          <w:p w14:paraId="666B3148" w14:textId="77777777" w:rsidR="00A320E6" w:rsidRDefault="00000000" w:rsidP="00AE0286">
            <w:pPr>
              <w:rPr>
                <w:rFonts w:ascii="宋体" w:hAnsi="宋体" w:cs="宋体"/>
                <w:szCs w:val="21"/>
              </w:rPr>
            </w:pPr>
            <w:r>
              <w:rPr>
                <w:rFonts w:ascii="宋体" w:hAnsi="宋体" w:cs="宋体" w:hint="eastAsia"/>
                <w:szCs w:val="21"/>
              </w:rPr>
              <w:t>阳光板</w:t>
            </w:r>
          </w:p>
        </w:tc>
        <w:tc>
          <w:tcPr>
            <w:tcW w:w="1004" w:type="pct"/>
            <w:vAlign w:val="center"/>
          </w:tcPr>
          <w:p w14:paraId="394E83F4" w14:textId="77777777" w:rsidR="00A320E6" w:rsidRDefault="00000000" w:rsidP="00AE0286">
            <w:pPr>
              <w:jc w:val="center"/>
              <w:rPr>
                <w:rFonts w:ascii="宋体" w:hAnsi="宋体" w:cs="宋体"/>
                <w:szCs w:val="21"/>
              </w:rPr>
            </w:pPr>
            <w:r>
              <w:rPr>
                <w:rFonts w:ascii="宋体" w:hAnsi="宋体" w:cs="宋体" w:hint="eastAsia"/>
                <w:szCs w:val="21"/>
              </w:rPr>
              <w:t>110元/㎡</w:t>
            </w:r>
          </w:p>
        </w:tc>
        <w:tc>
          <w:tcPr>
            <w:tcW w:w="1003" w:type="pct"/>
            <w:vMerge/>
            <w:vAlign w:val="center"/>
          </w:tcPr>
          <w:p w14:paraId="1428F798" w14:textId="77777777" w:rsidR="00A320E6" w:rsidRDefault="00A320E6" w:rsidP="00AE0286">
            <w:pPr>
              <w:spacing w:line="320" w:lineRule="exact"/>
              <w:ind w:left="720" w:hanging="720"/>
              <w:jc w:val="center"/>
              <w:rPr>
                <w:rFonts w:ascii="宋体" w:hAnsi="宋体" w:cs="宋体"/>
                <w:szCs w:val="21"/>
              </w:rPr>
            </w:pPr>
          </w:p>
        </w:tc>
      </w:tr>
      <w:tr w:rsidR="00A320E6" w14:paraId="59B145E5" w14:textId="77777777" w:rsidTr="00A1539E">
        <w:trPr>
          <w:trHeight w:val="454"/>
        </w:trPr>
        <w:tc>
          <w:tcPr>
            <w:tcW w:w="386" w:type="pct"/>
            <w:vMerge/>
            <w:vAlign w:val="center"/>
          </w:tcPr>
          <w:p w14:paraId="1594EBE2" w14:textId="77777777" w:rsidR="00A320E6" w:rsidRDefault="00A320E6" w:rsidP="00AE0286">
            <w:pPr>
              <w:jc w:val="center"/>
              <w:rPr>
                <w:rFonts w:ascii="宋体" w:hAnsi="宋体" w:cs="宋体"/>
                <w:szCs w:val="21"/>
              </w:rPr>
            </w:pPr>
          </w:p>
        </w:tc>
        <w:tc>
          <w:tcPr>
            <w:tcW w:w="445" w:type="pct"/>
            <w:vMerge/>
            <w:vAlign w:val="center"/>
          </w:tcPr>
          <w:p w14:paraId="0D2A003E" w14:textId="77777777" w:rsidR="00A320E6" w:rsidRDefault="00A320E6" w:rsidP="00AE0286">
            <w:pPr>
              <w:jc w:val="center"/>
              <w:rPr>
                <w:rFonts w:ascii="宋体" w:hAnsi="宋体" w:cs="宋体"/>
                <w:szCs w:val="21"/>
              </w:rPr>
            </w:pPr>
          </w:p>
        </w:tc>
        <w:tc>
          <w:tcPr>
            <w:tcW w:w="2162" w:type="pct"/>
            <w:vAlign w:val="center"/>
          </w:tcPr>
          <w:p w14:paraId="1F580B6A" w14:textId="77777777" w:rsidR="00A320E6" w:rsidRDefault="00000000" w:rsidP="00AE0286">
            <w:pPr>
              <w:rPr>
                <w:rFonts w:ascii="宋体" w:hAnsi="宋体" w:cs="宋体"/>
                <w:szCs w:val="21"/>
              </w:rPr>
            </w:pPr>
            <w:r>
              <w:rPr>
                <w:rFonts w:ascii="宋体" w:hAnsi="宋体" w:cs="宋体" w:hint="eastAsia"/>
                <w:szCs w:val="21"/>
              </w:rPr>
              <w:t>石棉瓦</w:t>
            </w:r>
          </w:p>
        </w:tc>
        <w:tc>
          <w:tcPr>
            <w:tcW w:w="1004" w:type="pct"/>
            <w:vAlign w:val="center"/>
          </w:tcPr>
          <w:p w14:paraId="0FBAA087" w14:textId="77777777" w:rsidR="00A320E6" w:rsidRDefault="00000000" w:rsidP="00AE0286">
            <w:pPr>
              <w:jc w:val="center"/>
              <w:rPr>
                <w:rFonts w:ascii="宋体" w:hAnsi="宋体" w:cs="宋体"/>
                <w:szCs w:val="21"/>
              </w:rPr>
            </w:pPr>
            <w:r>
              <w:rPr>
                <w:rFonts w:ascii="宋体" w:hAnsi="宋体" w:cs="宋体" w:hint="eastAsia"/>
                <w:szCs w:val="21"/>
              </w:rPr>
              <w:t>30元/㎡</w:t>
            </w:r>
          </w:p>
        </w:tc>
        <w:tc>
          <w:tcPr>
            <w:tcW w:w="1003" w:type="pct"/>
            <w:vMerge/>
            <w:vAlign w:val="center"/>
          </w:tcPr>
          <w:p w14:paraId="05AD054E" w14:textId="77777777" w:rsidR="00A320E6" w:rsidRDefault="00A320E6" w:rsidP="00AE0286">
            <w:pPr>
              <w:spacing w:line="320" w:lineRule="exact"/>
              <w:ind w:left="720" w:hanging="720"/>
              <w:jc w:val="center"/>
              <w:rPr>
                <w:rFonts w:ascii="宋体" w:hAnsi="宋体" w:cs="宋体"/>
                <w:szCs w:val="21"/>
              </w:rPr>
            </w:pPr>
          </w:p>
        </w:tc>
      </w:tr>
      <w:tr w:rsidR="00A320E6" w14:paraId="6F57A3F5" w14:textId="77777777" w:rsidTr="00A1539E">
        <w:trPr>
          <w:trHeight w:val="454"/>
        </w:trPr>
        <w:tc>
          <w:tcPr>
            <w:tcW w:w="386" w:type="pct"/>
            <w:vMerge w:val="restart"/>
            <w:vAlign w:val="center"/>
          </w:tcPr>
          <w:p w14:paraId="00D343C1" w14:textId="77777777" w:rsidR="00A320E6" w:rsidRDefault="00000000" w:rsidP="00AE0286">
            <w:pPr>
              <w:jc w:val="center"/>
              <w:rPr>
                <w:rFonts w:ascii="宋体" w:hAnsi="宋体" w:cs="宋体"/>
                <w:szCs w:val="21"/>
              </w:rPr>
            </w:pPr>
            <w:r>
              <w:rPr>
                <w:rFonts w:ascii="宋体" w:hAnsi="宋体" w:cs="宋体" w:hint="eastAsia"/>
                <w:szCs w:val="21"/>
              </w:rPr>
              <w:t>8</w:t>
            </w:r>
          </w:p>
        </w:tc>
        <w:tc>
          <w:tcPr>
            <w:tcW w:w="445" w:type="pct"/>
            <w:vMerge w:val="restart"/>
            <w:vAlign w:val="center"/>
          </w:tcPr>
          <w:p w14:paraId="43DAE342" w14:textId="77777777" w:rsidR="00A320E6" w:rsidRDefault="00000000" w:rsidP="00AE0286">
            <w:pPr>
              <w:jc w:val="center"/>
              <w:rPr>
                <w:rFonts w:ascii="宋体" w:hAnsi="宋体" w:cs="宋体"/>
                <w:szCs w:val="21"/>
              </w:rPr>
            </w:pPr>
            <w:r>
              <w:rPr>
                <w:rFonts w:ascii="宋体" w:hAnsi="宋体" w:cs="宋体" w:hint="eastAsia"/>
                <w:szCs w:val="21"/>
              </w:rPr>
              <w:t>宣传广告</w:t>
            </w:r>
          </w:p>
          <w:p w14:paraId="3F4D31E5" w14:textId="77777777" w:rsidR="00A320E6" w:rsidRDefault="00000000" w:rsidP="00AE0286">
            <w:pPr>
              <w:jc w:val="center"/>
              <w:rPr>
                <w:rFonts w:ascii="宋体" w:hAnsi="宋体" w:cs="宋体"/>
                <w:szCs w:val="21"/>
              </w:rPr>
            </w:pPr>
            <w:r>
              <w:rPr>
                <w:rFonts w:ascii="宋体" w:hAnsi="宋体" w:cs="宋体" w:hint="eastAsia"/>
                <w:szCs w:val="21"/>
              </w:rPr>
              <w:t>牌</w:t>
            </w:r>
          </w:p>
        </w:tc>
        <w:tc>
          <w:tcPr>
            <w:tcW w:w="2162" w:type="pct"/>
            <w:vAlign w:val="center"/>
          </w:tcPr>
          <w:p w14:paraId="0F7FF81C" w14:textId="77777777" w:rsidR="00A320E6" w:rsidRDefault="00000000" w:rsidP="00AE0286">
            <w:pPr>
              <w:rPr>
                <w:rFonts w:ascii="宋体" w:hAnsi="宋体" w:cs="宋体"/>
                <w:szCs w:val="21"/>
              </w:rPr>
            </w:pPr>
            <w:r>
              <w:rPr>
                <w:rFonts w:ascii="宋体" w:hAnsi="宋体" w:cs="宋体" w:hint="eastAsia"/>
                <w:szCs w:val="21"/>
              </w:rPr>
              <w:t>喷绘布（不带钢架）</w:t>
            </w:r>
          </w:p>
        </w:tc>
        <w:tc>
          <w:tcPr>
            <w:tcW w:w="1004" w:type="pct"/>
            <w:vAlign w:val="center"/>
          </w:tcPr>
          <w:p w14:paraId="3B5DFC73" w14:textId="77777777" w:rsidR="00A320E6" w:rsidRDefault="00000000" w:rsidP="00AE0286">
            <w:pPr>
              <w:jc w:val="center"/>
              <w:rPr>
                <w:rFonts w:ascii="宋体" w:hAnsi="宋体" w:cs="宋体"/>
                <w:szCs w:val="21"/>
              </w:rPr>
            </w:pPr>
            <w:r>
              <w:rPr>
                <w:rFonts w:ascii="宋体" w:hAnsi="宋体" w:cs="宋体" w:hint="eastAsia"/>
                <w:szCs w:val="21"/>
              </w:rPr>
              <w:t>6-10元/㎡</w:t>
            </w:r>
          </w:p>
        </w:tc>
        <w:tc>
          <w:tcPr>
            <w:tcW w:w="1003" w:type="pct"/>
            <w:vMerge w:val="restart"/>
            <w:vAlign w:val="center"/>
          </w:tcPr>
          <w:p w14:paraId="1FAA9D0C" w14:textId="77777777" w:rsidR="00A320E6" w:rsidRDefault="00000000" w:rsidP="00AE0286">
            <w:pPr>
              <w:jc w:val="center"/>
              <w:rPr>
                <w:rFonts w:ascii="宋体" w:hAnsi="宋体" w:cs="宋体"/>
                <w:kern w:val="0"/>
                <w:szCs w:val="21"/>
              </w:rPr>
            </w:pPr>
            <w:r>
              <w:rPr>
                <w:rFonts w:ascii="宋体" w:hAnsi="宋体" w:cs="宋体" w:hint="eastAsia"/>
                <w:kern w:val="0"/>
                <w:szCs w:val="21"/>
              </w:rPr>
              <w:t>按台面面积计算</w:t>
            </w:r>
          </w:p>
        </w:tc>
      </w:tr>
      <w:tr w:rsidR="00A320E6" w14:paraId="5512FD0E" w14:textId="77777777" w:rsidTr="00A1539E">
        <w:trPr>
          <w:trHeight w:val="454"/>
        </w:trPr>
        <w:tc>
          <w:tcPr>
            <w:tcW w:w="386" w:type="pct"/>
            <w:vMerge/>
            <w:vAlign w:val="center"/>
          </w:tcPr>
          <w:p w14:paraId="1039DC9A" w14:textId="77777777" w:rsidR="00A320E6" w:rsidRDefault="00A320E6" w:rsidP="00AE0286">
            <w:pPr>
              <w:jc w:val="center"/>
              <w:rPr>
                <w:rFonts w:ascii="宋体" w:hAnsi="宋体" w:cs="宋体"/>
                <w:szCs w:val="21"/>
              </w:rPr>
            </w:pPr>
          </w:p>
        </w:tc>
        <w:tc>
          <w:tcPr>
            <w:tcW w:w="445" w:type="pct"/>
            <w:vMerge/>
            <w:vAlign w:val="center"/>
          </w:tcPr>
          <w:p w14:paraId="16D0B752" w14:textId="77777777" w:rsidR="00A320E6" w:rsidRDefault="00A320E6" w:rsidP="00AE0286">
            <w:pPr>
              <w:ind w:left="720" w:hanging="720"/>
              <w:jc w:val="center"/>
              <w:rPr>
                <w:rFonts w:ascii="宋体" w:hAnsi="宋体" w:cs="宋体"/>
                <w:szCs w:val="21"/>
              </w:rPr>
            </w:pPr>
          </w:p>
        </w:tc>
        <w:tc>
          <w:tcPr>
            <w:tcW w:w="2162" w:type="pct"/>
            <w:vAlign w:val="center"/>
          </w:tcPr>
          <w:p w14:paraId="6015812E" w14:textId="77777777" w:rsidR="00A320E6" w:rsidRDefault="00000000" w:rsidP="00AE0286">
            <w:pPr>
              <w:rPr>
                <w:rFonts w:ascii="宋体" w:hAnsi="宋体" w:cs="宋体"/>
                <w:szCs w:val="21"/>
              </w:rPr>
            </w:pPr>
            <w:r>
              <w:rPr>
                <w:rFonts w:ascii="宋体" w:hAnsi="宋体" w:cs="宋体" w:hint="eastAsia"/>
                <w:szCs w:val="21"/>
              </w:rPr>
              <w:t>喷绘布（带钢架）</w:t>
            </w:r>
          </w:p>
        </w:tc>
        <w:tc>
          <w:tcPr>
            <w:tcW w:w="1004" w:type="pct"/>
            <w:vAlign w:val="center"/>
          </w:tcPr>
          <w:p w14:paraId="3409AAFC" w14:textId="77777777" w:rsidR="00A320E6" w:rsidRDefault="00000000" w:rsidP="00AE0286">
            <w:pPr>
              <w:jc w:val="center"/>
              <w:rPr>
                <w:rFonts w:ascii="宋体" w:hAnsi="宋体" w:cs="宋体"/>
                <w:szCs w:val="21"/>
              </w:rPr>
            </w:pPr>
            <w:r>
              <w:rPr>
                <w:rFonts w:ascii="宋体" w:hAnsi="宋体" w:cs="宋体" w:hint="eastAsia"/>
                <w:szCs w:val="21"/>
              </w:rPr>
              <w:t>150-200元/㎡</w:t>
            </w:r>
          </w:p>
        </w:tc>
        <w:tc>
          <w:tcPr>
            <w:tcW w:w="1003" w:type="pct"/>
            <w:vMerge/>
            <w:vAlign w:val="center"/>
          </w:tcPr>
          <w:p w14:paraId="71F16740" w14:textId="77777777" w:rsidR="00A320E6" w:rsidRDefault="00A320E6" w:rsidP="00AE0286">
            <w:pPr>
              <w:jc w:val="center"/>
              <w:rPr>
                <w:rFonts w:ascii="宋体" w:hAnsi="宋体" w:cs="宋体"/>
                <w:kern w:val="0"/>
                <w:szCs w:val="21"/>
              </w:rPr>
            </w:pPr>
          </w:p>
        </w:tc>
      </w:tr>
      <w:tr w:rsidR="00A320E6" w14:paraId="4D80BD5C" w14:textId="77777777" w:rsidTr="00A1539E">
        <w:trPr>
          <w:trHeight w:val="436"/>
        </w:trPr>
        <w:tc>
          <w:tcPr>
            <w:tcW w:w="386" w:type="pct"/>
            <w:vMerge/>
            <w:vAlign w:val="center"/>
          </w:tcPr>
          <w:p w14:paraId="5482F733" w14:textId="77777777" w:rsidR="00A320E6" w:rsidRDefault="00A320E6" w:rsidP="00AE0286">
            <w:pPr>
              <w:jc w:val="center"/>
              <w:rPr>
                <w:rFonts w:ascii="宋体" w:hAnsi="宋体" w:cs="宋体"/>
                <w:szCs w:val="21"/>
              </w:rPr>
            </w:pPr>
          </w:p>
        </w:tc>
        <w:tc>
          <w:tcPr>
            <w:tcW w:w="445" w:type="pct"/>
            <w:vMerge/>
            <w:vAlign w:val="center"/>
          </w:tcPr>
          <w:p w14:paraId="3F5235B2" w14:textId="77777777" w:rsidR="00A320E6" w:rsidRDefault="00A320E6" w:rsidP="00AE0286">
            <w:pPr>
              <w:ind w:left="720" w:hanging="720"/>
              <w:jc w:val="center"/>
              <w:rPr>
                <w:rFonts w:ascii="宋体" w:hAnsi="宋体" w:cs="宋体"/>
                <w:szCs w:val="21"/>
              </w:rPr>
            </w:pPr>
          </w:p>
        </w:tc>
        <w:tc>
          <w:tcPr>
            <w:tcW w:w="2162" w:type="pct"/>
            <w:vAlign w:val="center"/>
          </w:tcPr>
          <w:p w14:paraId="4FE2C328" w14:textId="77777777" w:rsidR="00A320E6" w:rsidRDefault="00000000" w:rsidP="00AE0286">
            <w:pPr>
              <w:rPr>
                <w:rFonts w:ascii="宋体" w:hAnsi="宋体" w:cs="宋体"/>
                <w:szCs w:val="21"/>
              </w:rPr>
            </w:pPr>
            <w:r>
              <w:rPr>
                <w:rFonts w:ascii="宋体" w:hAnsi="宋体" w:cs="宋体" w:hint="eastAsia"/>
                <w:szCs w:val="21"/>
              </w:rPr>
              <w:t>不锈钢</w:t>
            </w:r>
          </w:p>
        </w:tc>
        <w:tc>
          <w:tcPr>
            <w:tcW w:w="1004" w:type="pct"/>
            <w:vAlign w:val="center"/>
          </w:tcPr>
          <w:p w14:paraId="4965B909" w14:textId="77777777" w:rsidR="00A320E6" w:rsidRDefault="00000000" w:rsidP="00AE0286">
            <w:pPr>
              <w:jc w:val="center"/>
              <w:rPr>
                <w:rFonts w:ascii="宋体" w:hAnsi="宋体" w:cs="宋体"/>
                <w:szCs w:val="21"/>
              </w:rPr>
            </w:pPr>
            <w:r>
              <w:rPr>
                <w:rFonts w:ascii="宋体" w:hAnsi="宋体" w:cs="宋体" w:hint="eastAsia"/>
                <w:szCs w:val="21"/>
              </w:rPr>
              <w:t>200-400元/㎡</w:t>
            </w:r>
          </w:p>
        </w:tc>
        <w:tc>
          <w:tcPr>
            <w:tcW w:w="1003" w:type="pct"/>
            <w:vMerge/>
            <w:vAlign w:val="center"/>
          </w:tcPr>
          <w:p w14:paraId="5E787080" w14:textId="77777777" w:rsidR="00A320E6" w:rsidRDefault="00A320E6" w:rsidP="00AE0286">
            <w:pPr>
              <w:jc w:val="center"/>
              <w:rPr>
                <w:rFonts w:ascii="宋体" w:hAnsi="宋体" w:cs="宋体"/>
                <w:kern w:val="0"/>
                <w:szCs w:val="21"/>
              </w:rPr>
            </w:pPr>
          </w:p>
        </w:tc>
      </w:tr>
      <w:tr w:rsidR="00A320E6" w14:paraId="22CD0318" w14:textId="77777777" w:rsidTr="00A1539E">
        <w:trPr>
          <w:trHeight w:val="436"/>
        </w:trPr>
        <w:tc>
          <w:tcPr>
            <w:tcW w:w="386" w:type="pct"/>
            <w:vMerge/>
            <w:vAlign w:val="center"/>
          </w:tcPr>
          <w:p w14:paraId="5EED4A9C" w14:textId="77777777" w:rsidR="00A320E6" w:rsidRDefault="00A320E6" w:rsidP="00AE0286">
            <w:pPr>
              <w:jc w:val="center"/>
              <w:rPr>
                <w:rFonts w:ascii="宋体" w:hAnsi="宋体" w:cs="宋体"/>
                <w:szCs w:val="21"/>
              </w:rPr>
            </w:pPr>
          </w:p>
        </w:tc>
        <w:tc>
          <w:tcPr>
            <w:tcW w:w="445" w:type="pct"/>
            <w:vMerge/>
            <w:vAlign w:val="center"/>
          </w:tcPr>
          <w:p w14:paraId="50543ADB" w14:textId="77777777" w:rsidR="00A320E6" w:rsidRDefault="00A320E6" w:rsidP="00AE0286">
            <w:pPr>
              <w:ind w:left="720" w:hanging="720"/>
              <w:jc w:val="center"/>
              <w:rPr>
                <w:rFonts w:ascii="宋体" w:hAnsi="宋体" w:cs="宋体"/>
                <w:szCs w:val="21"/>
              </w:rPr>
            </w:pPr>
          </w:p>
        </w:tc>
        <w:tc>
          <w:tcPr>
            <w:tcW w:w="2162" w:type="pct"/>
            <w:vAlign w:val="center"/>
          </w:tcPr>
          <w:p w14:paraId="4A62CAE2" w14:textId="77777777" w:rsidR="00A320E6" w:rsidRDefault="00000000" w:rsidP="00AE0286">
            <w:pPr>
              <w:rPr>
                <w:rFonts w:ascii="宋体" w:hAnsi="宋体" w:cs="宋体"/>
                <w:szCs w:val="21"/>
              </w:rPr>
            </w:pPr>
            <w:r>
              <w:rPr>
                <w:rFonts w:ascii="宋体" w:hAnsi="宋体" w:cs="宋体" w:hint="eastAsia"/>
                <w:szCs w:val="21"/>
              </w:rPr>
              <w:t>扣板</w:t>
            </w:r>
          </w:p>
        </w:tc>
        <w:tc>
          <w:tcPr>
            <w:tcW w:w="1004" w:type="pct"/>
            <w:vAlign w:val="center"/>
          </w:tcPr>
          <w:p w14:paraId="4B0E2C73" w14:textId="77777777" w:rsidR="00A320E6" w:rsidRDefault="00000000" w:rsidP="00AE0286">
            <w:pPr>
              <w:jc w:val="center"/>
              <w:rPr>
                <w:rFonts w:ascii="宋体" w:hAnsi="宋体" w:cs="宋体"/>
                <w:szCs w:val="21"/>
              </w:rPr>
            </w:pPr>
            <w:r>
              <w:rPr>
                <w:rFonts w:ascii="宋体" w:hAnsi="宋体" w:cs="宋体" w:hint="eastAsia"/>
                <w:szCs w:val="21"/>
              </w:rPr>
              <w:t>160-220元/㎡</w:t>
            </w:r>
          </w:p>
        </w:tc>
        <w:tc>
          <w:tcPr>
            <w:tcW w:w="1003" w:type="pct"/>
            <w:vMerge/>
            <w:vAlign w:val="center"/>
          </w:tcPr>
          <w:p w14:paraId="79CC0447" w14:textId="77777777" w:rsidR="00A320E6" w:rsidRDefault="00A320E6" w:rsidP="00AE0286">
            <w:pPr>
              <w:jc w:val="center"/>
              <w:rPr>
                <w:rFonts w:ascii="宋体" w:hAnsi="宋体" w:cs="宋体"/>
                <w:kern w:val="0"/>
                <w:szCs w:val="21"/>
              </w:rPr>
            </w:pPr>
          </w:p>
        </w:tc>
      </w:tr>
      <w:tr w:rsidR="00A320E6" w14:paraId="3D37250E" w14:textId="77777777" w:rsidTr="00A1539E">
        <w:trPr>
          <w:trHeight w:val="436"/>
        </w:trPr>
        <w:tc>
          <w:tcPr>
            <w:tcW w:w="386" w:type="pct"/>
            <w:vMerge/>
            <w:vAlign w:val="center"/>
          </w:tcPr>
          <w:p w14:paraId="2DFC6764" w14:textId="77777777" w:rsidR="00A320E6" w:rsidRDefault="00A320E6" w:rsidP="00AE0286">
            <w:pPr>
              <w:jc w:val="center"/>
              <w:rPr>
                <w:rFonts w:ascii="宋体" w:hAnsi="宋体" w:cs="宋体"/>
                <w:szCs w:val="21"/>
              </w:rPr>
            </w:pPr>
          </w:p>
        </w:tc>
        <w:tc>
          <w:tcPr>
            <w:tcW w:w="445" w:type="pct"/>
            <w:vMerge/>
            <w:vAlign w:val="center"/>
          </w:tcPr>
          <w:p w14:paraId="47173F98" w14:textId="77777777" w:rsidR="00A320E6" w:rsidRDefault="00A320E6" w:rsidP="00AE0286">
            <w:pPr>
              <w:ind w:left="720" w:hanging="720"/>
              <w:jc w:val="center"/>
              <w:rPr>
                <w:rFonts w:ascii="宋体" w:hAnsi="宋体" w:cs="宋体"/>
                <w:szCs w:val="21"/>
              </w:rPr>
            </w:pPr>
          </w:p>
        </w:tc>
        <w:tc>
          <w:tcPr>
            <w:tcW w:w="2162" w:type="pct"/>
            <w:vAlign w:val="center"/>
          </w:tcPr>
          <w:p w14:paraId="61EF8302" w14:textId="77777777" w:rsidR="00A320E6" w:rsidRDefault="00000000" w:rsidP="00AE0286">
            <w:pPr>
              <w:rPr>
                <w:rFonts w:ascii="宋体" w:hAnsi="宋体" w:cs="宋体"/>
                <w:szCs w:val="21"/>
              </w:rPr>
            </w:pPr>
            <w:r>
              <w:rPr>
                <w:rFonts w:ascii="宋体" w:hAnsi="宋体" w:cs="宋体" w:hint="eastAsia"/>
                <w:szCs w:val="21"/>
              </w:rPr>
              <w:t>铝塑板</w:t>
            </w:r>
          </w:p>
        </w:tc>
        <w:tc>
          <w:tcPr>
            <w:tcW w:w="1004" w:type="pct"/>
            <w:vAlign w:val="center"/>
          </w:tcPr>
          <w:p w14:paraId="3C81C6EF" w14:textId="77777777" w:rsidR="00A320E6" w:rsidRDefault="00000000" w:rsidP="00AE0286">
            <w:pPr>
              <w:jc w:val="center"/>
              <w:rPr>
                <w:rFonts w:ascii="宋体" w:hAnsi="宋体" w:cs="宋体"/>
                <w:szCs w:val="21"/>
              </w:rPr>
            </w:pPr>
            <w:r>
              <w:rPr>
                <w:rFonts w:ascii="宋体" w:hAnsi="宋体" w:cs="宋体" w:hint="eastAsia"/>
                <w:szCs w:val="21"/>
              </w:rPr>
              <w:t>160-200元/㎡</w:t>
            </w:r>
          </w:p>
        </w:tc>
        <w:tc>
          <w:tcPr>
            <w:tcW w:w="1003" w:type="pct"/>
            <w:vMerge/>
            <w:vAlign w:val="center"/>
          </w:tcPr>
          <w:p w14:paraId="59B9852E" w14:textId="77777777" w:rsidR="00A320E6" w:rsidRDefault="00A320E6" w:rsidP="00AE0286">
            <w:pPr>
              <w:jc w:val="center"/>
              <w:rPr>
                <w:rFonts w:ascii="宋体" w:hAnsi="宋体" w:cs="宋体"/>
                <w:kern w:val="0"/>
                <w:szCs w:val="21"/>
              </w:rPr>
            </w:pPr>
          </w:p>
        </w:tc>
      </w:tr>
    </w:tbl>
    <w:p w14:paraId="079560C8" w14:textId="77777777" w:rsidR="00A320E6" w:rsidRDefault="00A320E6" w:rsidP="00AE0286">
      <w:pPr>
        <w:spacing w:line="380" w:lineRule="exact"/>
        <w:ind w:left="720"/>
        <w:rPr>
          <w:rFonts w:eastAsia="黑体"/>
          <w:sz w:val="32"/>
          <w:szCs w:val="32"/>
        </w:rPr>
      </w:pPr>
    </w:p>
    <w:p w14:paraId="08AE9234" w14:textId="77777777" w:rsidR="00A320E6" w:rsidRDefault="00000000" w:rsidP="00A1539E">
      <w:pPr>
        <w:pStyle w:val="1a"/>
      </w:pPr>
      <w:r>
        <w:rPr>
          <w:rFonts w:hint="eastAsia"/>
        </w:rPr>
        <w:t>二、林木类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2"/>
        <w:gridCol w:w="877"/>
        <w:gridCol w:w="1084"/>
        <w:gridCol w:w="11"/>
        <w:gridCol w:w="1656"/>
        <w:gridCol w:w="1702"/>
        <w:gridCol w:w="2832"/>
      </w:tblGrid>
      <w:tr w:rsidR="00A320E6" w14:paraId="2DF53B15" w14:textId="77777777" w:rsidTr="00A1539E">
        <w:trPr>
          <w:trHeight w:val="425"/>
          <w:jc w:val="center"/>
        </w:trPr>
        <w:tc>
          <w:tcPr>
            <w:tcW w:w="386" w:type="pct"/>
            <w:tcBorders>
              <w:top w:val="single" w:sz="4" w:space="0" w:color="auto"/>
              <w:left w:val="single" w:sz="4" w:space="0" w:color="auto"/>
              <w:right w:val="single" w:sz="4" w:space="0" w:color="auto"/>
            </w:tcBorders>
            <w:vAlign w:val="center"/>
          </w:tcPr>
          <w:p w14:paraId="2C2B9B8D" w14:textId="77777777" w:rsidR="00A320E6" w:rsidRDefault="00000000" w:rsidP="00AE0286">
            <w:pPr>
              <w:jc w:val="center"/>
              <w:rPr>
                <w:rFonts w:ascii="宋体" w:hAnsi="宋体" w:cs="宋体"/>
                <w:kern w:val="0"/>
                <w:szCs w:val="21"/>
              </w:rPr>
            </w:pPr>
            <w:r>
              <w:rPr>
                <w:rFonts w:ascii="宋体" w:hAnsi="宋体" w:cs="宋体" w:hint="eastAsia"/>
                <w:kern w:val="0"/>
                <w:szCs w:val="21"/>
              </w:rPr>
              <w:t>序号</w:t>
            </w:r>
          </w:p>
        </w:tc>
        <w:tc>
          <w:tcPr>
            <w:tcW w:w="496" w:type="pct"/>
            <w:tcBorders>
              <w:top w:val="single" w:sz="4" w:space="0" w:color="auto"/>
              <w:left w:val="single" w:sz="4" w:space="0" w:color="auto"/>
              <w:right w:val="single" w:sz="4" w:space="0" w:color="auto"/>
            </w:tcBorders>
            <w:vAlign w:val="center"/>
          </w:tcPr>
          <w:p w14:paraId="1FFB2EB7"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名称</w:t>
            </w:r>
          </w:p>
        </w:tc>
        <w:tc>
          <w:tcPr>
            <w:tcW w:w="1555" w:type="pct"/>
            <w:gridSpan w:val="3"/>
            <w:tcBorders>
              <w:top w:val="single" w:sz="4" w:space="0" w:color="auto"/>
              <w:left w:val="single" w:sz="4" w:space="0" w:color="auto"/>
              <w:bottom w:val="single" w:sz="4" w:space="0" w:color="auto"/>
              <w:right w:val="single" w:sz="4" w:space="0" w:color="auto"/>
            </w:tcBorders>
            <w:vAlign w:val="center"/>
          </w:tcPr>
          <w:p w14:paraId="023BE8B1"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类型</w:t>
            </w:r>
          </w:p>
        </w:tc>
        <w:tc>
          <w:tcPr>
            <w:tcW w:w="962" w:type="pct"/>
            <w:tcBorders>
              <w:top w:val="single" w:sz="4" w:space="0" w:color="auto"/>
              <w:left w:val="single" w:sz="4" w:space="0" w:color="auto"/>
              <w:bottom w:val="single" w:sz="4" w:space="0" w:color="auto"/>
              <w:right w:val="single" w:sz="4" w:space="0" w:color="auto"/>
            </w:tcBorders>
            <w:vAlign w:val="center"/>
          </w:tcPr>
          <w:p w14:paraId="4F5A8958" w14:textId="77777777" w:rsidR="00A320E6" w:rsidRDefault="00000000" w:rsidP="00AE0286">
            <w:pPr>
              <w:jc w:val="center"/>
              <w:rPr>
                <w:rFonts w:ascii="宋体" w:hAnsi="宋体" w:cs="宋体"/>
                <w:szCs w:val="21"/>
              </w:rPr>
            </w:pPr>
            <w:r>
              <w:rPr>
                <w:rFonts w:ascii="宋体" w:hAnsi="宋体" w:cs="宋体" w:hint="eastAsia"/>
                <w:szCs w:val="21"/>
              </w:rPr>
              <w:t>补偿标准</w:t>
            </w:r>
          </w:p>
        </w:tc>
        <w:tc>
          <w:tcPr>
            <w:tcW w:w="1602" w:type="pct"/>
            <w:tcBorders>
              <w:top w:val="single" w:sz="4" w:space="0" w:color="auto"/>
              <w:left w:val="single" w:sz="4" w:space="0" w:color="auto"/>
              <w:bottom w:val="single" w:sz="4" w:space="0" w:color="auto"/>
              <w:right w:val="single" w:sz="4" w:space="0" w:color="auto"/>
            </w:tcBorders>
            <w:vAlign w:val="center"/>
          </w:tcPr>
          <w:p w14:paraId="5F53D3E7" w14:textId="77777777" w:rsidR="00A320E6" w:rsidRDefault="00000000" w:rsidP="00AE0286">
            <w:pPr>
              <w:jc w:val="center"/>
              <w:rPr>
                <w:rFonts w:ascii="宋体" w:hAnsi="宋体" w:cs="宋体"/>
                <w:kern w:val="0"/>
                <w:szCs w:val="21"/>
              </w:rPr>
            </w:pPr>
            <w:r>
              <w:rPr>
                <w:rFonts w:ascii="宋体" w:hAnsi="宋体" w:cs="宋体" w:hint="eastAsia"/>
                <w:kern w:val="0"/>
                <w:szCs w:val="21"/>
              </w:rPr>
              <w:t>备注</w:t>
            </w:r>
          </w:p>
        </w:tc>
      </w:tr>
      <w:tr w:rsidR="00A320E6" w14:paraId="124D467A" w14:textId="77777777" w:rsidTr="00A1539E">
        <w:trPr>
          <w:trHeight w:val="425"/>
          <w:jc w:val="center"/>
        </w:trPr>
        <w:tc>
          <w:tcPr>
            <w:tcW w:w="386" w:type="pct"/>
            <w:vMerge w:val="restart"/>
            <w:tcBorders>
              <w:top w:val="single" w:sz="4" w:space="0" w:color="auto"/>
              <w:left w:val="single" w:sz="4" w:space="0" w:color="auto"/>
              <w:right w:val="single" w:sz="4" w:space="0" w:color="auto"/>
            </w:tcBorders>
            <w:vAlign w:val="center"/>
          </w:tcPr>
          <w:p w14:paraId="33E85944" w14:textId="77777777" w:rsidR="00A320E6" w:rsidRDefault="00000000" w:rsidP="00AE0286">
            <w:pPr>
              <w:jc w:val="center"/>
              <w:rPr>
                <w:rFonts w:ascii="宋体" w:hAnsi="宋体" w:cs="宋体"/>
                <w:szCs w:val="21"/>
              </w:rPr>
            </w:pPr>
            <w:r>
              <w:rPr>
                <w:rFonts w:ascii="宋体" w:hAnsi="宋体" w:cs="宋体" w:hint="eastAsia"/>
                <w:szCs w:val="21"/>
              </w:rPr>
              <w:t>1</w:t>
            </w:r>
          </w:p>
        </w:tc>
        <w:tc>
          <w:tcPr>
            <w:tcW w:w="496" w:type="pct"/>
            <w:vMerge w:val="restart"/>
            <w:tcBorders>
              <w:top w:val="single" w:sz="4" w:space="0" w:color="auto"/>
              <w:left w:val="single" w:sz="4" w:space="0" w:color="auto"/>
              <w:right w:val="single" w:sz="4" w:space="0" w:color="auto"/>
            </w:tcBorders>
            <w:vAlign w:val="center"/>
          </w:tcPr>
          <w:p w14:paraId="73B547DD" w14:textId="77777777" w:rsidR="00A320E6" w:rsidRDefault="00000000" w:rsidP="00AE0286">
            <w:pPr>
              <w:ind w:left="720" w:hanging="720"/>
              <w:jc w:val="center"/>
              <w:rPr>
                <w:rFonts w:ascii="宋体" w:hAnsi="宋体" w:cs="宋体"/>
                <w:szCs w:val="21"/>
              </w:rPr>
            </w:pPr>
            <w:r>
              <w:rPr>
                <w:rFonts w:ascii="宋体" w:hAnsi="宋体" w:cs="宋体" w:hint="eastAsia"/>
                <w:szCs w:val="21"/>
              </w:rPr>
              <w:t>乔木</w:t>
            </w:r>
          </w:p>
        </w:tc>
        <w:tc>
          <w:tcPr>
            <w:tcW w:w="619" w:type="pct"/>
            <w:gridSpan w:val="2"/>
            <w:vMerge w:val="restart"/>
            <w:tcBorders>
              <w:top w:val="single" w:sz="4" w:space="0" w:color="auto"/>
              <w:left w:val="single" w:sz="4" w:space="0" w:color="auto"/>
              <w:right w:val="single" w:sz="4" w:space="0" w:color="auto"/>
            </w:tcBorders>
            <w:vAlign w:val="center"/>
          </w:tcPr>
          <w:p w14:paraId="0C92D20A" w14:textId="77777777" w:rsidR="00A320E6" w:rsidRDefault="00000000" w:rsidP="00AE0286">
            <w:pPr>
              <w:jc w:val="center"/>
              <w:rPr>
                <w:rFonts w:ascii="宋体" w:hAnsi="宋体" w:cs="宋体"/>
                <w:szCs w:val="21"/>
              </w:rPr>
            </w:pPr>
            <w:r>
              <w:rPr>
                <w:rFonts w:ascii="宋体" w:hAnsi="宋体" w:cs="宋体" w:hint="eastAsia"/>
                <w:szCs w:val="21"/>
              </w:rPr>
              <w:t>用材林</w:t>
            </w:r>
          </w:p>
        </w:tc>
        <w:tc>
          <w:tcPr>
            <w:tcW w:w="936" w:type="pct"/>
            <w:tcBorders>
              <w:top w:val="single" w:sz="4" w:space="0" w:color="auto"/>
              <w:left w:val="single" w:sz="4" w:space="0" w:color="auto"/>
              <w:bottom w:val="single" w:sz="4" w:space="0" w:color="auto"/>
              <w:right w:val="single" w:sz="4" w:space="0" w:color="auto"/>
            </w:tcBorders>
            <w:vAlign w:val="center"/>
          </w:tcPr>
          <w:p w14:paraId="77907AB5" w14:textId="77777777" w:rsidR="00A320E6" w:rsidRDefault="00000000" w:rsidP="00AE0286">
            <w:pPr>
              <w:rPr>
                <w:rFonts w:ascii="宋体" w:hAnsi="宋体" w:cs="宋体"/>
                <w:szCs w:val="21"/>
              </w:rPr>
            </w:pPr>
            <w:r>
              <w:rPr>
                <w:rFonts w:ascii="宋体" w:hAnsi="宋体" w:cs="宋体" w:hint="eastAsia"/>
                <w:szCs w:val="21"/>
              </w:rPr>
              <w:t>胸径小于5cm</w:t>
            </w:r>
          </w:p>
        </w:tc>
        <w:tc>
          <w:tcPr>
            <w:tcW w:w="962" w:type="pct"/>
            <w:tcBorders>
              <w:top w:val="single" w:sz="4" w:space="0" w:color="auto"/>
              <w:left w:val="single" w:sz="4" w:space="0" w:color="auto"/>
              <w:bottom w:val="single" w:sz="4" w:space="0" w:color="auto"/>
              <w:right w:val="single" w:sz="4" w:space="0" w:color="auto"/>
            </w:tcBorders>
            <w:vAlign w:val="center"/>
          </w:tcPr>
          <w:p w14:paraId="7CC070FB" w14:textId="77777777" w:rsidR="00A320E6" w:rsidRDefault="00000000" w:rsidP="00AE0286">
            <w:pPr>
              <w:jc w:val="center"/>
              <w:rPr>
                <w:rFonts w:ascii="宋体" w:hAnsi="宋体" w:cs="宋体"/>
                <w:szCs w:val="21"/>
              </w:rPr>
            </w:pPr>
            <w:r>
              <w:rPr>
                <w:rFonts w:ascii="宋体" w:hAnsi="宋体" w:cs="宋体" w:hint="eastAsia"/>
                <w:szCs w:val="21"/>
              </w:rPr>
              <w:t>10-15元/株</w:t>
            </w:r>
          </w:p>
        </w:tc>
        <w:tc>
          <w:tcPr>
            <w:tcW w:w="1602" w:type="pct"/>
            <w:vMerge w:val="restart"/>
            <w:tcBorders>
              <w:top w:val="single" w:sz="4" w:space="0" w:color="auto"/>
              <w:left w:val="single" w:sz="4" w:space="0" w:color="auto"/>
              <w:right w:val="single" w:sz="4" w:space="0" w:color="auto"/>
            </w:tcBorders>
            <w:vAlign w:val="center"/>
          </w:tcPr>
          <w:p w14:paraId="7DBB3781"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1、包括杨树、柳树、刺槐、泡桐、榆树等。2、零星种植，树归原主。</w:t>
            </w:r>
          </w:p>
        </w:tc>
      </w:tr>
      <w:tr w:rsidR="00A320E6" w14:paraId="6ABB5ECC" w14:textId="77777777" w:rsidTr="00A1539E">
        <w:trPr>
          <w:trHeight w:val="425"/>
          <w:jc w:val="center"/>
        </w:trPr>
        <w:tc>
          <w:tcPr>
            <w:tcW w:w="386" w:type="pct"/>
            <w:vMerge/>
            <w:tcBorders>
              <w:left w:val="single" w:sz="4" w:space="0" w:color="auto"/>
              <w:right w:val="single" w:sz="4" w:space="0" w:color="auto"/>
            </w:tcBorders>
            <w:vAlign w:val="center"/>
          </w:tcPr>
          <w:p w14:paraId="39957E7A"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3721E517"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right w:val="single" w:sz="4" w:space="0" w:color="auto"/>
            </w:tcBorders>
            <w:vAlign w:val="center"/>
          </w:tcPr>
          <w:p w14:paraId="2A5E63DF" w14:textId="77777777" w:rsidR="00A320E6" w:rsidRDefault="00A320E6" w:rsidP="00AE0286">
            <w:pPr>
              <w:jc w:val="cente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022A248D" w14:textId="77777777" w:rsidR="00A320E6" w:rsidRDefault="00000000" w:rsidP="00AE0286">
            <w:pPr>
              <w:rPr>
                <w:rFonts w:ascii="宋体" w:hAnsi="宋体" w:cs="宋体"/>
                <w:szCs w:val="21"/>
              </w:rPr>
            </w:pPr>
            <w:r>
              <w:rPr>
                <w:rFonts w:ascii="宋体" w:hAnsi="宋体" w:cs="宋体" w:hint="eastAsia"/>
                <w:szCs w:val="21"/>
              </w:rPr>
              <w:t>胸径5-10cm</w:t>
            </w:r>
          </w:p>
        </w:tc>
        <w:tc>
          <w:tcPr>
            <w:tcW w:w="962" w:type="pct"/>
            <w:tcBorders>
              <w:top w:val="single" w:sz="4" w:space="0" w:color="auto"/>
              <w:left w:val="single" w:sz="4" w:space="0" w:color="auto"/>
              <w:bottom w:val="single" w:sz="4" w:space="0" w:color="auto"/>
              <w:right w:val="single" w:sz="4" w:space="0" w:color="auto"/>
            </w:tcBorders>
            <w:vAlign w:val="center"/>
          </w:tcPr>
          <w:p w14:paraId="25C8F417" w14:textId="77777777" w:rsidR="00A320E6" w:rsidRDefault="00000000" w:rsidP="00AE0286">
            <w:pPr>
              <w:jc w:val="center"/>
              <w:rPr>
                <w:rFonts w:ascii="宋体" w:hAnsi="宋体" w:cs="宋体"/>
                <w:szCs w:val="21"/>
              </w:rPr>
            </w:pPr>
            <w:r>
              <w:rPr>
                <w:rFonts w:ascii="宋体" w:hAnsi="宋体" w:cs="宋体" w:hint="eastAsia"/>
                <w:szCs w:val="21"/>
              </w:rPr>
              <w:t>15-50元/株</w:t>
            </w:r>
          </w:p>
        </w:tc>
        <w:tc>
          <w:tcPr>
            <w:tcW w:w="1602" w:type="pct"/>
            <w:vMerge/>
            <w:tcBorders>
              <w:left w:val="single" w:sz="4" w:space="0" w:color="auto"/>
              <w:right w:val="single" w:sz="4" w:space="0" w:color="auto"/>
            </w:tcBorders>
            <w:vAlign w:val="center"/>
          </w:tcPr>
          <w:p w14:paraId="2948D90C" w14:textId="77777777" w:rsidR="00A320E6" w:rsidRDefault="00A320E6" w:rsidP="00AE0286">
            <w:pPr>
              <w:spacing w:line="400" w:lineRule="exact"/>
              <w:jc w:val="center"/>
              <w:rPr>
                <w:rFonts w:ascii="宋体" w:hAnsi="宋体" w:cs="宋体"/>
                <w:kern w:val="0"/>
                <w:szCs w:val="21"/>
              </w:rPr>
            </w:pPr>
          </w:p>
        </w:tc>
      </w:tr>
      <w:tr w:rsidR="00A320E6" w14:paraId="1AA103BC" w14:textId="77777777" w:rsidTr="00A1539E">
        <w:trPr>
          <w:trHeight w:val="425"/>
          <w:jc w:val="center"/>
        </w:trPr>
        <w:tc>
          <w:tcPr>
            <w:tcW w:w="386" w:type="pct"/>
            <w:vMerge/>
            <w:tcBorders>
              <w:left w:val="single" w:sz="4" w:space="0" w:color="auto"/>
              <w:right w:val="single" w:sz="4" w:space="0" w:color="auto"/>
            </w:tcBorders>
            <w:vAlign w:val="center"/>
          </w:tcPr>
          <w:p w14:paraId="3130B637"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34CB2A5B"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right w:val="single" w:sz="4" w:space="0" w:color="auto"/>
            </w:tcBorders>
            <w:vAlign w:val="center"/>
          </w:tcPr>
          <w:p w14:paraId="7124BEBF" w14:textId="77777777" w:rsidR="00A320E6" w:rsidRDefault="00A320E6" w:rsidP="00AE0286">
            <w:pPr>
              <w:jc w:val="cente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29B68F7D" w14:textId="77777777" w:rsidR="00A320E6" w:rsidRDefault="00000000" w:rsidP="00AE0286">
            <w:pPr>
              <w:rPr>
                <w:rFonts w:ascii="宋体" w:hAnsi="宋体" w:cs="宋体"/>
                <w:szCs w:val="21"/>
              </w:rPr>
            </w:pPr>
            <w:r>
              <w:rPr>
                <w:rFonts w:ascii="宋体" w:hAnsi="宋体" w:cs="宋体" w:hint="eastAsia"/>
                <w:szCs w:val="21"/>
              </w:rPr>
              <w:t>胸径10-20cm</w:t>
            </w:r>
          </w:p>
        </w:tc>
        <w:tc>
          <w:tcPr>
            <w:tcW w:w="962" w:type="pct"/>
            <w:tcBorders>
              <w:top w:val="single" w:sz="4" w:space="0" w:color="auto"/>
              <w:left w:val="single" w:sz="4" w:space="0" w:color="auto"/>
              <w:bottom w:val="single" w:sz="4" w:space="0" w:color="auto"/>
              <w:right w:val="single" w:sz="4" w:space="0" w:color="auto"/>
            </w:tcBorders>
            <w:vAlign w:val="center"/>
          </w:tcPr>
          <w:p w14:paraId="5BAB69AD" w14:textId="77777777" w:rsidR="00A320E6" w:rsidRDefault="00000000" w:rsidP="00AE0286">
            <w:pPr>
              <w:jc w:val="center"/>
              <w:rPr>
                <w:rFonts w:ascii="宋体" w:hAnsi="宋体" w:cs="宋体"/>
                <w:szCs w:val="21"/>
              </w:rPr>
            </w:pPr>
            <w:r>
              <w:rPr>
                <w:rFonts w:ascii="宋体" w:hAnsi="宋体" w:cs="宋体" w:hint="eastAsia"/>
                <w:szCs w:val="21"/>
              </w:rPr>
              <w:t>50-80元/株</w:t>
            </w:r>
          </w:p>
        </w:tc>
        <w:tc>
          <w:tcPr>
            <w:tcW w:w="1602" w:type="pct"/>
            <w:vMerge/>
            <w:tcBorders>
              <w:left w:val="single" w:sz="4" w:space="0" w:color="auto"/>
              <w:right w:val="single" w:sz="4" w:space="0" w:color="auto"/>
            </w:tcBorders>
            <w:vAlign w:val="center"/>
          </w:tcPr>
          <w:p w14:paraId="5A0205AF" w14:textId="77777777" w:rsidR="00A320E6" w:rsidRDefault="00A320E6" w:rsidP="00AE0286">
            <w:pPr>
              <w:spacing w:line="400" w:lineRule="exact"/>
              <w:jc w:val="center"/>
              <w:rPr>
                <w:rFonts w:ascii="宋体" w:hAnsi="宋体" w:cs="宋体"/>
                <w:kern w:val="0"/>
                <w:szCs w:val="21"/>
              </w:rPr>
            </w:pPr>
          </w:p>
        </w:tc>
      </w:tr>
      <w:tr w:rsidR="00A320E6" w14:paraId="6E37F9F5" w14:textId="77777777" w:rsidTr="00A1539E">
        <w:trPr>
          <w:trHeight w:val="425"/>
          <w:jc w:val="center"/>
        </w:trPr>
        <w:tc>
          <w:tcPr>
            <w:tcW w:w="386" w:type="pct"/>
            <w:vMerge/>
            <w:tcBorders>
              <w:left w:val="single" w:sz="4" w:space="0" w:color="auto"/>
              <w:right w:val="single" w:sz="4" w:space="0" w:color="auto"/>
            </w:tcBorders>
            <w:vAlign w:val="center"/>
          </w:tcPr>
          <w:p w14:paraId="2E19121F"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12D90C67"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bottom w:val="single" w:sz="4" w:space="0" w:color="auto"/>
              <w:right w:val="single" w:sz="4" w:space="0" w:color="auto"/>
            </w:tcBorders>
            <w:vAlign w:val="center"/>
          </w:tcPr>
          <w:p w14:paraId="2BBD766E" w14:textId="77777777" w:rsidR="00A320E6" w:rsidRDefault="00A320E6" w:rsidP="00AE0286">
            <w:pPr>
              <w:jc w:val="cente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1E75177B" w14:textId="77777777" w:rsidR="00A320E6" w:rsidRDefault="00000000" w:rsidP="00AE0286">
            <w:pPr>
              <w:rPr>
                <w:rFonts w:ascii="宋体" w:hAnsi="宋体" w:cs="宋体"/>
                <w:szCs w:val="21"/>
              </w:rPr>
            </w:pPr>
            <w:r>
              <w:rPr>
                <w:rFonts w:ascii="宋体" w:hAnsi="宋体" w:cs="宋体" w:hint="eastAsia"/>
                <w:szCs w:val="21"/>
              </w:rPr>
              <w:t>胸径大于20cm</w:t>
            </w:r>
          </w:p>
        </w:tc>
        <w:tc>
          <w:tcPr>
            <w:tcW w:w="962" w:type="pct"/>
            <w:tcBorders>
              <w:top w:val="single" w:sz="4" w:space="0" w:color="auto"/>
              <w:left w:val="single" w:sz="4" w:space="0" w:color="auto"/>
              <w:bottom w:val="single" w:sz="4" w:space="0" w:color="auto"/>
              <w:right w:val="single" w:sz="4" w:space="0" w:color="auto"/>
            </w:tcBorders>
            <w:vAlign w:val="center"/>
          </w:tcPr>
          <w:p w14:paraId="0D128208" w14:textId="77777777" w:rsidR="00A320E6" w:rsidRDefault="00000000" w:rsidP="00AE0286">
            <w:pPr>
              <w:jc w:val="center"/>
              <w:rPr>
                <w:rFonts w:ascii="宋体" w:hAnsi="宋体" w:cs="宋体"/>
                <w:szCs w:val="21"/>
              </w:rPr>
            </w:pPr>
            <w:r>
              <w:rPr>
                <w:rFonts w:ascii="宋体" w:hAnsi="宋体" w:cs="宋体" w:hint="eastAsia"/>
                <w:szCs w:val="21"/>
              </w:rPr>
              <w:t>80-100元/株</w:t>
            </w:r>
          </w:p>
        </w:tc>
        <w:tc>
          <w:tcPr>
            <w:tcW w:w="1602" w:type="pct"/>
            <w:vMerge/>
            <w:tcBorders>
              <w:left w:val="single" w:sz="4" w:space="0" w:color="auto"/>
              <w:right w:val="single" w:sz="4" w:space="0" w:color="auto"/>
            </w:tcBorders>
            <w:vAlign w:val="center"/>
          </w:tcPr>
          <w:p w14:paraId="1A13372A" w14:textId="77777777" w:rsidR="00A320E6" w:rsidRDefault="00A320E6" w:rsidP="00AE0286">
            <w:pPr>
              <w:spacing w:line="400" w:lineRule="exact"/>
              <w:jc w:val="center"/>
              <w:rPr>
                <w:rFonts w:ascii="宋体" w:hAnsi="宋体" w:cs="宋体"/>
                <w:kern w:val="0"/>
                <w:szCs w:val="21"/>
              </w:rPr>
            </w:pPr>
          </w:p>
        </w:tc>
      </w:tr>
      <w:tr w:rsidR="00A320E6" w14:paraId="581B1F13" w14:textId="77777777" w:rsidTr="00A1539E">
        <w:trPr>
          <w:trHeight w:val="425"/>
          <w:jc w:val="center"/>
        </w:trPr>
        <w:tc>
          <w:tcPr>
            <w:tcW w:w="386" w:type="pct"/>
            <w:vMerge/>
            <w:tcBorders>
              <w:left w:val="single" w:sz="4" w:space="0" w:color="auto"/>
              <w:right w:val="single" w:sz="4" w:space="0" w:color="auto"/>
            </w:tcBorders>
            <w:vAlign w:val="center"/>
          </w:tcPr>
          <w:p w14:paraId="747D1294"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7D3EAB3A" w14:textId="77777777" w:rsidR="00A320E6" w:rsidRDefault="00A320E6" w:rsidP="00AE0286">
            <w:pPr>
              <w:ind w:left="720" w:hanging="720"/>
              <w:jc w:val="center"/>
              <w:rPr>
                <w:rFonts w:ascii="宋体" w:hAnsi="宋体" w:cs="宋体"/>
                <w:szCs w:val="21"/>
              </w:rPr>
            </w:pPr>
          </w:p>
        </w:tc>
        <w:tc>
          <w:tcPr>
            <w:tcW w:w="619" w:type="pct"/>
            <w:gridSpan w:val="2"/>
            <w:vMerge w:val="restart"/>
            <w:tcBorders>
              <w:top w:val="single" w:sz="4" w:space="0" w:color="auto"/>
              <w:left w:val="single" w:sz="4" w:space="0" w:color="auto"/>
              <w:right w:val="single" w:sz="4" w:space="0" w:color="auto"/>
            </w:tcBorders>
            <w:vAlign w:val="center"/>
          </w:tcPr>
          <w:p w14:paraId="683BCCD3" w14:textId="77777777" w:rsidR="00A320E6" w:rsidRDefault="00000000" w:rsidP="00AE0286">
            <w:pPr>
              <w:jc w:val="center"/>
              <w:rPr>
                <w:rFonts w:ascii="宋体" w:hAnsi="宋体" w:cs="宋体"/>
                <w:szCs w:val="21"/>
              </w:rPr>
            </w:pPr>
            <w:r>
              <w:rPr>
                <w:rFonts w:ascii="宋体" w:hAnsi="宋体" w:cs="宋体" w:hint="eastAsia"/>
                <w:szCs w:val="21"/>
              </w:rPr>
              <w:t>绿化树</w:t>
            </w:r>
          </w:p>
        </w:tc>
        <w:tc>
          <w:tcPr>
            <w:tcW w:w="936" w:type="pct"/>
            <w:tcBorders>
              <w:top w:val="single" w:sz="4" w:space="0" w:color="auto"/>
              <w:left w:val="single" w:sz="4" w:space="0" w:color="auto"/>
              <w:bottom w:val="single" w:sz="4" w:space="0" w:color="auto"/>
              <w:right w:val="single" w:sz="4" w:space="0" w:color="auto"/>
            </w:tcBorders>
            <w:vAlign w:val="center"/>
          </w:tcPr>
          <w:p w14:paraId="592DA520" w14:textId="77777777" w:rsidR="00A320E6" w:rsidRDefault="00000000" w:rsidP="00AE0286">
            <w:pPr>
              <w:rPr>
                <w:rFonts w:ascii="宋体" w:hAnsi="宋体" w:cs="宋体"/>
                <w:szCs w:val="21"/>
              </w:rPr>
            </w:pPr>
            <w:r>
              <w:rPr>
                <w:rFonts w:ascii="宋体" w:hAnsi="宋体" w:cs="宋体" w:hint="eastAsia"/>
                <w:szCs w:val="21"/>
              </w:rPr>
              <w:t>胸径小于3cm</w:t>
            </w:r>
          </w:p>
        </w:tc>
        <w:tc>
          <w:tcPr>
            <w:tcW w:w="962" w:type="pct"/>
            <w:tcBorders>
              <w:top w:val="single" w:sz="4" w:space="0" w:color="auto"/>
              <w:left w:val="single" w:sz="4" w:space="0" w:color="auto"/>
              <w:bottom w:val="single" w:sz="4" w:space="0" w:color="auto"/>
              <w:right w:val="single" w:sz="4" w:space="0" w:color="auto"/>
            </w:tcBorders>
            <w:vAlign w:val="center"/>
          </w:tcPr>
          <w:p w14:paraId="47249ABC" w14:textId="77777777" w:rsidR="00A320E6" w:rsidRDefault="00000000" w:rsidP="00AE0286">
            <w:pPr>
              <w:jc w:val="center"/>
              <w:rPr>
                <w:rFonts w:ascii="宋体" w:hAnsi="宋体" w:cs="宋体"/>
                <w:szCs w:val="21"/>
              </w:rPr>
            </w:pPr>
            <w:r>
              <w:rPr>
                <w:rFonts w:ascii="宋体" w:hAnsi="宋体" w:cs="宋体" w:hint="eastAsia"/>
                <w:szCs w:val="21"/>
              </w:rPr>
              <w:t>6-12元/株</w:t>
            </w:r>
          </w:p>
        </w:tc>
        <w:tc>
          <w:tcPr>
            <w:tcW w:w="1602" w:type="pct"/>
            <w:vMerge w:val="restart"/>
            <w:tcBorders>
              <w:left w:val="single" w:sz="4" w:space="0" w:color="auto"/>
              <w:right w:val="single" w:sz="4" w:space="0" w:color="auto"/>
            </w:tcBorders>
            <w:vAlign w:val="center"/>
          </w:tcPr>
          <w:p w14:paraId="6250FD87"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零星种植，树归原主。</w:t>
            </w:r>
          </w:p>
        </w:tc>
      </w:tr>
      <w:tr w:rsidR="00A320E6" w14:paraId="6F9FFBE1" w14:textId="77777777" w:rsidTr="00A1539E">
        <w:trPr>
          <w:trHeight w:val="425"/>
          <w:jc w:val="center"/>
        </w:trPr>
        <w:tc>
          <w:tcPr>
            <w:tcW w:w="386" w:type="pct"/>
            <w:vMerge/>
            <w:tcBorders>
              <w:left w:val="single" w:sz="4" w:space="0" w:color="auto"/>
              <w:right w:val="single" w:sz="4" w:space="0" w:color="auto"/>
            </w:tcBorders>
            <w:vAlign w:val="center"/>
          </w:tcPr>
          <w:p w14:paraId="2383FF7C"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19ECFAE3" w14:textId="77777777" w:rsidR="00A320E6" w:rsidRDefault="00A320E6" w:rsidP="00AE0286">
            <w:pPr>
              <w:ind w:left="720" w:hanging="720"/>
              <w:jc w:val="center"/>
              <w:rPr>
                <w:rFonts w:ascii="宋体" w:hAnsi="宋体" w:cs="宋体"/>
                <w:szCs w:val="21"/>
              </w:rPr>
            </w:pPr>
          </w:p>
        </w:tc>
        <w:tc>
          <w:tcPr>
            <w:tcW w:w="619" w:type="pct"/>
            <w:gridSpan w:val="2"/>
            <w:vMerge/>
            <w:tcBorders>
              <w:top w:val="single" w:sz="4" w:space="0" w:color="auto"/>
              <w:left w:val="single" w:sz="4" w:space="0" w:color="auto"/>
              <w:right w:val="single" w:sz="4" w:space="0" w:color="auto"/>
            </w:tcBorders>
            <w:vAlign w:val="center"/>
          </w:tcPr>
          <w:p w14:paraId="33618AD7" w14:textId="77777777" w:rsidR="00A320E6" w:rsidRDefault="00A320E6" w:rsidP="00AE0286">
            <w:pPr>
              <w:jc w:val="cente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401832AC" w14:textId="77777777" w:rsidR="00A320E6" w:rsidRDefault="00000000" w:rsidP="00AE0286">
            <w:pPr>
              <w:rPr>
                <w:rFonts w:ascii="宋体" w:hAnsi="宋体" w:cs="宋体"/>
                <w:szCs w:val="21"/>
              </w:rPr>
            </w:pPr>
            <w:r>
              <w:rPr>
                <w:rFonts w:ascii="宋体" w:hAnsi="宋体" w:cs="宋体" w:hint="eastAsia"/>
                <w:szCs w:val="21"/>
              </w:rPr>
              <w:t>胸径3-5cm</w:t>
            </w:r>
          </w:p>
        </w:tc>
        <w:tc>
          <w:tcPr>
            <w:tcW w:w="962" w:type="pct"/>
            <w:tcBorders>
              <w:top w:val="single" w:sz="4" w:space="0" w:color="auto"/>
              <w:left w:val="single" w:sz="4" w:space="0" w:color="auto"/>
              <w:bottom w:val="single" w:sz="4" w:space="0" w:color="auto"/>
              <w:right w:val="single" w:sz="4" w:space="0" w:color="auto"/>
            </w:tcBorders>
            <w:vAlign w:val="center"/>
          </w:tcPr>
          <w:p w14:paraId="7B5CBEC8" w14:textId="77777777" w:rsidR="00A320E6" w:rsidRDefault="00000000" w:rsidP="00AE0286">
            <w:pPr>
              <w:jc w:val="center"/>
              <w:rPr>
                <w:rFonts w:ascii="宋体" w:hAnsi="宋体" w:cs="宋体"/>
                <w:szCs w:val="21"/>
              </w:rPr>
            </w:pPr>
            <w:r>
              <w:rPr>
                <w:rFonts w:ascii="宋体" w:hAnsi="宋体" w:cs="宋体" w:hint="eastAsia"/>
                <w:szCs w:val="21"/>
              </w:rPr>
              <w:t>12-25元/株</w:t>
            </w:r>
          </w:p>
        </w:tc>
        <w:tc>
          <w:tcPr>
            <w:tcW w:w="1602" w:type="pct"/>
            <w:vMerge/>
            <w:tcBorders>
              <w:left w:val="single" w:sz="4" w:space="0" w:color="auto"/>
              <w:right w:val="single" w:sz="4" w:space="0" w:color="auto"/>
            </w:tcBorders>
            <w:vAlign w:val="center"/>
          </w:tcPr>
          <w:p w14:paraId="300FF7BE" w14:textId="77777777" w:rsidR="00A320E6" w:rsidRDefault="00A320E6" w:rsidP="00AE0286">
            <w:pPr>
              <w:spacing w:line="400" w:lineRule="exact"/>
              <w:jc w:val="left"/>
              <w:rPr>
                <w:rFonts w:ascii="宋体" w:hAnsi="宋体" w:cs="宋体"/>
                <w:kern w:val="0"/>
                <w:szCs w:val="21"/>
              </w:rPr>
            </w:pPr>
          </w:p>
        </w:tc>
      </w:tr>
      <w:tr w:rsidR="00A320E6" w14:paraId="728B8C48" w14:textId="77777777" w:rsidTr="00A1539E">
        <w:trPr>
          <w:trHeight w:val="425"/>
          <w:jc w:val="center"/>
        </w:trPr>
        <w:tc>
          <w:tcPr>
            <w:tcW w:w="386" w:type="pct"/>
            <w:vMerge/>
            <w:tcBorders>
              <w:left w:val="single" w:sz="4" w:space="0" w:color="auto"/>
              <w:right w:val="single" w:sz="4" w:space="0" w:color="auto"/>
            </w:tcBorders>
            <w:vAlign w:val="center"/>
          </w:tcPr>
          <w:p w14:paraId="678EC7FE"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6B9B52C8"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right w:val="single" w:sz="4" w:space="0" w:color="auto"/>
            </w:tcBorders>
            <w:vAlign w:val="center"/>
          </w:tcPr>
          <w:p w14:paraId="40C3B7FF" w14:textId="77777777" w:rsidR="00A320E6" w:rsidRDefault="00A320E6" w:rsidP="00AE0286">
            <w:pP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2F76767F" w14:textId="77777777" w:rsidR="00A320E6" w:rsidRDefault="00000000" w:rsidP="00AE0286">
            <w:pPr>
              <w:rPr>
                <w:rFonts w:ascii="宋体" w:hAnsi="宋体" w:cs="宋体"/>
                <w:szCs w:val="21"/>
              </w:rPr>
            </w:pPr>
            <w:r>
              <w:rPr>
                <w:rFonts w:ascii="宋体" w:hAnsi="宋体" w:cs="宋体" w:hint="eastAsia"/>
                <w:szCs w:val="21"/>
              </w:rPr>
              <w:t>胸径5-10cm</w:t>
            </w:r>
          </w:p>
        </w:tc>
        <w:tc>
          <w:tcPr>
            <w:tcW w:w="962" w:type="pct"/>
            <w:tcBorders>
              <w:top w:val="single" w:sz="4" w:space="0" w:color="auto"/>
              <w:left w:val="single" w:sz="4" w:space="0" w:color="auto"/>
              <w:bottom w:val="single" w:sz="4" w:space="0" w:color="auto"/>
              <w:right w:val="single" w:sz="4" w:space="0" w:color="auto"/>
            </w:tcBorders>
            <w:vAlign w:val="center"/>
          </w:tcPr>
          <w:p w14:paraId="6EACBD33" w14:textId="77777777" w:rsidR="00A320E6" w:rsidRDefault="00000000" w:rsidP="00AE0286">
            <w:pPr>
              <w:jc w:val="center"/>
              <w:rPr>
                <w:rFonts w:ascii="宋体" w:hAnsi="宋体" w:cs="宋体"/>
                <w:szCs w:val="21"/>
              </w:rPr>
            </w:pPr>
            <w:r>
              <w:rPr>
                <w:rFonts w:ascii="宋体" w:hAnsi="宋体" w:cs="宋体" w:hint="eastAsia"/>
                <w:szCs w:val="21"/>
              </w:rPr>
              <w:t>25-70元/株</w:t>
            </w:r>
          </w:p>
        </w:tc>
        <w:tc>
          <w:tcPr>
            <w:tcW w:w="1602" w:type="pct"/>
            <w:vMerge/>
            <w:tcBorders>
              <w:left w:val="single" w:sz="4" w:space="0" w:color="auto"/>
              <w:right w:val="single" w:sz="4" w:space="0" w:color="auto"/>
            </w:tcBorders>
            <w:vAlign w:val="center"/>
          </w:tcPr>
          <w:p w14:paraId="73E35046" w14:textId="77777777" w:rsidR="00A320E6" w:rsidRDefault="00A320E6" w:rsidP="00AE0286">
            <w:pPr>
              <w:spacing w:line="400" w:lineRule="exact"/>
              <w:jc w:val="left"/>
              <w:rPr>
                <w:rFonts w:ascii="宋体" w:hAnsi="宋体" w:cs="宋体"/>
                <w:kern w:val="0"/>
                <w:szCs w:val="21"/>
              </w:rPr>
            </w:pPr>
          </w:p>
        </w:tc>
      </w:tr>
      <w:tr w:rsidR="00A320E6" w14:paraId="161C5B62" w14:textId="77777777" w:rsidTr="00A1539E">
        <w:trPr>
          <w:trHeight w:val="425"/>
          <w:jc w:val="center"/>
        </w:trPr>
        <w:tc>
          <w:tcPr>
            <w:tcW w:w="386" w:type="pct"/>
            <w:vMerge/>
            <w:tcBorders>
              <w:left w:val="single" w:sz="4" w:space="0" w:color="auto"/>
              <w:right w:val="single" w:sz="4" w:space="0" w:color="auto"/>
            </w:tcBorders>
            <w:vAlign w:val="center"/>
          </w:tcPr>
          <w:p w14:paraId="6E9193EC"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61E4C8FB"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right w:val="single" w:sz="4" w:space="0" w:color="auto"/>
            </w:tcBorders>
            <w:vAlign w:val="center"/>
          </w:tcPr>
          <w:p w14:paraId="20FF35F4" w14:textId="77777777" w:rsidR="00A320E6" w:rsidRDefault="00A320E6" w:rsidP="00AE0286">
            <w:pP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79C59346" w14:textId="77777777" w:rsidR="00A320E6" w:rsidRDefault="00000000" w:rsidP="00AE0286">
            <w:pPr>
              <w:rPr>
                <w:rFonts w:ascii="宋体" w:hAnsi="宋体" w:cs="宋体"/>
                <w:szCs w:val="21"/>
              </w:rPr>
            </w:pPr>
            <w:r>
              <w:rPr>
                <w:rFonts w:ascii="宋体" w:hAnsi="宋体" w:cs="宋体" w:hint="eastAsia"/>
                <w:szCs w:val="21"/>
              </w:rPr>
              <w:t>胸径10-15cm</w:t>
            </w:r>
          </w:p>
        </w:tc>
        <w:tc>
          <w:tcPr>
            <w:tcW w:w="962" w:type="pct"/>
            <w:tcBorders>
              <w:top w:val="single" w:sz="4" w:space="0" w:color="auto"/>
              <w:left w:val="single" w:sz="4" w:space="0" w:color="auto"/>
              <w:bottom w:val="single" w:sz="4" w:space="0" w:color="auto"/>
              <w:right w:val="single" w:sz="4" w:space="0" w:color="auto"/>
            </w:tcBorders>
            <w:vAlign w:val="center"/>
          </w:tcPr>
          <w:p w14:paraId="2BAFE921" w14:textId="77777777" w:rsidR="00A320E6" w:rsidRDefault="00000000" w:rsidP="00AE0286">
            <w:pPr>
              <w:jc w:val="center"/>
              <w:rPr>
                <w:rFonts w:ascii="宋体" w:hAnsi="宋体" w:cs="宋体"/>
                <w:szCs w:val="21"/>
              </w:rPr>
            </w:pPr>
            <w:r>
              <w:rPr>
                <w:rFonts w:ascii="宋体" w:hAnsi="宋体" w:cs="宋体" w:hint="eastAsia"/>
                <w:szCs w:val="21"/>
              </w:rPr>
              <w:t>70-120元/株</w:t>
            </w:r>
          </w:p>
        </w:tc>
        <w:tc>
          <w:tcPr>
            <w:tcW w:w="1602" w:type="pct"/>
            <w:vMerge/>
            <w:tcBorders>
              <w:left w:val="single" w:sz="4" w:space="0" w:color="auto"/>
              <w:right w:val="single" w:sz="4" w:space="0" w:color="auto"/>
            </w:tcBorders>
            <w:vAlign w:val="center"/>
          </w:tcPr>
          <w:p w14:paraId="168F64D7" w14:textId="77777777" w:rsidR="00A320E6" w:rsidRDefault="00A320E6" w:rsidP="00AE0286">
            <w:pPr>
              <w:spacing w:line="400" w:lineRule="exact"/>
              <w:jc w:val="left"/>
              <w:rPr>
                <w:rFonts w:ascii="宋体" w:hAnsi="宋体" w:cs="宋体"/>
                <w:kern w:val="0"/>
                <w:szCs w:val="21"/>
              </w:rPr>
            </w:pPr>
          </w:p>
        </w:tc>
      </w:tr>
      <w:tr w:rsidR="00A320E6" w14:paraId="548A7265" w14:textId="77777777" w:rsidTr="00A1539E">
        <w:trPr>
          <w:trHeight w:val="425"/>
          <w:jc w:val="center"/>
        </w:trPr>
        <w:tc>
          <w:tcPr>
            <w:tcW w:w="386" w:type="pct"/>
            <w:vMerge/>
            <w:tcBorders>
              <w:left w:val="single" w:sz="4" w:space="0" w:color="auto"/>
              <w:bottom w:val="single" w:sz="4" w:space="0" w:color="auto"/>
              <w:right w:val="single" w:sz="4" w:space="0" w:color="auto"/>
            </w:tcBorders>
            <w:vAlign w:val="center"/>
          </w:tcPr>
          <w:p w14:paraId="58EA78D2"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3629EF4D" w14:textId="77777777" w:rsidR="00A320E6" w:rsidRDefault="00A320E6" w:rsidP="00AE0286">
            <w:pPr>
              <w:ind w:left="720" w:hanging="720"/>
              <w:jc w:val="center"/>
              <w:rPr>
                <w:rFonts w:ascii="宋体" w:hAnsi="宋体" w:cs="宋体"/>
                <w:szCs w:val="21"/>
              </w:rPr>
            </w:pPr>
          </w:p>
        </w:tc>
        <w:tc>
          <w:tcPr>
            <w:tcW w:w="619" w:type="pct"/>
            <w:gridSpan w:val="2"/>
            <w:vMerge/>
            <w:tcBorders>
              <w:left w:val="single" w:sz="4" w:space="0" w:color="auto"/>
              <w:bottom w:val="single" w:sz="4" w:space="0" w:color="auto"/>
              <w:right w:val="single" w:sz="4" w:space="0" w:color="auto"/>
            </w:tcBorders>
            <w:vAlign w:val="center"/>
          </w:tcPr>
          <w:p w14:paraId="01CE1CBE" w14:textId="77777777" w:rsidR="00A320E6" w:rsidRDefault="00A320E6" w:rsidP="00AE0286">
            <w:pPr>
              <w:rPr>
                <w:rFonts w:ascii="宋体" w:hAnsi="宋体" w:cs="宋体"/>
                <w:szCs w:val="21"/>
              </w:rPr>
            </w:pPr>
          </w:p>
        </w:tc>
        <w:tc>
          <w:tcPr>
            <w:tcW w:w="936" w:type="pct"/>
            <w:tcBorders>
              <w:top w:val="single" w:sz="4" w:space="0" w:color="auto"/>
              <w:left w:val="single" w:sz="4" w:space="0" w:color="auto"/>
              <w:bottom w:val="single" w:sz="4" w:space="0" w:color="auto"/>
              <w:right w:val="single" w:sz="4" w:space="0" w:color="auto"/>
            </w:tcBorders>
            <w:vAlign w:val="center"/>
          </w:tcPr>
          <w:p w14:paraId="5B31483D" w14:textId="77777777" w:rsidR="00A320E6" w:rsidRDefault="00000000" w:rsidP="00AE0286">
            <w:pPr>
              <w:rPr>
                <w:rFonts w:ascii="宋体" w:hAnsi="宋体" w:cs="宋体"/>
                <w:szCs w:val="21"/>
              </w:rPr>
            </w:pPr>
            <w:r>
              <w:rPr>
                <w:rFonts w:ascii="宋体" w:hAnsi="宋体" w:cs="宋体" w:hint="eastAsia"/>
                <w:szCs w:val="21"/>
              </w:rPr>
              <w:t>胸径大于15cm</w:t>
            </w:r>
          </w:p>
        </w:tc>
        <w:tc>
          <w:tcPr>
            <w:tcW w:w="962" w:type="pct"/>
            <w:tcBorders>
              <w:top w:val="single" w:sz="4" w:space="0" w:color="auto"/>
              <w:left w:val="single" w:sz="4" w:space="0" w:color="auto"/>
              <w:bottom w:val="single" w:sz="4" w:space="0" w:color="auto"/>
              <w:right w:val="single" w:sz="4" w:space="0" w:color="auto"/>
            </w:tcBorders>
            <w:vAlign w:val="center"/>
          </w:tcPr>
          <w:p w14:paraId="0CAD343E" w14:textId="77777777" w:rsidR="00A320E6" w:rsidRDefault="00000000" w:rsidP="00AE0286">
            <w:pPr>
              <w:jc w:val="center"/>
              <w:rPr>
                <w:rFonts w:ascii="宋体" w:hAnsi="宋体" w:cs="宋体"/>
                <w:szCs w:val="21"/>
              </w:rPr>
            </w:pPr>
            <w:r>
              <w:rPr>
                <w:rFonts w:ascii="宋体" w:hAnsi="宋体" w:cs="宋体" w:hint="eastAsia"/>
                <w:szCs w:val="21"/>
              </w:rPr>
              <w:t>120-260元/株</w:t>
            </w:r>
          </w:p>
        </w:tc>
        <w:tc>
          <w:tcPr>
            <w:tcW w:w="1602" w:type="pct"/>
            <w:vMerge/>
            <w:tcBorders>
              <w:left w:val="single" w:sz="4" w:space="0" w:color="auto"/>
              <w:bottom w:val="single" w:sz="4" w:space="0" w:color="auto"/>
              <w:right w:val="single" w:sz="4" w:space="0" w:color="auto"/>
            </w:tcBorders>
            <w:vAlign w:val="center"/>
          </w:tcPr>
          <w:p w14:paraId="6BB9DE1A" w14:textId="77777777" w:rsidR="00A320E6" w:rsidRDefault="00A320E6" w:rsidP="00AE0286">
            <w:pPr>
              <w:spacing w:line="400" w:lineRule="exact"/>
              <w:jc w:val="left"/>
              <w:rPr>
                <w:rFonts w:ascii="宋体" w:hAnsi="宋体" w:cs="宋体"/>
                <w:kern w:val="0"/>
                <w:szCs w:val="21"/>
              </w:rPr>
            </w:pPr>
          </w:p>
        </w:tc>
      </w:tr>
      <w:tr w:rsidR="00A320E6" w14:paraId="5E8B1D37" w14:textId="77777777" w:rsidTr="00A1539E">
        <w:trPr>
          <w:trHeight w:val="454"/>
          <w:jc w:val="center"/>
        </w:trPr>
        <w:tc>
          <w:tcPr>
            <w:tcW w:w="386" w:type="pct"/>
            <w:vMerge w:val="restart"/>
            <w:tcBorders>
              <w:top w:val="single" w:sz="4" w:space="0" w:color="auto"/>
              <w:left w:val="single" w:sz="4" w:space="0" w:color="auto"/>
              <w:right w:val="single" w:sz="4" w:space="0" w:color="auto"/>
            </w:tcBorders>
            <w:vAlign w:val="center"/>
          </w:tcPr>
          <w:p w14:paraId="5E537CB5" w14:textId="77777777" w:rsidR="00A320E6" w:rsidRDefault="00000000" w:rsidP="00AE0286">
            <w:pPr>
              <w:jc w:val="center"/>
              <w:rPr>
                <w:rFonts w:ascii="宋体" w:hAnsi="宋体" w:cs="宋体"/>
                <w:szCs w:val="21"/>
              </w:rPr>
            </w:pPr>
            <w:r>
              <w:rPr>
                <w:rFonts w:ascii="宋体" w:hAnsi="宋体" w:cs="宋体" w:hint="eastAsia"/>
                <w:szCs w:val="21"/>
              </w:rPr>
              <w:t>2</w:t>
            </w:r>
          </w:p>
        </w:tc>
        <w:tc>
          <w:tcPr>
            <w:tcW w:w="496" w:type="pct"/>
            <w:vMerge w:val="restart"/>
            <w:tcBorders>
              <w:top w:val="single" w:sz="4" w:space="0" w:color="auto"/>
              <w:left w:val="single" w:sz="4" w:space="0" w:color="auto"/>
              <w:right w:val="single" w:sz="4" w:space="0" w:color="auto"/>
            </w:tcBorders>
            <w:vAlign w:val="center"/>
          </w:tcPr>
          <w:p w14:paraId="43E41ACC" w14:textId="77777777" w:rsidR="00A320E6" w:rsidRDefault="00000000" w:rsidP="00AE0286">
            <w:pPr>
              <w:ind w:left="720" w:hanging="720"/>
              <w:jc w:val="center"/>
              <w:rPr>
                <w:rFonts w:ascii="宋体" w:hAnsi="宋体" w:cs="宋体"/>
                <w:szCs w:val="21"/>
              </w:rPr>
            </w:pPr>
            <w:r>
              <w:rPr>
                <w:rFonts w:ascii="宋体" w:hAnsi="宋体" w:cs="宋体" w:hint="eastAsia"/>
                <w:szCs w:val="21"/>
              </w:rPr>
              <w:t>灌木</w:t>
            </w:r>
          </w:p>
        </w:tc>
        <w:tc>
          <w:tcPr>
            <w:tcW w:w="1555" w:type="pct"/>
            <w:gridSpan w:val="3"/>
            <w:tcBorders>
              <w:top w:val="single" w:sz="4" w:space="0" w:color="auto"/>
              <w:left w:val="single" w:sz="4" w:space="0" w:color="auto"/>
              <w:bottom w:val="single" w:sz="4" w:space="0" w:color="auto"/>
              <w:right w:val="single" w:sz="4" w:space="0" w:color="auto"/>
            </w:tcBorders>
            <w:vAlign w:val="center"/>
          </w:tcPr>
          <w:p w14:paraId="20E4E54B" w14:textId="77777777" w:rsidR="00A320E6" w:rsidRDefault="00000000" w:rsidP="00AE0286">
            <w:pPr>
              <w:rPr>
                <w:rFonts w:ascii="宋体" w:hAnsi="宋体" w:cs="宋体"/>
                <w:szCs w:val="21"/>
              </w:rPr>
            </w:pPr>
            <w:r>
              <w:rPr>
                <w:rFonts w:ascii="宋体" w:hAnsi="宋体" w:cs="宋体" w:hint="eastAsia"/>
                <w:szCs w:val="21"/>
              </w:rPr>
              <w:t>一年以内灌木</w:t>
            </w:r>
          </w:p>
        </w:tc>
        <w:tc>
          <w:tcPr>
            <w:tcW w:w="962" w:type="pct"/>
            <w:tcBorders>
              <w:top w:val="single" w:sz="4" w:space="0" w:color="auto"/>
              <w:left w:val="single" w:sz="4" w:space="0" w:color="auto"/>
              <w:bottom w:val="single" w:sz="4" w:space="0" w:color="auto"/>
              <w:right w:val="single" w:sz="4" w:space="0" w:color="auto"/>
            </w:tcBorders>
            <w:vAlign w:val="center"/>
          </w:tcPr>
          <w:p w14:paraId="083D3847" w14:textId="77777777" w:rsidR="00A320E6" w:rsidRDefault="00000000" w:rsidP="00AE0286">
            <w:pPr>
              <w:jc w:val="center"/>
              <w:rPr>
                <w:rFonts w:ascii="宋体" w:hAnsi="宋体" w:cs="宋体"/>
                <w:szCs w:val="21"/>
              </w:rPr>
            </w:pPr>
            <w:r>
              <w:rPr>
                <w:rFonts w:ascii="宋体" w:hAnsi="宋体" w:cs="宋体" w:hint="eastAsia"/>
                <w:szCs w:val="21"/>
              </w:rPr>
              <w:t>6-10元/墩</w:t>
            </w:r>
          </w:p>
        </w:tc>
        <w:tc>
          <w:tcPr>
            <w:tcW w:w="1602" w:type="pct"/>
            <w:vMerge w:val="restart"/>
            <w:tcBorders>
              <w:top w:val="single" w:sz="4" w:space="0" w:color="auto"/>
              <w:left w:val="single" w:sz="4" w:space="0" w:color="auto"/>
              <w:right w:val="single" w:sz="4" w:space="0" w:color="auto"/>
            </w:tcBorders>
            <w:vAlign w:val="center"/>
          </w:tcPr>
          <w:p w14:paraId="2FA4C0F4"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包括白蜡条、紫穗槐、桑条、柳条、花灌木等。</w:t>
            </w:r>
          </w:p>
        </w:tc>
      </w:tr>
      <w:tr w:rsidR="00A320E6" w14:paraId="767C42EA" w14:textId="77777777" w:rsidTr="00A1539E">
        <w:trPr>
          <w:trHeight w:val="454"/>
          <w:jc w:val="center"/>
        </w:trPr>
        <w:tc>
          <w:tcPr>
            <w:tcW w:w="386" w:type="pct"/>
            <w:vMerge/>
            <w:tcBorders>
              <w:left w:val="single" w:sz="4" w:space="0" w:color="auto"/>
              <w:right w:val="single" w:sz="4" w:space="0" w:color="auto"/>
            </w:tcBorders>
            <w:vAlign w:val="center"/>
          </w:tcPr>
          <w:p w14:paraId="19ECB940"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298B7FCD" w14:textId="77777777" w:rsidR="00A320E6" w:rsidRDefault="00A320E6" w:rsidP="00AE0286">
            <w:pPr>
              <w:ind w:left="720" w:hanging="720"/>
              <w:jc w:val="center"/>
              <w:rPr>
                <w:rFonts w:ascii="宋体" w:hAnsi="宋体" w:cs="宋体"/>
                <w:szCs w:val="21"/>
              </w:rPr>
            </w:pPr>
          </w:p>
        </w:tc>
        <w:tc>
          <w:tcPr>
            <w:tcW w:w="1555" w:type="pct"/>
            <w:gridSpan w:val="3"/>
            <w:tcBorders>
              <w:top w:val="single" w:sz="4" w:space="0" w:color="auto"/>
              <w:left w:val="single" w:sz="4" w:space="0" w:color="auto"/>
              <w:bottom w:val="single" w:sz="4" w:space="0" w:color="auto"/>
              <w:right w:val="single" w:sz="4" w:space="0" w:color="auto"/>
            </w:tcBorders>
            <w:vAlign w:val="center"/>
          </w:tcPr>
          <w:p w14:paraId="67B2B41C" w14:textId="77777777" w:rsidR="00A320E6" w:rsidRDefault="00000000" w:rsidP="00AE0286">
            <w:pPr>
              <w:rPr>
                <w:rFonts w:ascii="宋体" w:hAnsi="宋体" w:cs="宋体"/>
                <w:szCs w:val="21"/>
              </w:rPr>
            </w:pPr>
            <w:r>
              <w:rPr>
                <w:rFonts w:ascii="宋体" w:hAnsi="宋体" w:cs="宋体" w:hint="eastAsia"/>
                <w:szCs w:val="21"/>
              </w:rPr>
              <w:t>一年以上灌木</w:t>
            </w:r>
          </w:p>
        </w:tc>
        <w:tc>
          <w:tcPr>
            <w:tcW w:w="962" w:type="pct"/>
            <w:tcBorders>
              <w:top w:val="single" w:sz="4" w:space="0" w:color="auto"/>
              <w:left w:val="single" w:sz="4" w:space="0" w:color="auto"/>
              <w:bottom w:val="single" w:sz="4" w:space="0" w:color="auto"/>
              <w:right w:val="single" w:sz="4" w:space="0" w:color="auto"/>
            </w:tcBorders>
            <w:vAlign w:val="center"/>
          </w:tcPr>
          <w:p w14:paraId="4DB491CE" w14:textId="77777777" w:rsidR="00A320E6" w:rsidRDefault="00000000" w:rsidP="00AE0286">
            <w:pPr>
              <w:jc w:val="center"/>
              <w:rPr>
                <w:rFonts w:ascii="宋体" w:hAnsi="宋体" w:cs="宋体"/>
                <w:szCs w:val="21"/>
              </w:rPr>
            </w:pPr>
            <w:r>
              <w:rPr>
                <w:rFonts w:ascii="宋体" w:hAnsi="宋体" w:cs="宋体" w:hint="eastAsia"/>
                <w:szCs w:val="21"/>
              </w:rPr>
              <w:t>10-15元/墩</w:t>
            </w:r>
          </w:p>
        </w:tc>
        <w:tc>
          <w:tcPr>
            <w:tcW w:w="1602" w:type="pct"/>
            <w:vMerge/>
            <w:tcBorders>
              <w:left w:val="single" w:sz="4" w:space="0" w:color="auto"/>
              <w:bottom w:val="single" w:sz="4" w:space="0" w:color="auto"/>
              <w:right w:val="single" w:sz="4" w:space="0" w:color="auto"/>
            </w:tcBorders>
            <w:vAlign w:val="center"/>
          </w:tcPr>
          <w:p w14:paraId="234A5A70" w14:textId="77777777" w:rsidR="00A320E6" w:rsidRDefault="00A320E6" w:rsidP="00AE0286">
            <w:pPr>
              <w:spacing w:line="400" w:lineRule="exact"/>
              <w:jc w:val="left"/>
              <w:rPr>
                <w:rFonts w:ascii="宋体" w:hAnsi="宋体" w:cs="宋体"/>
                <w:kern w:val="0"/>
                <w:szCs w:val="21"/>
              </w:rPr>
            </w:pPr>
          </w:p>
        </w:tc>
      </w:tr>
      <w:tr w:rsidR="00A320E6" w14:paraId="4B5C6C80" w14:textId="77777777" w:rsidTr="00A1539E">
        <w:trPr>
          <w:trHeight w:val="454"/>
          <w:jc w:val="center"/>
        </w:trPr>
        <w:tc>
          <w:tcPr>
            <w:tcW w:w="386" w:type="pct"/>
            <w:vMerge w:val="restart"/>
            <w:tcBorders>
              <w:left w:val="single" w:sz="4" w:space="0" w:color="auto"/>
              <w:right w:val="single" w:sz="4" w:space="0" w:color="auto"/>
            </w:tcBorders>
            <w:vAlign w:val="center"/>
          </w:tcPr>
          <w:p w14:paraId="18200F1C" w14:textId="77777777" w:rsidR="00A320E6" w:rsidRDefault="00000000" w:rsidP="00AE0286">
            <w:pPr>
              <w:jc w:val="center"/>
              <w:rPr>
                <w:rFonts w:ascii="宋体" w:hAnsi="宋体" w:cs="宋体"/>
                <w:szCs w:val="21"/>
              </w:rPr>
            </w:pPr>
            <w:r>
              <w:rPr>
                <w:rFonts w:ascii="宋体" w:hAnsi="宋体" w:cs="宋体" w:hint="eastAsia"/>
                <w:szCs w:val="21"/>
              </w:rPr>
              <w:t>3</w:t>
            </w:r>
          </w:p>
        </w:tc>
        <w:tc>
          <w:tcPr>
            <w:tcW w:w="496" w:type="pct"/>
            <w:vMerge w:val="restart"/>
            <w:tcBorders>
              <w:left w:val="single" w:sz="4" w:space="0" w:color="auto"/>
              <w:right w:val="single" w:sz="4" w:space="0" w:color="auto"/>
            </w:tcBorders>
            <w:vAlign w:val="center"/>
          </w:tcPr>
          <w:p w14:paraId="20F061A4" w14:textId="77777777" w:rsidR="00A320E6" w:rsidRDefault="00000000" w:rsidP="00AE0286">
            <w:pPr>
              <w:ind w:left="720" w:hanging="720"/>
              <w:jc w:val="center"/>
              <w:rPr>
                <w:rFonts w:ascii="宋体" w:hAnsi="宋体" w:cs="宋体"/>
                <w:szCs w:val="21"/>
              </w:rPr>
            </w:pPr>
            <w:r>
              <w:rPr>
                <w:rFonts w:ascii="宋体" w:hAnsi="宋体" w:cs="宋体" w:hint="eastAsia"/>
                <w:szCs w:val="21"/>
              </w:rPr>
              <w:t>苗圃</w:t>
            </w:r>
          </w:p>
        </w:tc>
        <w:tc>
          <w:tcPr>
            <w:tcW w:w="1555" w:type="pct"/>
            <w:gridSpan w:val="3"/>
            <w:tcBorders>
              <w:top w:val="single" w:sz="4" w:space="0" w:color="auto"/>
              <w:left w:val="single" w:sz="4" w:space="0" w:color="auto"/>
              <w:bottom w:val="single" w:sz="4" w:space="0" w:color="auto"/>
              <w:right w:val="single" w:sz="4" w:space="0" w:color="auto"/>
            </w:tcBorders>
            <w:vAlign w:val="center"/>
          </w:tcPr>
          <w:p w14:paraId="40DE9A75" w14:textId="77777777" w:rsidR="00A320E6" w:rsidRDefault="00000000" w:rsidP="00AE0286">
            <w:pPr>
              <w:rPr>
                <w:rFonts w:ascii="宋体" w:hAnsi="宋体" w:cs="宋体"/>
                <w:szCs w:val="21"/>
              </w:rPr>
            </w:pPr>
            <w:r>
              <w:rPr>
                <w:rFonts w:ascii="宋体" w:hAnsi="宋体" w:cs="宋体" w:hint="eastAsia"/>
                <w:szCs w:val="21"/>
              </w:rPr>
              <w:t>原生</w:t>
            </w:r>
          </w:p>
        </w:tc>
        <w:tc>
          <w:tcPr>
            <w:tcW w:w="962" w:type="pct"/>
            <w:tcBorders>
              <w:top w:val="single" w:sz="4" w:space="0" w:color="auto"/>
              <w:left w:val="single" w:sz="4" w:space="0" w:color="auto"/>
              <w:bottom w:val="single" w:sz="4" w:space="0" w:color="auto"/>
              <w:right w:val="single" w:sz="4" w:space="0" w:color="auto"/>
            </w:tcBorders>
            <w:vAlign w:val="center"/>
          </w:tcPr>
          <w:p w14:paraId="36D85817" w14:textId="77777777" w:rsidR="00A320E6" w:rsidRDefault="00000000" w:rsidP="00AE0286">
            <w:pPr>
              <w:jc w:val="center"/>
              <w:rPr>
                <w:rFonts w:ascii="宋体" w:hAnsi="宋体" w:cs="宋体"/>
                <w:szCs w:val="21"/>
              </w:rPr>
            </w:pPr>
            <w:r>
              <w:rPr>
                <w:rFonts w:ascii="宋体" w:hAnsi="宋体" w:cs="宋体" w:hint="eastAsia"/>
                <w:szCs w:val="21"/>
              </w:rPr>
              <w:t>6500-8000元/亩</w:t>
            </w:r>
          </w:p>
        </w:tc>
        <w:tc>
          <w:tcPr>
            <w:tcW w:w="1602" w:type="pct"/>
            <w:vMerge w:val="restart"/>
            <w:tcBorders>
              <w:top w:val="single" w:sz="4" w:space="0" w:color="auto"/>
              <w:left w:val="single" w:sz="4" w:space="0" w:color="auto"/>
              <w:right w:val="single" w:sz="4" w:space="0" w:color="auto"/>
            </w:tcBorders>
            <w:vAlign w:val="center"/>
          </w:tcPr>
          <w:p w14:paraId="24B83F2D"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1、果树类、花卉类苗木苗圃可适当上浮，原则上不超过30%。2、原植株归原主。</w:t>
            </w:r>
          </w:p>
        </w:tc>
      </w:tr>
      <w:tr w:rsidR="00A320E6" w14:paraId="2FFEF1A9" w14:textId="77777777" w:rsidTr="00A1539E">
        <w:trPr>
          <w:trHeight w:val="454"/>
          <w:jc w:val="center"/>
        </w:trPr>
        <w:tc>
          <w:tcPr>
            <w:tcW w:w="386" w:type="pct"/>
            <w:vMerge/>
            <w:tcBorders>
              <w:left w:val="single" w:sz="4" w:space="0" w:color="auto"/>
              <w:right w:val="single" w:sz="4" w:space="0" w:color="auto"/>
            </w:tcBorders>
            <w:vAlign w:val="center"/>
          </w:tcPr>
          <w:p w14:paraId="33BB4B75"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334AA2FE" w14:textId="77777777" w:rsidR="00A320E6" w:rsidRDefault="00A320E6" w:rsidP="00AE0286">
            <w:pPr>
              <w:ind w:left="720" w:hanging="720"/>
              <w:jc w:val="center"/>
              <w:rPr>
                <w:rFonts w:ascii="宋体" w:hAnsi="宋体" w:cs="宋体"/>
                <w:szCs w:val="21"/>
              </w:rPr>
            </w:pPr>
          </w:p>
        </w:tc>
        <w:tc>
          <w:tcPr>
            <w:tcW w:w="1555" w:type="pct"/>
            <w:gridSpan w:val="3"/>
            <w:tcBorders>
              <w:top w:val="single" w:sz="4" w:space="0" w:color="auto"/>
              <w:left w:val="single" w:sz="4" w:space="0" w:color="auto"/>
              <w:bottom w:val="single" w:sz="4" w:space="0" w:color="auto"/>
              <w:right w:val="single" w:sz="4" w:space="0" w:color="auto"/>
            </w:tcBorders>
            <w:vAlign w:val="center"/>
          </w:tcPr>
          <w:p w14:paraId="515BBBCB" w14:textId="77777777" w:rsidR="00A320E6" w:rsidRDefault="00000000" w:rsidP="00AE0286">
            <w:pPr>
              <w:rPr>
                <w:rFonts w:ascii="宋体" w:hAnsi="宋体" w:cs="宋体"/>
                <w:szCs w:val="21"/>
              </w:rPr>
            </w:pPr>
            <w:r>
              <w:rPr>
                <w:rFonts w:ascii="宋体" w:hAnsi="宋体" w:cs="宋体" w:hint="eastAsia"/>
                <w:szCs w:val="21"/>
              </w:rPr>
              <w:t>定植</w:t>
            </w:r>
          </w:p>
        </w:tc>
        <w:tc>
          <w:tcPr>
            <w:tcW w:w="962" w:type="pct"/>
            <w:tcBorders>
              <w:top w:val="single" w:sz="4" w:space="0" w:color="auto"/>
              <w:left w:val="single" w:sz="4" w:space="0" w:color="auto"/>
              <w:bottom w:val="single" w:sz="4" w:space="0" w:color="auto"/>
              <w:right w:val="single" w:sz="4" w:space="0" w:color="auto"/>
            </w:tcBorders>
            <w:vAlign w:val="center"/>
          </w:tcPr>
          <w:p w14:paraId="47404C90" w14:textId="77777777" w:rsidR="00A320E6" w:rsidRDefault="00000000" w:rsidP="00AE0286">
            <w:pPr>
              <w:jc w:val="center"/>
              <w:rPr>
                <w:rFonts w:ascii="宋体" w:hAnsi="宋体" w:cs="宋体"/>
                <w:szCs w:val="21"/>
              </w:rPr>
            </w:pPr>
            <w:r>
              <w:rPr>
                <w:rFonts w:ascii="宋体" w:hAnsi="宋体" w:cs="宋体" w:hint="eastAsia"/>
                <w:szCs w:val="21"/>
              </w:rPr>
              <w:t>4000-6500元/亩</w:t>
            </w:r>
          </w:p>
        </w:tc>
        <w:tc>
          <w:tcPr>
            <w:tcW w:w="1602" w:type="pct"/>
            <w:vMerge/>
            <w:tcBorders>
              <w:left w:val="single" w:sz="4" w:space="0" w:color="auto"/>
              <w:bottom w:val="single" w:sz="4" w:space="0" w:color="auto"/>
              <w:right w:val="single" w:sz="4" w:space="0" w:color="auto"/>
            </w:tcBorders>
            <w:vAlign w:val="center"/>
          </w:tcPr>
          <w:p w14:paraId="08C606C9" w14:textId="77777777" w:rsidR="00A320E6" w:rsidRDefault="00A320E6" w:rsidP="00AE0286">
            <w:pPr>
              <w:spacing w:line="400" w:lineRule="exact"/>
              <w:jc w:val="left"/>
              <w:rPr>
                <w:rFonts w:ascii="宋体" w:hAnsi="宋体" w:cs="宋体"/>
                <w:kern w:val="0"/>
                <w:szCs w:val="21"/>
              </w:rPr>
            </w:pPr>
          </w:p>
        </w:tc>
      </w:tr>
      <w:tr w:rsidR="00A320E6" w14:paraId="0362AA0E" w14:textId="77777777" w:rsidTr="00A1539E">
        <w:trPr>
          <w:trHeight w:val="454"/>
          <w:jc w:val="center"/>
        </w:trPr>
        <w:tc>
          <w:tcPr>
            <w:tcW w:w="386" w:type="pct"/>
            <w:vMerge w:val="restart"/>
            <w:tcBorders>
              <w:top w:val="single" w:sz="4" w:space="0" w:color="auto"/>
              <w:left w:val="single" w:sz="4" w:space="0" w:color="auto"/>
              <w:right w:val="single" w:sz="4" w:space="0" w:color="auto"/>
            </w:tcBorders>
            <w:vAlign w:val="center"/>
          </w:tcPr>
          <w:p w14:paraId="6289B36A" w14:textId="77777777" w:rsidR="00A320E6" w:rsidRDefault="00000000" w:rsidP="00AE0286">
            <w:pPr>
              <w:jc w:val="center"/>
              <w:rPr>
                <w:rFonts w:ascii="宋体" w:hAnsi="宋体" w:cs="宋体"/>
                <w:szCs w:val="21"/>
              </w:rPr>
            </w:pPr>
            <w:r>
              <w:rPr>
                <w:rFonts w:ascii="宋体" w:hAnsi="宋体" w:cs="宋体" w:hint="eastAsia"/>
                <w:szCs w:val="21"/>
              </w:rPr>
              <w:t>4</w:t>
            </w:r>
          </w:p>
        </w:tc>
        <w:tc>
          <w:tcPr>
            <w:tcW w:w="496" w:type="pct"/>
            <w:vMerge w:val="restart"/>
            <w:tcBorders>
              <w:top w:val="single" w:sz="4" w:space="0" w:color="auto"/>
              <w:left w:val="single" w:sz="4" w:space="0" w:color="auto"/>
              <w:right w:val="single" w:sz="4" w:space="0" w:color="auto"/>
            </w:tcBorders>
            <w:vAlign w:val="center"/>
          </w:tcPr>
          <w:p w14:paraId="57B4CD3C" w14:textId="77777777" w:rsidR="00A320E6" w:rsidRDefault="00000000" w:rsidP="00AE0286">
            <w:pPr>
              <w:ind w:left="720" w:hanging="720"/>
              <w:jc w:val="center"/>
              <w:rPr>
                <w:rFonts w:ascii="宋体" w:hAnsi="宋体" w:cs="宋体"/>
                <w:szCs w:val="21"/>
              </w:rPr>
            </w:pPr>
            <w:r>
              <w:rPr>
                <w:rFonts w:ascii="宋体" w:hAnsi="宋体" w:cs="宋体" w:hint="eastAsia"/>
                <w:szCs w:val="21"/>
              </w:rPr>
              <w:t>牡丹</w:t>
            </w:r>
          </w:p>
        </w:tc>
        <w:tc>
          <w:tcPr>
            <w:tcW w:w="613" w:type="pct"/>
            <w:vMerge w:val="restart"/>
            <w:tcBorders>
              <w:top w:val="single" w:sz="4" w:space="0" w:color="auto"/>
              <w:left w:val="single" w:sz="4" w:space="0" w:color="auto"/>
              <w:right w:val="single" w:sz="4" w:space="0" w:color="auto"/>
            </w:tcBorders>
            <w:vAlign w:val="center"/>
          </w:tcPr>
          <w:p w14:paraId="4E326DEF" w14:textId="77777777" w:rsidR="00A320E6" w:rsidRDefault="00000000" w:rsidP="00AE0286">
            <w:pPr>
              <w:jc w:val="center"/>
              <w:rPr>
                <w:rFonts w:ascii="宋体" w:hAnsi="宋体" w:cs="宋体"/>
                <w:szCs w:val="21"/>
              </w:rPr>
            </w:pPr>
            <w:r>
              <w:rPr>
                <w:rFonts w:ascii="宋体" w:hAnsi="宋体" w:cs="宋体" w:hint="eastAsia"/>
                <w:szCs w:val="21"/>
              </w:rPr>
              <w:t>观赏牡丹</w:t>
            </w:r>
          </w:p>
        </w:tc>
        <w:tc>
          <w:tcPr>
            <w:tcW w:w="942" w:type="pct"/>
            <w:gridSpan w:val="2"/>
            <w:tcBorders>
              <w:top w:val="single" w:sz="4" w:space="0" w:color="auto"/>
              <w:left w:val="single" w:sz="4" w:space="0" w:color="auto"/>
              <w:right w:val="single" w:sz="4" w:space="0" w:color="auto"/>
            </w:tcBorders>
            <w:vAlign w:val="center"/>
          </w:tcPr>
          <w:p w14:paraId="7FB03C51" w14:textId="77777777" w:rsidR="00A320E6" w:rsidRDefault="00000000" w:rsidP="00AE0286">
            <w:pPr>
              <w:rPr>
                <w:rFonts w:ascii="宋体" w:hAnsi="宋体" w:cs="宋体"/>
                <w:szCs w:val="21"/>
              </w:rPr>
            </w:pPr>
            <w:r>
              <w:rPr>
                <w:rFonts w:ascii="宋体" w:hAnsi="宋体" w:cs="宋体" w:hint="eastAsia"/>
                <w:szCs w:val="21"/>
              </w:rPr>
              <w:t>一年以内</w:t>
            </w:r>
          </w:p>
        </w:tc>
        <w:tc>
          <w:tcPr>
            <w:tcW w:w="962" w:type="pct"/>
            <w:tcBorders>
              <w:top w:val="single" w:sz="4" w:space="0" w:color="auto"/>
              <w:left w:val="single" w:sz="4" w:space="0" w:color="auto"/>
              <w:right w:val="single" w:sz="4" w:space="0" w:color="auto"/>
            </w:tcBorders>
            <w:vAlign w:val="center"/>
          </w:tcPr>
          <w:p w14:paraId="2706EF1B" w14:textId="77777777" w:rsidR="00A320E6" w:rsidRDefault="00000000" w:rsidP="00AE0286">
            <w:pPr>
              <w:jc w:val="center"/>
              <w:rPr>
                <w:rFonts w:ascii="宋体" w:hAnsi="宋体" w:cs="宋体"/>
                <w:szCs w:val="21"/>
              </w:rPr>
            </w:pPr>
            <w:r>
              <w:rPr>
                <w:rFonts w:ascii="宋体" w:hAnsi="宋体" w:cs="宋体" w:hint="eastAsia"/>
                <w:szCs w:val="21"/>
              </w:rPr>
              <w:t>7元/株</w:t>
            </w:r>
          </w:p>
        </w:tc>
        <w:tc>
          <w:tcPr>
            <w:tcW w:w="1602" w:type="pct"/>
            <w:vMerge w:val="restart"/>
            <w:tcBorders>
              <w:top w:val="single" w:sz="4" w:space="0" w:color="auto"/>
              <w:left w:val="single" w:sz="4" w:space="0" w:color="auto"/>
              <w:right w:val="single" w:sz="4" w:space="0" w:color="auto"/>
            </w:tcBorders>
            <w:vAlign w:val="center"/>
          </w:tcPr>
          <w:p w14:paraId="500FA611"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1、成片种植，每亩最高补偿25000元。2、原植株归原主。</w:t>
            </w:r>
          </w:p>
        </w:tc>
      </w:tr>
      <w:tr w:rsidR="00A320E6" w14:paraId="40BDA72A" w14:textId="77777777" w:rsidTr="00A1539E">
        <w:trPr>
          <w:trHeight w:val="454"/>
          <w:jc w:val="center"/>
        </w:trPr>
        <w:tc>
          <w:tcPr>
            <w:tcW w:w="386" w:type="pct"/>
            <w:vMerge/>
            <w:tcBorders>
              <w:left w:val="single" w:sz="4" w:space="0" w:color="auto"/>
              <w:right w:val="single" w:sz="4" w:space="0" w:color="auto"/>
            </w:tcBorders>
            <w:vAlign w:val="center"/>
          </w:tcPr>
          <w:p w14:paraId="7B228052"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75A1D48E" w14:textId="77777777" w:rsidR="00A320E6" w:rsidRDefault="00A320E6" w:rsidP="00AE0286">
            <w:pPr>
              <w:ind w:left="720" w:hanging="720"/>
              <w:jc w:val="center"/>
              <w:rPr>
                <w:rFonts w:ascii="宋体" w:hAnsi="宋体" w:cs="宋体"/>
                <w:szCs w:val="21"/>
              </w:rPr>
            </w:pPr>
          </w:p>
        </w:tc>
        <w:tc>
          <w:tcPr>
            <w:tcW w:w="613" w:type="pct"/>
            <w:vMerge/>
            <w:tcBorders>
              <w:left w:val="single" w:sz="4" w:space="0" w:color="auto"/>
              <w:right w:val="single" w:sz="4" w:space="0" w:color="auto"/>
            </w:tcBorders>
            <w:vAlign w:val="center"/>
          </w:tcPr>
          <w:p w14:paraId="5C6434B5" w14:textId="77777777" w:rsidR="00A320E6" w:rsidRDefault="00A320E6" w:rsidP="00AE0286">
            <w:pPr>
              <w:jc w:val="center"/>
              <w:rPr>
                <w:rFonts w:ascii="宋体" w:hAnsi="宋体" w:cs="宋体"/>
                <w:szCs w:val="21"/>
              </w:rPr>
            </w:pPr>
          </w:p>
        </w:tc>
        <w:tc>
          <w:tcPr>
            <w:tcW w:w="942" w:type="pct"/>
            <w:gridSpan w:val="2"/>
            <w:tcBorders>
              <w:top w:val="single" w:sz="4" w:space="0" w:color="auto"/>
              <w:left w:val="single" w:sz="4" w:space="0" w:color="auto"/>
              <w:right w:val="single" w:sz="4" w:space="0" w:color="auto"/>
            </w:tcBorders>
            <w:vAlign w:val="center"/>
          </w:tcPr>
          <w:p w14:paraId="0B46FDF7" w14:textId="77777777" w:rsidR="00A320E6" w:rsidRDefault="00000000" w:rsidP="00AE0286">
            <w:pPr>
              <w:rPr>
                <w:rFonts w:ascii="宋体" w:hAnsi="宋体" w:cs="宋体"/>
                <w:szCs w:val="21"/>
              </w:rPr>
            </w:pPr>
            <w:r>
              <w:rPr>
                <w:rFonts w:ascii="宋体" w:hAnsi="宋体" w:cs="宋体" w:hint="eastAsia"/>
                <w:szCs w:val="21"/>
              </w:rPr>
              <w:t>一年及以上</w:t>
            </w:r>
          </w:p>
        </w:tc>
        <w:tc>
          <w:tcPr>
            <w:tcW w:w="962" w:type="pct"/>
            <w:tcBorders>
              <w:left w:val="single" w:sz="4" w:space="0" w:color="auto"/>
              <w:right w:val="single" w:sz="4" w:space="0" w:color="auto"/>
            </w:tcBorders>
            <w:vAlign w:val="center"/>
          </w:tcPr>
          <w:p w14:paraId="3D89AA06" w14:textId="77777777" w:rsidR="00A320E6" w:rsidRDefault="00000000" w:rsidP="00AE0286">
            <w:pPr>
              <w:jc w:val="center"/>
              <w:rPr>
                <w:rFonts w:ascii="宋体" w:hAnsi="宋体" w:cs="宋体"/>
                <w:szCs w:val="21"/>
              </w:rPr>
            </w:pPr>
            <w:r>
              <w:rPr>
                <w:rFonts w:ascii="宋体" w:hAnsi="宋体" w:cs="宋体" w:hint="eastAsia"/>
                <w:szCs w:val="21"/>
              </w:rPr>
              <w:t>15-35元/株</w:t>
            </w:r>
          </w:p>
        </w:tc>
        <w:tc>
          <w:tcPr>
            <w:tcW w:w="1602" w:type="pct"/>
            <w:vMerge/>
            <w:tcBorders>
              <w:left w:val="single" w:sz="4" w:space="0" w:color="auto"/>
              <w:right w:val="single" w:sz="4" w:space="0" w:color="auto"/>
            </w:tcBorders>
            <w:vAlign w:val="center"/>
          </w:tcPr>
          <w:p w14:paraId="654C71FB" w14:textId="77777777" w:rsidR="00A320E6" w:rsidRDefault="00A320E6" w:rsidP="00AE0286">
            <w:pPr>
              <w:spacing w:line="400" w:lineRule="exact"/>
              <w:jc w:val="left"/>
              <w:rPr>
                <w:rFonts w:ascii="宋体" w:hAnsi="宋体" w:cs="宋体"/>
                <w:kern w:val="0"/>
                <w:szCs w:val="21"/>
              </w:rPr>
            </w:pPr>
          </w:p>
        </w:tc>
      </w:tr>
      <w:tr w:rsidR="00A320E6" w14:paraId="21F488B5" w14:textId="77777777" w:rsidTr="00A1539E">
        <w:trPr>
          <w:trHeight w:val="454"/>
          <w:jc w:val="center"/>
        </w:trPr>
        <w:tc>
          <w:tcPr>
            <w:tcW w:w="386" w:type="pct"/>
            <w:vMerge/>
            <w:tcBorders>
              <w:left w:val="single" w:sz="4" w:space="0" w:color="auto"/>
              <w:right w:val="single" w:sz="4" w:space="0" w:color="auto"/>
            </w:tcBorders>
            <w:vAlign w:val="center"/>
          </w:tcPr>
          <w:p w14:paraId="46C2CF33"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3A93A24E" w14:textId="77777777" w:rsidR="00A320E6" w:rsidRDefault="00A320E6" w:rsidP="00AE0286">
            <w:pPr>
              <w:ind w:left="720" w:hanging="720"/>
              <w:jc w:val="center"/>
              <w:rPr>
                <w:rFonts w:ascii="宋体" w:hAnsi="宋体" w:cs="宋体"/>
                <w:szCs w:val="21"/>
              </w:rPr>
            </w:pPr>
          </w:p>
        </w:tc>
        <w:tc>
          <w:tcPr>
            <w:tcW w:w="613" w:type="pct"/>
            <w:vMerge w:val="restart"/>
            <w:tcBorders>
              <w:top w:val="single" w:sz="4" w:space="0" w:color="auto"/>
              <w:left w:val="single" w:sz="4" w:space="0" w:color="auto"/>
              <w:right w:val="single" w:sz="4" w:space="0" w:color="auto"/>
            </w:tcBorders>
            <w:vAlign w:val="center"/>
          </w:tcPr>
          <w:p w14:paraId="4CC66ED0" w14:textId="77777777" w:rsidR="00A320E6" w:rsidRDefault="00000000" w:rsidP="00AE0286">
            <w:pPr>
              <w:jc w:val="center"/>
              <w:rPr>
                <w:rFonts w:ascii="宋体" w:hAnsi="宋体" w:cs="宋体"/>
                <w:szCs w:val="21"/>
              </w:rPr>
            </w:pPr>
            <w:r>
              <w:rPr>
                <w:rFonts w:ascii="宋体" w:hAnsi="宋体" w:cs="宋体" w:hint="eastAsia"/>
                <w:szCs w:val="21"/>
              </w:rPr>
              <w:t>油用牡丹</w:t>
            </w:r>
          </w:p>
        </w:tc>
        <w:tc>
          <w:tcPr>
            <w:tcW w:w="942" w:type="pct"/>
            <w:gridSpan w:val="2"/>
            <w:tcBorders>
              <w:top w:val="single" w:sz="4" w:space="0" w:color="auto"/>
              <w:left w:val="single" w:sz="4" w:space="0" w:color="auto"/>
              <w:right w:val="single" w:sz="4" w:space="0" w:color="auto"/>
            </w:tcBorders>
            <w:vAlign w:val="center"/>
          </w:tcPr>
          <w:p w14:paraId="739611A7" w14:textId="77777777" w:rsidR="00A320E6" w:rsidRDefault="00000000" w:rsidP="00AE0286">
            <w:pPr>
              <w:rPr>
                <w:rFonts w:ascii="宋体" w:hAnsi="宋体" w:cs="宋体"/>
                <w:szCs w:val="21"/>
              </w:rPr>
            </w:pPr>
            <w:r>
              <w:rPr>
                <w:rFonts w:ascii="宋体" w:hAnsi="宋体" w:cs="宋体" w:hint="eastAsia"/>
                <w:szCs w:val="21"/>
              </w:rPr>
              <w:t>三年以内</w:t>
            </w:r>
          </w:p>
        </w:tc>
        <w:tc>
          <w:tcPr>
            <w:tcW w:w="962" w:type="pct"/>
            <w:tcBorders>
              <w:top w:val="single" w:sz="4" w:space="0" w:color="auto"/>
              <w:left w:val="single" w:sz="4" w:space="0" w:color="auto"/>
              <w:right w:val="single" w:sz="4" w:space="0" w:color="auto"/>
            </w:tcBorders>
            <w:vAlign w:val="center"/>
          </w:tcPr>
          <w:p w14:paraId="5F3029AE" w14:textId="77777777" w:rsidR="00A320E6" w:rsidRDefault="00000000" w:rsidP="00AE0286">
            <w:pPr>
              <w:jc w:val="center"/>
              <w:rPr>
                <w:rFonts w:ascii="宋体" w:hAnsi="宋体" w:cs="宋体"/>
                <w:szCs w:val="21"/>
              </w:rPr>
            </w:pPr>
            <w:r>
              <w:rPr>
                <w:rFonts w:ascii="宋体" w:hAnsi="宋体" w:cs="宋体" w:hint="eastAsia"/>
                <w:szCs w:val="21"/>
              </w:rPr>
              <w:t>0.5元/株</w:t>
            </w:r>
          </w:p>
        </w:tc>
        <w:tc>
          <w:tcPr>
            <w:tcW w:w="1602" w:type="pct"/>
            <w:vMerge w:val="restart"/>
            <w:tcBorders>
              <w:left w:val="single" w:sz="4" w:space="0" w:color="auto"/>
              <w:right w:val="single" w:sz="4" w:space="0" w:color="auto"/>
            </w:tcBorders>
            <w:vAlign w:val="center"/>
          </w:tcPr>
          <w:p w14:paraId="55BBD559"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1、成片种植，每亩最高补偿15000元。2、原植株归原主。</w:t>
            </w:r>
          </w:p>
        </w:tc>
      </w:tr>
      <w:tr w:rsidR="00A320E6" w14:paraId="1BE155B5" w14:textId="77777777" w:rsidTr="00A1539E">
        <w:trPr>
          <w:trHeight w:val="454"/>
          <w:jc w:val="center"/>
        </w:trPr>
        <w:tc>
          <w:tcPr>
            <w:tcW w:w="386" w:type="pct"/>
            <w:vMerge/>
            <w:tcBorders>
              <w:left w:val="single" w:sz="4" w:space="0" w:color="auto"/>
              <w:right w:val="single" w:sz="4" w:space="0" w:color="auto"/>
            </w:tcBorders>
            <w:vAlign w:val="center"/>
          </w:tcPr>
          <w:p w14:paraId="3D2D4545" w14:textId="77777777" w:rsidR="00A320E6" w:rsidRDefault="00A320E6" w:rsidP="00AE0286">
            <w:pPr>
              <w:jc w:val="center"/>
              <w:rPr>
                <w:rFonts w:ascii="宋体" w:hAnsi="宋体" w:cs="宋体"/>
                <w:szCs w:val="21"/>
              </w:rPr>
            </w:pPr>
          </w:p>
        </w:tc>
        <w:tc>
          <w:tcPr>
            <w:tcW w:w="496" w:type="pct"/>
            <w:vMerge/>
            <w:tcBorders>
              <w:left w:val="single" w:sz="4" w:space="0" w:color="auto"/>
              <w:right w:val="single" w:sz="4" w:space="0" w:color="auto"/>
            </w:tcBorders>
            <w:vAlign w:val="center"/>
          </w:tcPr>
          <w:p w14:paraId="0CC746C7" w14:textId="77777777" w:rsidR="00A320E6" w:rsidRDefault="00A320E6" w:rsidP="00AE0286">
            <w:pPr>
              <w:ind w:left="720" w:hanging="720"/>
              <w:jc w:val="center"/>
              <w:rPr>
                <w:rFonts w:ascii="宋体" w:hAnsi="宋体" w:cs="宋体"/>
                <w:szCs w:val="21"/>
              </w:rPr>
            </w:pPr>
          </w:p>
        </w:tc>
        <w:tc>
          <w:tcPr>
            <w:tcW w:w="613" w:type="pct"/>
            <w:vMerge/>
            <w:tcBorders>
              <w:left w:val="single" w:sz="4" w:space="0" w:color="auto"/>
              <w:right w:val="single" w:sz="4" w:space="0" w:color="auto"/>
            </w:tcBorders>
            <w:vAlign w:val="center"/>
          </w:tcPr>
          <w:p w14:paraId="53F30A8C" w14:textId="77777777" w:rsidR="00A320E6" w:rsidRDefault="00A320E6" w:rsidP="00AE0286">
            <w:pPr>
              <w:rPr>
                <w:rFonts w:ascii="宋体" w:hAnsi="宋体" w:cs="宋体"/>
                <w:szCs w:val="21"/>
              </w:rPr>
            </w:pPr>
          </w:p>
        </w:tc>
        <w:tc>
          <w:tcPr>
            <w:tcW w:w="942" w:type="pct"/>
            <w:gridSpan w:val="2"/>
            <w:tcBorders>
              <w:top w:val="single" w:sz="4" w:space="0" w:color="auto"/>
              <w:left w:val="single" w:sz="4" w:space="0" w:color="auto"/>
              <w:right w:val="single" w:sz="4" w:space="0" w:color="auto"/>
            </w:tcBorders>
            <w:vAlign w:val="center"/>
          </w:tcPr>
          <w:p w14:paraId="2DE876ED" w14:textId="77777777" w:rsidR="00A320E6" w:rsidRDefault="00000000" w:rsidP="00AE0286">
            <w:pPr>
              <w:rPr>
                <w:rFonts w:ascii="宋体" w:hAnsi="宋体" w:cs="宋体"/>
                <w:szCs w:val="21"/>
              </w:rPr>
            </w:pPr>
            <w:r>
              <w:rPr>
                <w:rFonts w:ascii="宋体" w:hAnsi="宋体" w:cs="宋体" w:hint="eastAsia"/>
                <w:szCs w:val="21"/>
              </w:rPr>
              <w:t>三年及以上</w:t>
            </w:r>
          </w:p>
        </w:tc>
        <w:tc>
          <w:tcPr>
            <w:tcW w:w="962" w:type="pct"/>
            <w:tcBorders>
              <w:left w:val="single" w:sz="4" w:space="0" w:color="auto"/>
              <w:right w:val="single" w:sz="4" w:space="0" w:color="auto"/>
            </w:tcBorders>
            <w:vAlign w:val="center"/>
          </w:tcPr>
          <w:p w14:paraId="4A272250" w14:textId="77777777" w:rsidR="00A320E6" w:rsidRDefault="00000000" w:rsidP="00AE0286">
            <w:pPr>
              <w:jc w:val="center"/>
              <w:rPr>
                <w:rFonts w:ascii="宋体" w:hAnsi="宋体" w:cs="宋体"/>
                <w:szCs w:val="21"/>
              </w:rPr>
            </w:pPr>
            <w:r>
              <w:rPr>
                <w:rFonts w:ascii="宋体" w:hAnsi="宋体" w:cs="宋体" w:hint="eastAsia"/>
                <w:szCs w:val="21"/>
              </w:rPr>
              <w:t>2-5元/株</w:t>
            </w:r>
          </w:p>
        </w:tc>
        <w:tc>
          <w:tcPr>
            <w:tcW w:w="1602" w:type="pct"/>
            <w:vMerge/>
            <w:tcBorders>
              <w:left w:val="single" w:sz="4" w:space="0" w:color="auto"/>
              <w:right w:val="single" w:sz="4" w:space="0" w:color="auto"/>
            </w:tcBorders>
            <w:vAlign w:val="center"/>
          </w:tcPr>
          <w:p w14:paraId="5A5C2416" w14:textId="77777777" w:rsidR="00A320E6" w:rsidRDefault="00A320E6" w:rsidP="00AE0286">
            <w:pPr>
              <w:spacing w:line="400" w:lineRule="exact"/>
              <w:jc w:val="left"/>
              <w:rPr>
                <w:rFonts w:ascii="宋体" w:hAnsi="宋体" w:cs="宋体"/>
                <w:kern w:val="0"/>
                <w:szCs w:val="21"/>
              </w:rPr>
            </w:pPr>
          </w:p>
        </w:tc>
      </w:tr>
      <w:tr w:rsidR="00A320E6" w14:paraId="3E89EE46" w14:textId="77777777" w:rsidTr="00A1539E">
        <w:trPr>
          <w:trHeight w:val="454"/>
          <w:jc w:val="center"/>
        </w:trPr>
        <w:tc>
          <w:tcPr>
            <w:tcW w:w="386" w:type="pct"/>
            <w:vMerge w:val="restart"/>
            <w:tcBorders>
              <w:top w:val="single" w:sz="4" w:space="0" w:color="auto"/>
              <w:left w:val="single" w:sz="4" w:space="0" w:color="auto"/>
              <w:right w:val="single" w:sz="4" w:space="0" w:color="auto"/>
            </w:tcBorders>
            <w:vAlign w:val="center"/>
          </w:tcPr>
          <w:p w14:paraId="2EA1C1F1" w14:textId="77777777" w:rsidR="00A320E6" w:rsidRDefault="00000000" w:rsidP="00AE0286">
            <w:pPr>
              <w:jc w:val="center"/>
              <w:rPr>
                <w:rFonts w:ascii="宋体" w:hAnsi="宋体" w:cs="宋体"/>
                <w:szCs w:val="21"/>
              </w:rPr>
            </w:pPr>
            <w:r>
              <w:rPr>
                <w:rFonts w:ascii="宋体" w:hAnsi="宋体" w:cs="宋体" w:hint="eastAsia"/>
                <w:szCs w:val="21"/>
              </w:rPr>
              <w:t>5</w:t>
            </w:r>
          </w:p>
        </w:tc>
        <w:tc>
          <w:tcPr>
            <w:tcW w:w="496" w:type="pct"/>
            <w:vMerge w:val="restart"/>
            <w:tcBorders>
              <w:top w:val="single" w:sz="4" w:space="0" w:color="auto"/>
              <w:left w:val="single" w:sz="4" w:space="0" w:color="auto"/>
              <w:right w:val="single" w:sz="4" w:space="0" w:color="auto"/>
            </w:tcBorders>
            <w:vAlign w:val="center"/>
          </w:tcPr>
          <w:p w14:paraId="0E9A1571" w14:textId="77777777" w:rsidR="00A320E6" w:rsidRDefault="00000000" w:rsidP="00AE0286">
            <w:pPr>
              <w:ind w:left="720" w:hanging="720"/>
              <w:jc w:val="center"/>
              <w:rPr>
                <w:rFonts w:ascii="宋体" w:hAnsi="宋体" w:cs="宋体"/>
                <w:szCs w:val="21"/>
              </w:rPr>
            </w:pPr>
            <w:r>
              <w:rPr>
                <w:rFonts w:ascii="宋体" w:hAnsi="宋体" w:cs="宋体" w:hint="eastAsia"/>
                <w:szCs w:val="21"/>
              </w:rPr>
              <w:t>芍药</w:t>
            </w:r>
          </w:p>
        </w:tc>
        <w:tc>
          <w:tcPr>
            <w:tcW w:w="613" w:type="pct"/>
            <w:vMerge w:val="restart"/>
            <w:tcBorders>
              <w:top w:val="single" w:sz="4" w:space="0" w:color="auto"/>
              <w:left w:val="single" w:sz="4" w:space="0" w:color="auto"/>
              <w:right w:val="single" w:sz="4" w:space="0" w:color="auto"/>
            </w:tcBorders>
            <w:vAlign w:val="center"/>
          </w:tcPr>
          <w:p w14:paraId="48355030" w14:textId="77777777" w:rsidR="00A320E6" w:rsidRDefault="00000000" w:rsidP="00AE0286">
            <w:pPr>
              <w:jc w:val="center"/>
              <w:rPr>
                <w:rFonts w:ascii="宋体" w:hAnsi="宋体" w:cs="宋体"/>
                <w:szCs w:val="21"/>
              </w:rPr>
            </w:pPr>
            <w:r>
              <w:rPr>
                <w:rFonts w:ascii="宋体" w:hAnsi="宋体" w:cs="宋体" w:hint="eastAsia"/>
                <w:szCs w:val="21"/>
              </w:rPr>
              <w:t>观赏芍药</w:t>
            </w:r>
          </w:p>
        </w:tc>
        <w:tc>
          <w:tcPr>
            <w:tcW w:w="942" w:type="pct"/>
            <w:gridSpan w:val="2"/>
            <w:tcBorders>
              <w:top w:val="single" w:sz="4" w:space="0" w:color="auto"/>
              <w:left w:val="single" w:sz="4" w:space="0" w:color="auto"/>
              <w:right w:val="single" w:sz="4" w:space="0" w:color="auto"/>
            </w:tcBorders>
            <w:vAlign w:val="center"/>
          </w:tcPr>
          <w:p w14:paraId="40522DDC" w14:textId="77777777" w:rsidR="00A320E6" w:rsidRDefault="00000000" w:rsidP="00AE0286">
            <w:pPr>
              <w:rPr>
                <w:rFonts w:ascii="宋体" w:hAnsi="宋体" w:cs="宋体"/>
                <w:szCs w:val="21"/>
              </w:rPr>
            </w:pPr>
            <w:r>
              <w:rPr>
                <w:rFonts w:ascii="宋体" w:hAnsi="宋体" w:cs="宋体" w:hint="eastAsia"/>
                <w:szCs w:val="21"/>
              </w:rPr>
              <w:t>一年以内</w:t>
            </w:r>
          </w:p>
        </w:tc>
        <w:tc>
          <w:tcPr>
            <w:tcW w:w="962" w:type="pct"/>
            <w:tcBorders>
              <w:top w:val="single" w:sz="4" w:space="0" w:color="auto"/>
              <w:left w:val="single" w:sz="4" w:space="0" w:color="auto"/>
              <w:right w:val="single" w:sz="4" w:space="0" w:color="auto"/>
            </w:tcBorders>
            <w:vAlign w:val="center"/>
          </w:tcPr>
          <w:p w14:paraId="2BB62465" w14:textId="77777777" w:rsidR="00A320E6" w:rsidRDefault="00000000" w:rsidP="00AE0286">
            <w:pPr>
              <w:jc w:val="center"/>
              <w:rPr>
                <w:rFonts w:ascii="宋体" w:hAnsi="宋体" w:cs="宋体"/>
                <w:szCs w:val="21"/>
              </w:rPr>
            </w:pPr>
            <w:r>
              <w:rPr>
                <w:rFonts w:ascii="宋体" w:hAnsi="宋体" w:cs="宋体" w:hint="eastAsia"/>
                <w:szCs w:val="21"/>
              </w:rPr>
              <w:t>5元/株</w:t>
            </w:r>
          </w:p>
        </w:tc>
        <w:tc>
          <w:tcPr>
            <w:tcW w:w="1602" w:type="pct"/>
            <w:vMerge w:val="restart"/>
            <w:tcBorders>
              <w:top w:val="single" w:sz="4" w:space="0" w:color="auto"/>
              <w:left w:val="single" w:sz="4" w:space="0" w:color="auto"/>
              <w:right w:val="single" w:sz="4" w:space="0" w:color="auto"/>
            </w:tcBorders>
            <w:vAlign w:val="center"/>
          </w:tcPr>
          <w:p w14:paraId="059EF782"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1、成片种植，每亩最高补偿20000元。2、切花类上浮20%。3、原植株归原主。</w:t>
            </w:r>
          </w:p>
        </w:tc>
      </w:tr>
      <w:tr w:rsidR="00A320E6" w14:paraId="1B1B197C" w14:textId="77777777" w:rsidTr="00A1539E">
        <w:trPr>
          <w:trHeight w:val="328"/>
          <w:jc w:val="center"/>
        </w:trPr>
        <w:tc>
          <w:tcPr>
            <w:tcW w:w="386" w:type="pct"/>
            <w:vMerge/>
            <w:tcBorders>
              <w:left w:val="single" w:sz="4" w:space="0" w:color="auto"/>
              <w:right w:val="single" w:sz="4" w:space="0" w:color="auto"/>
            </w:tcBorders>
            <w:vAlign w:val="center"/>
          </w:tcPr>
          <w:p w14:paraId="4C86C82C" w14:textId="77777777" w:rsidR="00A320E6" w:rsidRDefault="00A320E6" w:rsidP="00AE0286">
            <w:pPr>
              <w:spacing w:before="100" w:beforeAutospacing="1" w:after="100" w:afterAutospacing="1"/>
              <w:jc w:val="center"/>
              <w:rPr>
                <w:rFonts w:ascii="宋体" w:hAnsi="宋体" w:cs="宋体"/>
                <w:kern w:val="0"/>
                <w:szCs w:val="21"/>
              </w:rPr>
            </w:pPr>
          </w:p>
        </w:tc>
        <w:tc>
          <w:tcPr>
            <w:tcW w:w="496" w:type="pct"/>
            <w:vMerge/>
            <w:tcBorders>
              <w:left w:val="single" w:sz="4" w:space="0" w:color="auto"/>
              <w:right w:val="single" w:sz="4" w:space="0" w:color="auto"/>
            </w:tcBorders>
            <w:vAlign w:val="center"/>
          </w:tcPr>
          <w:p w14:paraId="69BA2A88" w14:textId="77777777" w:rsidR="00A320E6" w:rsidRDefault="00A320E6" w:rsidP="00AE0286">
            <w:pPr>
              <w:spacing w:before="100" w:beforeAutospacing="1" w:after="100" w:afterAutospacing="1"/>
              <w:jc w:val="center"/>
              <w:rPr>
                <w:rFonts w:ascii="宋体" w:hAnsi="宋体" w:cs="宋体"/>
                <w:kern w:val="0"/>
                <w:szCs w:val="21"/>
              </w:rPr>
            </w:pPr>
          </w:p>
        </w:tc>
        <w:tc>
          <w:tcPr>
            <w:tcW w:w="613" w:type="pct"/>
            <w:vMerge/>
            <w:tcBorders>
              <w:left w:val="single" w:sz="4" w:space="0" w:color="auto"/>
              <w:right w:val="single" w:sz="4" w:space="0" w:color="auto"/>
            </w:tcBorders>
            <w:vAlign w:val="center"/>
          </w:tcPr>
          <w:p w14:paraId="25FE887D" w14:textId="77777777" w:rsidR="00A320E6" w:rsidRDefault="00A320E6" w:rsidP="00AE0286">
            <w:pPr>
              <w:spacing w:before="100" w:beforeAutospacing="1" w:after="100" w:afterAutospacing="1"/>
              <w:jc w:val="center"/>
              <w:rPr>
                <w:rFonts w:ascii="宋体" w:hAnsi="宋体" w:cs="宋体"/>
                <w:szCs w:val="21"/>
              </w:rPr>
            </w:pPr>
          </w:p>
        </w:tc>
        <w:tc>
          <w:tcPr>
            <w:tcW w:w="942" w:type="pct"/>
            <w:gridSpan w:val="2"/>
            <w:tcBorders>
              <w:top w:val="single" w:sz="4" w:space="0" w:color="auto"/>
              <w:left w:val="single" w:sz="4" w:space="0" w:color="auto"/>
              <w:right w:val="single" w:sz="4" w:space="0" w:color="auto"/>
            </w:tcBorders>
            <w:vAlign w:val="center"/>
          </w:tcPr>
          <w:p w14:paraId="30C6D829" w14:textId="77777777" w:rsidR="00A320E6" w:rsidRDefault="00000000" w:rsidP="00AE0286">
            <w:pPr>
              <w:rPr>
                <w:rFonts w:ascii="宋体" w:hAnsi="宋体" w:cs="宋体"/>
                <w:szCs w:val="21"/>
              </w:rPr>
            </w:pPr>
            <w:r>
              <w:rPr>
                <w:rFonts w:ascii="宋体" w:hAnsi="宋体" w:cs="宋体" w:hint="eastAsia"/>
                <w:szCs w:val="21"/>
              </w:rPr>
              <w:t>一年及以上</w:t>
            </w:r>
          </w:p>
        </w:tc>
        <w:tc>
          <w:tcPr>
            <w:tcW w:w="962" w:type="pct"/>
            <w:tcBorders>
              <w:top w:val="single" w:sz="4" w:space="0" w:color="auto"/>
              <w:left w:val="single" w:sz="4" w:space="0" w:color="auto"/>
              <w:right w:val="single" w:sz="4" w:space="0" w:color="auto"/>
            </w:tcBorders>
            <w:vAlign w:val="center"/>
          </w:tcPr>
          <w:p w14:paraId="575F71F0" w14:textId="77777777" w:rsidR="00A320E6" w:rsidRDefault="00000000" w:rsidP="00AE0286">
            <w:pPr>
              <w:jc w:val="center"/>
              <w:rPr>
                <w:rFonts w:ascii="宋体" w:hAnsi="宋体" w:cs="宋体"/>
                <w:szCs w:val="21"/>
              </w:rPr>
            </w:pPr>
            <w:r>
              <w:rPr>
                <w:rFonts w:ascii="宋体" w:hAnsi="宋体" w:cs="宋体" w:hint="eastAsia"/>
                <w:szCs w:val="21"/>
              </w:rPr>
              <w:t>8-15元/株</w:t>
            </w:r>
          </w:p>
        </w:tc>
        <w:tc>
          <w:tcPr>
            <w:tcW w:w="1602" w:type="pct"/>
            <w:vMerge/>
            <w:tcBorders>
              <w:left w:val="single" w:sz="4" w:space="0" w:color="auto"/>
              <w:right w:val="single" w:sz="4" w:space="0" w:color="auto"/>
            </w:tcBorders>
            <w:vAlign w:val="center"/>
          </w:tcPr>
          <w:p w14:paraId="03A2E440" w14:textId="77777777" w:rsidR="00A320E6" w:rsidRDefault="00A320E6" w:rsidP="00AE0286">
            <w:pPr>
              <w:spacing w:before="100" w:beforeAutospacing="1" w:after="100" w:afterAutospacing="1" w:line="400" w:lineRule="exact"/>
              <w:jc w:val="left"/>
              <w:rPr>
                <w:rFonts w:ascii="宋体" w:hAnsi="宋体" w:cs="宋体"/>
                <w:kern w:val="0"/>
                <w:szCs w:val="21"/>
              </w:rPr>
            </w:pPr>
          </w:p>
        </w:tc>
      </w:tr>
      <w:tr w:rsidR="00A320E6" w14:paraId="18FF874A" w14:textId="77777777" w:rsidTr="00A1539E">
        <w:trPr>
          <w:trHeight w:val="454"/>
          <w:jc w:val="center"/>
        </w:trPr>
        <w:tc>
          <w:tcPr>
            <w:tcW w:w="386" w:type="pct"/>
            <w:vMerge/>
            <w:tcBorders>
              <w:left w:val="single" w:sz="4" w:space="0" w:color="auto"/>
              <w:right w:val="single" w:sz="4" w:space="0" w:color="auto"/>
            </w:tcBorders>
            <w:vAlign w:val="center"/>
          </w:tcPr>
          <w:p w14:paraId="79AD604B" w14:textId="77777777" w:rsidR="00A320E6" w:rsidRDefault="00A320E6" w:rsidP="00AE0286">
            <w:pPr>
              <w:spacing w:before="100" w:beforeAutospacing="1" w:after="100" w:afterAutospacing="1"/>
              <w:jc w:val="center"/>
              <w:rPr>
                <w:rFonts w:ascii="宋体" w:hAnsi="宋体" w:cs="宋体"/>
                <w:kern w:val="0"/>
                <w:szCs w:val="21"/>
              </w:rPr>
            </w:pPr>
          </w:p>
        </w:tc>
        <w:tc>
          <w:tcPr>
            <w:tcW w:w="496" w:type="pct"/>
            <w:vMerge/>
            <w:tcBorders>
              <w:left w:val="single" w:sz="4" w:space="0" w:color="auto"/>
              <w:right w:val="single" w:sz="4" w:space="0" w:color="auto"/>
            </w:tcBorders>
            <w:vAlign w:val="center"/>
          </w:tcPr>
          <w:p w14:paraId="0B540A92" w14:textId="77777777" w:rsidR="00A320E6" w:rsidRDefault="00A320E6" w:rsidP="00AE0286">
            <w:pPr>
              <w:spacing w:before="100" w:beforeAutospacing="1" w:after="100" w:afterAutospacing="1"/>
              <w:jc w:val="center"/>
              <w:rPr>
                <w:rFonts w:ascii="宋体" w:hAnsi="宋体" w:cs="宋体"/>
                <w:kern w:val="0"/>
                <w:szCs w:val="21"/>
              </w:rPr>
            </w:pPr>
          </w:p>
        </w:tc>
        <w:tc>
          <w:tcPr>
            <w:tcW w:w="613" w:type="pct"/>
            <w:vMerge w:val="restart"/>
            <w:tcBorders>
              <w:top w:val="single" w:sz="4" w:space="0" w:color="auto"/>
              <w:left w:val="single" w:sz="4" w:space="0" w:color="auto"/>
              <w:right w:val="single" w:sz="4" w:space="0" w:color="auto"/>
            </w:tcBorders>
            <w:vAlign w:val="center"/>
          </w:tcPr>
          <w:p w14:paraId="3226371E" w14:textId="77777777" w:rsidR="00A320E6" w:rsidRDefault="00000000" w:rsidP="00AE0286">
            <w:pPr>
              <w:jc w:val="center"/>
              <w:rPr>
                <w:rFonts w:ascii="宋体" w:hAnsi="宋体" w:cs="宋体"/>
                <w:kern w:val="0"/>
                <w:szCs w:val="21"/>
              </w:rPr>
            </w:pPr>
            <w:r>
              <w:rPr>
                <w:rFonts w:ascii="宋体" w:hAnsi="宋体" w:cs="宋体" w:hint="eastAsia"/>
                <w:szCs w:val="21"/>
              </w:rPr>
              <w:t>实生芍药</w:t>
            </w:r>
          </w:p>
        </w:tc>
        <w:tc>
          <w:tcPr>
            <w:tcW w:w="942" w:type="pct"/>
            <w:gridSpan w:val="2"/>
            <w:tcBorders>
              <w:top w:val="single" w:sz="4" w:space="0" w:color="auto"/>
              <w:left w:val="single" w:sz="4" w:space="0" w:color="auto"/>
              <w:right w:val="single" w:sz="4" w:space="0" w:color="auto"/>
            </w:tcBorders>
            <w:vAlign w:val="center"/>
          </w:tcPr>
          <w:p w14:paraId="7F1D3696" w14:textId="77777777" w:rsidR="00A320E6" w:rsidRDefault="00000000" w:rsidP="00AE0286">
            <w:pPr>
              <w:rPr>
                <w:rFonts w:ascii="宋体" w:hAnsi="宋体" w:cs="宋体"/>
                <w:szCs w:val="21"/>
              </w:rPr>
            </w:pPr>
            <w:r>
              <w:rPr>
                <w:rFonts w:ascii="宋体" w:hAnsi="宋体" w:cs="宋体" w:hint="eastAsia"/>
                <w:szCs w:val="21"/>
              </w:rPr>
              <w:t>一年以内</w:t>
            </w:r>
          </w:p>
        </w:tc>
        <w:tc>
          <w:tcPr>
            <w:tcW w:w="962" w:type="pct"/>
            <w:tcBorders>
              <w:top w:val="single" w:sz="4" w:space="0" w:color="auto"/>
              <w:left w:val="single" w:sz="4" w:space="0" w:color="auto"/>
              <w:right w:val="single" w:sz="4" w:space="0" w:color="auto"/>
            </w:tcBorders>
            <w:vAlign w:val="center"/>
          </w:tcPr>
          <w:p w14:paraId="1EC41DA4" w14:textId="77777777" w:rsidR="00A320E6" w:rsidRDefault="00000000" w:rsidP="00AE0286">
            <w:pPr>
              <w:jc w:val="center"/>
              <w:rPr>
                <w:rFonts w:ascii="宋体" w:hAnsi="宋体" w:cs="宋体"/>
                <w:szCs w:val="21"/>
              </w:rPr>
            </w:pPr>
            <w:r>
              <w:rPr>
                <w:rFonts w:ascii="宋体" w:hAnsi="宋体" w:cs="宋体" w:hint="eastAsia"/>
                <w:szCs w:val="21"/>
              </w:rPr>
              <w:t>0.5元/株</w:t>
            </w:r>
          </w:p>
        </w:tc>
        <w:tc>
          <w:tcPr>
            <w:tcW w:w="1602" w:type="pct"/>
            <w:vMerge w:val="restart"/>
            <w:tcBorders>
              <w:top w:val="single" w:sz="4" w:space="0" w:color="auto"/>
              <w:left w:val="single" w:sz="4" w:space="0" w:color="auto"/>
              <w:right w:val="single" w:sz="4" w:space="0" w:color="auto"/>
            </w:tcBorders>
            <w:vAlign w:val="center"/>
          </w:tcPr>
          <w:p w14:paraId="64B1EDE0"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1、成片种植，每亩最高补偿15000元。2、原植株归原主。</w:t>
            </w:r>
          </w:p>
        </w:tc>
      </w:tr>
      <w:tr w:rsidR="00A320E6" w14:paraId="340200F8" w14:textId="77777777" w:rsidTr="00A1539E">
        <w:trPr>
          <w:trHeight w:val="454"/>
          <w:jc w:val="center"/>
        </w:trPr>
        <w:tc>
          <w:tcPr>
            <w:tcW w:w="386" w:type="pct"/>
            <w:vMerge/>
            <w:tcBorders>
              <w:left w:val="single" w:sz="4" w:space="0" w:color="auto"/>
              <w:right w:val="single" w:sz="4" w:space="0" w:color="auto"/>
            </w:tcBorders>
            <w:vAlign w:val="center"/>
          </w:tcPr>
          <w:p w14:paraId="1DF5DE5A" w14:textId="77777777" w:rsidR="00A320E6" w:rsidRDefault="00A320E6" w:rsidP="00AE0286">
            <w:pPr>
              <w:spacing w:before="100" w:beforeAutospacing="1" w:after="100" w:afterAutospacing="1"/>
              <w:jc w:val="center"/>
              <w:rPr>
                <w:rFonts w:ascii="宋体" w:hAnsi="宋体" w:cs="宋体"/>
                <w:kern w:val="0"/>
                <w:szCs w:val="21"/>
              </w:rPr>
            </w:pPr>
          </w:p>
        </w:tc>
        <w:tc>
          <w:tcPr>
            <w:tcW w:w="496" w:type="pct"/>
            <w:vMerge/>
            <w:tcBorders>
              <w:left w:val="single" w:sz="4" w:space="0" w:color="auto"/>
              <w:right w:val="single" w:sz="4" w:space="0" w:color="auto"/>
            </w:tcBorders>
            <w:vAlign w:val="center"/>
          </w:tcPr>
          <w:p w14:paraId="7C5FEC92" w14:textId="77777777" w:rsidR="00A320E6" w:rsidRDefault="00A320E6" w:rsidP="00AE0286">
            <w:pPr>
              <w:spacing w:before="100" w:beforeAutospacing="1" w:after="100" w:afterAutospacing="1"/>
              <w:jc w:val="center"/>
              <w:rPr>
                <w:rFonts w:ascii="宋体" w:hAnsi="宋体" w:cs="宋体"/>
                <w:kern w:val="0"/>
                <w:szCs w:val="21"/>
              </w:rPr>
            </w:pPr>
          </w:p>
        </w:tc>
        <w:tc>
          <w:tcPr>
            <w:tcW w:w="613" w:type="pct"/>
            <w:vMerge/>
            <w:tcBorders>
              <w:left w:val="single" w:sz="4" w:space="0" w:color="auto"/>
              <w:right w:val="single" w:sz="4" w:space="0" w:color="auto"/>
            </w:tcBorders>
            <w:vAlign w:val="center"/>
          </w:tcPr>
          <w:p w14:paraId="0703A0FE" w14:textId="77777777" w:rsidR="00A320E6" w:rsidRDefault="00A320E6" w:rsidP="00AE0286">
            <w:pPr>
              <w:ind w:left="720" w:hanging="720"/>
              <w:jc w:val="center"/>
              <w:rPr>
                <w:rFonts w:ascii="宋体" w:hAnsi="宋体" w:cs="宋体"/>
                <w:kern w:val="0"/>
                <w:szCs w:val="21"/>
              </w:rPr>
            </w:pPr>
          </w:p>
        </w:tc>
        <w:tc>
          <w:tcPr>
            <w:tcW w:w="942" w:type="pct"/>
            <w:gridSpan w:val="2"/>
            <w:tcBorders>
              <w:top w:val="single" w:sz="4" w:space="0" w:color="auto"/>
              <w:left w:val="single" w:sz="4" w:space="0" w:color="auto"/>
              <w:right w:val="single" w:sz="4" w:space="0" w:color="auto"/>
            </w:tcBorders>
            <w:vAlign w:val="center"/>
          </w:tcPr>
          <w:p w14:paraId="3143DECE" w14:textId="77777777" w:rsidR="00A320E6" w:rsidRDefault="00000000" w:rsidP="00AE0286">
            <w:pPr>
              <w:rPr>
                <w:rFonts w:ascii="宋体" w:hAnsi="宋体" w:cs="宋体"/>
                <w:szCs w:val="21"/>
              </w:rPr>
            </w:pPr>
            <w:r>
              <w:rPr>
                <w:rFonts w:ascii="宋体" w:hAnsi="宋体" w:cs="宋体" w:hint="eastAsia"/>
                <w:szCs w:val="21"/>
              </w:rPr>
              <w:t>一年及以上</w:t>
            </w:r>
          </w:p>
        </w:tc>
        <w:tc>
          <w:tcPr>
            <w:tcW w:w="962" w:type="pct"/>
            <w:tcBorders>
              <w:top w:val="single" w:sz="4" w:space="0" w:color="auto"/>
              <w:left w:val="single" w:sz="4" w:space="0" w:color="auto"/>
              <w:right w:val="single" w:sz="4" w:space="0" w:color="auto"/>
            </w:tcBorders>
            <w:vAlign w:val="center"/>
          </w:tcPr>
          <w:p w14:paraId="13C756F6" w14:textId="77777777" w:rsidR="00A320E6" w:rsidRDefault="00000000" w:rsidP="00AE0286">
            <w:pPr>
              <w:jc w:val="center"/>
              <w:rPr>
                <w:rFonts w:ascii="宋体" w:hAnsi="宋体" w:cs="宋体"/>
                <w:szCs w:val="21"/>
              </w:rPr>
            </w:pPr>
            <w:r>
              <w:rPr>
                <w:rFonts w:ascii="宋体" w:hAnsi="宋体" w:cs="宋体" w:hint="eastAsia"/>
                <w:szCs w:val="21"/>
              </w:rPr>
              <w:t>1-5元/株</w:t>
            </w:r>
          </w:p>
        </w:tc>
        <w:tc>
          <w:tcPr>
            <w:tcW w:w="1602" w:type="pct"/>
            <w:vMerge/>
            <w:tcBorders>
              <w:left w:val="single" w:sz="4" w:space="0" w:color="auto"/>
              <w:right w:val="single" w:sz="4" w:space="0" w:color="auto"/>
            </w:tcBorders>
            <w:vAlign w:val="center"/>
          </w:tcPr>
          <w:p w14:paraId="615FD1D7" w14:textId="77777777" w:rsidR="00A320E6" w:rsidRDefault="00A320E6" w:rsidP="00AE0286">
            <w:pPr>
              <w:jc w:val="center"/>
              <w:rPr>
                <w:rFonts w:ascii="宋体" w:hAnsi="宋体" w:cs="宋体"/>
                <w:kern w:val="0"/>
                <w:szCs w:val="21"/>
              </w:rPr>
            </w:pPr>
          </w:p>
        </w:tc>
      </w:tr>
      <w:tr w:rsidR="00A320E6" w14:paraId="616E022E" w14:textId="77777777" w:rsidTr="00A1539E">
        <w:trPr>
          <w:trHeight w:val="454"/>
          <w:jc w:val="center"/>
        </w:trPr>
        <w:tc>
          <w:tcPr>
            <w:tcW w:w="386" w:type="pct"/>
            <w:tcBorders>
              <w:top w:val="single" w:sz="4" w:space="0" w:color="auto"/>
              <w:left w:val="single" w:sz="4" w:space="0" w:color="auto"/>
              <w:right w:val="single" w:sz="4" w:space="0" w:color="auto"/>
            </w:tcBorders>
            <w:vAlign w:val="center"/>
          </w:tcPr>
          <w:p w14:paraId="4BEBF818" w14:textId="77777777" w:rsidR="00A320E6" w:rsidRDefault="00000000" w:rsidP="00AE0286">
            <w:pPr>
              <w:jc w:val="center"/>
              <w:rPr>
                <w:rFonts w:ascii="宋体" w:hAnsi="宋体" w:cs="宋体"/>
                <w:szCs w:val="21"/>
              </w:rPr>
            </w:pPr>
            <w:r>
              <w:rPr>
                <w:rFonts w:ascii="宋体" w:hAnsi="宋体" w:cs="宋体" w:hint="eastAsia"/>
                <w:szCs w:val="21"/>
              </w:rPr>
              <w:t>6</w:t>
            </w:r>
          </w:p>
        </w:tc>
        <w:tc>
          <w:tcPr>
            <w:tcW w:w="496" w:type="pct"/>
            <w:tcBorders>
              <w:top w:val="single" w:sz="4" w:space="0" w:color="auto"/>
              <w:left w:val="single" w:sz="4" w:space="0" w:color="auto"/>
              <w:right w:val="single" w:sz="4" w:space="0" w:color="auto"/>
            </w:tcBorders>
            <w:vAlign w:val="center"/>
          </w:tcPr>
          <w:p w14:paraId="36998DEE" w14:textId="77777777" w:rsidR="00A320E6" w:rsidRDefault="00000000" w:rsidP="00AE0286">
            <w:pPr>
              <w:ind w:left="720" w:hanging="720"/>
              <w:jc w:val="center"/>
              <w:rPr>
                <w:rFonts w:ascii="宋体" w:hAnsi="宋体" w:cs="宋体"/>
                <w:szCs w:val="21"/>
              </w:rPr>
            </w:pPr>
            <w:r>
              <w:rPr>
                <w:rFonts w:ascii="宋体" w:hAnsi="宋体" w:cs="宋体" w:hint="eastAsia"/>
                <w:szCs w:val="21"/>
              </w:rPr>
              <w:t>草坪</w:t>
            </w:r>
          </w:p>
          <w:p w14:paraId="3BE6BBCD" w14:textId="77777777" w:rsidR="00A320E6" w:rsidRDefault="00000000" w:rsidP="00AE0286">
            <w:pPr>
              <w:ind w:left="720" w:hanging="720"/>
              <w:jc w:val="center"/>
              <w:rPr>
                <w:rFonts w:ascii="宋体" w:hAnsi="宋体" w:cs="宋体"/>
                <w:szCs w:val="21"/>
              </w:rPr>
            </w:pPr>
            <w:r>
              <w:rPr>
                <w:rFonts w:ascii="宋体" w:hAnsi="宋体" w:cs="宋体" w:hint="eastAsia"/>
                <w:szCs w:val="21"/>
              </w:rPr>
              <w:t>绿地</w:t>
            </w:r>
          </w:p>
        </w:tc>
        <w:tc>
          <w:tcPr>
            <w:tcW w:w="1555" w:type="pct"/>
            <w:gridSpan w:val="3"/>
            <w:tcBorders>
              <w:top w:val="single" w:sz="4" w:space="0" w:color="auto"/>
              <w:left w:val="single" w:sz="4" w:space="0" w:color="auto"/>
              <w:right w:val="single" w:sz="4" w:space="0" w:color="auto"/>
            </w:tcBorders>
            <w:vAlign w:val="center"/>
          </w:tcPr>
          <w:p w14:paraId="1DBF873C" w14:textId="77777777" w:rsidR="00A320E6" w:rsidRDefault="00000000" w:rsidP="00AE0286">
            <w:pPr>
              <w:rPr>
                <w:rFonts w:ascii="宋体" w:hAnsi="宋体" w:cs="宋体"/>
                <w:szCs w:val="21"/>
              </w:rPr>
            </w:pPr>
            <w:r>
              <w:rPr>
                <w:rFonts w:ascii="宋体" w:hAnsi="宋体" w:cs="宋体" w:hint="eastAsia"/>
                <w:szCs w:val="21"/>
              </w:rPr>
              <w:t>人工种植绿地或草坪</w:t>
            </w:r>
          </w:p>
        </w:tc>
        <w:tc>
          <w:tcPr>
            <w:tcW w:w="962" w:type="pct"/>
            <w:tcBorders>
              <w:top w:val="single" w:sz="4" w:space="0" w:color="auto"/>
              <w:left w:val="single" w:sz="4" w:space="0" w:color="auto"/>
              <w:right w:val="single" w:sz="4" w:space="0" w:color="auto"/>
            </w:tcBorders>
            <w:vAlign w:val="center"/>
          </w:tcPr>
          <w:p w14:paraId="57B3C184" w14:textId="77777777" w:rsidR="00A320E6" w:rsidRDefault="00000000" w:rsidP="00AE0286">
            <w:pPr>
              <w:jc w:val="center"/>
              <w:rPr>
                <w:rFonts w:ascii="宋体" w:hAnsi="宋体" w:cs="宋体"/>
                <w:szCs w:val="21"/>
              </w:rPr>
            </w:pPr>
            <w:r>
              <w:rPr>
                <w:rFonts w:ascii="宋体" w:hAnsi="宋体" w:cs="宋体" w:hint="eastAsia"/>
                <w:szCs w:val="21"/>
              </w:rPr>
              <w:t>10-20元/㎡</w:t>
            </w:r>
          </w:p>
        </w:tc>
        <w:tc>
          <w:tcPr>
            <w:tcW w:w="1602" w:type="pct"/>
            <w:tcBorders>
              <w:top w:val="single" w:sz="4" w:space="0" w:color="auto"/>
              <w:left w:val="single" w:sz="4" w:space="0" w:color="auto"/>
              <w:right w:val="single" w:sz="4" w:space="0" w:color="auto"/>
            </w:tcBorders>
            <w:vAlign w:val="center"/>
          </w:tcPr>
          <w:p w14:paraId="2613D20D" w14:textId="77777777" w:rsidR="00A320E6" w:rsidRDefault="00A320E6" w:rsidP="00AE0286">
            <w:pPr>
              <w:jc w:val="center"/>
              <w:rPr>
                <w:rFonts w:ascii="宋体" w:hAnsi="宋体" w:cs="宋体"/>
                <w:kern w:val="0"/>
                <w:szCs w:val="21"/>
              </w:rPr>
            </w:pPr>
          </w:p>
        </w:tc>
      </w:tr>
    </w:tbl>
    <w:p w14:paraId="54568729" w14:textId="77777777" w:rsidR="00A320E6" w:rsidRDefault="00000000" w:rsidP="00A1539E">
      <w:pPr>
        <w:pStyle w:val="1a"/>
      </w:pPr>
      <w:r>
        <w:rPr>
          <w:rFonts w:hint="eastAsia"/>
        </w:rPr>
        <w:t>三、果树类</w:t>
      </w:r>
    </w:p>
    <w:tbl>
      <w:tblPr>
        <w:tblW w:w="5000" w:type="pct"/>
        <w:jc w:val="center"/>
        <w:tblCellMar>
          <w:left w:w="57" w:type="dxa"/>
          <w:right w:w="57" w:type="dxa"/>
        </w:tblCellMar>
        <w:tblLook w:val="04A0" w:firstRow="1" w:lastRow="0" w:firstColumn="1" w:lastColumn="0" w:noHBand="0" w:noVBand="1"/>
      </w:tblPr>
      <w:tblGrid>
        <w:gridCol w:w="724"/>
        <w:gridCol w:w="822"/>
        <w:gridCol w:w="2480"/>
        <w:gridCol w:w="1986"/>
        <w:gridCol w:w="2832"/>
      </w:tblGrid>
      <w:tr w:rsidR="00A320E6" w14:paraId="6846BC22" w14:textId="77777777" w:rsidTr="00A1539E">
        <w:trPr>
          <w:trHeight w:val="454"/>
          <w:tblHeader/>
          <w:jc w:val="center"/>
        </w:trPr>
        <w:tc>
          <w:tcPr>
            <w:tcW w:w="409" w:type="pct"/>
            <w:tcBorders>
              <w:top w:val="single" w:sz="4" w:space="0" w:color="auto"/>
              <w:left w:val="single" w:sz="4" w:space="0" w:color="auto"/>
              <w:bottom w:val="single" w:sz="4" w:space="0" w:color="auto"/>
              <w:right w:val="single" w:sz="4" w:space="0" w:color="auto"/>
            </w:tcBorders>
            <w:vAlign w:val="center"/>
          </w:tcPr>
          <w:p w14:paraId="168C11AE" w14:textId="77777777" w:rsidR="00A320E6" w:rsidRDefault="00000000" w:rsidP="00AE0286">
            <w:pPr>
              <w:jc w:val="center"/>
              <w:rPr>
                <w:rFonts w:ascii="宋体" w:hAnsi="宋体" w:cs="宋体"/>
                <w:kern w:val="0"/>
                <w:szCs w:val="21"/>
              </w:rPr>
            </w:pPr>
            <w:r>
              <w:rPr>
                <w:rFonts w:ascii="宋体" w:hAnsi="宋体" w:cs="宋体" w:hint="eastAsia"/>
                <w:kern w:val="0"/>
                <w:szCs w:val="21"/>
              </w:rPr>
              <w:t>序号</w:t>
            </w:r>
          </w:p>
        </w:tc>
        <w:tc>
          <w:tcPr>
            <w:tcW w:w="465" w:type="pct"/>
            <w:tcBorders>
              <w:top w:val="single" w:sz="4" w:space="0" w:color="auto"/>
              <w:left w:val="single" w:sz="4" w:space="0" w:color="auto"/>
              <w:bottom w:val="single" w:sz="4" w:space="0" w:color="auto"/>
              <w:right w:val="single" w:sz="4" w:space="0" w:color="auto"/>
            </w:tcBorders>
            <w:vAlign w:val="center"/>
          </w:tcPr>
          <w:p w14:paraId="168EF543" w14:textId="77777777" w:rsidR="00A320E6" w:rsidRDefault="00000000" w:rsidP="00AE0286">
            <w:pPr>
              <w:ind w:leftChars="50" w:left="825" w:hanging="720"/>
              <w:jc w:val="center"/>
              <w:rPr>
                <w:rFonts w:ascii="宋体" w:hAnsi="宋体" w:cs="宋体"/>
                <w:kern w:val="0"/>
                <w:szCs w:val="21"/>
              </w:rPr>
            </w:pPr>
            <w:r>
              <w:rPr>
                <w:rFonts w:ascii="宋体" w:hAnsi="宋体" w:cs="宋体" w:hint="eastAsia"/>
                <w:kern w:val="0"/>
                <w:szCs w:val="21"/>
              </w:rPr>
              <w:t>名称</w:t>
            </w:r>
          </w:p>
        </w:tc>
        <w:tc>
          <w:tcPr>
            <w:tcW w:w="1402" w:type="pct"/>
            <w:tcBorders>
              <w:top w:val="single" w:sz="4" w:space="0" w:color="auto"/>
              <w:left w:val="nil"/>
              <w:bottom w:val="single" w:sz="4" w:space="0" w:color="auto"/>
              <w:right w:val="single" w:sz="4" w:space="0" w:color="auto"/>
            </w:tcBorders>
            <w:vAlign w:val="center"/>
          </w:tcPr>
          <w:p w14:paraId="0563D5E6" w14:textId="77777777" w:rsidR="00A320E6" w:rsidRDefault="00000000" w:rsidP="00AE0286">
            <w:pPr>
              <w:ind w:leftChars="50" w:left="825" w:hanging="720"/>
              <w:jc w:val="center"/>
              <w:rPr>
                <w:rFonts w:ascii="宋体" w:hAnsi="宋体" w:cs="宋体"/>
                <w:kern w:val="0"/>
                <w:szCs w:val="21"/>
              </w:rPr>
            </w:pPr>
            <w:r>
              <w:rPr>
                <w:rFonts w:ascii="宋体" w:hAnsi="宋体" w:cs="宋体" w:hint="eastAsia"/>
                <w:kern w:val="0"/>
                <w:szCs w:val="21"/>
              </w:rPr>
              <w:t>类型</w:t>
            </w:r>
          </w:p>
        </w:tc>
        <w:tc>
          <w:tcPr>
            <w:tcW w:w="1123" w:type="pct"/>
            <w:tcBorders>
              <w:top w:val="single" w:sz="4" w:space="0" w:color="auto"/>
              <w:left w:val="nil"/>
              <w:bottom w:val="single" w:sz="4" w:space="0" w:color="auto"/>
              <w:right w:val="single" w:sz="4" w:space="0" w:color="auto"/>
            </w:tcBorders>
            <w:vAlign w:val="center"/>
          </w:tcPr>
          <w:p w14:paraId="621181C3" w14:textId="77777777" w:rsidR="00A320E6" w:rsidRDefault="00000000" w:rsidP="00AE0286">
            <w:pPr>
              <w:jc w:val="center"/>
              <w:rPr>
                <w:rFonts w:ascii="宋体" w:hAnsi="宋体" w:cs="宋体"/>
                <w:szCs w:val="21"/>
              </w:rPr>
            </w:pPr>
            <w:r>
              <w:rPr>
                <w:rFonts w:ascii="宋体" w:hAnsi="宋体" w:cs="宋体" w:hint="eastAsia"/>
                <w:szCs w:val="21"/>
              </w:rPr>
              <w:t>补偿标准</w:t>
            </w:r>
          </w:p>
        </w:tc>
        <w:tc>
          <w:tcPr>
            <w:tcW w:w="1602" w:type="pct"/>
            <w:tcBorders>
              <w:top w:val="single" w:sz="4" w:space="0" w:color="auto"/>
              <w:left w:val="nil"/>
              <w:bottom w:val="single" w:sz="4" w:space="0" w:color="auto"/>
              <w:right w:val="single" w:sz="4" w:space="0" w:color="auto"/>
            </w:tcBorders>
            <w:vAlign w:val="center"/>
          </w:tcPr>
          <w:p w14:paraId="54AC124B" w14:textId="77777777" w:rsidR="00A320E6" w:rsidRDefault="00000000" w:rsidP="00AE0286">
            <w:pPr>
              <w:tabs>
                <w:tab w:val="left" w:pos="1927"/>
              </w:tabs>
              <w:ind w:leftChars="50" w:left="825" w:hanging="720"/>
              <w:jc w:val="center"/>
              <w:rPr>
                <w:rFonts w:ascii="宋体" w:hAnsi="宋体" w:cs="宋体"/>
                <w:kern w:val="0"/>
                <w:szCs w:val="21"/>
              </w:rPr>
            </w:pPr>
            <w:r>
              <w:rPr>
                <w:rFonts w:ascii="宋体" w:hAnsi="宋体" w:cs="宋体" w:hint="eastAsia"/>
                <w:kern w:val="0"/>
                <w:szCs w:val="21"/>
              </w:rPr>
              <w:t>备注</w:t>
            </w:r>
          </w:p>
        </w:tc>
      </w:tr>
      <w:tr w:rsidR="00A320E6" w14:paraId="7B2AB0E9" w14:textId="77777777" w:rsidTr="00A1539E">
        <w:trPr>
          <w:trHeight w:val="454"/>
          <w:jc w:val="center"/>
        </w:trPr>
        <w:tc>
          <w:tcPr>
            <w:tcW w:w="409" w:type="pct"/>
            <w:vMerge w:val="restart"/>
            <w:tcBorders>
              <w:top w:val="single" w:sz="4" w:space="0" w:color="auto"/>
              <w:left w:val="single" w:sz="4" w:space="0" w:color="auto"/>
              <w:right w:val="single" w:sz="4" w:space="0" w:color="auto"/>
            </w:tcBorders>
            <w:vAlign w:val="center"/>
          </w:tcPr>
          <w:p w14:paraId="7CAC4BF9" w14:textId="77777777" w:rsidR="00A320E6" w:rsidRDefault="00000000" w:rsidP="00AE0286">
            <w:pPr>
              <w:jc w:val="center"/>
              <w:rPr>
                <w:rFonts w:ascii="宋体" w:hAnsi="宋体" w:cs="宋体"/>
                <w:szCs w:val="21"/>
              </w:rPr>
            </w:pPr>
            <w:r>
              <w:rPr>
                <w:rFonts w:ascii="宋体" w:hAnsi="宋体" w:cs="宋体" w:hint="eastAsia"/>
                <w:szCs w:val="21"/>
              </w:rPr>
              <w:t>1</w:t>
            </w:r>
          </w:p>
        </w:tc>
        <w:tc>
          <w:tcPr>
            <w:tcW w:w="465" w:type="pct"/>
            <w:vMerge w:val="restart"/>
            <w:tcBorders>
              <w:top w:val="single" w:sz="4" w:space="0" w:color="auto"/>
              <w:left w:val="single" w:sz="4" w:space="0" w:color="auto"/>
              <w:right w:val="single" w:sz="4" w:space="0" w:color="auto"/>
            </w:tcBorders>
            <w:vAlign w:val="center"/>
          </w:tcPr>
          <w:p w14:paraId="78EB97AC" w14:textId="77777777" w:rsidR="00A320E6" w:rsidRDefault="00000000" w:rsidP="00AE0286">
            <w:pPr>
              <w:ind w:left="720" w:hanging="720"/>
              <w:jc w:val="center"/>
              <w:rPr>
                <w:rFonts w:ascii="宋体" w:hAnsi="宋体" w:cs="宋体"/>
                <w:szCs w:val="21"/>
              </w:rPr>
            </w:pPr>
            <w:r>
              <w:rPr>
                <w:rFonts w:ascii="宋体" w:hAnsi="宋体" w:cs="宋体" w:hint="eastAsia"/>
                <w:szCs w:val="21"/>
              </w:rPr>
              <w:t>水果树</w:t>
            </w:r>
          </w:p>
        </w:tc>
        <w:tc>
          <w:tcPr>
            <w:tcW w:w="1402" w:type="pct"/>
            <w:tcBorders>
              <w:top w:val="nil"/>
              <w:left w:val="nil"/>
              <w:right w:val="single" w:sz="4" w:space="0" w:color="auto"/>
            </w:tcBorders>
            <w:vAlign w:val="center"/>
          </w:tcPr>
          <w:p w14:paraId="0126AA62" w14:textId="77777777" w:rsidR="00A320E6" w:rsidRDefault="00000000" w:rsidP="00AE0286">
            <w:pPr>
              <w:rPr>
                <w:rFonts w:ascii="宋体" w:hAnsi="宋体" w:cs="宋体"/>
                <w:szCs w:val="21"/>
              </w:rPr>
            </w:pPr>
            <w:r>
              <w:rPr>
                <w:rFonts w:ascii="宋体" w:hAnsi="宋体" w:cs="宋体" w:hint="eastAsia"/>
                <w:szCs w:val="21"/>
              </w:rPr>
              <w:t>幼龄期</w:t>
            </w:r>
          </w:p>
        </w:tc>
        <w:tc>
          <w:tcPr>
            <w:tcW w:w="1123" w:type="pct"/>
            <w:tcBorders>
              <w:top w:val="single" w:sz="4" w:space="0" w:color="auto"/>
              <w:left w:val="nil"/>
              <w:right w:val="single" w:sz="4" w:space="0" w:color="auto"/>
            </w:tcBorders>
            <w:vAlign w:val="center"/>
          </w:tcPr>
          <w:p w14:paraId="43631FAF" w14:textId="77777777" w:rsidR="00A320E6" w:rsidRDefault="00000000" w:rsidP="00AE0286">
            <w:pPr>
              <w:jc w:val="center"/>
              <w:rPr>
                <w:rFonts w:ascii="宋体" w:hAnsi="宋体" w:cs="宋体"/>
                <w:szCs w:val="21"/>
              </w:rPr>
            </w:pPr>
            <w:r>
              <w:rPr>
                <w:rFonts w:ascii="宋体" w:hAnsi="宋体" w:cs="宋体" w:hint="eastAsia"/>
                <w:szCs w:val="21"/>
              </w:rPr>
              <w:t>10-30元/株</w:t>
            </w:r>
          </w:p>
        </w:tc>
        <w:tc>
          <w:tcPr>
            <w:tcW w:w="1602" w:type="pct"/>
            <w:vMerge w:val="restart"/>
            <w:tcBorders>
              <w:top w:val="single" w:sz="4" w:space="0" w:color="auto"/>
              <w:left w:val="nil"/>
              <w:right w:val="single" w:sz="4" w:space="0" w:color="auto"/>
            </w:tcBorders>
            <w:vAlign w:val="center"/>
          </w:tcPr>
          <w:p w14:paraId="4CC34B40"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1、包括苹果、梨、杏、樱桃、桃等树种。种植密度每亩地最高不超过85株。葡萄种植密度每亩地最高不超过350株。2、树归原主。</w:t>
            </w:r>
          </w:p>
        </w:tc>
      </w:tr>
      <w:tr w:rsidR="00A320E6" w14:paraId="028BE36F" w14:textId="77777777" w:rsidTr="00A1539E">
        <w:trPr>
          <w:trHeight w:val="454"/>
          <w:jc w:val="center"/>
        </w:trPr>
        <w:tc>
          <w:tcPr>
            <w:tcW w:w="409" w:type="pct"/>
            <w:vMerge/>
            <w:tcBorders>
              <w:left w:val="single" w:sz="4" w:space="0" w:color="auto"/>
              <w:right w:val="single" w:sz="4" w:space="0" w:color="auto"/>
            </w:tcBorders>
            <w:vAlign w:val="center"/>
          </w:tcPr>
          <w:p w14:paraId="2FD1D29B" w14:textId="77777777" w:rsidR="00A320E6" w:rsidRDefault="00A320E6" w:rsidP="00AE0286">
            <w:pPr>
              <w:jc w:val="center"/>
              <w:rPr>
                <w:rFonts w:ascii="宋体" w:hAnsi="宋体" w:cs="宋体"/>
                <w:szCs w:val="21"/>
              </w:rPr>
            </w:pPr>
          </w:p>
        </w:tc>
        <w:tc>
          <w:tcPr>
            <w:tcW w:w="465" w:type="pct"/>
            <w:vMerge/>
            <w:tcBorders>
              <w:left w:val="single" w:sz="4" w:space="0" w:color="auto"/>
              <w:right w:val="single" w:sz="4" w:space="0" w:color="auto"/>
            </w:tcBorders>
            <w:vAlign w:val="center"/>
          </w:tcPr>
          <w:p w14:paraId="1F8956CF" w14:textId="77777777" w:rsidR="00A320E6" w:rsidRDefault="00A320E6" w:rsidP="00AE0286">
            <w:pPr>
              <w:ind w:left="720" w:hanging="720"/>
              <w:jc w:val="center"/>
              <w:rPr>
                <w:rFonts w:ascii="宋体" w:hAnsi="宋体" w:cs="宋体"/>
                <w:szCs w:val="21"/>
              </w:rPr>
            </w:pPr>
          </w:p>
        </w:tc>
        <w:tc>
          <w:tcPr>
            <w:tcW w:w="1402" w:type="pct"/>
            <w:tcBorders>
              <w:top w:val="single" w:sz="4" w:space="0" w:color="auto"/>
              <w:left w:val="nil"/>
              <w:bottom w:val="single" w:sz="4" w:space="0" w:color="auto"/>
              <w:right w:val="single" w:sz="4" w:space="0" w:color="auto"/>
            </w:tcBorders>
            <w:vAlign w:val="center"/>
          </w:tcPr>
          <w:p w14:paraId="72D3F626" w14:textId="77777777" w:rsidR="00A320E6" w:rsidRDefault="00000000" w:rsidP="00AE0286">
            <w:pPr>
              <w:rPr>
                <w:rFonts w:ascii="宋体" w:hAnsi="宋体" w:cs="宋体"/>
                <w:szCs w:val="21"/>
              </w:rPr>
            </w:pPr>
            <w:r>
              <w:rPr>
                <w:rFonts w:ascii="宋体" w:hAnsi="宋体" w:cs="宋体" w:hint="eastAsia"/>
                <w:szCs w:val="21"/>
              </w:rPr>
              <w:t>初果期</w:t>
            </w:r>
          </w:p>
        </w:tc>
        <w:tc>
          <w:tcPr>
            <w:tcW w:w="1123" w:type="pct"/>
            <w:tcBorders>
              <w:top w:val="single" w:sz="4" w:space="0" w:color="auto"/>
              <w:left w:val="nil"/>
              <w:bottom w:val="single" w:sz="4" w:space="0" w:color="auto"/>
              <w:right w:val="single" w:sz="4" w:space="0" w:color="auto"/>
            </w:tcBorders>
            <w:vAlign w:val="center"/>
          </w:tcPr>
          <w:p w14:paraId="4896FD6D" w14:textId="77777777" w:rsidR="00A320E6" w:rsidRDefault="00000000" w:rsidP="00AE0286">
            <w:pPr>
              <w:jc w:val="center"/>
              <w:rPr>
                <w:rFonts w:ascii="宋体" w:hAnsi="宋体" w:cs="宋体"/>
                <w:szCs w:val="21"/>
              </w:rPr>
            </w:pPr>
            <w:r>
              <w:rPr>
                <w:rFonts w:ascii="宋体" w:hAnsi="宋体" w:cs="宋体" w:hint="eastAsia"/>
                <w:szCs w:val="21"/>
              </w:rPr>
              <w:t>150-300元/株</w:t>
            </w:r>
          </w:p>
        </w:tc>
        <w:tc>
          <w:tcPr>
            <w:tcW w:w="1602" w:type="pct"/>
            <w:vMerge/>
            <w:tcBorders>
              <w:left w:val="nil"/>
              <w:right w:val="single" w:sz="4" w:space="0" w:color="auto"/>
            </w:tcBorders>
            <w:vAlign w:val="center"/>
          </w:tcPr>
          <w:p w14:paraId="63850E8B" w14:textId="77777777" w:rsidR="00A320E6" w:rsidRDefault="00A320E6" w:rsidP="00AE0286">
            <w:pPr>
              <w:spacing w:line="400" w:lineRule="exact"/>
              <w:ind w:leftChars="50" w:left="825" w:hanging="720"/>
              <w:jc w:val="center"/>
              <w:textAlignment w:val="baseline"/>
              <w:rPr>
                <w:rFonts w:ascii="宋体" w:hAnsi="宋体" w:cs="宋体"/>
                <w:kern w:val="0"/>
                <w:szCs w:val="21"/>
              </w:rPr>
            </w:pPr>
          </w:p>
        </w:tc>
      </w:tr>
      <w:tr w:rsidR="00A320E6" w14:paraId="5B6196EC" w14:textId="77777777" w:rsidTr="00A1539E">
        <w:trPr>
          <w:trHeight w:val="454"/>
          <w:jc w:val="center"/>
        </w:trPr>
        <w:tc>
          <w:tcPr>
            <w:tcW w:w="409" w:type="pct"/>
            <w:vMerge/>
            <w:tcBorders>
              <w:left w:val="single" w:sz="4" w:space="0" w:color="auto"/>
              <w:right w:val="single" w:sz="4" w:space="0" w:color="auto"/>
            </w:tcBorders>
            <w:vAlign w:val="center"/>
          </w:tcPr>
          <w:p w14:paraId="4BA0D33E" w14:textId="77777777" w:rsidR="00A320E6" w:rsidRDefault="00A320E6" w:rsidP="00AE0286">
            <w:pPr>
              <w:jc w:val="center"/>
              <w:rPr>
                <w:rFonts w:ascii="宋体" w:hAnsi="宋体" w:cs="宋体"/>
                <w:szCs w:val="21"/>
              </w:rPr>
            </w:pPr>
          </w:p>
        </w:tc>
        <w:tc>
          <w:tcPr>
            <w:tcW w:w="465" w:type="pct"/>
            <w:vMerge/>
            <w:tcBorders>
              <w:left w:val="single" w:sz="4" w:space="0" w:color="auto"/>
              <w:right w:val="single" w:sz="4" w:space="0" w:color="auto"/>
            </w:tcBorders>
            <w:vAlign w:val="center"/>
          </w:tcPr>
          <w:p w14:paraId="73D4DB06" w14:textId="77777777" w:rsidR="00A320E6" w:rsidRDefault="00A320E6" w:rsidP="00AE0286">
            <w:pPr>
              <w:ind w:left="720" w:hanging="720"/>
              <w:jc w:val="center"/>
              <w:rPr>
                <w:rFonts w:ascii="宋体" w:hAnsi="宋体" w:cs="宋体"/>
                <w:szCs w:val="21"/>
              </w:rPr>
            </w:pPr>
          </w:p>
        </w:tc>
        <w:tc>
          <w:tcPr>
            <w:tcW w:w="1402" w:type="pct"/>
            <w:tcBorders>
              <w:top w:val="single" w:sz="4" w:space="0" w:color="auto"/>
              <w:left w:val="nil"/>
              <w:bottom w:val="single" w:sz="4" w:space="0" w:color="auto"/>
              <w:right w:val="single" w:sz="4" w:space="0" w:color="auto"/>
            </w:tcBorders>
            <w:vAlign w:val="center"/>
          </w:tcPr>
          <w:p w14:paraId="47E35C6E" w14:textId="77777777" w:rsidR="00A320E6" w:rsidRDefault="00000000" w:rsidP="00AE0286">
            <w:pPr>
              <w:rPr>
                <w:rFonts w:ascii="宋体" w:hAnsi="宋体" w:cs="宋体"/>
                <w:szCs w:val="21"/>
              </w:rPr>
            </w:pPr>
            <w:r>
              <w:rPr>
                <w:rFonts w:ascii="宋体" w:hAnsi="宋体" w:cs="宋体" w:hint="eastAsia"/>
                <w:szCs w:val="21"/>
              </w:rPr>
              <w:t>盛果期</w:t>
            </w:r>
          </w:p>
        </w:tc>
        <w:tc>
          <w:tcPr>
            <w:tcW w:w="1123" w:type="pct"/>
            <w:tcBorders>
              <w:top w:val="single" w:sz="4" w:space="0" w:color="auto"/>
              <w:left w:val="nil"/>
              <w:bottom w:val="single" w:sz="4" w:space="0" w:color="auto"/>
              <w:right w:val="single" w:sz="4" w:space="0" w:color="auto"/>
            </w:tcBorders>
            <w:vAlign w:val="center"/>
          </w:tcPr>
          <w:p w14:paraId="785DCD7C" w14:textId="77777777" w:rsidR="00A320E6" w:rsidRDefault="00000000" w:rsidP="00AE0286">
            <w:pPr>
              <w:jc w:val="center"/>
              <w:rPr>
                <w:rFonts w:ascii="宋体" w:hAnsi="宋体" w:cs="宋体"/>
                <w:szCs w:val="21"/>
              </w:rPr>
            </w:pPr>
            <w:r>
              <w:rPr>
                <w:rFonts w:ascii="宋体" w:hAnsi="宋体" w:cs="宋体" w:hint="eastAsia"/>
                <w:szCs w:val="21"/>
              </w:rPr>
              <w:t>260-450元/株</w:t>
            </w:r>
          </w:p>
        </w:tc>
        <w:tc>
          <w:tcPr>
            <w:tcW w:w="1602" w:type="pct"/>
            <w:vMerge/>
            <w:tcBorders>
              <w:left w:val="nil"/>
              <w:right w:val="single" w:sz="4" w:space="0" w:color="auto"/>
            </w:tcBorders>
            <w:vAlign w:val="center"/>
          </w:tcPr>
          <w:p w14:paraId="41A112F8" w14:textId="77777777" w:rsidR="00A320E6" w:rsidRDefault="00A320E6" w:rsidP="00AE0286">
            <w:pPr>
              <w:spacing w:line="400" w:lineRule="exact"/>
              <w:ind w:leftChars="50" w:left="825" w:hanging="720"/>
              <w:jc w:val="center"/>
              <w:textAlignment w:val="baseline"/>
              <w:rPr>
                <w:rFonts w:ascii="宋体" w:hAnsi="宋体" w:cs="宋体"/>
                <w:kern w:val="0"/>
                <w:szCs w:val="21"/>
              </w:rPr>
            </w:pPr>
          </w:p>
        </w:tc>
      </w:tr>
      <w:tr w:rsidR="00A320E6" w14:paraId="3E91271F" w14:textId="77777777" w:rsidTr="00A1539E">
        <w:trPr>
          <w:trHeight w:val="454"/>
          <w:jc w:val="center"/>
        </w:trPr>
        <w:tc>
          <w:tcPr>
            <w:tcW w:w="409" w:type="pct"/>
            <w:vMerge/>
            <w:tcBorders>
              <w:left w:val="single" w:sz="4" w:space="0" w:color="auto"/>
              <w:right w:val="single" w:sz="4" w:space="0" w:color="auto"/>
            </w:tcBorders>
            <w:vAlign w:val="center"/>
          </w:tcPr>
          <w:p w14:paraId="49E7CBFA" w14:textId="77777777" w:rsidR="00A320E6" w:rsidRDefault="00A320E6" w:rsidP="00AE0286">
            <w:pPr>
              <w:jc w:val="center"/>
              <w:rPr>
                <w:rFonts w:ascii="宋体" w:hAnsi="宋体" w:cs="宋体"/>
                <w:szCs w:val="21"/>
              </w:rPr>
            </w:pPr>
          </w:p>
        </w:tc>
        <w:tc>
          <w:tcPr>
            <w:tcW w:w="465" w:type="pct"/>
            <w:vMerge/>
            <w:tcBorders>
              <w:left w:val="single" w:sz="4" w:space="0" w:color="auto"/>
              <w:right w:val="single" w:sz="4" w:space="0" w:color="auto"/>
            </w:tcBorders>
            <w:vAlign w:val="center"/>
          </w:tcPr>
          <w:p w14:paraId="5C891368" w14:textId="77777777" w:rsidR="00A320E6" w:rsidRDefault="00A320E6" w:rsidP="00AE0286">
            <w:pPr>
              <w:ind w:left="720" w:hanging="720"/>
              <w:jc w:val="center"/>
              <w:rPr>
                <w:rFonts w:ascii="宋体" w:hAnsi="宋体" w:cs="宋体"/>
                <w:szCs w:val="21"/>
              </w:rPr>
            </w:pPr>
          </w:p>
        </w:tc>
        <w:tc>
          <w:tcPr>
            <w:tcW w:w="1402" w:type="pct"/>
            <w:tcBorders>
              <w:top w:val="single" w:sz="4" w:space="0" w:color="auto"/>
              <w:left w:val="nil"/>
              <w:bottom w:val="single" w:sz="4" w:space="0" w:color="auto"/>
              <w:right w:val="single" w:sz="4" w:space="0" w:color="auto"/>
            </w:tcBorders>
            <w:vAlign w:val="center"/>
          </w:tcPr>
          <w:p w14:paraId="11BA519A" w14:textId="77777777" w:rsidR="00A320E6" w:rsidRDefault="00000000" w:rsidP="00AE0286">
            <w:pPr>
              <w:rPr>
                <w:rFonts w:ascii="宋体" w:hAnsi="宋体" w:cs="宋体"/>
                <w:szCs w:val="21"/>
              </w:rPr>
            </w:pPr>
            <w:r>
              <w:rPr>
                <w:rFonts w:ascii="宋体" w:hAnsi="宋体" w:cs="宋体" w:hint="eastAsia"/>
                <w:szCs w:val="21"/>
              </w:rPr>
              <w:t>衰老期</w:t>
            </w:r>
          </w:p>
        </w:tc>
        <w:tc>
          <w:tcPr>
            <w:tcW w:w="1123" w:type="pct"/>
            <w:tcBorders>
              <w:top w:val="single" w:sz="4" w:space="0" w:color="auto"/>
              <w:left w:val="nil"/>
              <w:bottom w:val="single" w:sz="4" w:space="0" w:color="auto"/>
              <w:right w:val="single" w:sz="4" w:space="0" w:color="auto"/>
            </w:tcBorders>
            <w:vAlign w:val="center"/>
          </w:tcPr>
          <w:p w14:paraId="33D94C19" w14:textId="77777777" w:rsidR="00A320E6" w:rsidRDefault="00000000" w:rsidP="00AE0286">
            <w:pPr>
              <w:jc w:val="center"/>
              <w:rPr>
                <w:rFonts w:ascii="宋体" w:hAnsi="宋体" w:cs="宋体"/>
                <w:szCs w:val="21"/>
              </w:rPr>
            </w:pPr>
            <w:r>
              <w:rPr>
                <w:rFonts w:ascii="宋体" w:hAnsi="宋体" w:cs="宋体" w:hint="eastAsia"/>
                <w:szCs w:val="21"/>
              </w:rPr>
              <w:t>80-300元/株</w:t>
            </w:r>
          </w:p>
        </w:tc>
        <w:tc>
          <w:tcPr>
            <w:tcW w:w="1602" w:type="pct"/>
            <w:vMerge/>
            <w:tcBorders>
              <w:left w:val="nil"/>
              <w:right w:val="single" w:sz="4" w:space="0" w:color="auto"/>
            </w:tcBorders>
            <w:vAlign w:val="center"/>
          </w:tcPr>
          <w:p w14:paraId="32493C0A" w14:textId="77777777" w:rsidR="00A320E6" w:rsidRDefault="00A320E6" w:rsidP="00AE0286">
            <w:pPr>
              <w:spacing w:line="400" w:lineRule="exact"/>
              <w:ind w:leftChars="50" w:left="825" w:hanging="720"/>
              <w:jc w:val="center"/>
              <w:textAlignment w:val="baseline"/>
              <w:rPr>
                <w:rFonts w:ascii="宋体" w:hAnsi="宋体" w:cs="宋体"/>
                <w:kern w:val="0"/>
                <w:szCs w:val="21"/>
              </w:rPr>
            </w:pPr>
          </w:p>
        </w:tc>
      </w:tr>
      <w:tr w:rsidR="00A320E6" w14:paraId="0AA45865" w14:textId="77777777" w:rsidTr="00A1539E">
        <w:trPr>
          <w:trHeight w:val="454"/>
          <w:jc w:val="center"/>
        </w:trPr>
        <w:tc>
          <w:tcPr>
            <w:tcW w:w="409" w:type="pct"/>
            <w:vMerge/>
            <w:tcBorders>
              <w:left w:val="single" w:sz="4" w:space="0" w:color="auto"/>
              <w:bottom w:val="single" w:sz="4" w:space="0" w:color="auto"/>
              <w:right w:val="single" w:sz="4" w:space="0" w:color="auto"/>
            </w:tcBorders>
            <w:vAlign w:val="center"/>
          </w:tcPr>
          <w:p w14:paraId="6196A1C8" w14:textId="77777777" w:rsidR="00A320E6" w:rsidRDefault="00A320E6" w:rsidP="00AE0286">
            <w:pPr>
              <w:jc w:val="center"/>
              <w:rPr>
                <w:rFonts w:ascii="宋体" w:hAnsi="宋体" w:cs="宋体"/>
                <w:szCs w:val="21"/>
              </w:rPr>
            </w:pPr>
          </w:p>
        </w:tc>
        <w:tc>
          <w:tcPr>
            <w:tcW w:w="465" w:type="pct"/>
            <w:vMerge/>
            <w:tcBorders>
              <w:left w:val="single" w:sz="4" w:space="0" w:color="auto"/>
              <w:bottom w:val="single" w:sz="4" w:space="0" w:color="auto"/>
              <w:right w:val="single" w:sz="4" w:space="0" w:color="auto"/>
            </w:tcBorders>
            <w:vAlign w:val="center"/>
          </w:tcPr>
          <w:p w14:paraId="6AC96778" w14:textId="77777777" w:rsidR="00A320E6" w:rsidRDefault="00A320E6" w:rsidP="00AE0286">
            <w:pPr>
              <w:ind w:left="720" w:hanging="720"/>
              <w:jc w:val="center"/>
              <w:rPr>
                <w:rFonts w:ascii="宋体" w:hAnsi="宋体" w:cs="宋体"/>
                <w:szCs w:val="21"/>
              </w:rPr>
            </w:pPr>
          </w:p>
        </w:tc>
        <w:tc>
          <w:tcPr>
            <w:tcW w:w="1402" w:type="pct"/>
            <w:tcBorders>
              <w:top w:val="single" w:sz="4" w:space="0" w:color="auto"/>
              <w:left w:val="nil"/>
              <w:bottom w:val="single" w:sz="4" w:space="0" w:color="auto"/>
              <w:right w:val="single" w:sz="4" w:space="0" w:color="auto"/>
            </w:tcBorders>
            <w:vAlign w:val="center"/>
          </w:tcPr>
          <w:p w14:paraId="4B93636D" w14:textId="77777777" w:rsidR="00A320E6" w:rsidRDefault="00000000" w:rsidP="00AE0286">
            <w:pPr>
              <w:rPr>
                <w:rFonts w:ascii="宋体" w:hAnsi="宋体" w:cs="宋体"/>
                <w:szCs w:val="21"/>
              </w:rPr>
            </w:pPr>
            <w:r>
              <w:rPr>
                <w:rFonts w:ascii="宋体" w:hAnsi="宋体" w:cs="宋体" w:hint="eastAsia"/>
                <w:szCs w:val="21"/>
              </w:rPr>
              <w:t>葡萄（区分生长期）</w:t>
            </w:r>
          </w:p>
        </w:tc>
        <w:tc>
          <w:tcPr>
            <w:tcW w:w="1123" w:type="pct"/>
            <w:tcBorders>
              <w:top w:val="single" w:sz="4" w:space="0" w:color="auto"/>
              <w:left w:val="nil"/>
              <w:bottom w:val="single" w:sz="4" w:space="0" w:color="auto"/>
              <w:right w:val="single" w:sz="4" w:space="0" w:color="auto"/>
            </w:tcBorders>
            <w:vAlign w:val="center"/>
          </w:tcPr>
          <w:p w14:paraId="705A17C0" w14:textId="77777777" w:rsidR="00A320E6" w:rsidRDefault="00000000" w:rsidP="00AE0286">
            <w:pPr>
              <w:jc w:val="center"/>
              <w:rPr>
                <w:rFonts w:ascii="宋体" w:hAnsi="宋体" w:cs="宋体"/>
                <w:szCs w:val="21"/>
              </w:rPr>
            </w:pPr>
            <w:r>
              <w:rPr>
                <w:rFonts w:ascii="宋体" w:hAnsi="宋体" w:cs="宋体" w:hint="eastAsia"/>
                <w:szCs w:val="21"/>
              </w:rPr>
              <w:t>12-55元/株</w:t>
            </w:r>
          </w:p>
        </w:tc>
        <w:tc>
          <w:tcPr>
            <w:tcW w:w="1602" w:type="pct"/>
            <w:vMerge/>
            <w:tcBorders>
              <w:left w:val="nil"/>
              <w:bottom w:val="single" w:sz="4" w:space="0" w:color="auto"/>
              <w:right w:val="single" w:sz="4" w:space="0" w:color="auto"/>
            </w:tcBorders>
            <w:vAlign w:val="center"/>
          </w:tcPr>
          <w:p w14:paraId="4B4E01B5" w14:textId="77777777" w:rsidR="00A320E6" w:rsidRDefault="00A320E6" w:rsidP="00AE0286">
            <w:pPr>
              <w:spacing w:line="400" w:lineRule="exact"/>
              <w:ind w:leftChars="50" w:left="825" w:hanging="720"/>
              <w:jc w:val="center"/>
              <w:textAlignment w:val="baseline"/>
              <w:rPr>
                <w:rFonts w:ascii="宋体" w:hAnsi="宋体" w:cs="宋体"/>
                <w:kern w:val="0"/>
                <w:szCs w:val="21"/>
              </w:rPr>
            </w:pPr>
          </w:p>
        </w:tc>
      </w:tr>
      <w:tr w:rsidR="00A320E6" w14:paraId="632500F2" w14:textId="77777777" w:rsidTr="00A1539E">
        <w:trPr>
          <w:trHeight w:val="454"/>
          <w:jc w:val="center"/>
        </w:trPr>
        <w:tc>
          <w:tcPr>
            <w:tcW w:w="409" w:type="pct"/>
            <w:vMerge w:val="restart"/>
            <w:tcBorders>
              <w:top w:val="single" w:sz="4" w:space="0" w:color="auto"/>
              <w:left w:val="single" w:sz="4" w:space="0" w:color="auto"/>
              <w:right w:val="single" w:sz="4" w:space="0" w:color="auto"/>
            </w:tcBorders>
            <w:vAlign w:val="center"/>
          </w:tcPr>
          <w:p w14:paraId="5DDFD3C9" w14:textId="77777777" w:rsidR="00A320E6" w:rsidRDefault="00000000" w:rsidP="00AE0286">
            <w:pPr>
              <w:jc w:val="center"/>
              <w:rPr>
                <w:rFonts w:ascii="宋体" w:hAnsi="宋体" w:cs="宋体"/>
                <w:szCs w:val="21"/>
              </w:rPr>
            </w:pPr>
            <w:r>
              <w:rPr>
                <w:rFonts w:ascii="宋体" w:hAnsi="宋体" w:cs="宋体" w:hint="eastAsia"/>
                <w:szCs w:val="21"/>
              </w:rPr>
              <w:t>2</w:t>
            </w:r>
          </w:p>
        </w:tc>
        <w:tc>
          <w:tcPr>
            <w:tcW w:w="465" w:type="pct"/>
            <w:vMerge w:val="restart"/>
            <w:tcBorders>
              <w:top w:val="single" w:sz="4" w:space="0" w:color="auto"/>
              <w:left w:val="single" w:sz="4" w:space="0" w:color="auto"/>
              <w:right w:val="single" w:sz="4" w:space="0" w:color="auto"/>
            </w:tcBorders>
            <w:vAlign w:val="center"/>
          </w:tcPr>
          <w:p w14:paraId="6ECCAF97" w14:textId="77777777" w:rsidR="00A320E6" w:rsidRDefault="00000000" w:rsidP="00AE0286">
            <w:pPr>
              <w:ind w:left="720" w:hanging="720"/>
              <w:jc w:val="center"/>
              <w:rPr>
                <w:rFonts w:ascii="宋体" w:hAnsi="宋体" w:cs="宋体"/>
                <w:szCs w:val="21"/>
              </w:rPr>
            </w:pPr>
            <w:r>
              <w:rPr>
                <w:rFonts w:ascii="宋体" w:hAnsi="宋体" w:cs="宋体" w:hint="eastAsia"/>
                <w:szCs w:val="21"/>
              </w:rPr>
              <w:t>经济林</w:t>
            </w:r>
          </w:p>
        </w:tc>
        <w:tc>
          <w:tcPr>
            <w:tcW w:w="1402" w:type="pct"/>
            <w:tcBorders>
              <w:top w:val="nil"/>
              <w:left w:val="nil"/>
              <w:bottom w:val="single" w:sz="4" w:space="0" w:color="auto"/>
              <w:right w:val="single" w:sz="4" w:space="0" w:color="auto"/>
            </w:tcBorders>
            <w:vAlign w:val="center"/>
          </w:tcPr>
          <w:p w14:paraId="3D793170" w14:textId="77777777" w:rsidR="00A320E6" w:rsidRDefault="00000000" w:rsidP="00AE0286">
            <w:pPr>
              <w:rPr>
                <w:rFonts w:ascii="宋体" w:hAnsi="宋体" w:cs="宋体"/>
                <w:szCs w:val="21"/>
              </w:rPr>
            </w:pPr>
            <w:r>
              <w:rPr>
                <w:rFonts w:ascii="宋体" w:hAnsi="宋体" w:cs="宋体" w:hint="eastAsia"/>
                <w:szCs w:val="21"/>
              </w:rPr>
              <w:t>幼龄期</w:t>
            </w:r>
          </w:p>
        </w:tc>
        <w:tc>
          <w:tcPr>
            <w:tcW w:w="1123" w:type="pct"/>
            <w:tcBorders>
              <w:top w:val="nil"/>
              <w:left w:val="nil"/>
              <w:bottom w:val="single" w:sz="4" w:space="0" w:color="auto"/>
              <w:right w:val="single" w:sz="4" w:space="0" w:color="auto"/>
            </w:tcBorders>
            <w:vAlign w:val="center"/>
          </w:tcPr>
          <w:p w14:paraId="6D6A59A5" w14:textId="77777777" w:rsidR="00A320E6" w:rsidRDefault="00000000" w:rsidP="00AE0286">
            <w:pPr>
              <w:jc w:val="center"/>
              <w:rPr>
                <w:rFonts w:ascii="宋体" w:hAnsi="宋体" w:cs="宋体"/>
                <w:szCs w:val="21"/>
              </w:rPr>
            </w:pPr>
            <w:r>
              <w:rPr>
                <w:rFonts w:ascii="宋体" w:hAnsi="宋体" w:cs="宋体" w:hint="eastAsia"/>
                <w:szCs w:val="21"/>
              </w:rPr>
              <w:t>10-30元/株</w:t>
            </w:r>
          </w:p>
        </w:tc>
        <w:tc>
          <w:tcPr>
            <w:tcW w:w="1602" w:type="pct"/>
            <w:vMerge w:val="restart"/>
            <w:tcBorders>
              <w:top w:val="nil"/>
              <w:left w:val="nil"/>
              <w:right w:val="single" w:sz="4" w:space="0" w:color="auto"/>
            </w:tcBorders>
            <w:vAlign w:val="center"/>
          </w:tcPr>
          <w:p w14:paraId="23FE057B" w14:textId="77777777" w:rsidR="00A320E6" w:rsidRDefault="00000000" w:rsidP="00AE0286">
            <w:pPr>
              <w:spacing w:line="400" w:lineRule="exact"/>
              <w:jc w:val="left"/>
              <w:rPr>
                <w:rFonts w:ascii="宋体" w:hAnsi="宋体" w:cs="宋体"/>
                <w:kern w:val="0"/>
                <w:szCs w:val="21"/>
              </w:rPr>
            </w:pPr>
            <w:r>
              <w:rPr>
                <w:rFonts w:ascii="宋体" w:hAnsi="宋体" w:cs="宋体" w:hint="eastAsia"/>
                <w:kern w:val="0"/>
                <w:szCs w:val="21"/>
              </w:rPr>
              <w:t>1、包括柿树、银杏、木瓜、核桃、枣、山楂等树种。种植密度每亩地最高不超过80株。2、树归原主。</w:t>
            </w:r>
          </w:p>
        </w:tc>
      </w:tr>
      <w:tr w:rsidR="00A320E6" w14:paraId="573733AB" w14:textId="77777777" w:rsidTr="00A1539E">
        <w:trPr>
          <w:trHeight w:val="454"/>
          <w:jc w:val="center"/>
        </w:trPr>
        <w:tc>
          <w:tcPr>
            <w:tcW w:w="409" w:type="pct"/>
            <w:vMerge/>
            <w:tcBorders>
              <w:left w:val="single" w:sz="4" w:space="0" w:color="auto"/>
              <w:right w:val="single" w:sz="4" w:space="0" w:color="auto"/>
            </w:tcBorders>
            <w:vAlign w:val="center"/>
          </w:tcPr>
          <w:p w14:paraId="1DA225C6" w14:textId="77777777" w:rsidR="00A320E6" w:rsidRDefault="00A320E6" w:rsidP="00AE0286">
            <w:pPr>
              <w:ind w:leftChars="50" w:left="825" w:hanging="720"/>
              <w:jc w:val="center"/>
              <w:rPr>
                <w:rFonts w:ascii="宋体" w:hAnsi="宋体" w:cs="宋体"/>
                <w:kern w:val="0"/>
                <w:szCs w:val="21"/>
              </w:rPr>
            </w:pPr>
          </w:p>
        </w:tc>
        <w:tc>
          <w:tcPr>
            <w:tcW w:w="465" w:type="pct"/>
            <w:vMerge/>
            <w:tcBorders>
              <w:left w:val="single" w:sz="4" w:space="0" w:color="auto"/>
              <w:right w:val="single" w:sz="4" w:space="0" w:color="auto"/>
            </w:tcBorders>
            <w:vAlign w:val="center"/>
          </w:tcPr>
          <w:p w14:paraId="708FD8F2" w14:textId="77777777" w:rsidR="00A320E6" w:rsidRDefault="00A320E6" w:rsidP="00AE0286">
            <w:pPr>
              <w:ind w:leftChars="50" w:left="825" w:hanging="720"/>
              <w:jc w:val="center"/>
              <w:rPr>
                <w:rFonts w:ascii="宋体" w:hAnsi="宋体" w:cs="宋体"/>
                <w:kern w:val="0"/>
                <w:szCs w:val="21"/>
              </w:rPr>
            </w:pPr>
          </w:p>
        </w:tc>
        <w:tc>
          <w:tcPr>
            <w:tcW w:w="1402" w:type="pct"/>
            <w:tcBorders>
              <w:top w:val="nil"/>
              <w:left w:val="nil"/>
              <w:bottom w:val="single" w:sz="4" w:space="0" w:color="auto"/>
              <w:right w:val="single" w:sz="4" w:space="0" w:color="auto"/>
            </w:tcBorders>
            <w:vAlign w:val="center"/>
          </w:tcPr>
          <w:p w14:paraId="5982A8B5" w14:textId="77777777" w:rsidR="00A320E6" w:rsidRDefault="00000000" w:rsidP="00AE0286">
            <w:pPr>
              <w:rPr>
                <w:rFonts w:ascii="宋体" w:hAnsi="宋体" w:cs="宋体"/>
                <w:szCs w:val="21"/>
              </w:rPr>
            </w:pPr>
            <w:r>
              <w:rPr>
                <w:rFonts w:ascii="宋体" w:hAnsi="宋体" w:cs="宋体" w:hint="eastAsia"/>
                <w:szCs w:val="21"/>
              </w:rPr>
              <w:t>初果期</w:t>
            </w:r>
          </w:p>
        </w:tc>
        <w:tc>
          <w:tcPr>
            <w:tcW w:w="1123" w:type="pct"/>
            <w:tcBorders>
              <w:top w:val="nil"/>
              <w:left w:val="nil"/>
              <w:bottom w:val="single" w:sz="4" w:space="0" w:color="auto"/>
              <w:right w:val="single" w:sz="4" w:space="0" w:color="auto"/>
            </w:tcBorders>
            <w:vAlign w:val="center"/>
          </w:tcPr>
          <w:p w14:paraId="048F1E12" w14:textId="77777777" w:rsidR="00A320E6" w:rsidRDefault="00000000" w:rsidP="00AE0286">
            <w:pPr>
              <w:jc w:val="center"/>
              <w:rPr>
                <w:rFonts w:ascii="宋体" w:hAnsi="宋体" w:cs="宋体"/>
                <w:szCs w:val="21"/>
              </w:rPr>
            </w:pPr>
            <w:r>
              <w:rPr>
                <w:rFonts w:ascii="宋体" w:hAnsi="宋体" w:cs="宋体" w:hint="eastAsia"/>
                <w:szCs w:val="21"/>
              </w:rPr>
              <w:t>100-300元/株</w:t>
            </w:r>
          </w:p>
        </w:tc>
        <w:tc>
          <w:tcPr>
            <w:tcW w:w="1602" w:type="pct"/>
            <w:vMerge/>
            <w:tcBorders>
              <w:left w:val="nil"/>
              <w:right w:val="single" w:sz="4" w:space="0" w:color="auto"/>
            </w:tcBorders>
            <w:vAlign w:val="center"/>
          </w:tcPr>
          <w:p w14:paraId="018144C0" w14:textId="77777777" w:rsidR="00A320E6" w:rsidRDefault="00A320E6" w:rsidP="00AE0286">
            <w:pPr>
              <w:ind w:leftChars="50" w:left="825" w:hanging="720"/>
              <w:jc w:val="center"/>
              <w:rPr>
                <w:rFonts w:ascii="宋体" w:hAnsi="宋体" w:cs="宋体"/>
                <w:kern w:val="0"/>
                <w:szCs w:val="21"/>
              </w:rPr>
            </w:pPr>
          </w:p>
        </w:tc>
      </w:tr>
      <w:tr w:rsidR="00A320E6" w14:paraId="79774189" w14:textId="77777777" w:rsidTr="00A1539E">
        <w:trPr>
          <w:trHeight w:val="454"/>
          <w:jc w:val="center"/>
        </w:trPr>
        <w:tc>
          <w:tcPr>
            <w:tcW w:w="409" w:type="pct"/>
            <w:vMerge/>
            <w:tcBorders>
              <w:left w:val="single" w:sz="4" w:space="0" w:color="auto"/>
              <w:right w:val="single" w:sz="4" w:space="0" w:color="auto"/>
            </w:tcBorders>
            <w:vAlign w:val="center"/>
          </w:tcPr>
          <w:p w14:paraId="7BC6109E" w14:textId="77777777" w:rsidR="00A320E6" w:rsidRDefault="00A320E6" w:rsidP="00AE0286">
            <w:pPr>
              <w:ind w:leftChars="50" w:left="825" w:hanging="720"/>
              <w:jc w:val="center"/>
              <w:rPr>
                <w:rFonts w:ascii="宋体" w:hAnsi="宋体" w:cs="宋体"/>
                <w:kern w:val="0"/>
                <w:szCs w:val="21"/>
              </w:rPr>
            </w:pPr>
          </w:p>
        </w:tc>
        <w:tc>
          <w:tcPr>
            <w:tcW w:w="465" w:type="pct"/>
            <w:vMerge/>
            <w:tcBorders>
              <w:left w:val="single" w:sz="4" w:space="0" w:color="auto"/>
              <w:right w:val="single" w:sz="4" w:space="0" w:color="auto"/>
            </w:tcBorders>
            <w:vAlign w:val="center"/>
          </w:tcPr>
          <w:p w14:paraId="78787F79" w14:textId="77777777" w:rsidR="00A320E6" w:rsidRDefault="00A320E6" w:rsidP="00AE0286">
            <w:pPr>
              <w:ind w:leftChars="50" w:left="825" w:hanging="720"/>
              <w:jc w:val="center"/>
              <w:rPr>
                <w:rFonts w:ascii="宋体" w:hAnsi="宋体" w:cs="宋体"/>
                <w:kern w:val="0"/>
                <w:szCs w:val="21"/>
              </w:rPr>
            </w:pPr>
          </w:p>
        </w:tc>
        <w:tc>
          <w:tcPr>
            <w:tcW w:w="1402" w:type="pct"/>
            <w:tcBorders>
              <w:top w:val="nil"/>
              <w:left w:val="nil"/>
              <w:bottom w:val="single" w:sz="4" w:space="0" w:color="auto"/>
              <w:right w:val="single" w:sz="4" w:space="0" w:color="auto"/>
            </w:tcBorders>
            <w:vAlign w:val="center"/>
          </w:tcPr>
          <w:p w14:paraId="41BF2B62" w14:textId="77777777" w:rsidR="00A320E6" w:rsidRDefault="00000000" w:rsidP="00AE0286">
            <w:pPr>
              <w:rPr>
                <w:rFonts w:ascii="宋体" w:hAnsi="宋体" w:cs="宋体"/>
                <w:szCs w:val="21"/>
              </w:rPr>
            </w:pPr>
            <w:r>
              <w:rPr>
                <w:rFonts w:ascii="宋体" w:hAnsi="宋体" w:cs="宋体" w:hint="eastAsia"/>
                <w:szCs w:val="21"/>
              </w:rPr>
              <w:t>盛果期</w:t>
            </w:r>
          </w:p>
        </w:tc>
        <w:tc>
          <w:tcPr>
            <w:tcW w:w="1123" w:type="pct"/>
            <w:tcBorders>
              <w:top w:val="nil"/>
              <w:left w:val="nil"/>
              <w:bottom w:val="single" w:sz="4" w:space="0" w:color="auto"/>
              <w:right w:val="single" w:sz="4" w:space="0" w:color="auto"/>
            </w:tcBorders>
            <w:vAlign w:val="center"/>
          </w:tcPr>
          <w:p w14:paraId="5DF03421" w14:textId="77777777" w:rsidR="00A320E6" w:rsidRDefault="00000000" w:rsidP="00AE0286">
            <w:pPr>
              <w:jc w:val="center"/>
              <w:rPr>
                <w:rFonts w:ascii="宋体" w:hAnsi="宋体" w:cs="宋体"/>
                <w:szCs w:val="21"/>
              </w:rPr>
            </w:pPr>
            <w:r>
              <w:rPr>
                <w:rFonts w:ascii="宋体" w:hAnsi="宋体" w:cs="宋体" w:hint="eastAsia"/>
                <w:szCs w:val="21"/>
              </w:rPr>
              <w:t>200-400元/株</w:t>
            </w:r>
          </w:p>
        </w:tc>
        <w:tc>
          <w:tcPr>
            <w:tcW w:w="1602" w:type="pct"/>
            <w:vMerge/>
            <w:tcBorders>
              <w:left w:val="nil"/>
              <w:right w:val="single" w:sz="4" w:space="0" w:color="auto"/>
            </w:tcBorders>
            <w:vAlign w:val="center"/>
          </w:tcPr>
          <w:p w14:paraId="630CB48C" w14:textId="77777777" w:rsidR="00A320E6" w:rsidRDefault="00A320E6" w:rsidP="00AE0286">
            <w:pPr>
              <w:ind w:leftChars="50" w:left="825" w:hanging="720"/>
              <w:jc w:val="center"/>
              <w:rPr>
                <w:rFonts w:ascii="宋体" w:hAnsi="宋体" w:cs="宋体"/>
                <w:kern w:val="0"/>
                <w:szCs w:val="21"/>
              </w:rPr>
            </w:pPr>
          </w:p>
        </w:tc>
      </w:tr>
      <w:tr w:rsidR="00A320E6" w14:paraId="3E6AA3E6" w14:textId="77777777" w:rsidTr="00A1539E">
        <w:trPr>
          <w:trHeight w:val="454"/>
          <w:jc w:val="center"/>
        </w:trPr>
        <w:tc>
          <w:tcPr>
            <w:tcW w:w="409" w:type="pct"/>
            <w:vMerge/>
            <w:tcBorders>
              <w:left w:val="single" w:sz="4" w:space="0" w:color="auto"/>
              <w:bottom w:val="single" w:sz="4" w:space="0" w:color="auto"/>
              <w:right w:val="single" w:sz="4" w:space="0" w:color="auto"/>
            </w:tcBorders>
            <w:vAlign w:val="center"/>
          </w:tcPr>
          <w:p w14:paraId="6F1A2D70" w14:textId="77777777" w:rsidR="00A320E6" w:rsidRDefault="00A320E6" w:rsidP="00AE0286">
            <w:pPr>
              <w:ind w:leftChars="50" w:left="825" w:hanging="720"/>
              <w:jc w:val="center"/>
              <w:rPr>
                <w:rFonts w:ascii="宋体" w:hAnsi="宋体" w:cs="宋体"/>
                <w:kern w:val="0"/>
                <w:szCs w:val="21"/>
              </w:rPr>
            </w:pPr>
          </w:p>
        </w:tc>
        <w:tc>
          <w:tcPr>
            <w:tcW w:w="465" w:type="pct"/>
            <w:vMerge/>
            <w:tcBorders>
              <w:left w:val="single" w:sz="4" w:space="0" w:color="auto"/>
              <w:bottom w:val="single" w:sz="4" w:space="0" w:color="auto"/>
              <w:right w:val="single" w:sz="4" w:space="0" w:color="auto"/>
            </w:tcBorders>
            <w:vAlign w:val="center"/>
          </w:tcPr>
          <w:p w14:paraId="5A4E0784" w14:textId="77777777" w:rsidR="00A320E6" w:rsidRDefault="00A320E6" w:rsidP="00AE0286">
            <w:pPr>
              <w:ind w:leftChars="50" w:left="825" w:hanging="720"/>
              <w:jc w:val="center"/>
              <w:rPr>
                <w:rFonts w:ascii="宋体" w:hAnsi="宋体" w:cs="宋体"/>
                <w:kern w:val="0"/>
                <w:szCs w:val="21"/>
              </w:rPr>
            </w:pPr>
          </w:p>
        </w:tc>
        <w:tc>
          <w:tcPr>
            <w:tcW w:w="1402" w:type="pct"/>
            <w:tcBorders>
              <w:top w:val="nil"/>
              <w:left w:val="nil"/>
              <w:bottom w:val="single" w:sz="4" w:space="0" w:color="auto"/>
              <w:right w:val="single" w:sz="4" w:space="0" w:color="auto"/>
            </w:tcBorders>
            <w:vAlign w:val="center"/>
          </w:tcPr>
          <w:p w14:paraId="7E832718" w14:textId="77777777" w:rsidR="00A320E6" w:rsidRDefault="00000000" w:rsidP="00AE0286">
            <w:pPr>
              <w:rPr>
                <w:rFonts w:ascii="宋体" w:hAnsi="宋体" w:cs="宋体"/>
                <w:szCs w:val="21"/>
              </w:rPr>
            </w:pPr>
            <w:r>
              <w:rPr>
                <w:rFonts w:ascii="宋体" w:hAnsi="宋体" w:cs="宋体" w:hint="eastAsia"/>
                <w:szCs w:val="21"/>
              </w:rPr>
              <w:t>衰老期</w:t>
            </w:r>
          </w:p>
        </w:tc>
        <w:tc>
          <w:tcPr>
            <w:tcW w:w="1123" w:type="pct"/>
            <w:tcBorders>
              <w:top w:val="nil"/>
              <w:left w:val="nil"/>
              <w:bottom w:val="single" w:sz="4" w:space="0" w:color="auto"/>
              <w:right w:val="single" w:sz="4" w:space="0" w:color="auto"/>
            </w:tcBorders>
            <w:vAlign w:val="center"/>
          </w:tcPr>
          <w:p w14:paraId="087FC340" w14:textId="77777777" w:rsidR="00A320E6" w:rsidRDefault="00000000" w:rsidP="00AE0286">
            <w:pPr>
              <w:jc w:val="center"/>
              <w:rPr>
                <w:rFonts w:ascii="宋体" w:hAnsi="宋体" w:cs="宋体"/>
                <w:szCs w:val="21"/>
              </w:rPr>
            </w:pPr>
            <w:r>
              <w:rPr>
                <w:rFonts w:ascii="宋体" w:hAnsi="宋体" w:cs="宋体" w:hint="eastAsia"/>
                <w:szCs w:val="21"/>
              </w:rPr>
              <w:t>200-300元/株</w:t>
            </w:r>
          </w:p>
        </w:tc>
        <w:tc>
          <w:tcPr>
            <w:tcW w:w="1602" w:type="pct"/>
            <w:vMerge/>
            <w:tcBorders>
              <w:left w:val="nil"/>
              <w:bottom w:val="single" w:sz="4" w:space="0" w:color="auto"/>
              <w:right w:val="single" w:sz="4" w:space="0" w:color="auto"/>
            </w:tcBorders>
            <w:vAlign w:val="center"/>
          </w:tcPr>
          <w:p w14:paraId="287227B9" w14:textId="77777777" w:rsidR="00A320E6" w:rsidRDefault="00A320E6" w:rsidP="00AE0286">
            <w:pPr>
              <w:ind w:leftChars="50" w:left="825" w:hanging="720"/>
              <w:jc w:val="center"/>
              <w:rPr>
                <w:rFonts w:ascii="宋体" w:hAnsi="宋体" w:cs="宋体"/>
                <w:kern w:val="0"/>
                <w:szCs w:val="21"/>
              </w:rPr>
            </w:pPr>
          </w:p>
        </w:tc>
      </w:tr>
    </w:tbl>
    <w:p w14:paraId="1C1E712B" w14:textId="7E98F710" w:rsidR="00A320E6" w:rsidRDefault="00A320E6" w:rsidP="00AE0286">
      <w:pPr>
        <w:spacing w:line="400" w:lineRule="exact"/>
        <w:ind w:left="720"/>
        <w:rPr>
          <w:rFonts w:eastAsia="黑体"/>
          <w:sz w:val="32"/>
          <w:szCs w:val="32"/>
        </w:rPr>
      </w:pPr>
    </w:p>
    <w:p w14:paraId="4D4B23F0" w14:textId="77777777" w:rsidR="00A1539E" w:rsidRPr="00A1539E" w:rsidRDefault="00A1539E" w:rsidP="00A1539E">
      <w:pPr>
        <w:pStyle w:val="2"/>
      </w:pPr>
    </w:p>
    <w:p w14:paraId="56E84474" w14:textId="77777777" w:rsidR="00A320E6" w:rsidRDefault="00000000" w:rsidP="00A1539E">
      <w:pPr>
        <w:pStyle w:val="1a"/>
      </w:pPr>
      <w:r>
        <w:rPr>
          <w:rFonts w:hint="eastAsia"/>
        </w:rPr>
        <w:t>四、青苗类</w:t>
      </w:r>
    </w:p>
    <w:tbl>
      <w:tblPr>
        <w:tblW w:w="5000" w:type="pct"/>
        <w:jc w:val="center"/>
        <w:tblLook w:val="04A0" w:firstRow="1" w:lastRow="0" w:firstColumn="1" w:lastColumn="0" w:noHBand="0" w:noVBand="1"/>
      </w:tblPr>
      <w:tblGrid>
        <w:gridCol w:w="730"/>
        <w:gridCol w:w="1109"/>
        <w:gridCol w:w="2913"/>
        <w:gridCol w:w="1941"/>
        <w:gridCol w:w="2253"/>
      </w:tblGrid>
      <w:tr w:rsidR="00A320E6" w14:paraId="0F0D229B" w14:textId="77777777" w:rsidTr="00E77641">
        <w:trPr>
          <w:trHeight w:val="454"/>
          <w:jc w:val="center"/>
        </w:trPr>
        <w:tc>
          <w:tcPr>
            <w:tcW w:w="408" w:type="pct"/>
            <w:tcBorders>
              <w:top w:val="single" w:sz="4" w:space="0" w:color="auto"/>
              <w:left w:val="single" w:sz="4" w:space="0" w:color="auto"/>
              <w:bottom w:val="single" w:sz="4" w:space="0" w:color="auto"/>
              <w:right w:val="single" w:sz="4" w:space="0" w:color="auto"/>
            </w:tcBorders>
            <w:vAlign w:val="center"/>
          </w:tcPr>
          <w:p w14:paraId="2796FB12"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序号</w:t>
            </w:r>
          </w:p>
        </w:tc>
        <w:tc>
          <w:tcPr>
            <w:tcW w:w="620" w:type="pct"/>
            <w:tcBorders>
              <w:top w:val="single" w:sz="4" w:space="0" w:color="auto"/>
              <w:left w:val="nil"/>
              <w:bottom w:val="single" w:sz="4" w:space="0" w:color="auto"/>
              <w:right w:val="single" w:sz="4" w:space="0" w:color="auto"/>
            </w:tcBorders>
            <w:vAlign w:val="center"/>
          </w:tcPr>
          <w:p w14:paraId="662AAEB7"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名称</w:t>
            </w:r>
          </w:p>
        </w:tc>
        <w:tc>
          <w:tcPr>
            <w:tcW w:w="1628" w:type="pct"/>
            <w:tcBorders>
              <w:top w:val="single" w:sz="4" w:space="0" w:color="auto"/>
              <w:left w:val="nil"/>
              <w:bottom w:val="single" w:sz="4" w:space="0" w:color="auto"/>
              <w:right w:val="single" w:sz="4" w:space="0" w:color="auto"/>
            </w:tcBorders>
            <w:vAlign w:val="center"/>
          </w:tcPr>
          <w:p w14:paraId="0E7D7FC5"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类型</w:t>
            </w:r>
          </w:p>
        </w:tc>
        <w:tc>
          <w:tcPr>
            <w:tcW w:w="1085" w:type="pct"/>
            <w:tcBorders>
              <w:top w:val="single" w:sz="4" w:space="0" w:color="auto"/>
              <w:left w:val="nil"/>
              <w:bottom w:val="single" w:sz="4" w:space="0" w:color="auto"/>
              <w:right w:val="single" w:sz="4" w:space="0" w:color="auto"/>
            </w:tcBorders>
            <w:vAlign w:val="center"/>
          </w:tcPr>
          <w:p w14:paraId="7F9B6182"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补偿标准</w:t>
            </w:r>
          </w:p>
        </w:tc>
        <w:tc>
          <w:tcPr>
            <w:tcW w:w="1259" w:type="pct"/>
            <w:tcBorders>
              <w:top w:val="single" w:sz="4" w:space="0" w:color="auto"/>
              <w:left w:val="nil"/>
              <w:bottom w:val="single" w:sz="4" w:space="0" w:color="auto"/>
              <w:right w:val="single" w:sz="4" w:space="0" w:color="auto"/>
            </w:tcBorders>
            <w:vAlign w:val="center"/>
          </w:tcPr>
          <w:p w14:paraId="06F8BA3B" w14:textId="77777777" w:rsidR="00A320E6" w:rsidRDefault="00000000" w:rsidP="00AE0286">
            <w:pPr>
              <w:ind w:left="720" w:hanging="720"/>
              <w:jc w:val="center"/>
              <w:rPr>
                <w:rFonts w:ascii="宋体" w:hAnsi="宋体" w:cs="宋体"/>
                <w:kern w:val="0"/>
                <w:szCs w:val="21"/>
              </w:rPr>
            </w:pPr>
            <w:r>
              <w:rPr>
                <w:rFonts w:ascii="宋体" w:hAnsi="宋体" w:cs="宋体" w:hint="eastAsia"/>
                <w:kern w:val="0"/>
                <w:szCs w:val="21"/>
              </w:rPr>
              <w:t>备注</w:t>
            </w:r>
          </w:p>
        </w:tc>
      </w:tr>
      <w:tr w:rsidR="00A320E6" w14:paraId="06CE36BE" w14:textId="77777777" w:rsidTr="00E77641">
        <w:trPr>
          <w:trHeight w:val="454"/>
          <w:jc w:val="center"/>
        </w:trPr>
        <w:tc>
          <w:tcPr>
            <w:tcW w:w="408" w:type="pct"/>
            <w:tcBorders>
              <w:top w:val="single" w:sz="4" w:space="0" w:color="auto"/>
              <w:left w:val="single" w:sz="4" w:space="0" w:color="auto"/>
              <w:bottom w:val="single" w:sz="4" w:space="0" w:color="auto"/>
              <w:right w:val="single" w:sz="4" w:space="0" w:color="auto"/>
            </w:tcBorders>
            <w:vAlign w:val="center"/>
          </w:tcPr>
          <w:p w14:paraId="05F55E7E" w14:textId="77777777" w:rsidR="00A320E6" w:rsidRDefault="00000000" w:rsidP="00AE0286">
            <w:pPr>
              <w:jc w:val="center"/>
              <w:rPr>
                <w:rFonts w:ascii="宋体" w:hAnsi="宋体" w:cs="宋体"/>
                <w:szCs w:val="21"/>
              </w:rPr>
            </w:pPr>
            <w:r>
              <w:rPr>
                <w:rFonts w:ascii="宋体" w:hAnsi="宋体" w:cs="宋体" w:hint="eastAsia"/>
                <w:szCs w:val="21"/>
              </w:rPr>
              <w:t>1</w:t>
            </w:r>
          </w:p>
        </w:tc>
        <w:tc>
          <w:tcPr>
            <w:tcW w:w="620" w:type="pct"/>
            <w:tcBorders>
              <w:top w:val="single" w:sz="4" w:space="0" w:color="auto"/>
              <w:left w:val="nil"/>
              <w:bottom w:val="single" w:sz="4" w:space="0" w:color="auto"/>
              <w:right w:val="single" w:sz="4" w:space="0" w:color="auto"/>
            </w:tcBorders>
            <w:vAlign w:val="center"/>
          </w:tcPr>
          <w:p w14:paraId="3136B482" w14:textId="77777777" w:rsidR="00A320E6" w:rsidRDefault="00000000" w:rsidP="00AE0286">
            <w:pPr>
              <w:ind w:left="720" w:hanging="720"/>
              <w:jc w:val="center"/>
              <w:rPr>
                <w:rFonts w:ascii="宋体" w:hAnsi="宋体" w:cs="宋体"/>
                <w:szCs w:val="21"/>
              </w:rPr>
            </w:pPr>
            <w:r>
              <w:rPr>
                <w:rFonts w:ascii="宋体" w:hAnsi="宋体" w:cs="宋体" w:hint="eastAsia"/>
                <w:szCs w:val="21"/>
              </w:rPr>
              <w:t>粮食作物</w:t>
            </w:r>
          </w:p>
        </w:tc>
        <w:tc>
          <w:tcPr>
            <w:tcW w:w="1628" w:type="pct"/>
            <w:tcBorders>
              <w:top w:val="nil"/>
              <w:left w:val="nil"/>
              <w:bottom w:val="single" w:sz="4" w:space="0" w:color="auto"/>
              <w:right w:val="single" w:sz="4" w:space="0" w:color="auto"/>
            </w:tcBorders>
            <w:vAlign w:val="center"/>
          </w:tcPr>
          <w:p w14:paraId="1AB7A390" w14:textId="77777777" w:rsidR="00A320E6" w:rsidRDefault="00A320E6" w:rsidP="00AE0286">
            <w:pPr>
              <w:ind w:left="720" w:hanging="720"/>
              <w:jc w:val="center"/>
              <w:rPr>
                <w:rFonts w:ascii="宋体" w:hAnsi="宋体" w:cs="宋体"/>
                <w:kern w:val="0"/>
                <w:szCs w:val="21"/>
              </w:rPr>
            </w:pPr>
          </w:p>
        </w:tc>
        <w:tc>
          <w:tcPr>
            <w:tcW w:w="1085" w:type="pct"/>
            <w:tcBorders>
              <w:top w:val="nil"/>
              <w:left w:val="nil"/>
              <w:bottom w:val="single" w:sz="4" w:space="0" w:color="auto"/>
              <w:right w:val="single" w:sz="4" w:space="0" w:color="auto"/>
            </w:tcBorders>
            <w:vAlign w:val="center"/>
          </w:tcPr>
          <w:p w14:paraId="120A97F8" w14:textId="77777777" w:rsidR="00A320E6" w:rsidRDefault="00000000" w:rsidP="00AE0286">
            <w:pPr>
              <w:jc w:val="center"/>
              <w:rPr>
                <w:rFonts w:ascii="宋体" w:hAnsi="宋体" w:cs="宋体"/>
                <w:szCs w:val="21"/>
              </w:rPr>
            </w:pPr>
            <w:r>
              <w:rPr>
                <w:rFonts w:ascii="宋体" w:hAnsi="宋体" w:cs="宋体" w:hint="eastAsia"/>
                <w:szCs w:val="21"/>
              </w:rPr>
              <w:t>1600元/亩</w:t>
            </w:r>
          </w:p>
        </w:tc>
        <w:tc>
          <w:tcPr>
            <w:tcW w:w="1259" w:type="pct"/>
            <w:tcBorders>
              <w:top w:val="nil"/>
              <w:left w:val="nil"/>
              <w:bottom w:val="single" w:sz="4" w:space="0" w:color="auto"/>
              <w:right w:val="single" w:sz="4" w:space="0" w:color="auto"/>
            </w:tcBorders>
            <w:vAlign w:val="center"/>
          </w:tcPr>
          <w:p w14:paraId="3B74B19A" w14:textId="77777777" w:rsidR="00A320E6" w:rsidRDefault="00000000" w:rsidP="00AE0286">
            <w:pPr>
              <w:jc w:val="center"/>
              <w:rPr>
                <w:rFonts w:ascii="宋体" w:hAnsi="宋体" w:cs="宋体"/>
                <w:kern w:val="0"/>
                <w:szCs w:val="21"/>
              </w:rPr>
            </w:pPr>
            <w:r>
              <w:rPr>
                <w:rFonts w:ascii="宋体" w:hAnsi="宋体" w:cs="宋体" w:hint="eastAsia"/>
                <w:kern w:val="0"/>
                <w:szCs w:val="21"/>
              </w:rPr>
              <w:t>小麦、玉米、水稻、大豆等</w:t>
            </w:r>
          </w:p>
        </w:tc>
      </w:tr>
      <w:tr w:rsidR="00A320E6" w14:paraId="02536152" w14:textId="77777777" w:rsidTr="00E77641">
        <w:trPr>
          <w:trHeight w:val="454"/>
          <w:jc w:val="center"/>
        </w:trPr>
        <w:tc>
          <w:tcPr>
            <w:tcW w:w="408" w:type="pct"/>
            <w:vMerge w:val="restart"/>
            <w:tcBorders>
              <w:top w:val="single" w:sz="4" w:space="0" w:color="auto"/>
              <w:left w:val="single" w:sz="4" w:space="0" w:color="auto"/>
              <w:right w:val="single" w:sz="4" w:space="0" w:color="auto"/>
            </w:tcBorders>
            <w:vAlign w:val="center"/>
          </w:tcPr>
          <w:p w14:paraId="3016C9AD" w14:textId="77777777" w:rsidR="00A320E6" w:rsidRDefault="00000000" w:rsidP="00AE0286">
            <w:pPr>
              <w:jc w:val="center"/>
              <w:rPr>
                <w:rFonts w:ascii="宋体" w:hAnsi="宋体" w:cs="宋体"/>
                <w:szCs w:val="21"/>
              </w:rPr>
            </w:pPr>
            <w:r>
              <w:rPr>
                <w:rFonts w:ascii="宋体" w:hAnsi="宋体" w:cs="宋体" w:hint="eastAsia"/>
                <w:szCs w:val="21"/>
              </w:rPr>
              <w:t>2</w:t>
            </w:r>
          </w:p>
        </w:tc>
        <w:tc>
          <w:tcPr>
            <w:tcW w:w="620" w:type="pct"/>
            <w:vMerge w:val="restart"/>
            <w:tcBorders>
              <w:top w:val="single" w:sz="4" w:space="0" w:color="auto"/>
              <w:left w:val="nil"/>
              <w:right w:val="single" w:sz="4" w:space="0" w:color="auto"/>
            </w:tcBorders>
            <w:vAlign w:val="center"/>
          </w:tcPr>
          <w:p w14:paraId="7543C397" w14:textId="77777777" w:rsidR="00A320E6" w:rsidRDefault="00000000" w:rsidP="00AE0286">
            <w:pPr>
              <w:ind w:left="720" w:hanging="720"/>
              <w:jc w:val="center"/>
              <w:rPr>
                <w:rFonts w:ascii="宋体" w:hAnsi="宋体" w:cs="宋体"/>
                <w:szCs w:val="21"/>
              </w:rPr>
            </w:pPr>
            <w:r>
              <w:rPr>
                <w:rFonts w:ascii="宋体" w:hAnsi="宋体" w:cs="宋体" w:hint="eastAsia"/>
                <w:szCs w:val="21"/>
              </w:rPr>
              <w:t>经济作物</w:t>
            </w:r>
          </w:p>
        </w:tc>
        <w:tc>
          <w:tcPr>
            <w:tcW w:w="1628" w:type="pct"/>
            <w:tcBorders>
              <w:top w:val="nil"/>
              <w:left w:val="nil"/>
              <w:bottom w:val="single" w:sz="4" w:space="0" w:color="auto"/>
              <w:right w:val="single" w:sz="4" w:space="0" w:color="auto"/>
            </w:tcBorders>
            <w:vAlign w:val="center"/>
          </w:tcPr>
          <w:p w14:paraId="43B37E94" w14:textId="77777777" w:rsidR="00A320E6" w:rsidRDefault="00000000" w:rsidP="00AE0286">
            <w:pPr>
              <w:rPr>
                <w:rFonts w:ascii="宋体" w:hAnsi="宋体" w:cs="宋体"/>
                <w:szCs w:val="21"/>
              </w:rPr>
            </w:pPr>
            <w:r>
              <w:rPr>
                <w:rFonts w:ascii="宋体" w:hAnsi="宋体" w:cs="宋体" w:hint="eastAsia"/>
                <w:szCs w:val="21"/>
              </w:rPr>
              <w:t>油料作物</w:t>
            </w:r>
          </w:p>
        </w:tc>
        <w:tc>
          <w:tcPr>
            <w:tcW w:w="1085" w:type="pct"/>
            <w:tcBorders>
              <w:top w:val="nil"/>
              <w:left w:val="nil"/>
              <w:bottom w:val="single" w:sz="4" w:space="0" w:color="auto"/>
              <w:right w:val="single" w:sz="4" w:space="0" w:color="auto"/>
            </w:tcBorders>
            <w:vAlign w:val="center"/>
          </w:tcPr>
          <w:p w14:paraId="580BBE05" w14:textId="77777777" w:rsidR="00A320E6" w:rsidRDefault="00000000" w:rsidP="00AE0286">
            <w:pPr>
              <w:jc w:val="center"/>
              <w:rPr>
                <w:rFonts w:ascii="宋体" w:hAnsi="宋体" w:cs="宋体"/>
                <w:szCs w:val="21"/>
              </w:rPr>
            </w:pPr>
            <w:r>
              <w:rPr>
                <w:rFonts w:ascii="宋体" w:hAnsi="宋体" w:cs="宋体" w:hint="eastAsia"/>
                <w:szCs w:val="21"/>
              </w:rPr>
              <w:t>1600-2000元/亩</w:t>
            </w:r>
          </w:p>
        </w:tc>
        <w:tc>
          <w:tcPr>
            <w:tcW w:w="1259" w:type="pct"/>
            <w:tcBorders>
              <w:top w:val="nil"/>
              <w:left w:val="nil"/>
              <w:bottom w:val="single" w:sz="4" w:space="0" w:color="auto"/>
              <w:right w:val="single" w:sz="4" w:space="0" w:color="auto"/>
            </w:tcBorders>
            <w:vAlign w:val="center"/>
          </w:tcPr>
          <w:p w14:paraId="55859FE1" w14:textId="77777777" w:rsidR="00A320E6" w:rsidRDefault="00A320E6" w:rsidP="00AE0286">
            <w:pPr>
              <w:ind w:left="720" w:hanging="720"/>
              <w:jc w:val="center"/>
              <w:rPr>
                <w:rFonts w:ascii="宋体" w:hAnsi="宋体" w:cs="宋体"/>
                <w:kern w:val="0"/>
                <w:szCs w:val="21"/>
              </w:rPr>
            </w:pPr>
          </w:p>
        </w:tc>
      </w:tr>
      <w:tr w:rsidR="00A320E6" w14:paraId="2BDE5335" w14:textId="77777777" w:rsidTr="00E77641">
        <w:trPr>
          <w:trHeight w:val="454"/>
          <w:jc w:val="center"/>
        </w:trPr>
        <w:tc>
          <w:tcPr>
            <w:tcW w:w="408" w:type="pct"/>
            <w:vMerge/>
            <w:tcBorders>
              <w:left w:val="single" w:sz="4" w:space="0" w:color="auto"/>
              <w:right w:val="single" w:sz="4" w:space="0" w:color="auto"/>
            </w:tcBorders>
            <w:vAlign w:val="center"/>
          </w:tcPr>
          <w:p w14:paraId="53C92D74" w14:textId="77777777" w:rsidR="00A320E6" w:rsidRDefault="00A320E6" w:rsidP="00AE0286">
            <w:pPr>
              <w:ind w:left="720" w:hanging="720"/>
              <w:jc w:val="center"/>
              <w:rPr>
                <w:rFonts w:ascii="宋体" w:hAnsi="宋体" w:cs="宋体"/>
                <w:kern w:val="0"/>
                <w:szCs w:val="21"/>
              </w:rPr>
            </w:pPr>
          </w:p>
        </w:tc>
        <w:tc>
          <w:tcPr>
            <w:tcW w:w="620" w:type="pct"/>
            <w:vMerge/>
            <w:tcBorders>
              <w:left w:val="nil"/>
              <w:right w:val="single" w:sz="4" w:space="0" w:color="auto"/>
            </w:tcBorders>
            <w:vAlign w:val="center"/>
          </w:tcPr>
          <w:p w14:paraId="67E18A7D"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bottom w:val="single" w:sz="4" w:space="0" w:color="auto"/>
              <w:right w:val="single" w:sz="4" w:space="0" w:color="auto"/>
            </w:tcBorders>
            <w:vAlign w:val="center"/>
          </w:tcPr>
          <w:p w14:paraId="528ADBF7" w14:textId="77777777" w:rsidR="00A320E6" w:rsidRDefault="00000000" w:rsidP="00AE0286">
            <w:pPr>
              <w:rPr>
                <w:rFonts w:ascii="宋体" w:hAnsi="宋体" w:cs="宋体"/>
                <w:szCs w:val="21"/>
              </w:rPr>
            </w:pPr>
            <w:r>
              <w:rPr>
                <w:rFonts w:ascii="宋体" w:hAnsi="宋体" w:cs="宋体" w:hint="eastAsia"/>
                <w:szCs w:val="21"/>
              </w:rPr>
              <w:t>大蒜</w:t>
            </w:r>
          </w:p>
        </w:tc>
        <w:tc>
          <w:tcPr>
            <w:tcW w:w="1085" w:type="pct"/>
            <w:tcBorders>
              <w:top w:val="single" w:sz="4" w:space="0" w:color="auto"/>
              <w:left w:val="nil"/>
              <w:bottom w:val="single" w:sz="4" w:space="0" w:color="auto"/>
              <w:right w:val="single" w:sz="4" w:space="0" w:color="auto"/>
            </w:tcBorders>
            <w:vAlign w:val="center"/>
          </w:tcPr>
          <w:p w14:paraId="3425648E" w14:textId="77777777" w:rsidR="00A320E6" w:rsidRDefault="00000000" w:rsidP="00AE0286">
            <w:pPr>
              <w:jc w:val="center"/>
              <w:rPr>
                <w:rFonts w:ascii="宋体" w:hAnsi="宋体" w:cs="宋体"/>
                <w:szCs w:val="21"/>
              </w:rPr>
            </w:pPr>
            <w:r>
              <w:rPr>
                <w:rFonts w:ascii="宋体" w:hAnsi="宋体" w:cs="宋体" w:hint="eastAsia"/>
                <w:szCs w:val="21"/>
              </w:rPr>
              <w:t>8000-12000元/亩</w:t>
            </w:r>
          </w:p>
        </w:tc>
        <w:tc>
          <w:tcPr>
            <w:tcW w:w="1259" w:type="pct"/>
            <w:tcBorders>
              <w:top w:val="single" w:sz="4" w:space="0" w:color="auto"/>
              <w:left w:val="nil"/>
              <w:bottom w:val="single" w:sz="4" w:space="0" w:color="auto"/>
              <w:right w:val="single" w:sz="4" w:space="0" w:color="auto"/>
            </w:tcBorders>
            <w:vAlign w:val="center"/>
          </w:tcPr>
          <w:p w14:paraId="198F5C8D" w14:textId="77777777" w:rsidR="00A320E6" w:rsidRDefault="00A320E6" w:rsidP="00AE0286">
            <w:pPr>
              <w:ind w:left="720" w:hanging="720"/>
              <w:jc w:val="center"/>
              <w:rPr>
                <w:rFonts w:ascii="宋体" w:hAnsi="宋体" w:cs="宋体"/>
                <w:kern w:val="0"/>
                <w:szCs w:val="21"/>
              </w:rPr>
            </w:pPr>
          </w:p>
        </w:tc>
      </w:tr>
      <w:tr w:rsidR="00A320E6" w14:paraId="0B1D2FF5" w14:textId="77777777" w:rsidTr="00E77641">
        <w:trPr>
          <w:trHeight w:val="454"/>
          <w:jc w:val="center"/>
        </w:trPr>
        <w:tc>
          <w:tcPr>
            <w:tcW w:w="408" w:type="pct"/>
            <w:vMerge/>
            <w:tcBorders>
              <w:left w:val="single" w:sz="4" w:space="0" w:color="auto"/>
              <w:right w:val="single" w:sz="4" w:space="0" w:color="auto"/>
            </w:tcBorders>
            <w:vAlign w:val="center"/>
          </w:tcPr>
          <w:p w14:paraId="0B2AE4C2" w14:textId="77777777" w:rsidR="00A320E6" w:rsidRDefault="00A320E6" w:rsidP="00AE0286">
            <w:pPr>
              <w:ind w:left="720" w:hanging="720"/>
              <w:jc w:val="center"/>
              <w:rPr>
                <w:rFonts w:ascii="宋体" w:hAnsi="宋体" w:cs="宋体"/>
                <w:kern w:val="0"/>
                <w:szCs w:val="21"/>
              </w:rPr>
            </w:pPr>
          </w:p>
        </w:tc>
        <w:tc>
          <w:tcPr>
            <w:tcW w:w="620" w:type="pct"/>
            <w:vMerge/>
            <w:tcBorders>
              <w:left w:val="nil"/>
              <w:right w:val="single" w:sz="4" w:space="0" w:color="auto"/>
            </w:tcBorders>
            <w:vAlign w:val="center"/>
          </w:tcPr>
          <w:p w14:paraId="0796AB6A"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bottom w:val="single" w:sz="4" w:space="0" w:color="auto"/>
              <w:right w:val="single" w:sz="4" w:space="0" w:color="auto"/>
            </w:tcBorders>
            <w:vAlign w:val="center"/>
          </w:tcPr>
          <w:p w14:paraId="3A3AB92E" w14:textId="77777777" w:rsidR="00A320E6" w:rsidRDefault="00000000" w:rsidP="00AE0286">
            <w:pPr>
              <w:rPr>
                <w:rFonts w:ascii="宋体" w:hAnsi="宋体" w:cs="宋体"/>
                <w:szCs w:val="21"/>
              </w:rPr>
            </w:pPr>
            <w:r>
              <w:rPr>
                <w:rFonts w:ascii="宋体" w:hAnsi="宋体" w:cs="宋体" w:hint="eastAsia"/>
                <w:szCs w:val="21"/>
              </w:rPr>
              <w:t>芦笋、辣椒、山药、西红柿</w:t>
            </w:r>
          </w:p>
        </w:tc>
        <w:tc>
          <w:tcPr>
            <w:tcW w:w="1085" w:type="pct"/>
            <w:tcBorders>
              <w:top w:val="single" w:sz="4" w:space="0" w:color="auto"/>
              <w:left w:val="nil"/>
              <w:bottom w:val="single" w:sz="4" w:space="0" w:color="auto"/>
              <w:right w:val="single" w:sz="4" w:space="0" w:color="auto"/>
            </w:tcBorders>
            <w:vAlign w:val="center"/>
          </w:tcPr>
          <w:p w14:paraId="79DEF1F9" w14:textId="77777777" w:rsidR="00A320E6" w:rsidRDefault="00000000" w:rsidP="00AE0286">
            <w:pPr>
              <w:jc w:val="center"/>
              <w:rPr>
                <w:rFonts w:ascii="宋体" w:hAnsi="宋体" w:cs="宋体"/>
                <w:szCs w:val="21"/>
              </w:rPr>
            </w:pPr>
            <w:r>
              <w:rPr>
                <w:rFonts w:ascii="宋体" w:hAnsi="宋体" w:cs="宋体" w:hint="eastAsia"/>
                <w:szCs w:val="21"/>
              </w:rPr>
              <w:t>6000-12000元/亩</w:t>
            </w:r>
          </w:p>
        </w:tc>
        <w:tc>
          <w:tcPr>
            <w:tcW w:w="1259" w:type="pct"/>
            <w:tcBorders>
              <w:top w:val="single" w:sz="4" w:space="0" w:color="auto"/>
              <w:left w:val="nil"/>
              <w:bottom w:val="single" w:sz="4" w:space="0" w:color="auto"/>
              <w:right w:val="single" w:sz="4" w:space="0" w:color="auto"/>
            </w:tcBorders>
            <w:vAlign w:val="center"/>
          </w:tcPr>
          <w:p w14:paraId="78F5DC9B" w14:textId="77777777" w:rsidR="00A320E6" w:rsidRDefault="00A320E6" w:rsidP="00AE0286">
            <w:pPr>
              <w:ind w:left="720" w:hanging="720"/>
              <w:jc w:val="center"/>
              <w:rPr>
                <w:rFonts w:ascii="宋体" w:hAnsi="宋体" w:cs="宋体"/>
                <w:kern w:val="0"/>
                <w:szCs w:val="21"/>
              </w:rPr>
            </w:pPr>
          </w:p>
        </w:tc>
      </w:tr>
      <w:tr w:rsidR="00A320E6" w14:paraId="33A21168" w14:textId="77777777" w:rsidTr="00E77641">
        <w:trPr>
          <w:trHeight w:val="451"/>
          <w:jc w:val="center"/>
        </w:trPr>
        <w:tc>
          <w:tcPr>
            <w:tcW w:w="408" w:type="pct"/>
            <w:vMerge/>
            <w:tcBorders>
              <w:left w:val="single" w:sz="4" w:space="0" w:color="auto"/>
              <w:right w:val="single" w:sz="4" w:space="0" w:color="auto"/>
            </w:tcBorders>
            <w:vAlign w:val="center"/>
          </w:tcPr>
          <w:p w14:paraId="79C5710A" w14:textId="77777777" w:rsidR="00A320E6" w:rsidRDefault="00A320E6" w:rsidP="00AE0286">
            <w:pPr>
              <w:ind w:left="720" w:hanging="720"/>
              <w:jc w:val="center"/>
              <w:rPr>
                <w:rFonts w:ascii="宋体" w:hAnsi="宋体" w:cs="宋体"/>
                <w:kern w:val="0"/>
                <w:szCs w:val="21"/>
              </w:rPr>
            </w:pPr>
          </w:p>
        </w:tc>
        <w:tc>
          <w:tcPr>
            <w:tcW w:w="620" w:type="pct"/>
            <w:vMerge/>
            <w:tcBorders>
              <w:left w:val="nil"/>
              <w:right w:val="single" w:sz="4" w:space="0" w:color="auto"/>
            </w:tcBorders>
            <w:vAlign w:val="center"/>
          </w:tcPr>
          <w:p w14:paraId="268E7ED3"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right w:val="single" w:sz="4" w:space="0" w:color="auto"/>
            </w:tcBorders>
            <w:vAlign w:val="center"/>
          </w:tcPr>
          <w:p w14:paraId="43A43799" w14:textId="77777777" w:rsidR="00A320E6" w:rsidRDefault="00000000" w:rsidP="00AE0286">
            <w:pPr>
              <w:rPr>
                <w:rFonts w:ascii="宋体" w:hAnsi="宋体" w:cs="宋体"/>
                <w:szCs w:val="21"/>
              </w:rPr>
            </w:pPr>
            <w:r>
              <w:rPr>
                <w:rFonts w:ascii="宋体" w:hAnsi="宋体" w:cs="宋体" w:hint="eastAsia"/>
                <w:szCs w:val="21"/>
              </w:rPr>
              <w:t>西瓜、甜瓜</w:t>
            </w:r>
          </w:p>
        </w:tc>
        <w:tc>
          <w:tcPr>
            <w:tcW w:w="1085" w:type="pct"/>
            <w:tcBorders>
              <w:top w:val="single" w:sz="4" w:space="0" w:color="auto"/>
              <w:left w:val="nil"/>
              <w:right w:val="single" w:sz="4" w:space="0" w:color="auto"/>
            </w:tcBorders>
            <w:vAlign w:val="center"/>
          </w:tcPr>
          <w:p w14:paraId="0DF5C559" w14:textId="77777777" w:rsidR="00A320E6" w:rsidRDefault="00000000" w:rsidP="00AE0286">
            <w:pPr>
              <w:jc w:val="center"/>
              <w:rPr>
                <w:rFonts w:ascii="宋体" w:hAnsi="宋体" w:cs="宋体"/>
                <w:szCs w:val="21"/>
              </w:rPr>
            </w:pPr>
            <w:r>
              <w:rPr>
                <w:rFonts w:ascii="宋体" w:hAnsi="宋体" w:cs="宋体" w:hint="eastAsia"/>
                <w:szCs w:val="21"/>
              </w:rPr>
              <w:t>4000-10000元/亩</w:t>
            </w:r>
          </w:p>
        </w:tc>
        <w:tc>
          <w:tcPr>
            <w:tcW w:w="1259" w:type="pct"/>
            <w:tcBorders>
              <w:top w:val="single" w:sz="4" w:space="0" w:color="auto"/>
              <w:left w:val="nil"/>
              <w:right w:val="single" w:sz="4" w:space="0" w:color="auto"/>
            </w:tcBorders>
            <w:vAlign w:val="center"/>
          </w:tcPr>
          <w:p w14:paraId="28A095DD" w14:textId="77777777" w:rsidR="00A320E6" w:rsidRDefault="00A320E6" w:rsidP="00AE0286">
            <w:pPr>
              <w:ind w:left="720" w:hanging="720"/>
              <w:jc w:val="center"/>
              <w:rPr>
                <w:rFonts w:ascii="宋体" w:hAnsi="宋体" w:cs="宋体"/>
                <w:kern w:val="0"/>
                <w:szCs w:val="21"/>
              </w:rPr>
            </w:pPr>
          </w:p>
        </w:tc>
      </w:tr>
      <w:tr w:rsidR="00A320E6" w14:paraId="79F0CCDD" w14:textId="77777777" w:rsidTr="00E77641">
        <w:trPr>
          <w:trHeight w:val="454"/>
          <w:jc w:val="center"/>
        </w:trPr>
        <w:tc>
          <w:tcPr>
            <w:tcW w:w="408" w:type="pct"/>
            <w:vMerge/>
            <w:tcBorders>
              <w:left w:val="single" w:sz="4" w:space="0" w:color="auto"/>
              <w:right w:val="single" w:sz="4" w:space="0" w:color="auto"/>
            </w:tcBorders>
            <w:vAlign w:val="center"/>
          </w:tcPr>
          <w:p w14:paraId="6B829F9D" w14:textId="77777777" w:rsidR="00A320E6" w:rsidRDefault="00A320E6" w:rsidP="00AE0286">
            <w:pPr>
              <w:ind w:left="720" w:hanging="720"/>
              <w:jc w:val="center"/>
              <w:rPr>
                <w:rFonts w:ascii="宋体" w:hAnsi="宋体" w:cs="宋体"/>
                <w:kern w:val="0"/>
                <w:szCs w:val="21"/>
              </w:rPr>
            </w:pPr>
          </w:p>
        </w:tc>
        <w:tc>
          <w:tcPr>
            <w:tcW w:w="620" w:type="pct"/>
            <w:vMerge/>
            <w:tcBorders>
              <w:left w:val="nil"/>
              <w:right w:val="single" w:sz="4" w:space="0" w:color="auto"/>
            </w:tcBorders>
            <w:vAlign w:val="center"/>
          </w:tcPr>
          <w:p w14:paraId="0D324C44"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bottom w:val="single" w:sz="4" w:space="0" w:color="auto"/>
              <w:right w:val="single" w:sz="4" w:space="0" w:color="auto"/>
            </w:tcBorders>
            <w:vAlign w:val="center"/>
          </w:tcPr>
          <w:p w14:paraId="5DA4747D" w14:textId="77777777" w:rsidR="00A320E6" w:rsidRDefault="00000000" w:rsidP="00AE0286">
            <w:pPr>
              <w:rPr>
                <w:rFonts w:ascii="宋体" w:hAnsi="宋体" w:cs="宋体"/>
                <w:szCs w:val="21"/>
              </w:rPr>
            </w:pPr>
            <w:r>
              <w:rPr>
                <w:rFonts w:ascii="宋体" w:hAnsi="宋体" w:cs="宋体" w:hint="eastAsia"/>
                <w:szCs w:val="21"/>
              </w:rPr>
              <w:t>棉花</w:t>
            </w:r>
          </w:p>
        </w:tc>
        <w:tc>
          <w:tcPr>
            <w:tcW w:w="1085" w:type="pct"/>
            <w:tcBorders>
              <w:top w:val="single" w:sz="4" w:space="0" w:color="auto"/>
              <w:left w:val="nil"/>
              <w:bottom w:val="single" w:sz="4" w:space="0" w:color="auto"/>
              <w:right w:val="single" w:sz="4" w:space="0" w:color="auto"/>
            </w:tcBorders>
            <w:vAlign w:val="center"/>
          </w:tcPr>
          <w:p w14:paraId="0915CA90" w14:textId="77777777" w:rsidR="00A320E6" w:rsidRDefault="00000000" w:rsidP="00AE0286">
            <w:pPr>
              <w:jc w:val="center"/>
              <w:rPr>
                <w:rFonts w:ascii="宋体" w:hAnsi="宋体" w:cs="宋体"/>
                <w:szCs w:val="21"/>
              </w:rPr>
            </w:pPr>
            <w:r>
              <w:rPr>
                <w:rFonts w:ascii="宋体" w:hAnsi="宋体" w:cs="宋体" w:hint="eastAsia"/>
                <w:szCs w:val="21"/>
              </w:rPr>
              <w:t>1800-2200元/亩</w:t>
            </w:r>
          </w:p>
        </w:tc>
        <w:tc>
          <w:tcPr>
            <w:tcW w:w="1259" w:type="pct"/>
            <w:tcBorders>
              <w:top w:val="single" w:sz="4" w:space="0" w:color="auto"/>
              <w:left w:val="nil"/>
              <w:bottom w:val="single" w:sz="4" w:space="0" w:color="auto"/>
              <w:right w:val="single" w:sz="4" w:space="0" w:color="auto"/>
            </w:tcBorders>
            <w:vAlign w:val="center"/>
          </w:tcPr>
          <w:p w14:paraId="2408A00D" w14:textId="77777777" w:rsidR="00A320E6" w:rsidRDefault="00A320E6" w:rsidP="00AE0286">
            <w:pPr>
              <w:ind w:left="720" w:hanging="720"/>
              <w:jc w:val="center"/>
              <w:rPr>
                <w:rFonts w:ascii="宋体" w:hAnsi="宋体" w:cs="宋体"/>
                <w:kern w:val="0"/>
                <w:szCs w:val="21"/>
              </w:rPr>
            </w:pPr>
          </w:p>
        </w:tc>
      </w:tr>
      <w:tr w:rsidR="00A320E6" w14:paraId="22B67858" w14:textId="77777777" w:rsidTr="00E77641">
        <w:trPr>
          <w:trHeight w:val="454"/>
          <w:jc w:val="center"/>
        </w:trPr>
        <w:tc>
          <w:tcPr>
            <w:tcW w:w="408" w:type="pct"/>
            <w:vMerge/>
            <w:tcBorders>
              <w:left w:val="single" w:sz="4" w:space="0" w:color="auto"/>
              <w:right w:val="single" w:sz="4" w:space="0" w:color="auto"/>
            </w:tcBorders>
            <w:vAlign w:val="center"/>
          </w:tcPr>
          <w:p w14:paraId="25F038B1" w14:textId="77777777" w:rsidR="00A320E6" w:rsidRDefault="00A320E6" w:rsidP="00AE0286">
            <w:pPr>
              <w:ind w:left="720" w:hanging="720"/>
              <w:jc w:val="center"/>
              <w:rPr>
                <w:rFonts w:ascii="宋体" w:hAnsi="宋体" w:cs="宋体"/>
                <w:kern w:val="0"/>
                <w:szCs w:val="21"/>
              </w:rPr>
            </w:pPr>
          </w:p>
        </w:tc>
        <w:tc>
          <w:tcPr>
            <w:tcW w:w="620" w:type="pct"/>
            <w:vMerge/>
            <w:tcBorders>
              <w:left w:val="nil"/>
              <w:right w:val="single" w:sz="4" w:space="0" w:color="auto"/>
            </w:tcBorders>
            <w:vAlign w:val="center"/>
          </w:tcPr>
          <w:p w14:paraId="0BBBA244"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bottom w:val="single" w:sz="4" w:space="0" w:color="auto"/>
              <w:right w:val="single" w:sz="4" w:space="0" w:color="auto"/>
            </w:tcBorders>
            <w:vAlign w:val="center"/>
          </w:tcPr>
          <w:p w14:paraId="384CB484" w14:textId="77777777" w:rsidR="00A320E6" w:rsidRDefault="00000000" w:rsidP="00AE0286">
            <w:pPr>
              <w:rPr>
                <w:rFonts w:ascii="宋体" w:hAnsi="宋体" w:cs="宋体"/>
                <w:szCs w:val="21"/>
              </w:rPr>
            </w:pPr>
            <w:r>
              <w:rPr>
                <w:rFonts w:ascii="宋体" w:hAnsi="宋体" w:cs="宋体" w:hint="eastAsia"/>
                <w:szCs w:val="21"/>
              </w:rPr>
              <w:t>中药材</w:t>
            </w:r>
          </w:p>
        </w:tc>
        <w:tc>
          <w:tcPr>
            <w:tcW w:w="1085" w:type="pct"/>
            <w:tcBorders>
              <w:top w:val="single" w:sz="4" w:space="0" w:color="auto"/>
              <w:left w:val="nil"/>
              <w:bottom w:val="single" w:sz="4" w:space="0" w:color="auto"/>
              <w:right w:val="single" w:sz="4" w:space="0" w:color="auto"/>
            </w:tcBorders>
            <w:vAlign w:val="center"/>
          </w:tcPr>
          <w:p w14:paraId="71B5ED10" w14:textId="77777777" w:rsidR="00A320E6" w:rsidRDefault="00000000" w:rsidP="00AE0286">
            <w:pPr>
              <w:jc w:val="center"/>
              <w:rPr>
                <w:rFonts w:ascii="宋体" w:hAnsi="宋体" w:cs="宋体"/>
                <w:szCs w:val="21"/>
              </w:rPr>
            </w:pPr>
            <w:r>
              <w:rPr>
                <w:rFonts w:ascii="宋体" w:hAnsi="宋体" w:cs="宋体" w:hint="eastAsia"/>
                <w:szCs w:val="21"/>
              </w:rPr>
              <w:t>4000-10000元/亩</w:t>
            </w:r>
          </w:p>
        </w:tc>
        <w:tc>
          <w:tcPr>
            <w:tcW w:w="1259" w:type="pct"/>
            <w:tcBorders>
              <w:top w:val="single" w:sz="4" w:space="0" w:color="auto"/>
              <w:left w:val="nil"/>
              <w:bottom w:val="single" w:sz="4" w:space="0" w:color="auto"/>
              <w:right w:val="single" w:sz="4" w:space="0" w:color="auto"/>
            </w:tcBorders>
            <w:vAlign w:val="center"/>
          </w:tcPr>
          <w:p w14:paraId="6B547918" w14:textId="77777777" w:rsidR="00A320E6" w:rsidRDefault="00A320E6" w:rsidP="00AE0286">
            <w:pPr>
              <w:ind w:left="720" w:hanging="720"/>
              <w:jc w:val="center"/>
              <w:rPr>
                <w:rFonts w:ascii="宋体" w:hAnsi="宋体" w:cs="宋体"/>
                <w:kern w:val="0"/>
                <w:szCs w:val="21"/>
              </w:rPr>
            </w:pPr>
          </w:p>
        </w:tc>
      </w:tr>
      <w:tr w:rsidR="00A320E6" w14:paraId="7FA0BAB6" w14:textId="77777777" w:rsidTr="00E77641">
        <w:trPr>
          <w:trHeight w:val="454"/>
          <w:jc w:val="center"/>
        </w:trPr>
        <w:tc>
          <w:tcPr>
            <w:tcW w:w="408" w:type="pct"/>
            <w:vMerge/>
            <w:tcBorders>
              <w:left w:val="single" w:sz="4" w:space="0" w:color="auto"/>
              <w:bottom w:val="single" w:sz="4" w:space="0" w:color="auto"/>
              <w:right w:val="single" w:sz="4" w:space="0" w:color="auto"/>
            </w:tcBorders>
            <w:vAlign w:val="center"/>
          </w:tcPr>
          <w:p w14:paraId="4D338DBA" w14:textId="77777777" w:rsidR="00A320E6" w:rsidRDefault="00A320E6" w:rsidP="00AE0286">
            <w:pPr>
              <w:ind w:left="720" w:hanging="720"/>
              <w:jc w:val="center"/>
              <w:rPr>
                <w:rFonts w:ascii="宋体" w:hAnsi="宋体" w:cs="宋体"/>
                <w:kern w:val="0"/>
                <w:szCs w:val="21"/>
              </w:rPr>
            </w:pPr>
          </w:p>
        </w:tc>
        <w:tc>
          <w:tcPr>
            <w:tcW w:w="620" w:type="pct"/>
            <w:vMerge/>
            <w:tcBorders>
              <w:left w:val="nil"/>
              <w:bottom w:val="single" w:sz="4" w:space="0" w:color="auto"/>
              <w:right w:val="single" w:sz="4" w:space="0" w:color="auto"/>
            </w:tcBorders>
            <w:vAlign w:val="center"/>
          </w:tcPr>
          <w:p w14:paraId="4DD0F688" w14:textId="77777777" w:rsidR="00A320E6" w:rsidRDefault="00A320E6" w:rsidP="00AE0286">
            <w:pPr>
              <w:ind w:left="720" w:hanging="720"/>
              <w:jc w:val="center"/>
              <w:rPr>
                <w:rFonts w:ascii="宋体" w:hAnsi="宋体" w:cs="宋体"/>
                <w:kern w:val="0"/>
                <w:szCs w:val="21"/>
              </w:rPr>
            </w:pPr>
          </w:p>
        </w:tc>
        <w:tc>
          <w:tcPr>
            <w:tcW w:w="1628" w:type="pct"/>
            <w:tcBorders>
              <w:top w:val="single" w:sz="4" w:space="0" w:color="auto"/>
              <w:left w:val="nil"/>
              <w:bottom w:val="single" w:sz="4" w:space="0" w:color="auto"/>
              <w:right w:val="single" w:sz="4" w:space="0" w:color="auto"/>
            </w:tcBorders>
            <w:vAlign w:val="center"/>
          </w:tcPr>
          <w:p w14:paraId="648E90B4" w14:textId="77777777" w:rsidR="00A320E6" w:rsidRDefault="00000000" w:rsidP="00AE0286">
            <w:pPr>
              <w:rPr>
                <w:rFonts w:ascii="宋体" w:hAnsi="宋体" w:cs="宋体"/>
                <w:szCs w:val="21"/>
              </w:rPr>
            </w:pPr>
            <w:r>
              <w:rPr>
                <w:rFonts w:ascii="宋体" w:hAnsi="宋体" w:cs="宋体" w:hint="eastAsia"/>
                <w:szCs w:val="21"/>
              </w:rPr>
              <w:t>其他露地蔬菜</w:t>
            </w:r>
          </w:p>
        </w:tc>
        <w:tc>
          <w:tcPr>
            <w:tcW w:w="1085" w:type="pct"/>
            <w:tcBorders>
              <w:top w:val="single" w:sz="4" w:space="0" w:color="auto"/>
              <w:left w:val="nil"/>
              <w:bottom w:val="single" w:sz="4" w:space="0" w:color="auto"/>
              <w:right w:val="single" w:sz="4" w:space="0" w:color="auto"/>
            </w:tcBorders>
            <w:vAlign w:val="center"/>
          </w:tcPr>
          <w:p w14:paraId="4C52264D" w14:textId="77777777" w:rsidR="00A320E6" w:rsidRDefault="00000000" w:rsidP="00AE0286">
            <w:pPr>
              <w:jc w:val="center"/>
              <w:rPr>
                <w:rFonts w:ascii="宋体" w:hAnsi="宋体" w:cs="宋体"/>
                <w:szCs w:val="21"/>
              </w:rPr>
            </w:pPr>
            <w:r>
              <w:rPr>
                <w:rFonts w:ascii="宋体" w:hAnsi="宋体" w:cs="宋体" w:hint="eastAsia"/>
                <w:szCs w:val="21"/>
              </w:rPr>
              <w:t>3000-5000元/亩</w:t>
            </w:r>
          </w:p>
        </w:tc>
        <w:tc>
          <w:tcPr>
            <w:tcW w:w="1259" w:type="pct"/>
            <w:tcBorders>
              <w:top w:val="single" w:sz="4" w:space="0" w:color="auto"/>
              <w:left w:val="nil"/>
              <w:bottom w:val="single" w:sz="4" w:space="0" w:color="auto"/>
              <w:right w:val="single" w:sz="4" w:space="0" w:color="auto"/>
            </w:tcBorders>
            <w:vAlign w:val="center"/>
          </w:tcPr>
          <w:p w14:paraId="06943ACF" w14:textId="77777777" w:rsidR="00A320E6" w:rsidRDefault="00A320E6" w:rsidP="00AE0286">
            <w:pPr>
              <w:ind w:left="720" w:hanging="720"/>
              <w:jc w:val="center"/>
              <w:rPr>
                <w:rFonts w:ascii="宋体" w:hAnsi="宋体" w:cs="宋体"/>
                <w:kern w:val="0"/>
                <w:szCs w:val="21"/>
              </w:rPr>
            </w:pPr>
          </w:p>
        </w:tc>
      </w:tr>
    </w:tbl>
    <w:p w14:paraId="5427DC11"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说明：</w:t>
      </w:r>
    </w:p>
    <w:p w14:paraId="18324D13"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1、表中未列出的地上附着物和青苗，参照表中相近的补偿标准补偿，不能参照的可双方协商。协商不成的，可委托有资质的机构进行评估或认证，作为征地补偿的依据。</w:t>
      </w:r>
    </w:p>
    <w:p w14:paraId="5CC37DA9"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2、市、县（区）政府已发布拟征地公告，征地调查登记开始后抢种、抢栽的青苗、树木以及抢建的建筑物、构筑物等，一律不予补偿。</w:t>
      </w:r>
    </w:p>
    <w:p w14:paraId="52B8993B"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3、涉及政府投资的农田水利设施，统一补偿给县（区）财政。</w:t>
      </w:r>
    </w:p>
    <w:p w14:paraId="0EDB484D"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4、幼龄期、初果期果园间种的农作物可参照青苗类补偿标准执行。</w:t>
      </w:r>
    </w:p>
    <w:p w14:paraId="0D71599D"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5、套种作物按种植面积较多的作物补偿。</w:t>
      </w:r>
    </w:p>
    <w:p w14:paraId="508792E2"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6、乔木胸径是指距根茎1.3m处的树木直径。</w:t>
      </w:r>
    </w:p>
    <w:p w14:paraId="7C1AC070"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7、国家和省确定的铁路、公路、机场、航道港口、水利工程、能源工程等重大基础设施项目征地地上附着物和青苗补偿标准另有规定的，从其规定。</w:t>
      </w:r>
    </w:p>
    <w:p w14:paraId="29558ED0" w14:textId="77777777" w:rsidR="00A320E6" w:rsidRDefault="00000000" w:rsidP="00AE0286">
      <w:pPr>
        <w:spacing w:line="360" w:lineRule="auto"/>
        <w:ind w:firstLineChars="200" w:firstLine="480"/>
        <w:jc w:val="left"/>
        <w:textAlignment w:val="baseline"/>
        <w:rPr>
          <w:rFonts w:ascii="宋体" w:hAnsi="宋体" w:cs="宋体"/>
          <w:kern w:val="0"/>
          <w:sz w:val="24"/>
        </w:rPr>
      </w:pPr>
      <w:r>
        <w:rPr>
          <w:rFonts w:ascii="宋体" w:hAnsi="宋体" w:cs="宋体" w:hint="eastAsia"/>
          <w:kern w:val="0"/>
          <w:sz w:val="24"/>
        </w:rPr>
        <w:t>8、输电线路杆、塔基用地地上附着物和青苗的补偿参照本标准执行。</w:t>
      </w:r>
    </w:p>
    <w:p w14:paraId="52547A6F" w14:textId="43F9E97F" w:rsidR="00A320E6" w:rsidRDefault="00000000" w:rsidP="00AE0286">
      <w:pPr>
        <w:pStyle w:val="a5"/>
        <w:spacing w:line="360" w:lineRule="auto"/>
        <w:ind w:left="0" w:firstLineChars="200" w:firstLine="480"/>
      </w:pPr>
      <w:r>
        <w:rPr>
          <w:rFonts w:hint="eastAsia"/>
        </w:rPr>
        <w:t>9、高档农业设施可委托有资质的机构进行评估或认证。</w:t>
      </w:r>
    </w:p>
    <w:p w14:paraId="0DE9C8FF"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18" w:name="_Toc112227421"/>
      <w:r>
        <w:rPr>
          <w:rFonts w:ascii="宋体" w:hAnsi="宋体" w:cs="宋体" w:hint="eastAsia"/>
          <w:b/>
          <w:bCs/>
          <w:sz w:val="24"/>
          <w:szCs w:val="24"/>
          <w:lang w:eastAsia="zh-Hans"/>
        </w:rPr>
        <w:t>关于东营市征地地上附着物和青苗补偿标准的批复</w:t>
      </w:r>
      <w:bookmarkEnd w:id="118"/>
    </w:p>
    <w:p w14:paraId="5CD09BDA" w14:textId="77777777" w:rsidR="00A320E6" w:rsidRDefault="00000000" w:rsidP="00AE0286">
      <w:pPr>
        <w:pStyle w:val="a3"/>
        <w:spacing w:line="360" w:lineRule="auto"/>
        <w:ind w:firstLineChars="0" w:firstLine="0"/>
        <w:jc w:val="left"/>
        <w:rPr>
          <w:rFonts w:ascii="宋体" w:hAnsi="宋体" w:cs="宋体"/>
          <w:sz w:val="24"/>
          <w:lang w:eastAsia="zh-Hans"/>
        </w:rPr>
      </w:pPr>
      <w:r>
        <w:rPr>
          <w:rFonts w:ascii="宋体" w:hAnsi="宋体" w:cs="宋体" w:hint="eastAsia"/>
          <w:sz w:val="24"/>
          <w:lang w:eastAsia="zh-Hans"/>
        </w:rPr>
        <w:t>东营市自然资源和规划局、财政局：</w:t>
      </w:r>
    </w:p>
    <w:p w14:paraId="49F7E365"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你市《关于申请批复东营市征地地上附着物和青苗补偿标准的请示》（东自然资呈〔2021〕110号）收悉。经研究，同意你市制定的征地地上附着物和青苗补偿标准（详见附件）。</w:t>
      </w:r>
    </w:p>
    <w:p w14:paraId="45DB746E"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标准自批复之日起执行。</w:t>
      </w:r>
    </w:p>
    <w:p w14:paraId="0F0E7888" w14:textId="77777777" w:rsidR="00A320E6" w:rsidRDefault="00000000" w:rsidP="00AE0286">
      <w:pPr>
        <w:pStyle w:val="a3"/>
        <w:spacing w:line="360" w:lineRule="auto"/>
        <w:ind w:firstLine="480"/>
        <w:jc w:val="left"/>
        <w:rPr>
          <w:rFonts w:ascii="宋体" w:hAnsi="宋体" w:cs="宋体"/>
          <w:sz w:val="24"/>
          <w:lang w:eastAsia="zh-Hans"/>
        </w:rPr>
      </w:pPr>
      <w:r>
        <w:rPr>
          <w:rFonts w:ascii="宋体" w:hAnsi="宋体" w:cs="宋体" w:hint="eastAsia"/>
          <w:sz w:val="24"/>
          <w:lang w:eastAsia="zh-Hans"/>
        </w:rPr>
        <w:t>附件：东营市征地地上附着物和青苗补偿标准</w:t>
      </w:r>
    </w:p>
    <w:p w14:paraId="3932A158" w14:textId="3AA42C5C"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                              山东省自然资源厅</w:t>
      </w:r>
      <w:r w:rsidR="006A3ED9">
        <w:rPr>
          <w:rFonts w:ascii="宋体" w:hAnsi="宋体" w:cs="宋体" w:hint="eastAsia"/>
          <w:sz w:val="24"/>
        </w:rPr>
        <w:t xml:space="preserve"> </w:t>
      </w:r>
      <w:r w:rsidR="006A3ED9">
        <w:rPr>
          <w:rFonts w:ascii="宋体" w:hAnsi="宋体" w:cs="宋体"/>
          <w:sz w:val="24"/>
        </w:rPr>
        <w:t xml:space="preserve"> </w:t>
      </w:r>
      <w:r>
        <w:rPr>
          <w:rFonts w:ascii="宋体" w:hAnsi="宋体" w:cs="宋体" w:hint="eastAsia"/>
          <w:sz w:val="24"/>
          <w:lang w:eastAsia="zh-Hans"/>
        </w:rPr>
        <w:t>山东省财政厅</w:t>
      </w:r>
    </w:p>
    <w:p w14:paraId="66647FB0" w14:textId="632B4B19"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                            2021年12月31日</w:t>
      </w:r>
    </w:p>
    <w:p w14:paraId="0EECD9A6" w14:textId="7CDD07DF" w:rsidR="00EC50E9" w:rsidRPr="00EC50E9" w:rsidRDefault="00EC50E9" w:rsidP="00EC50E9">
      <w:pPr>
        <w:pStyle w:val="a3"/>
        <w:spacing w:line="360" w:lineRule="auto"/>
        <w:ind w:firstLineChars="0" w:firstLine="0"/>
        <w:jc w:val="center"/>
        <w:rPr>
          <w:rFonts w:ascii="宋体" w:hAnsi="宋体" w:cs="宋体"/>
          <w:szCs w:val="21"/>
          <w:lang w:eastAsia="zh-Hans"/>
        </w:rPr>
      </w:pPr>
      <w:r>
        <w:rPr>
          <w:rFonts w:ascii="宋体" w:hAnsi="宋体" w:cs="宋体" w:hint="eastAsia"/>
          <w:color w:val="000000"/>
          <w:kern w:val="0"/>
          <w:sz w:val="24"/>
          <w:lang w:bidi="ar"/>
        </w:rPr>
        <w:t>东营市征地地上附着物和青苗补偿标准</w:t>
      </w:r>
    </w:p>
    <w:tbl>
      <w:tblPr>
        <w:tblW w:w="5000" w:type="pct"/>
        <w:tblCellMar>
          <w:top w:w="15" w:type="dxa"/>
          <w:left w:w="15" w:type="dxa"/>
          <w:bottom w:w="15" w:type="dxa"/>
          <w:right w:w="15" w:type="dxa"/>
        </w:tblCellMar>
        <w:tblLook w:val="04A0" w:firstRow="1" w:lastRow="0" w:firstColumn="1" w:lastColumn="0" w:noHBand="0" w:noVBand="1"/>
      </w:tblPr>
      <w:tblGrid>
        <w:gridCol w:w="567"/>
        <w:gridCol w:w="780"/>
        <w:gridCol w:w="1508"/>
        <w:gridCol w:w="1770"/>
        <w:gridCol w:w="2052"/>
        <w:gridCol w:w="2076"/>
        <w:gridCol w:w="7"/>
      </w:tblGrid>
      <w:tr w:rsidR="00A320E6" w14:paraId="3FAF0B28" w14:textId="77777777" w:rsidTr="006A3ED9">
        <w:trPr>
          <w:trHeight w:val="312"/>
          <w:tblHeader/>
        </w:trPr>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BF287" w14:textId="77777777" w:rsidR="00A320E6" w:rsidRDefault="00000000" w:rsidP="006A3ED9">
            <w:pPr>
              <w:jc w:val="center"/>
              <w:textAlignment w:val="center"/>
              <w:rPr>
                <w:rFonts w:ascii="宋体" w:hAnsi="宋体" w:cs="宋体"/>
                <w:b/>
                <w:color w:val="000000"/>
                <w:szCs w:val="21"/>
              </w:rPr>
            </w:pPr>
            <w:r>
              <w:rPr>
                <w:rFonts w:ascii="宋体" w:hAnsi="宋体" w:cs="宋体" w:hint="eastAsia"/>
                <w:b/>
                <w:color w:val="000000"/>
                <w:kern w:val="0"/>
                <w:szCs w:val="21"/>
                <w:lang w:bidi="ar"/>
              </w:rPr>
              <w:t>序号</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413CA" w14:textId="77777777" w:rsidR="00A320E6" w:rsidRDefault="00000000" w:rsidP="006A3ED9">
            <w:pPr>
              <w:jc w:val="center"/>
              <w:textAlignment w:val="center"/>
              <w:rPr>
                <w:rFonts w:ascii="宋体" w:hAnsi="宋体" w:cs="宋体"/>
                <w:b/>
                <w:color w:val="000000"/>
                <w:szCs w:val="21"/>
              </w:rPr>
            </w:pPr>
            <w:r>
              <w:rPr>
                <w:rFonts w:ascii="宋体" w:hAnsi="宋体" w:cs="宋体" w:hint="eastAsia"/>
                <w:b/>
                <w:color w:val="000000"/>
                <w:kern w:val="0"/>
                <w:szCs w:val="21"/>
                <w:lang w:bidi="ar"/>
              </w:rPr>
              <w:t>名称</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77F1B0" w14:textId="77777777" w:rsidR="00A320E6" w:rsidRDefault="00000000" w:rsidP="006A3ED9">
            <w:pPr>
              <w:jc w:val="center"/>
              <w:textAlignment w:val="center"/>
              <w:rPr>
                <w:rFonts w:ascii="宋体" w:hAnsi="宋体" w:cs="宋体"/>
                <w:b/>
                <w:color w:val="000000"/>
                <w:szCs w:val="21"/>
              </w:rPr>
            </w:pPr>
            <w:r>
              <w:rPr>
                <w:rFonts w:ascii="宋体" w:hAnsi="宋体" w:cs="宋体" w:hint="eastAsia"/>
                <w:b/>
                <w:color w:val="000000"/>
                <w:kern w:val="0"/>
                <w:szCs w:val="21"/>
                <w:lang w:bidi="ar"/>
              </w:rPr>
              <w:t>类别规格</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FEDD1" w14:textId="77777777" w:rsidR="00A320E6" w:rsidRDefault="00000000" w:rsidP="006A3ED9">
            <w:pPr>
              <w:jc w:val="center"/>
              <w:textAlignment w:val="center"/>
              <w:rPr>
                <w:rFonts w:ascii="宋体" w:hAnsi="宋体" w:cs="宋体"/>
                <w:b/>
                <w:color w:val="000000"/>
                <w:szCs w:val="21"/>
              </w:rPr>
            </w:pPr>
            <w:r>
              <w:rPr>
                <w:rFonts w:ascii="宋体" w:hAnsi="宋体" w:cs="宋体" w:hint="eastAsia"/>
                <w:b/>
                <w:color w:val="000000"/>
                <w:kern w:val="0"/>
                <w:szCs w:val="21"/>
                <w:lang w:bidi="ar"/>
              </w:rPr>
              <w:t>补偿标准</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D32E97" w14:textId="77777777" w:rsidR="00A320E6" w:rsidRDefault="00000000" w:rsidP="006A3ED9">
            <w:pPr>
              <w:jc w:val="center"/>
              <w:textAlignment w:val="center"/>
              <w:rPr>
                <w:rFonts w:ascii="宋体" w:hAnsi="宋体" w:cs="宋体"/>
                <w:b/>
                <w:color w:val="000000"/>
                <w:szCs w:val="21"/>
              </w:rPr>
            </w:pPr>
            <w:r>
              <w:rPr>
                <w:rFonts w:ascii="宋体" w:hAnsi="宋体" w:cs="宋体" w:hint="eastAsia"/>
                <w:b/>
                <w:color w:val="000000"/>
                <w:kern w:val="0"/>
                <w:szCs w:val="21"/>
                <w:lang w:bidi="ar"/>
              </w:rPr>
              <w:t>备注</w:t>
            </w:r>
          </w:p>
        </w:tc>
      </w:tr>
      <w:tr w:rsidR="00A320E6" w14:paraId="6D31E0B3" w14:textId="77777777" w:rsidTr="006A3ED9">
        <w:trPr>
          <w:trHeight w:val="975"/>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35835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FB7C1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房屋</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D35E88"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砖混结构。24cm以上砖墙体承重、设有构造柱、圈梁，屋面现浇，有防水处理，檐高3.5-4.5m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E76C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900-1400元/平方米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7E7A9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1、以上价格含普通装修（外墙水泥砂浆抹灰、内墙水泥砂浆抹灰、室内地面砖、铝合金门窗、水电齐全）；</w:t>
            </w:r>
            <w:r>
              <w:rPr>
                <w:rFonts w:ascii="宋体" w:hAnsi="宋体" w:cs="宋体" w:hint="eastAsia"/>
                <w:color w:val="000000"/>
                <w:kern w:val="0"/>
                <w:szCs w:val="21"/>
                <w:lang w:bidi="ar"/>
              </w:rPr>
              <w:br/>
              <w:t>2、表中面积系指建筑面积；</w:t>
            </w:r>
            <w:r>
              <w:rPr>
                <w:rFonts w:ascii="宋体" w:hAnsi="宋体" w:cs="宋体" w:hint="eastAsia"/>
                <w:color w:val="000000"/>
                <w:kern w:val="0"/>
                <w:szCs w:val="21"/>
                <w:lang w:bidi="ar"/>
              </w:rPr>
              <w:br/>
              <w:t>3、旧料归原主；</w:t>
            </w:r>
            <w:r>
              <w:rPr>
                <w:rFonts w:ascii="宋体" w:hAnsi="宋体" w:cs="宋体" w:hint="eastAsia"/>
                <w:color w:val="000000"/>
                <w:kern w:val="0"/>
                <w:szCs w:val="21"/>
                <w:lang w:bidi="ar"/>
              </w:rPr>
              <w:br/>
              <w:t>4、房屋补偿费用含旧料损失及拆建人工费用。</w:t>
            </w:r>
          </w:p>
        </w:tc>
      </w:tr>
      <w:tr w:rsidR="00A320E6" w14:paraId="728C6C0C"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8617F5"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1DF42"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EEA4DE"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砖混结构。砖墙体承重、屋面现浇，有防水处理，檐高2.8-3.5m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7B3D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750-1150元/平方米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AF4C0" w14:textId="77777777" w:rsidR="00A320E6" w:rsidRDefault="00A320E6" w:rsidP="006A3ED9">
            <w:pPr>
              <w:jc w:val="left"/>
              <w:rPr>
                <w:rFonts w:ascii="宋体" w:hAnsi="宋体" w:cs="宋体"/>
                <w:color w:val="000000"/>
                <w:szCs w:val="21"/>
              </w:rPr>
            </w:pPr>
          </w:p>
        </w:tc>
      </w:tr>
      <w:tr w:rsidR="00A320E6" w14:paraId="32AFBFAD" w14:textId="77777777" w:rsidTr="006A3ED9">
        <w:trPr>
          <w:trHeight w:val="975"/>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A03C5"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F5656"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6FFCCE"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砖木结构。石基础、24cm以上砖墙体承重、设有构造柱、圈梁、瓦屋面。梁、檩材料上等，檐高3.5-4.5m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2435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800-1400元/平方米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DB4D8" w14:textId="77777777" w:rsidR="00A320E6" w:rsidRDefault="00A320E6" w:rsidP="006A3ED9">
            <w:pPr>
              <w:jc w:val="left"/>
              <w:rPr>
                <w:rFonts w:ascii="宋体" w:hAnsi="宋体" w:cs="宋体"/>
                <w:color w:val="000000"/>
                <w:szCs w:val="21"/>
              </w:rPr>
            </w:pPr>
          </w:p>
        </w:tc>
      </w:tr>
      <w:tr w:rsidR="00A320E6" w14:paraId="2DAD07D9"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9176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E3B62A"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04ABE"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砖木结构。石基础、砖墙体承重，木梁檩或水泥预制檩、瓦屋面，檐高3.0-3.5m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01A8F"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700-1080元/平方米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7E15B" w14:textId="77777777" w:rsidR="00A320E6" w:rsidRDefault="00A320E6" w:rsidP="006A3ED9">
            <w:pPr>
              <w:jc w:val="left"/>
              <w:rPr>
                <w:rFonts w:ascii="宋体" w:hAnsi="宋体" w:cs="宋体"/>
                <w:color w:val="000000"/>
                <w:szCs w:val="21"/>
              </w:rPr>
            </w:pPr>
          </w:p>
        </w:tc>
      </w:tr>
      <w:tr w:rsidR="00A320E6" w14:paraId="13240867"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12D49D"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38180"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3BC5A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土木结构。石基础，土坯墙，木梁檩或水泥预制檩、瓦屋面，檐高3.0-4.0m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A22FC"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600-800元/平方米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CE182" w14:textId="77777777" w:rsidR="00A320E6" w:rsidRDefault="00A320E6" w:rsidP="006A3ED9">
            <w:pPr>
              <w:jc w:val="left"/>
              <w:rPr>
                <w:rFonts w:ascii="宋体" w:hAnsi="宋体" w:cs="宋体"/>
                <w:color w:val="000000"/>
                <w:szCs w:val="21"/>
              </w:rPr>
            </w:pPr>
          </w:p>
        </w:tc>
      </w:tr>
      <w:tr w:rsidR="00A320E6" w14:paraId="4266C7FB" w14:textId="77777777" w:rsidTr="006A3ED9">
        <w:trPr>
          <w:trHeight w:val="75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63188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B0ED5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钢结构房</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D73C6"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单板跨度3.5-10m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F5EF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160-430元/平方米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0B73D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1、钢结构房屋的框架有H型钢、工字钢、门型钢架并用檩条等拉结，多用在厂房，仓库，展厅等；</w:t>
            </w:r>
            <w:r>
              <w:rPr>
                <w:rFonts w:ascii="宋体" w:hAnsi="宋体" w:cs="宋体" w:hint="eastAsia"/>
                <w:color w:val="000000"/>
                <w:kern w:val="0"/>
                <w:szCs w:val="21"/>
                <w:lang w:bidi="ar"/>
              </w:rPr>
              <w:br/>
              <w:t>2、复杂工业厂房可委托有资质的中介公司评估补偿；</w:t>
            </w:r>
            <w:r>
              <w:rPr>
                <w:rFonts w:ascii="宋体" w:hAnsi="宋体" w:cs="宋体" w:hint="eastAsia"/>
                <w:color w:val="000000"/>
                <w:kern w:val="0"/>
                <w:szCs w:val="21"/>
                <w:lang w:bidi="ar"/>
              </w:rPr>
              <w:br/>
              <w:t>3、表中面积系指建筑面积；</w:t>
            </w:r>
            <w:r>
              <w:rPr>
                <w:rFonts w:ascii="宋体" w:hAnsi="宋体" w:cs="宋体" w:hint="eastAsia"/>
                <w:color w:val="000000"/>
                <w:kern w:val="0"/>
                <w:szCs w:val="21"/>
                <w:lang w:bidi="ar"/>
              </w:rPr>
              <w:br/>
              <w:t>4、旧料归原主。</w:t>
            </w:r>
          </w:p>
        </w:tc>
      </w:tr>
      <w:tr w:rsidR="00A320E6" w14:paraId="0A8D4F5D"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12C4B7"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11AD3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2E35C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保温层厚度5.5-7cm,跨度10m以上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2BCD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320-580元/平方米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A31C9C" w14:textId="77777777" w:rsidR="00A320E6" w:rsidRDefault="00A320E6" w:rsidP="006A3ED9">
            <w:pPr>
              <w:jc w:val="left"/>
              <w:rPr>
                <w:rFonts w:ascii="宋体" w:hAnsi="宋体" w:cs="宋体"/>
                <w:color w:val="000000"/>
                <w:szCs w:val="21"/>
              </w:rPr>
            </w:pPr>
          </w:p>
        </w:tc>
      </w:tr>
      <w:tr w:rsidR="00A320E6" w14:paraId="1B35F55B"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A493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47F08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2C58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保温材料厚度7cm以上，跨度10m以上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FBFB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480-640元/平方米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A2E11" w14:textId="77777777" w:rsidR="00A320E6" w:rsidRDefault="00A320E6" w:rsidP="006A3ED9">
            <w:pPr>
              <w:jc w:val="left"/>
              <w:rPr>
                <w:rFonts w:ascii="宋体" w:hAnsi="宋体" w:cs="宋体"/>
                <w:color w:val="000000"/>
                <w:szCs w:val="21"/>
              </w:rPr>
            </w:pPr>
          </w:p>
        </w:tc>
      </w:tr>
      <w:tr w:rsidR="00A320E6" w14:paraId="592EFD09"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1259DD"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E106E"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993F0D"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超高混凝土立柱车间，高度10m以上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4BD3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530-850元/平方米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AB2172" w14:textId="77777777" w:rsidR="00A320E6" w:rsidRDefault="00A320E6" w:rsidP="006A3ED9">
            <w:pPr>
              <w:jc w:val="left"/>
              <w:rPr>
                <w:rFonts w:ascii="宋体" w:hAnsi="宋体" w:cs="宋体"/>
                <w:color w:val="000000"/>
                <w:szCs w:val="21"/>
              </w:rPr>
            </w:pPr>
          </w:p>
        </w:tc>
      </w:tr>
      <w:tr w:rsidR="00A320E6" w14:paraId="0C48F082" w14:textId="77777777" w:rsidTr="006A3ED9">
        <w:trPr>
          <w:trHeight w:val="75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AE2E6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36904B"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看护房</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4A385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单层彩钢房</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FD95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220-330元/平方米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229F6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彩钢房主要是用工字做框架，彩钢板做围护的活动房（活动板房），是用一些标准板材拼接而成的简易房屋。</w:t>
            </w:r>
          </w:p>
        </w:tc>
      </w:tr>
      <w:tr w:rsidR="00A320E6" w14:paraId="435751C3"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F5B67"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A276C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B2990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复合彩钢房</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4EC3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330-500元/平方米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6076B" w14:textId="77777777" w:rsidR="00A320E6" w:rsidRDefault="00A320E6" w:rsidP="006A3ED9">
            <w:pPr>
              <w:jc w:val="left"/>
              <w:rPr>
                <w:rFonts w:ascii="宋体" w:hAnsi="宋体" w:cs="宋体"/>
                <w:color w:val="000000"/>
                <w:szCs w:val="21"/>
              </w:rPr>
            </w:pPr>
          </w:p>
        </w:tc>
      </w:tr>
      <w:tr w:rsidR="00A320E6" w14:paraId="69190F4C"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E8810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AAC58D"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69B48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砖混房</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F4DB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550-660元/平方米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95924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无防水处理，檐高低于2.8m</w:t>
            </w:r>
          </w:p>
        </w:tc>
      </w:tr>
      <w:tr w:rsidR="00A320E6" w14:paraId="0096B849"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CB33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2458AA"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6A4C2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土坯房</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728D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320-480元/平方米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58E74" w14:textId="77777777" w:rsidR="00A320E6" w:rsidRDefault="00A320E6" w:rsidP="006A3ED9">
            <w:pPr>
              <w:jc w:val="left"/>
              <w:rPr>
                <w:rFonts w:ascii="宋体" w:hAnsi="宋体" w:cs="宋体"/>
                <w:color w:val="000000"/>
                <w:szCs w:val="21"/>
              </w:rPr>
            </w:pPr>
          </w:p>
        </w:tc>
      </w:tr>
      <w:tr w:rsidR="00A320E6" w14:paraId="576EBABD" w14:textId="77777777" w:rsidTr="006A3ED9">
        <w:trPr>
          <w:trHeight w:val="38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28683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2D97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围墙</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CD037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砖墙，墙高在2.5米以上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A665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300-350元/米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03D77D" w14:textId="77777777" w:rsidR="00A320E6" w:rsidRDefault="00A320E6" w:rsidP="006A3ED9">
            <w:pPr>
              <w:rPr>
                <w:rFonts w:ascii="宋体" w:hAnsi="宋体" w:cs="宋体"/>
                <w:color w:val="000000"/>
                <w:szCs w:val="21"/>
              </w:rPr>
            </w:pPr>
          </w:p>
        </w:tc>
      </w:tr>
      <w:tr w:rsidR="00A320E6" w14:paraId="056F5420" w14:textId="77777777" w:rsidTr="006A3ED9">
        <w:trPr>
          <w:trHeight w:val="38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EC6D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E17D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84893D"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砖墙，墙高在2.0-2.5米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1BA9B"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250-300元/米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B0B728" w14:textId="77777777" w:rsidR="00A320E6" w:rsidRDefault="00A320E6" w:rsidP="006A3ED9">
            <w:pPr>
              <w:rPr>
                <w:rFonts w:ascii="宋体" w:hAnsi="宋体" w:cs="宋体"/>
                <w:color w:val="000000"/>
                <w:szCs w:val="21"/>
              </w:rPr>
            </w:pPr>
          </w:p>
        </w:tc>
      </w:tr>
      <w:tr w:rsidR="00A320E6" w14:paraId="7A99DE10" w14:textId="77777777" w:rsidTr="006A3ED9">
        <w:trPr>
          <w:trHeight w:val="385"/>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AF3E5"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6B485F"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C4367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砖墙，墙高在1.5-2.0米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B01F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200-250元/米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368505" w14:textId="77777777" w:rsidR="00A320E6" w:rsidRDefault="00A320E6" w:rsidP="006A3ED9">
            <w:pPr>
              <w:rPr>
                <w:rFonts w:ascii="宋体" w:hAnsi="宋体" w:cs="宋体"/>
                <w:color w:val="000000"/>
                <w:szCs w:val="21"/>
              </w:rPr>
            </w:pPr>
          </w:p>
        </w:tc>
      </w:tr>
      <w:tr w:rsidR="00A320E6" w14:paraId="47BB57A5" w14:textId="77777777" w:rsidTr="006A3ED9">
        <w:trPr>
          <w:trHeight w:val="391"/>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E9166D"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0E554D"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B2EA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砖墙，墙高在1.5米以下</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8D78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150-200元/米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0B48C" w14:textId="77777777" w:rsidR="00A320E6" w:rsidRDefault="00A320E6" w:rsidP="006A3ED9">
            <w:pPr>
              <w:rPr>
                <w:rFonts w:ascii="宋体" w:hAnsi="宋体" w:cs="宋体"/>
                <w:color w:val="000000"/>
                <w:szCs w:val="21"/>
              </w:rPr>
            </w:pPr>
          </w:p>
        </w:tc>
      </w:tr>
      <w:tr w:rsidR="00A320E6" w14:paraId="7B4461BC" w14:textId="77777777" w:rsidTr="006A3ED9">
        <w:trPr>
          <w:trHeight w:val="384"/>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1E274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D60D4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C792F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土坯墙高2.0米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ED0F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83AB02" w14:textId="77777777" w:rsidR="00A320E6" w:rsidRDefault="00A320E6" w:rsidP="006A3ED9">
            <w:pPr>
              <w:rPr>
                <w:rFonts w:ascii="宋体" w:hAnsi="宋体" w:cs="宋体"/>
                <w:color w:val="000000"/>
                <w:szCs w:val="21"/>
              </w:rPr>
            </w:pPr>
          </w:p>
        </w:tc>
      </w:tr>
      <w:tr w:rsidR="00A320E6" w14:paraId="32148C39" w14:textId="77777777" w:rsidTr="006A3ED9">
        <w:trPr>
          <w:trHeight w:val="39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666CB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5BFC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7A6B6B"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铁栏围墙</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7979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180-240元/平方米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FBD7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包含基础等费用</w:t>
            </w:r>
          </w:p>
        </w:tc>
      </w:tr>
      <w:tr w:rsidR="00A320E6" w14:paraId="5122ADA8" w14:textId="77777777" w:rsidTr="006A3ED9">
        <w:trPr>
          <w:trHeight w:val="382"/>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42233"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B0E0E9"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B1111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铁丝网围墙</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8FC3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50-70元/平方米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209C8D"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包含立杆等费用</w:t>
            </w:r>
          </w:p>
        </w:tc>
      </w:tr>
      <w:tr w:rsidR="00A320E6" w14:paraId="51111EB2" w14:textId="77777777" w:rsidTr="006A3ED9">
        <w:trPr>
          <w:trHeight w:val="75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6CD72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87CEAF"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畜禽舍</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10FAA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简易结构</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C7B8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85-150元/平方米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CB15D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1.表中畜禽舍系指征地涉及的零星畜禽舍，规模化养殖畜禽舍可委托有资质的机构进行评估或认证；</w:t>
            </w:r>
            <w:r>
              <w:rPr>
                <w:rFonts w:ascii="宋体" w:hAnsi="宋体" w:cs="宋体" w:hint="eastAsia"/>
                <w:color w:val="000000"/>
                <w:kern w:val="0"/>
                <w:szCs w:val="21"/>
                <w:lang w:bidi="ar"/>
              </w:rPr>
              <w:br/>
              <w:t>2.旧料归原主。</w:t>
            </w:r>
          </w:p>
        </w:tc>
      </w:tr>
      <w:tr w:rsidR="00A320E6" w14:paraId="554969D2"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D3619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52B56C"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6972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0648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150-300元/平方米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7D0585" w14:textId="77777777" w:rsidR="00A320E6" w:rsidRDefault="00A320E6" w:rsidP="006A3ED9">
            <w:pPr>
              <w:jc w:val="left"/>
              <w:rPr>
                <w:rFonts w:ascii="宋体" w:hAnsi="宋体" w:cs="宋体"/>
                <w:color w:val="000000"/>
                <w:szCs w:val="21"/>
              </w:rPr>
            </w:pPr>
          </w:p>
        </w:tc>
      </w:tr>
      <w:tr w:rsidR="00A320E6" w14:paraId="436A65EF" w14:textId="77777777" w:rsidTr="006A3ED9">
        <w:trPr>
          <w:trHeight w:val="1035"/>
        </w:trPr>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D6EE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484D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迁坟</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A8D56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棺木、拾骨、骨灰盒</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3A6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2000-3000元/座</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3FD8B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1.包含迁葬工料费；</w:t>
            </w:r>
            <w:r>
              <w:rPr>
                <w:rFonts w:ascii="宋体" w:hAnsi="宋体" w:cs="宋体" w:hint="eastAsia"/>
                <w:color w:val="000000"/>
                <w:kern w:val="0"/>
                <w:szCs w:val="21"/>
                <w:lang w:bidi="ar"/>
              </w:rPr>
              <w:br/>
              <w:t>2.多棺坟每增加一棺，可适当提高标准，但最多不超过500元/棺。</w:t>
            </w:r>
          </w:p>
        </w:tc>
      </w:tr>
      <w:tr w:rsidR="00A320E6" w14:paraId="5B989E0E" w14:textId="77777777" w:rsidTr="006A3ED9">
        <w:trPr>
          <w:trHeight w:val="675"/>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D5602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D6E9A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温室</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CF5116"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砖砌墙体、钢、砼骨架、塑料薄膜顶</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69E8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130-160元/平方米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DC32E0" w14:textId="77777777" w:rsidR="00A320E6" w:rsidRDefault="00A320E6" w:rsidP="006A3ED9">
            <w:pPr>
              <w:jc w:val="left"/>
              <w:rPr>
                <w:rFonts w:ascii="宋体" w:hAnsi="宋体" w:cs="宋体"/>
                <w:color w:val="000000"/>
                <w:szCs w:val="21"/>
              </w:rPr>
            </w:pPr>
          </w:p>
        </w:tc>
      </w:tr>
      <w:tr w:rsidR="00A320E6" w14:paraId="7EBC191E" w14:textId="77777777" w:rsidTr="006A3ED9">
        <w:trPr>
          <w:trHeight w:val="444"/>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4786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BB9774"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AE120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土墙、钢、砼骨架、塑料薄膜顶</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6B56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100-150元/平方米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999A29" w14:textId="77777777" w:rsidR="00A320E6" w:rsidRDefault="00A320E6" w:rsidP="006A3ED9">
            <w:pPr>
              <w:jc w:val="left"/>
              <w:rPr>
                <w:rFonts w:ascii="宋体" w:hAnsi="宋体" w:cs="宋体"/>
                <w:color w:val="000000"/>
                <w:szCs w:val="21"/>
              </w:rPr>
            </w:pPr>
          </w:p>
        </w:tc>
      </w:tr>
      <w:tr w:rsidR="00A320E6" w14:paraId="5D903B0A" w14:textId="77777777" w:rsidTr="006A3ED9">
        <w:trPr>
          <w:trHeight w:val="394"/>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1C886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AA0F5F"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1C603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中拱棚（高度1米以上）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3FA5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40-70元/平方米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C8C091" w14:textId="77777777" w:rsidR="00A320E6" w:rsidRDefault="00A320E6" w:rsidP="006A3ED9">
            <w:pPr>
              <w:jc w:val="left"/>
              <w:rPr>
                <w:rFonts w:ascii="宋体" w:hAnsi="宋体" w:cs="宋体"/>
                <w:color w:val="000000"/>
                <w:szCs w:val="21"/>
              </w:rPr>
            </w:pPr>
          </w:p>
        </w:tc>
      </w:tr>
      <w:tr w:rsidR="00A320E6" w14:paraId="53D542EC" w14:textId="77777777" w:rsidTr="006A3ED9">
        <w:trPr>
          <w:trHeight w:val="372"/>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35C99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3B9B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777D3D"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小拱棚（高度1米以内）</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C6C8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8-18元/平方米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AB8334" w14:textId="77777777" w:rsidR="00A320E6" w:rsidRDefault="00A320E6" w:rsidP="006A3ED9">
            <w:pPr>
              <w:jc w:val="left"/>
              <w:rPr>
                <w:rFonts w:ascii="宋体" w:hAnsi="宋体" w:cs="宋体"/>
                <w:color w:val="000000"/>
                <w:szCs w:val="21"/>
              </w:rPr>
            </w:pPr>
          </w:p>
        </w:tc>
      </w:tr>
      <w:tr w:rsidR="00A320E6" w14:paraId="501CDC56"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753A3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46373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小桥</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C091B8"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钢筋混凝土矩形板桥</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312C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1400-2000元/平方米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14AC2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按桥面面积计算</w:t>
            </w:r>
          </w:p>
        </w:tc>
      </w:tr>
      <w:tr w:rsidR="00A320E6" w14:paraId="280A4E5D"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3DA15C"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6449A0"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934B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平坦石拱桥</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78BF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1200-1700元/平方米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628EB9" w14:textId="77777777" w:rsidR="00A320E6" w:rsidRDefault="00A320E6" w:rsidP="006A3ED9">
            <w:pPr>
              <w:jc w:val="left"/>
              <w:rPr>
                <w:rFonts w:ascii="宋体" w:hAnsi="宋体" w:cs="宋体"/>
                <w:color w:val="000000"/>
                <w:szCs w:val="21"/>
              </w:rPr>
            </w:pPr>
          </w:p>
        </w:tc>
      </w:tr>
      <w:tr w:rsidR="00A320E6" w14:paraId="27C49757"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D02A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AA0D9"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96DD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石拱桥</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69B4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2000-3000元/平方米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FEEC86" w14:textId="77777777" w:rsidR="00A320E6" w:rsidRDefault="00A320E6" w:rsidP="006A3ED9">
            <w:pPr>
              <w:jc w:val="left"/>
              <w:rPr>
                <w:rFonts w:ascii="宋体" w:hAnsi="宋体" w:cs="宋体"/>
                <w:color w:val="000000"/>
                <w:szCs w:val="21"/>
              </w:rPr>
            </w:pPr>
          </w:p>
        </w:tc>
      </w:tr>
      <w:tr w:rsidR="00A320E6" w14:paraId="56EC97B1"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EEA31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F3BC4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涵洞</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8B444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石盖板涵跨径1-2米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7A9D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600-900元/米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CA961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按涵长计算</w:t>
            </w:r>
          </w:p>
        </w:tc>
      </w:tr>
      <w:tr w:rsidR="00A320E6" w14:paraId="64937F06"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844900"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16DD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0F15E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石拱涵跨径1-2米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878D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900-1400元/米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FB65A" w14:textId="77777777" w:rsidR="00A320E6" w:rsidRDefault="00A320E6" w:rsidP="006A3ED9">
            <w:pPr>
              <w:jc w:val="left"/>
              <w:rPr>
                <w:rFonts w:ascii="宋体" w:hAnsi="宋体" w:cs="宋体"/>
                <w:color w:val="000000"/>
                <w:szCs w:val="21"/>
              </w:rPr>
            </w:pPr>
          </w:p>
        </w:tc>
      </w:tr>
      <w:tr w:rsidR="00A320E6" w14:paraId="536ECF3F"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CEB57"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D1A2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C066A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石拱涵跨径2-4米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F593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1400-2600元/米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7E0ABD" w14:textId="77777777" w:rsidR="00A320E6" w:rsidRDefault="00A320E6" w:rsidP="006A3ED9">
            <w:pPr>
              <w:jc w:val="left"/>
              <w:rPr>
                <w:rFonts w:ascii="宋体" w:hAnsi="宋体" w:cs="宋体"/>
                <w:color w:val="000000"/>
                <w:szCs w:val="21"/>
              </w:rPr>
            </w:pPr>
          </w:p>
        </w:tc>
      </w:tr>
      <w:tr w:rsidR="00A320E6" w14:paraId="70BCB44A"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194E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95249"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26662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钢筋混凝土圆管涵跨径1-2米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8CEE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1100-1800元/米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5BE92" w14:textId="77777777" w:rsidR="00A320E6" w:rsidRDefault="00A320E6" w:rsidP="006A3ED9">
            <w:pPr>
              <w:jc w:val="left"/>
              <w:rPr>
                <w:rFonts w:ascii="宋体" w:hAnsi="宋体" w:cs="宋体"/>
                <w:color w:val="000000"/>
                <w:szCs w:val="21"/>
              </w:rPr>
            </w:pPr>
          </w:p>
        </w:tc>
      </w:tr>
      <w:tr w:rsidR="00A320E6" w14:paraId="53814302"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D5F24"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79D0E"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F0E5AB"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钢筋混凝土圆管涵跨径2-3米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7CB2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1800-2300元/米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A796F" w14:textId="77777777" w:rsidR="00A320E6" w:rsidRDefault="00A320E6" w:rsidP="006A3ED9">
            <w:pPr>
              <w:jc w:val="left"/>
              <w:rPr>
                <w:rFonts w:ascii="宋体" w:hAnsi="宋体" w:cs="宋体"/>
                <w:color w:val="000000"/>
                <w:szCs w:val="21"/>
              </w:rPr>
            </w:pPr>
          </w:p>
        </w:tc>
      </w:tr>
      <w:tr w:rsidR="00A320E6" w14:paraId="184CD634"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4799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99C3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1A448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钢筋混凝土圆管涵跨径3-4米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35CB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2300-2900元/米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79286" w14:textId="77777777" w:rsidR="00A320E6" w:rsidRDefault="00A320E6" w:rsidP="006A3ED9">
            <w:pPr>
              <w:jc w:val="left"/>
              <w:rPr>
                <w:rFonts w:ascii="宋体" w:hAnsi="宋体" w:cs="宋体"/>
                <w:color w:val="000000"/>
                <w:szCs w:val="21"/>
              </w:rPr>
            </w:pPr>
          </w:p>
        </w:tc>
      </w:tr>
      <w:tr w:rsidR="00A320E6" w14:paraId="57C96A46"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2533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F6C5F"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ED815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钢筋混凝土盖板跨径2-3米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676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2000-2500元/米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97C0BB" w14:textId="77777777" w:rsidR="00A320E6" w:rsidRDefault="00A320E6" w:rsidP="006A3ED9">
            <w:pPr>
              <w:jc w:val="left"/>
              <w:rPr>
                <w:rFonts w:ascii="宋体" w:hAnsi="宋体" w:cs="宋体"/>
                <w:color w:val="000000"/>
                <w:szCs w:val="21"/>
              </w:rPr>
            </w:pPr>
          </w:p>
        </w:tc>
      </w:tr>
      <w:tr w:rsidR="00A320E6" w14:paraId="1252944D"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EDCF0"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ED767"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4A59B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钢筋混凝土盖板跨径3-4米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FBBE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2500-3000元/米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B7AC1D" w14:textId="77777777" w:rsidR="00A320E6" w:rsidRDefault="00A320E6" w:rsidP="006A3ED9">
            <w:pPr>
              <w:jc w:val="left"/>
              <w:rPr>
                <w:rFonts w:ascii="宋体" w:hAnsi="宋体" w:cs="宋体"/>
                <w:color w:val="000000"/>
                <w:szCs w:val="21"/>
              </w:rPr>
            </w:pPr>
          </w:p>
        </w:tc>
      </w:tr>
      <w:tr w:rsidR="00A320E6" w14:paraId="6B3ED9DE"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10178E"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4644C"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689CEB"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田间小型涵管直径30-50厘米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886A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60-105元/米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2F071" w14:textId="77777777" w:rsidR="00A320E6" w:rsidRDefault="00A320E6" w:rsidP="006A3ED9">
            <w:pPr>
              <w:jc w:val="left"/>
              <w:rPr>
                <w:rFonts w:ascii="宋体" w:hAnsi="宋体" w:cs="宋体"/>
                <w:color w:val="000000"/>
                <w:szCs w:val="21"/>
              </w:rPr>
            </w:pPr>
          </w:p>
        </w:tc>
      </w:tr>
      <w:tr w:rsidR="00A320E6" w14:paraId="4217D691"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90A0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430D27"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5C841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田间小型涵管直径50-100厘米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4F21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100-185元/米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079CD1" w14:textId="77777777" w:rsidR="00A320E6" w:rsidRDefault="00A320E6" w:rsidP="006A3ED9">
            <w:pPr>
              <w:jc w:val="left"/>
              <w:rPr>
                <w:rFonts w:ascii="宋体" w:hAnsi="宋体" w:cs="宋体"/>
                <w:color w:val="000000"/>
                <w:szCs w:val="21"/>
              </w:rPr>
            </w:pPr>
          </w:p>
        </w:tc>
      </w:tr>
      <w:tr w:rsidR="00A320E6" w14:paraId="16FE5811" w14:textId="77777777" w:rsidTr="006A3ED9">
        <w:trPr>
          <w:trHeight w:val="72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8F4DF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AE0B8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水渠</w:t>
            </w:r>
            <w:r>
              <w:rPr>
                <w:rFonts w:ascii="宋体" w:hAnsi="宋体" w:cs="宋体" w:hint="eastAsia"/>
                <w:color w:val="000000"/>
                <w:kern w:val="0"/>
                <w:szCs w:val="21"/>
                <w:lang w:bidi="ar"/>
              </w:rPr>
              <w:br/>
              <w:t>水池</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C8F3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土筑水渠水池</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DDBC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8-10元/立方米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B676F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1、不包括田间毛渠；</w:t>
            </w:r>
            <w:r>
              <w:rPr>
                <w:rFonts w:ascii="宋体" w:hAnsi="宋体" w:cs="宋体" w:hint="eastAsia"/>
                <w:color w:val="000000"/>
                <w:kern w:val="0"/>
                <w:szCs w:val="21"/>
                <w:lang w:bidi="ar"/>
              </w:rPr>
              <w:br/>
              <w:t>2、按挖方体积计算。</w:t>
            </w:r>
          </w:p>
        </w:tc>
      </w:tr>
      <w:tr w:rsidR="00A320E6" w14:paraId="7AB56F5D"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54D8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FC2D94"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D521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现浇水渠水池</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2451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350-400元/立方米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096C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1、按砌体体积计算。</w:t>
            </w:r>
          </w:p>
        </w:tc>
      </w:tr>
      <w:tr w:rsidR="00A320E6" w14:paraId="2193E2E5"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7E348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B1EEB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水井</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ED95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手压井</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58F3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500元/眼</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D30C8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1、水井补偿包括开凿工程、用料及用工等费用；</w:t>
            </w:r>
            <w:r>
              <w:rPr>
                <w:rFonts w:ascii="宋体" w:hAnsi="宋体" w:cs="宋体" w:hint="eastAsia"/>
                <w:color w:val="000000"/>
                <w:kern w:val="0"/>
                <w:szCs w:val="21"/>
                <w:lang w:bidi="ar"/>
              </w:rPr>
              <w:br/>
              <w:t>2、废、枯井按同类井补偿标准30－50%补偿；</w:t>
            </w:r>
            <w:r>
              <w:rPr>
                <w:rFonts w:ascii="宋体" w:hAnsi="宋体" w:cs="宋体" w:hint="eastAsia"/>
                <w:color w:val="000000"/>
                <w:kern w:val="0"/>
                <w:szCs w:val="21"/>
                <w:lang w:bidi="ar"/>
              </w:rPr>
              <w:br/>
              <w:t>3、机井按井深分段计算补偿。</w:t>
            </w:r>
          </w:p>
        </w:tc>
      </w:tr>
      <w:tr w:rsidR="00A320E6" w14:paraId="5D843FA8"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4405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56DAA"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CCDF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砖井：直径1.5-2.5米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5D02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300-600元/米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9F18B8" w14:textId="77777777" w:rsidR="00A320E6" w:rsidRDefault="00A320E6" w:rsidP="006A3ED9">
            <w:pPr>
              <w:jc w:val="left"/>
              <w:rPr>
                <w:rFonts w:ascii="宋体" w:hAnsi="宋体" w:cs="宋体"/>
                <w:color w:val="000000"/>
                <w:szCs w:val="21"/>
              </w:rPr>
            </w:pPr>
          </w:p>
        </w:tc>
      </w:tr>
      <w:tr w:rsidR="00A320E6" w14:paraId="43A4E4D0"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8AF0B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4075EB"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F8740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机井：深20-50米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7876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200-260元/米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28569" w14:textId="77777777" w:rsidR="00A320E6" w:rsidRDefault="00A320E6" w:rsidP="006A3ED9">
            <w:pPr>
              <w:jc w:val="left"/>
              <w:rPr>
                <w:rFonts w:ascii="宋体" w:hAnsi="宋体" w:cs="宋体"/>
                <w:color w:val="000000"/>
                <w:szCs w:val="21"/>
              </w:rPr>
            </w:pPr>
          </w:p>
        </w:tc>
      </w:tr>
      <w:tr w:rsidR="00A320E6" w14:paraId="1072FC6B"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EAC6F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FF5E7"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E988A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机井：深50-100米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BE0C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260-300元/米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C27E2" w14:textId="77777777" w:rsidR="00A320E6" w:rsidRDefault="00A320E6" w:rsidP="006A3ED9">
            <w:pPr>
              <w:jc w:val="left"/>
              <w:rPr>
                <w:rFonts w:ascii="宋体" w:hAnsi="宋体" w:cs="宋体"/>
                <w:color w:val="000000"/>
                <w:szCs w:val="21"/>
              </w:rPr>
            </w:pPr>
          </w:p>
        </w:tc>
      </w:tr>
      <w:tr w:rsidR="00A320E6" w14:paraId="0A33364D"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A5D4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84BED"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B5774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机井：深100-250米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C95E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300-400元/米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FE650" w14:textId="77777777" w:rsidR="00A320E6" w:rsidRDefault="00A320E6" w:rsidP="006A3ED9">
            <w:pPr>
              <w:jc w:val="left"/>
              <w:rPr>
                <w:rFonts w:ascii="宋体" w:hAnsi="宋体" w:cs="宋体"/>
                <w:color w:val="000000"/>
                <w:szCs w:val="21"/>
              </w:rPr>
            </w:pPr>
          </w:p>
        </w:tc>
      </w:tr>
      <w:tr w:rsidR="00A320E6" w14:paraId="606BB2BB"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B6D407"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1094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FCCDFE"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机井：深250米以上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758C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400-450元/米</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95730D" w14:textId="77777777" w:rsidR="00A320E6" w:rsidRDefault="00A320E6" w:rsidP="006A3ED9">
            <w:pPr>
              <w:rPr>
                <w:rFonts w:ascii="宋体" w:hAnsi="宋体" w:cs="宋体"/>
                <w:color w:val="000000"/>
                <w:szCs w:val="21"/>
              </w:rPr>
            </w:pPr>
          </w:p>
        </w:tc>
      </w:tr>
      <w:tr w:rsidR="00A320E6" w14:paraId="69C4916E" w14:textId="77777777" w:rsidTr="006A3ED9">
        <w:trPr>
          <w:trHeight w:val="72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B4973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18CB7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乔木</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1F1C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胸径小于3厘米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4B0C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5-20元/株</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5E0A7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1、乔木系指用材林种，测量胸径位置为距离地面1.3米；</w:t>
            </w:r>
            <w:r>
              <w:rPr>
                <w:rFonts w:ascii="宋体" w:hAnsi="宋体" w:cs="宋体" w:hint="eastAsia"/>
                <w:color w:val="000000"/>
                <w:kern w:val="0"/>
                <w:szCs w:val="21"/>
                <w:lang w:bidi="ar"/>
              </w:rPr>
              <w:br/>
              <w:t>2、胸径小于5cm的最高补偿标准不得超过5000元/亩，胸径大于5㎝的一般栽植密度不得超过111株/亩；特种用途林树木价格另议；</w:t>
            </w:r>
            <w:r>
              <w:rPr>
                <w:rFonts w:ascii="宋体" w:hAnsi="宋体" w:cs="宋体" w:hint="eastAsia"/>
                <w:color w:val="000000"/>
                <w:kern w:val="0"/>
                <w:szCs w:val="21"/>
                <w:lang w:bidi="ar"/>
              </w:rPr>
              <w:br/>
              <w:t>3、树归原主。</w:t>
            </w:r>
          </w:p>
        </w:tc>
      </w:tr>
      <w:tr w:rsidR="00A320E6" w14:paraId="76D8632E" w14:textId="77777777" w:rsidTr="006A3ED9">
        <w:trPr>
          <w:trHeight w:val="72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C221F"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85CE16"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3FFF2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胸径3-5厘米（松柏树小于3厘米）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B665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20-40元/株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2BB4E" w14:textId="77777777" w:rsidR="00A320E6" w:rsidRDefault="00A320E6" w:rsidP="006A3ED9">
            <w:pPr>
              <w:jc w:val="left"/>
              <w:rPr>
                <w:rFonts w:ascii="宋体" w:hAnsi="宋体" w:cs="宋体"/>
                <w:color w:val="000000"/>
                <w:szCs w:val="21"/>
              </w:rPr>
            </w:pPr>
          </w:p>
        </w:tc>
      </w:tr>
      <w:tr w:rsidR="00A320E6" w14:paraId="6773635C" w14:textId="77777777" w:rsidTr="006A3ED9">
        <w:trPr>
          <w:trHeight w:val="72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1DAF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A8368"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01DC6"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胸径5-10厘米（松柏树3-6厘米）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30B7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40-65元/株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BF2ED" w14:textId="77777777" w:rsidR="00A320E6" w:rsidRDefault="00A320E6" w:rsidP="006A3ED9">
            <w:pPr>
              <w:jc w:val="left"/>
              <w:rPr>
                <w:rFonts w:ascii="宋体" w:hAnsi="宋体" w:cs="宋体"/>
                <w:color w:val="000000"/>
                <w:szCs w:val="21"/>
              </w:rPr>
            </w:pPr>
          </w:p>
        </w:tc>
      </w:tr>
      <w:tr w:rsidR="00A320E6" w14:paraId="07E2C738" w14:textId="77777777" w:rsidTr="006A3ED9">
        <w:trPr>
          <w:trHeight w:val="72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B7A48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2F9C4C"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8BCD8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胸径10-20厘米（松柏树6-10厘米）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782B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65-85元/株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3D75F4" w14:textId="77777777" w:rsidR="00A320E6" w:rsidRDefault="00A320E6" w:rsidP="006A3ED9">
            <w:pPr>
              <w:jc w:val="left"/>
              <w:rPr>
                <w:rFonts w:ascii="宋体" w:hAnsi="宋体" w:cs="宋体"/>
                <w:color w:val="000000"/>
                <w:szCs w:val="21"/>
              </w:rPr>
            </w:pPr>
          </w:p>
        </w:tc>
      </w:tr>
      <w:tr w:rsidR="00A320E6" w14:paraId="77FBAC7F" w14:textId="77777777" w:rsidTr="006A3ED9">
        <w:trPr>
          <w:trHeight w:val="72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15DF4"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E0C5E"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AD4ADD"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胸径大于20厘米（松柏树10厘米）以上成材树</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DDC8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105元/株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A1CB29" w14:textId="77777777" w:rsidR="00A320E6" w:rsidRDefault="00A320E6" w:rsidP="006A3ED9">
            <w:pPr>
              <w:jc w:val="left"/>
              <w:rPr>
                <w:rFonts w:ascii="宋体" w:hAnsi="宋体" w:cs="宋体"/>
                <w:color w:val="000000"/>
                <w:szCs w:val="21"/>
              </w:rPr>
            </w:pPr>
          </w:p>
        </w:tc>
      </w:tr>
      <w:tr w:rsidR="00A320E6" w14:paraId="3B98AC15" w14:textId="77777777" w:rsidTr="006A3ED9">
        <w:trPr>
          <w:trHeight w:val="53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1584B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912EA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果树</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B6C1A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苗木（地径在1.5厘米以下）</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F5A5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4-7元/株</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A88F9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果树包括：苹果、梨、桃、杏、枣等常见树种，特产树种价格另议。苗木最高补偿标准不得超过5000元/亩。树归原主。幼龄期每亩不超过222株；初果期每亩不超过111株；盛果期每亩不超过111株；衰老期每亩不超过111株。</w:t>
            </w:r>
          </w:p>
        </w:tc>
      </w:tr>
      <w:tr w:rsidR="00A320E6" w14:paraId="71F4B2D2" w14:textId="77777777" w:rsidTr="006A3ED9">
        <w:trPr>
          <w:trHeight w:val="72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0E659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C2208"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24E2B"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幼龄期（地径在3厘米以下）</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DA97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30-70元/株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B8FB4" w14:textId="77777777" w:rsidR="00A320E6" w:rsidRDefault="00A320E6" w:rsidP="006A3ED9">
            <w:pPr>
              <w:jc w:val="left"/>
              <w:rPr>
                <w:rFonts w:ascii="宋体" w:hAnsi="宋体" w:cs="宋体"/>
                <w:color w:val="000000"/>
                <w:szCs w:val="21"/>
              </w:rPr>
            </w:pPr>
          </w:p>
        </w:tc>
      </w:tr>
      <w:tr w:rsidR="00A320E6" w14:paraId="30CCFF7C"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D189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259E98"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1EE1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初果期（地径在3厘米至6厘米,冠幅直径在0.8米以上，定值3年以上）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8673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220-300元/株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B7891" w14:textId="77777777" w:rsidR="00A320E6" w:rsidRDefault="00A320E6" w:rsidP="006A3ED9">
            <w:pPr>
              <w:jc w:val="left"/>
              <w:rPr>
                <w:rFonts w:ascii="宋体" w:hAnsi="宋体" w:cs="宋体"/>
                <w:color w:val="000000"/>
                <w:szCs w:val="21"/>
              </w:rPr>
            </w:pPr>
          </w:p>
        </w:tc>
      </w:tr>
      <w:tr w:rsidR="00A320E6" w14:paraId="00E48450" w14:textId="77777777" w:rsidTr="006A3ED9">
        <w:trPr>
          <w:trHeight w:val="750"/>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72035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75C3B"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99F05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盛果期（地径在6厘米以上,冠幅直径在1.5米以上，定值3年以上）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525B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400-600元/株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40871" w14:textId="77777777" w:rsidR="00A320E6" w:rsidRDefault="00A320E6" w:rsidP="006A3ED9">
            <w:pPr>
              <w:jc w:val="left"/>
              <w:rPr>
                <w:rFonts w:ascii="宋体" w:hAnsi="宋体" w:cs="宋体"/>
                <w:color w:val="000000"/>
                <w:szCs w:val="21"/>
              </w:rPr>
            </w:pPr>
          </w:p>
        </w:tc>
      </w:tr>
      <w:tr w:rsidR="00A320E6" w14:paraId="116EADD9" w14:textId="77777777" w:rsidTr="006A3ED9">
        <w:trPr>
          <w:trHeight w:val="403"/>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49973"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FA6F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6472DF"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衰老期（区分树种）</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7B08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120-260元/株</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5AFB7C" w14:textId="77777777" w:rsidR="00A320E6" w:rsidRDefault="00A320E6" w:rsidP="006A3ED9">
            <w:pPr>
              <w:jc w:val="left"/>
              <w:rPr>
                <w:rFonts w:ascii="宋体" w:hAnsi="宋体" w:cs="宋体"/>
                <w:color w:val="000000"/>
                <w:szCs w:val="21"/>
              </w:rPr>
            </w:pPr>
          </w:p>
        </w:tc>
      </w:tr>
      <w:tr w:rsidR="00A320E6" w14:paraId="131BC451" w14:textId="77777777" w:rsidTr="006A3ED9">
        <w:trPr>
          <w:trHeight w:val="810"/>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10239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3235D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葡萄</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47643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幼龄期（1年生）</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CBB9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4950-6600元/亩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167F3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每亩不足330棵的，按15-20元/棵计算（含架材）</w:t>
            </w:r>
          </w:p>
        </w:tc>
      </w:tr>
      <w:tr w:rsidR="00A320E6" w14:paraId="5EEA47FE"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470ECD"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F8ADD"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4F298F"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初果期（2年生）</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A34A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8250－13200元/亩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C2E57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每亩不足330棵的，按25-40元/棵计算（含架材）</w:t>
            </w:r>
          </w:p>
        </w:tc>
      </w:tr>
      <w:tr w:rsidR="00A320E6" w14:paraId="117FA03D"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D8D0D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D07B5C"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19353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盛果期（3-5年生）</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A583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14850－19800元/亩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B61CE8"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每亩不足330棵的，按45-60元/棵计算（含架材）</w:t>
            </w:r>
          </w:p>
        </w:tc>
      </w:tr>
      <w:tr w:rsidR="00A320E6" w14:paraId="29525EEF"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330139"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2E956"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7E44D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衰老期（5年以上生）</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483B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8250—13200元/亩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EBF0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每亩不足330棵的，按25-40元/棵计算（含架材）</w:t>
            </w:r>
          </w:p>
        </w:tc>
      </w:tr>
      <w:tr w:rsidR="00A320E6" w14:paraId="37E3EF43" w14:textId="77777777" w:rsidTr="006A3ED9">
        <w:trPr>
          <w:trHeight w:val="801"/>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10BAEF"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E040F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苗圃</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7F00E"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1-3年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441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1800-3500元/亩</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0F16A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1、含苗木树种及培育、移栽等各种损失；</w:t>
            </w:r>
            <w:r>
              <w:rPr>
                <w:rFonts w:ascii="宋体" w:hAnsi="宋体" w:cs="宋体" w:hint="eastAsia"/>
                <w:color w:val="000000"/>
                <w:kern w:val="0"/>
                <w:szCs w:val="21"/>
                <w:lang w:bidi="ar"/>
              </w:rPr>
              <w:br/>
              <w:t>2、花卉苗圃可上浮30%，苗圃覆盖密度在70%以上按100%补偿，覆盖密度在50-70%按70%补偿，覆盖密度在50%以下的不按苗圃补偿。</w:t>
            </w:r>
          </w:p>
        </w:tc>
      </w:tr>
      <w:tr w:rsidR="00A320E6" w14:paraId="21AFB5D6" w14:textId="77777777" w:rsidTr="006A3ED9">
        <w:trPr>
          <w:trHeight w:val="9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EAFD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8C7E0E"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CCCCB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3-5年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60BA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3500-5800元/亩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88EB17" w14:textId="77777777" w:rsidR="00A320E6" w:rsidRDefault="00A320E6" w:rsidP="006A3ED9">
            <w:pPr>
              <w:rPr>
                <w:rFonts w:ascii="宋体" w:hAnsi="宋体" w:cs="宋体"/>
                <w:color w:val="000000"/>
                <w:szCs w:val="21"/>
              </w:rPr>
            </w:pPr>
          </w:p>
        </w:tc>
      </w:tr>
      <w:tr w:rsidR="00A320E6" w14:paraId="42DC5D44"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DF9C7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29D9B"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E5207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5年以上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A86C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5800-8800元/亩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1B0E7" w14:textId="77777777" w:rsidR="00A320E6" w:rsidRDefault="00A320E6" w:rsidP="006A3ED9">
            <w:pPr>
              <w:rPr>
                <w:rFonts w:ascii="宋体" w:hAnsi="宋体" w:cs="宋体"/>
                <w:color w:val="000000"/>
                <w:szCs w:val="21"/>
              </w:rPr>
            </w:pPr>
          </w:p>
        </w:tc>
      </w:tr>
      <w:tr w:rsidR="00A320E6" w14:paraId="4076FD16"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F2E142"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B85580"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桑园</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4F60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树龄3年以下</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E4A6C"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9E4B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3200-6400元/亩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17B49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大田种植养蚕用桑</w:t>
            </w:r>
          </w:p>
        </w:tc>
      </w:tr>
      <w:tr w:rsidR="00A320E6" w14:paraId="231F808C"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D809BD"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FA5BD9" w14:textId="77777777" w:rsidR="00A320E6" w:rsidRDefault="00A320E6" w:rsidP="006A3ED9">
            <w:pPr>
              <w:jc w:val="center"/>
              <w:rPr>
                <w:rFonts w:ascii="宋体" w:hAnsi="宋体" w:cs="宋体"/>
                <w:color w:val="000000"/>
                <w:szCs w:val="21"/>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2528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树龄3年及以上</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59FF8"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6E88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6400-8500元/亩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E2568F"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大田种植养蚕用桑</w:t>
            </w:r>
          </w:p>
        </w:tc>
      </w:tr>
      <w:tr w:rsidR="00A320E6" w14:paraId="08E38E09"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93311C"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CFC62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灌木</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F0BA5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1年生以内</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9EAC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5-8元/墩</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20DDA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1、观赏类可提高40-60%，成规密植可参照苗圃补偿标准；</w:t>
            </w:r>
            <w:r>
              <w:rPr>
                <w:rFonts w:ascii="宋体" w:hAnsi="宋体" w:cs="宋体" w:hint="eastAsia"/>
                <w:color w:val="000000"/>
                <w:kern w:val="0"/>
                <w:szCs w:val="21"/>
                <w:lang w:bidi="ar"/>
              </w:rPr>
              <w:br/>
              <w:t>2、野生灌木不予补偿。</w:t>
            </w:r>
          </w:p>
        </w:tc>
      </w:tr>
      <w:tr w:rsidR="00A320E6" w14:paraId="61739F55"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C9E41"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DFD2D1"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A78666"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1-3年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BD53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8-15元/墩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06B5E" w14:textId="77777777" w:rsidR="00A320E6" w:rsidRDefault="00A320E6" w:rsidP="006A3ED9">
            <w:pPr>
              <w:jc w:val="left"/>
              <w:rPr>
                <w:rFonts w:ascii="宋体" w:hAnsi="宋体" w:cs="宋体"/>
                <w:color w:val="000000"/>
                <w:szCs w:val="21"/>
              </w:rPr>
            </w:pPr>
          </w:p>
        </w:tc>
      </w:tr>
      <w:tr w:rsidR="00A320E6" w14:paraId="26364C97"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463D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66C80F"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15AD94"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3-5年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10791"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15-30元/墩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C28CF" w14:textId="77777777" w:rsidR="00A320E6" w:rsidRDefault="00A320E6" w:rsidP="006A3ED9">
            <w:pPr>
              <w:jc w:val="left"/>
              <w:rPr>
                <w:rFonts w:ascii="宋体" w:hAnsi="宋体" w:cs="宋体"/>
                <w:color w:val="000000"/>
                <w:szCs w:val="21"/>
              </w:rPr>
            </w:pPr>
          </w:p>
        </w:tc>
      </w:tr>
      <w:tr w:rsidR="00A320E6" w14:paraId="63760170"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509F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FBD253"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C0773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5年以上</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A7A9B"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30-40元/墩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2E6F70" w14:textId="77777777" w:rsidR="00A320E6" w:rsidRDefault="00A320E6" w:rsidP="006A3ED9">
            <w:pPr>
              <w:jc w:val="left"/>
              <w:rPr>
                <w:rFonts w:ascii="宋体" w:hAnsi="宋体" w:cs="宋体"/>
                <w:color w:val="000000"/>
                <w:szCs w:val="21"/>
              </w:rPr>
            </w:pPr>
          </w:p>
        </w:tc>
      </w:tr>
      <w:tr w:rsidR="00A320E6" w14:paraId="5FA890CD"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22194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31833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电力通信线路</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84234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低压线路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976F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1200-1500元/杆</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66A3D9"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包括电线等材料损失及拆建工费</w:t>
            </w:r>
          </w:p>
        </w:tc>
      </w:tr>
      <w:tr w:rsidR="00A320E6" w14:paraId="7D45E5C3"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7E190"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252A06"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CA2AC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通讯广播线路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8053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1200-1500元/杆</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CB844" w14:textId="77777777" w:rsidR="00A320E6" w:rsidRDefault="00A320E6" w:rsidP="006A3ED9">
            <w:pPr>
              <w:jc w:val="left"/>
              <w:rPr>
                <w:rFonts w:ascii="宋体" w:hAnsi="宋体" w:cs="宋体"/>
                <w:color w:val="000000"/>
                <w:szCs w:val="21"/>
              </w:rPr>
            </w:pPr>
          </w:p>
        </w:tc>
      </w:tr>
      <w:tr w:rsidR="00A320E6" w14:paraId="5C578608" w14:textId="77777777" w:rsidTr="006A3ED9">
        <w:trPr>
          <w:trHeight w:val="369"/>
        </w:trPr>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C5A9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CD463"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砖瓦窑</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EC98FB"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老式土窑</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5A5CF"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10000-30000元/座</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A6BAC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包括烟囱和烘干室</w:t>
            </w:r>
          </w:p>
        </w:tc>
      </w:tr>
      <w:tr w:rsidR="00A320E6" w14:paraId="786E7E23"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BDCDC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8C223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道路</w:t>
            </w: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09401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柏油路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BACD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80-130元/平方米</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524D5C"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混凝土标准厚度10公分，80元/平方米，每增加5公分，补偿费增加30元</w:t>
            </w:r>
          </w:p>
        </w:tc>
      </w:tr>
      <w:tr w:rsidR="00A320E6" w14:paraId="19CFFCB3"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9FC00"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756C6F"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CDAF6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混凝土路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EA40F"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80-120元/平方米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8C2A5" w14:textId="77777777" w:rsidR="00A320E6" w:rsidRDefault="00A320E6" w:rsidP="006A3ED9">
            <w:pPr>
              <w:jc w:val="left"/>
              <w:rPr>
                <w:rFonts w:ascii="宋体" w:hAnsi="宋体" w:cs="宋体"/>
                <w:color w:val="000000"/>
                <w:szCs w:val="21"/>
              </w:rPr>
            </w:pPr>
          </w:p>
        </w:tc>
      </w:tr>
      <w:tr w:rsidR="00A320E6" w14:paraId="26C3BD90"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1E20D0"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DB7D6"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E25247"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沙、石、煤渣路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B36D9"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21-42元/平方米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F4007E" w14:textId="77777777" w:rsidR="00A320E6" w:rsidRDefault="00A320E6" w:rsidP="006A3ED9">
            <w:pPr>
              <w:jc w:val="left"/>
              <w:rPr>
                <w:rFonts w:ascii="宋体" w:hAnsi="宋体" w:cs="宋体"/>
                <w:color w:val="000000"/>
                <w:szCs w:val="21"/>
              </w:rPr>
            </w:pPr>
          </w:p>
        </w:tc>
      </w:tr>
      <w:tr w:rsidR="00A320E6" w14:paraId="120C6E99"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C0458"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F854E" w14:textId="77777777" w:rsidR="00A320E6" w:rsidRDefault="00A320E6" w:rsidP="006A3ED9">
            <w:pPr>
              <w:jc w:val="center"/>
              <w:rPr>
                <w:rFonts w:ascii="宋体" w:hAnsi="宋体" w:cs="宋体"/>
                <w:color w:val="000000"/>
                <w:szCs w:val="21"/>
              </w:rPr>
            </w:pPr>
          </w:p>
        </w:tc>
        <w:tc>
          <w:tcPr>
            <w:tcW w:w="18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9B2F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人工土路</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2847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20-30元/平方米</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70BCEC" w14:textId="77777777" w:rsidR="00A320E6" w:rsidRDefault="00A320E6" w:rsidP="006A3ED9">
            <w:pPr>
              <w:jc w:val="left"/>
              <w:rPr>
                <w:rFonts w:ascii="宋体" w:hAnsi="宋体" w:cs="宋体"/>
                <w:color w:val="000000"/>
                <w:szCs w:val="21"/>
              </w:rPr>
            </w:pPr>
          </w:p>
        </w:tc>
      </w:tr>
      <w:tr w:rsidR="00A320E6" w14:paraId="6170613E"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FB944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7490E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鱼塘</w:t>
            </w:r>
            <w:r>
              <w:rPr>
                <w:rFonts w:ascii="宋体" w:hAnsi="宋体" w:cs="宋体" w:hint="eastAsia"/>
                <w:color w:val="000000"/>
                <w:kern w:val="0"/>
                <w:szCs w:val="21"/>
                <w:lang w:bidi="ar"/>
              </w:rPr>
              <w:br/>
              <w:t>藕塘</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7ECB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土筑池塘</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06665"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50296"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3000-6800元/亩</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1122C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1、含鱼苗、藕秧损失费，鱼苗及藕归原主；</w:t>
            </w:r>
            <w:r>
              <w:rPr>
                <w:rFonts w:ascii="宋体" w:hAnsi="宋体" w:cs="宋体" w:hint="eastAsia"/>
                <w:color w:val="000000"/>
                <w:kern w:val="0"/>
                <w:szCs w:val="21"/>
                <w:lang w:bidi="ar"/>
              </w:rPr>
              <w:br/>
              <w:t>2、虾池、蟹池参照标准补偿。</w:t>
            </w:r>
          </w:p>
        </w:tc>
      </w:tr>
      <w:tr w:rsidR="00A320E6" w14:paraId="777A8EAF"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F7AC4"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5729E" w14:textId="77777777" w:rsidR="00A320E6" w:rsidRDefault="00A320E6" w:rsidP="006A3ED9">
            <w:pPr>
              <w:jc w:val="center"/>
              <w:rPr>
                <w:rFonts w:ascii="宋体" w:hAnsi="宋体" w:cs="宋体"/>
                <w:color w:val="000000"/>
                <w:szCs w:val="21"/>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AE0D5"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砖砌池塘</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FFF28"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C68B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5000-8800元/亩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9FD63" w14:textId="77777777" w:rsidR="00A320E6" w:rsidRDefault="00A320E6" w:rsidP="006A3ED9">
            <w:pPr>
              <w:jc w:val="left"/>
              <w:rPr>
                <w:rFonts w:ascii="宋体" w:hAnsi="宋体" w:cs="宋体"/>
                <w:color w:val="000000"/>
                <w:szCs w:val="21"/>
              </w:rPr>
            </w:pPr>
          </w:p>
        </w:tc>
      </w:tr>
      <w:tr w:rsidR="00A320E6" w14:paraId="14485A99" w14:textId="77777777" w:rsidTr="006A3ED9">
        <w:trPr>
          <w:trHeight w:val="369"/>
        </w:trPr>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0D9F8"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22</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6C57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苇田</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1BC1F"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苇田</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AC7F4"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5BB8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500-900元/亩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8D6E2" w14:textId="77777777" w:rsidR="00A320E6" w:rsidRDefault="00A320E6" w:rsidP="006A3ED9">
            <w:pPr>
              <w:jc w:val="left"/>
              <w:rPr>
                <w:rFonts w:ascii="宋体" w:hAnsi="宋体" w:cs="宋体"/>
                <w:color w:val="000000"/>
                <w:szCs w:val="21"/>
              </w:rPr>
            </w:pPr>
          </w:p>
        </w:tc>
      </w:tr>
      <w:tr w:rsidR="00A320E6" w14:paraId="36143802"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C84AEE"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EF562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盐池</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8F57A"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蒸发池</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E24F5"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CAA77"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2500-3500元/亩</w:t>
            </w:r>
          </w:p>
        </w:tc>
        <w:tc>
          <w:tcPr>
            <w:tcW w:w="118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045A98"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蒸发池和结晶池相互联系，涉及迁占面积较大，不能同时迁占时，对未迁占处做出适当补偿。</w:t>
            </w:r>
          </w:p>
        </w:tc>
      </w:tr>
      <w:tr w:rsidR="00A320E6" w14:paraId="24A4A545"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B586CF"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18420" w14:textId="77777777" w:rsidR="00A320E6" w:rsidRDefault="00A320E6" w:rsidP="006A3ED9">
            <w:pPr>
              <w:jc w:val="center"/>
              <w:rPr>
                <w:rFonts w:ascii="宋体" w:hAnsi="宋体" w:cs="宋体"/>
                <w:color w:val="000000"/>
                <w:szCs w:val="21"/>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679B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结晶池</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772BC" w14:textId="77777777" w:rsidR="00A320E6" w:rsidRDefault="00A320E6" w:rsidP="006A3ED9">
            <w:pPr>
              <w:rPr>
                <w:rFonts w:ascii="宋体" w:hAnsi="宋体" w:cs="宋体"/>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984AC"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9000-11000元/亩</w:t>
            </w:r>
          </w:p>
        </w:tc>
        <w:tc>
          <w:tcPr>
            <w:tcW w:w="118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D35D08" w14:textId="77777777" w:rsidR="00A320E6" w:rsidRDefault="00A320E6" w:rsidP="006A3ED9">
            <w:pPr>
              <w:jc w:val="left"/>
              <w:rPr>
                <w:rFonts w:ascii="宋体" w:hAnsi="宋体" w:cs="宋体"/>
                <w:color w:val="000000"/>
                <w:szCs w:val="21"/>
              </w:rPr>
            </w:pPr>
          </w:p>
        </w:tc>
      </w:tr>
      <w:tr w:rsidR="00A320E6" w14:paraId="4DEFDA1A" w14:textId="77777777" w:rsidTr="006A3ED9">
        <w:trPr>
          <w:trHeight w:val="369"/>
        </w:trPr>
        <w:tc>
          <w:tcPr>
            <w:tcW w:w="3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6505BC"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99DA95"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青苗</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3657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粮食作物</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7555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小麦、玉米、水稻等</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1309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2300元/亩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42BA3F" w14:textId="77777777" w:rsidR="00A320E6" w:rsidRDefault="00A320E6" w:rsidP="006A3ED9">
            <w:pPr>
              <w:rPr>
                <w:rFonts w:ascii="宋体" w:hAnsi="宋体" w:cs="宋体"/>
                <w:color w:val="000000"/>
                <w:szCs w:val="21"/>
              </w:rPr>
            </w:pPr>
          </w:p>
        </w:tc>
      </w:tr>
      <w:tr w:rsidR="00A320E6" w14:paraId="27960A5B"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F01C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3B2BD" w14:textId="77777777" w:rsidR="00A320E6" w:rsidRDefault="00A320E6" w:rsidP="006A3ED9">
            <w:pPr>
              <w:jc w:val="center"/>
              <w:rPr>
                <w:rFonts w:ascii="宋体" w:hAnsi="宋体" w:cs="宋体"/>
                <w:color w:val="000000"/>
                <w:szCs w:val="21"/>
              </w:rPr>
            </w:pPr>
          </w:p>
        </w:tc>
        <w:tc>
          <w:tcPr>
            <w:tcW w:w="8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2CE42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经济作物</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8E6A3"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棉田</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4BF7A"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2400元/亩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627101"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其他经济作物按照市场价确定补偿。</w:t>
            </w:r>
          </w:p>
        </w:tc>
      </w:tr>
      <w:tr w:rsidR="00A320E6" w14:paraId="30FEA398"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81A7A"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BC96DC" w14:textId="77777777" w:rsidR="00A320E6" w:rsidRDefault="00A320E6" w:rsidP="006A3ED9">
            <w:pPr>
              <w:jc w:val="center"/>
              <w:rPr>
                <w:rFonts w:ascii="宋体" w:hAnsi="宋体" w:cs="宋体"/>
                <w:color w:val="000000"/>
                <w:szCs w:val="21"/>
              </w:rPr>
            </w:pPr>
          </w:p>
        </w:tc>
        <w:tc>
          <w:tcPr>
            <w:tcW w:w="8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435EA" w14:textId="77777777" w:rsidR="00A320E6" w:rsidRDefault="00A320E6" w:rsidP="006A3ED9">
            <w:pPr>
              <w:jc w:val="left"/>
              <w:rPr>
                <w:rFonts w:ascii="宋体" w:hAnsi="宋体" w:cs="宋体"/>
                <w:color w:val="000000"/>
                <w:szCs w:val="21"/>
              </w:rPr>
            </w:pP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0A20"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蒜田</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26FB4"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7100元/亩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240C73" w14:textId="77777777" w:rsidR="00A320E6" w:rsidRDefault="00A320E6" w:rsidP="006A3ED9">
            <w:pPr>
              <w:rPr>
                <w:rFonts w:ascii="宋体" w:hAnsi="宋体" w:cs="宋体"/>
                <w:color w:val="000000"/>
                <w:szCs w:val="21"/>
              </w:rPr>
            </w:pPr>
          </w:p>
        </w:tc>
      </w:tr>
      <w:tr w:rsidR="00A320E6" w14:paraId="08E04D64" w14:textId="77777777" w:rsidTr="006A3ED9">
        <w:trPr>
          <w:trHeight w:val="369"/>
        </w:trPr>
        <w:tc>
          <w:tcPr>
            <w:tcW w:w="3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6D5F6" w14:textId="77777777" w:rsidR="00A320E6" w:rsidRDefault="00A320E6" w:rsidP="006A3ED9">
            <w:pPr>
              <w:jc w:val="center"/>
              <w:rPr>
                <w:rFonts w:ascii="宋体" w:hAnsi="宋体" w:cs="宋体"/>
                <w:color w:val="000000"/>
                <w:szCs w:val="21"/>
              </w:rPr>
            </w:pPr>
          </w:p>
        </w:tc>
        <w:tc>
          <w:tcPr>
            <w:tcW w:w="4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B0CBE" w14:textId="77777777" w:rsidR="00A320E6" w:rsidRDefault="00A320E6" w:rsidP="006A3ED9">
            <w:pPr>
              <w:jc w:val="center"/>
              <w:rPr>
                <w:rFonts w:ascii="宋体" w:hAnsi="宋体" w:cs="宋体"/>
                <w:color w:val="000000"/>
                <w:szCs w:val="21"/>
              </w:rPr>
            </w:pPr>
          </w:p>
        </w:tc>
        <w:tc>
          <w:tcPr>
            <w:tcW w:w="8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4AEB7" w14:textId="77777777" w:rsidR="00A320E6" w:rsidRDefault="00A320E6" w:rsidP="006A3ED9">
            <w:pPr>
              <w:jc w:val="left"/>
              <w:rPr>
                <w:rFonts w:ascii="宋体" w:hAnsi="宋体" w:cs="宋体"/>
                <w:color w:val="000000"/>
                <w:szCs w:val="21"/>
              </w:rPr>
            </w:pP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F6638"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菜地（不包含温室菜）</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12D9D" w14:textId="77777777" w:rsidR="00A320E6" w:rsidRDefault="00000000" w:rsidP="006A3ED9">
            <w:pPr>
              <w:jc w:val="center"/>
              <w:textAlignment w:val="center"/>
              <w:rPr>
                <w:rFonts w:ascii="宋体" w:hAnsi="宋体" w:cs="宋体"/>
                <w:color w:val="000000"/>
                <w:szCs w:val="21"/>
              </w:rPr>
            </w:pPr>
            <w:r>
              <w:rPr>
                <w:rFonts w:ascii="宋体" w:hAnsi="宋体" w:cs="宋体" w:hint="eastAsia"/>
                <w:color w:val="000000"/>
                <w:kern w:val="0"/>
                <w:szCs w:val="21"/>
                <w:lang w:bidi="ar"/>
              </w:rPr>
              <w:t>3500-5500元/亩</w:t>
            </w:r>
          </w:p>
        </w:tc>
        <w:tc>
          <w:tcPr>
            <w:tcW w:w="11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EFAD82" w14:textId="77777777" w:rsidR="00A320E6" w:rsidRDefault="00000000" w:rsidP="006A3ED9">
            <w:pPr>
              <w:jc w:val="left"/>
              <w:textAlignment w:val="center"/>
              <w:rPr>
                <w:rFonts w:ascii="宋体" w:hAnsi="宋体" w:cs="宋体"/>
                <w:color w:val="000000"/>
                <w:szCs w:val="21"/>
              </w:rPr>
            </w:pPr>
            <w:r>
              <w:rPr>
                <w:rFonts w:ascii="宋体" w:hAnsi="宋体" w:cs="宋体" w:hint="eastAsia"/>
                <w:color w:val="000000"/>
                <w:kern w:val="0"/>
                <w:szCs w:val="21"/>
                <w:lang w:bidi="ar"/>
              </w:rPr>
              <w:t>对于成本或收益特别高的蔬菜可委托有资质的机构评估或认证。</w:t>
            </w:r>
          </w:p>
        </w:tc>
      </w:tr>
      <w:tr w:rsidR="00A320E6" w14:paraId="12832B86" w14:textId="77777777" w:rsidTr="00E77641">
        <w:trPr>
          <w:gridAfter w:val="1"/>
          <w:wAfter w:w="4" w:type="pct"/>
          <w:trHeight w:val="3315"/>
        </w:trPr>
        <w:tc>
          <w:tcPr>
            <w:tcW w:w="4996" w:type="pct"/>
            <w:gridSpan w:val="6"/>
            <w:shd w:val="clear" w:color="auto" w:fill="auto"/>
            <w:vAlign w:val="center"/>
          </w:tcPr>
          <w:p w14:paraId="20059DCB" w14:textId="77777777" w:rsidR="00A320E6" w:rsidRDefault="00000000" w:rsidP="006A3ED9">
            <w:pPr>
              <w:ind w:firstLineChars="200" w:firstLine="480"/>
              <w:jc w:val="left"/>
              <w:textAlignment w:val="center"/>
              <w:rPr>
                <w:rFonts w:ascii="宋体" w:hAnsi="宋体" w:cs="宋体"/>
                <w:color w:val="000000"/>
                <w:szCs w:val="21"/>
              </w:rPr>
            </w:pPr>
            <w:r>
              <w:rPr>
                <w:rFonts w:ascii="宋体" w:hAnsi="宋体" w:cs="宋体" w:hint="eastAsia"/>
                <w:color w:val="000000"/>
                <w:kern w:val="0"/>
                <w:sz w:val="24"/>
                <w:szCs w:val="24"/>
                <w:lang w:bidi="ar"/>
              </w:rPr>
              <w:t>说明：</w:t>
            </w:r>
            <w:r>
              <w:rPr>
                <w:rFonts w:ascii="宋体" w:hAnsi="宋体" w:cs="宋体" w:hint="eastAsia"/>
                <w:color w:val="000000"/>
                <w:kern w:val="0"/>
                <w:sz w:val="24"/>
                <w:szCs w:val="24"/>
                <w:lang w:bidi="ar"/>
              </w:rPr>
              <w:br/>
            </w:r>
            <w:r>
              <w:rPr>
                <w:rFonts w:ascii="宋体" w:hAnsi="宋体" w:cs="宋体"/>
                <w:color w:val="000000"/>
                <w:kern w:val="0"/>
                <w:sz w:val="24"/>
                <w:szCs w:val="24"/>
                <w:lang w:bidi="ar"/>
              </w:rPr>
              <w:t xml:space="preserve">    </w:t>
            </w:r>
            <w:r>
              <w:rPr>
                <w:rFonts w:ascii="宋体" w:hAnsi="宋体" w:cs="宋体" w:hint="eastAsia"/>
                <w:color w:val="000000"/>
                <w:kern w:val="0"/>
                <w:sz w:val="24"/>
                <w:szCs w:val="24"/>
                <w:lang w:bidi="ar"/>
              </w:rPr>
              <w:t>1、农转非村的土地征收及国有农场等土地收回涉及的房屋拆迁标准可参考本标准执行。</w:t>
            </w:r>
            <w:r>
              <w:rPr>
                <w:rFonts w:ascii="宋体" w:hAnsi="宋体" w:cs="宋体" w:hint="eastAsia"/>
                <w:color w:val="000000"/>
                <w:kern w:val="0"/>
                <w:sz w:val="24"/>
                <w:szCs w:val="24"/>
                <w:lang w:bidi="ar"/>
              </w:rPr>
              <w:br/>
              <w:t xml:space="preserve">    2、青苗补偿标准，种植一年两季作物的，按耕地年产值标准的50%补偿，种植一年一季作物的，按耕地年产值标准补偿。</w:t>
            </w:r>
            <w:r>
              <w:rPr>
                <w:rFonts w:ascii="宋体" w:hAnsi="宋体" w:cs="宋体" w:hint="eastAsia"/>
                <w:color w:val="000000"/>
                <w:kern w:val="0"/>
                <w:sz w:val="24"/>
                <w:szCs w:val="24"/>
                <w:lang w:bidi="ar"/>
              </w:rPr>
              <w:br/>
              <w:t xml:space="preserve">    3、对本规定中未列出的类别规格可参照相近的其他类品种补偿，不能参照的可双方协商。协商不成的，可委托有资质的机构进行评估或认证，作为征地补偿的依据。</w:t>
            </w:r>
            <w:r>
              <w:rPr>
                <w:rFonts w:ascii="宋体" w:hAnsi="宋体" w:cs="宋体" w:hint="eastAsia"/>
                <w:color w:val="000000"/>
                <w:kern w:val="0"/>
                <w:sz w:val="24"/>
                <w:szCs w:val="24"/>
                <w:lang w:bidi="ar"/>
              </w:rPr>
              <w:br/>
              <w:t xml:space="preserve">    4、有线电视、宽带网、电话、空调、太阳能、热水器、天然气设备等迁移费按照行业标准执行。</w:t>
            </w:r>
            <w:r>
              <w:rPr>
                <w:rFonts w:ascii="宋体" w:hAnsi="宋体" w:cs="宋体" w:hint="eastAsia"/>
                <w:color w:val="000000"/>
                <w:kern w:val="0"/>
                <w:sz w:val="24"/>
                <w:szCs w:val="24"/>
                <w:lang w:bidi="ar"/>
              </w:rPr>
              <w:br/>
              <w:t xml:space="preserve">    5、移栽的果树，当年移栽的为幼龄树（果苗除外）；其他时间移栽的，按照年产量合理确定规格。</w:t>
            </w:r>
            <w:r>
              <w:rPr>
                <w:rFonts w:ascii="宋体" w:hAnsi="宋体" w:cs="宋体" w:hint="eastAsia"/>
                <w:color w:val="000000"/>
                <w:kern w:val="0"/>
                <w:sz w:val="24"/>
                <w:szCs w:val="24"/>
                <w:lang w:bidi="ar"/>
              </w:rPr>
              <w:br/>
              <w:t xml:space="preserve">    6、市、县（区）政府已发布土地征收预公告，土地现状调查登记开始后抢种、抢栽的青苗、树木以及抢建的建筑物、构筑物等不予补偿。</w:t>
            </w:r>
          </w:p>
        </w:tc>
      </w:tr>
    </w:tbl>
    <w:p w14:paraId="4D295EB0" w14:textId="77777777" w:rsidR="00A320E6" w:rsidRDefault="00A320E6" w:rsidP="00AE0286">
      <w:pPr>
        <w:pStyle w:val="a3"/>
        <w:spacing w:line="360" w:lineRule="auto"/>
        <w:ind w:firstLine="480"/>
        <w:jc w:val="left"/>
        <w:rPr>
          <w:sz w:val="24"/>
          <w:lang w:eastAsia="zh-Hans"/>
        </w:rPr>
      </w:pPr>
    </w:p>
    <w:p w14:paraId="472269D1" w14:textId="77777777" w:rsidR="00A320E6" w:rsidRDefault="00000000" w:rsidP="00F67407">
      <w:pPr>
        <w:keepNext/>
        <w:spacing w:beforeLines="50" w:before="156" w:afterLines="20" w:after="62" w:line="360" w:lineRule="auto"/>
        <w:jc w:val="center"/>
        <w:outlineLvl w:val="2"/>
        <w:rPr>
          <w:b/>
          <w:bCs/>
          <w:sz w:val="24"/>
          <w:lang w:eastAsia="zh-Hans"/>
        </w:rPr>
      </w:pPr>
      <w:bookmarkStart w:id="119" w:name="_Toc112227422"/>
      <w:r>
        <w:rPr>
          <w:rFonts w:hint="eastAsia"/>
          <w:b/>
          <w:bCs/>
          <w:sz w:val="24"/>
          <w:lang w:eastAsia="zh-Hans"/>
        </w:rPr>
        <w:t>关于济南市征地地上附着物和青苗补偿标准的批复</w:t>
      </w:r>
      <w:bookmarkEnd w:id="119"/>
    </w:p>
    <w:p w14:paraId="0E4255A3" w14:textId="77777777" w:rsidR="00A320E6" w:rsidRDefault="00000000" w:rsidP="00AE0286">
      <w:pPr>
        <w:pStyle w:val="a5"/>
        <w:spacing w:line="360" w:lineRule="auto"/>
        <w:ind w:left="0"/>
        <w:rPr>
          <w:lang w:val="en-US" w:eastAsia="zh-Hans"/>
        </w:rPr>
      </w:pPr>
      <w:r>
        <w:rPr>
          <w:rFonts w:hint="eastAsia"/>
          <w:lang w:val="en-US" w:eastAsia="zh-Hans"/>
        </w:rPr>
        <w:t>济南市自然资源和规划局、财政局：</w:t>
      </w:r>
    </w:p>
    <w:p w14:paraId="21DC187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你市《关于审批济南市征地地上附着物和青苗补偿标准的请示》（济自然规划呈〔2021〕591号）收悉。经研究，同意你市制定的征地地上附着物和青苗补偿标准（详见附件）。</w:t>
      </w:r>
    </w:p>
    <w:p w14:paraId="13A38DA9"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标准自批复之日起执行。</w:t>
      </w:r>
    </w:p>
    <w:p w14:paraId="047E4C9D" w14:textId="77777777" w:rsidR="00A320E6" w:rsidRDefault="00000000" w:rsidP="00AE0286">
      <w:pPr>
        <w:pStyle w:val="a5"/>
        <w:spacing w:line="360" w:lineRule="auto"/>
        <w:ind w:left="0" w:firstLineChars="200" w:firstLine="480"/>
        <w:rPr>
          <w:lang w:val="en-US" w:eastAsia="zh-Hans"/>
        </w:rPr>
      </w:pPr>
      <w:r>
        <w:rPr>
          <w:rFonts w:hint="eastAsia"/>
          <w:lang w:val="en-US" w:eastAsia="zh-Hans"/>
        </w:rPr>
        <w:t>附件：济南市征地地上附着物和青苗补偿标准</w:t>
      </w:r>
    </w:p>
    <w:p w14:paraId="7C4DC9B2" w14:textId="77777777" w:rsidR="00A320E6" w:rsidRDefault="00000000" w:rsidP="00AE0286">
      <w:pPr>
        <w:pStyle w:val="a5"/>
        <w:spacing w:line="360" w:lineRule="auto"/>
        <w:ind w:left="0" w:firstLineChars="200" w:firstLine="480"/>
        <w:jc w:val="right"/>
        <w:rPr>
          <w:lang w:val="en-US" w:eastAsia="zh-Hans"/>
        </w:rPr>
      </w:pPr>
      <w:r>
        <w:rPr>
          <w:rFonts w:hint="eastAsia"/>
          <w:lang w:val="en-US" w:eastAsia="zh-Hans"/>
        </w:rPr>
        <w:t>                                  山东省自然资源厅 山东省财政厅 </w:t>
      </w:r>
    </w:p>
    <w:p w14:paraId="4F3FA760" w14:textId="77777777" w:rsidR="00A320E6" w:rsidRDefault="00000000" w:rsidP="00AE0286">
      <w:pPr>
        <w:pStyle w:val="a5"/>
        <w:spacing w:line="360" w:lineRule="auto"/>
        <w:ind w:left="0" w:firstLineChars="200" w:firstLine="480"/>
        <w:jc w:val="right"/>
        <w:rPr>
          <w:lang w:val="en-US" w:eastAsia="zh-Hans"/>
        </w:rPr>
      </w:pPr>
      <w:r>
        <w:rPr>
          <w:rFonts w:hint="eastAsia"/>
          <w:lang w:val="en-US" w:eastAsia="zh-Hans"/>
        </w:rPr>
        <w:t>                                 2021年12月31日 </w:t>
      </w:r>
    </w:p>
    <w:p w14:paraId="5804F580" w14:textId="77777777" w:rsidR="00A320E6" w:rsidRDefault="00000000" w:rsidP="00AE0286">
      <w:p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附件</w:t>
      </w:r>
    </w:p>
    <w:p w14:paraId="514B115B" w14:textId="77777777" w:rsidR="00A320E6" w:rsidRDefault="00000000" w:rsidP="00AE0286">
      <w:pPr>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济南市征地地上附着物和青苗补偿标准</w:t>
      </w:r>
    </w:p>
    <w:p w14:paraId="47E5B270" w14:textId="77777777" w:rsidR="00A320E6" w:rsidRDefault="00000000" w:rsidP="00AE0286">
      <w:pPr>
        <w:jc w:val="center"/>
        <w:textAlignment w:val="center"/>
        <w:rPr>
          <w:rFonts w:ascii="宋体" w:hAnsi="宋体" w:cs="宋体"/>
          <w:snapToGrid w:val="0"/>
          <w:color w:val="000000"/>
          <w:kern w:val="0"/>
          <w:sz w:val="24"/>
          <w:szCs w:val="24"/>
          <w:lang w:bidi="ar"/>
        </w:rPr>
      </w:pPr>
      <w:r>
        <w:rPr>
          <w:rFonts w:ascii="宋体" w:hAnsi="宋体" w:cs="宋体" w:hint="eastAsia"/>
          <w:snapToGrid w:val="0"/>
          <w:color w:val="000000"/>
          <w:kern w:val="0"/>
          <w:sz w:val="24"/>
          <w:szCs w:val="24"/>
          <w:lang w:bidi="ar"/>
        </w:rPr>
        <w:t>（市内六区含功能区）</w:t>
      </w:r>
    </w:p>
    <w:tbl>
      <w:tblPr>
        <w:tblW w:w="0" w:type="auto"/>
        <w:tblLayout w:type="fixed"/>
        <w:tblLook w:val="04A0" w:firstRow="1" w:lastRow="0" w:firstColumn="1" w:lastColumn="0" w:noHBand="0" w:noVBand="1"/>
      </w:tblPr>
      <w:tblGrid>
        <w:gridCol w:w="675"/>
        <w:gridCol w:w="711"/>
        <w:gridCol w:w="2982"/>
        <w:gridCol w:w="1694"/>
        <w:gridCol w:w="2884"/>
      </w:tblGrid>
      <w:tr w:rsidR="00A320E6" w14:paraId="2709F143" w14:textId="77777777" w:rsidTr="006A3ED9">
        <w:trPr>
          <w:trHeight w:val="369"/>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5F7C" w14:textId="77777777" w:rsidR="00A320E6" w:rsidRDefault="00000000" w:rsidP="00AE0286">
            <w:pPr>
              <w:jc w:val="center"/>
              <w:textAlignment w:val="center"/>
              <w:rPr>
                <w:rFonts w:ascii="宋体" w:hAnsi="宋体" w:cs="宋体"/>
                <w:color w:val="000000"/>
                <w:szCs w:val="21"/>
              </w:rPr>
            </w:pPr>
            <w:r>
              <w:rPr>
                <w:rFonts w:ascii="宋体" w:hAnsi="宋体" w:cs="宋体" w:hint="eastAsia"/>
                <w:b/>
                <w:bCs/>
                <w:color w:val="000000"/>
                <w:kern w:val="0"/>
                <w:szCs w:val="21"/>
                <w:lang w:bidi="ar"/>
              </w:rPr>
              <w:t>序号</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E7FF"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名称</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2F434"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类别规格</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F7589"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补偿标准</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CF258"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备注</w:t>
            </w:r>
          </w:p>
        </w:tc>
      </w:tr>
      <w:tr w:rsidR="00A320E6" w14:paraId="57AD8235"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624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BBBD1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房屋</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30FC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钢混结构：主体承重为钢结构或砼结构的框架式房屋。</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092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1200-1400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BBCCD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w:t>
            </w:r>
            <w:r>
              <w:rPr>
                <w:rStyle w:val="font11"/>
                <w:rFonts w:ascii="宋体" w:hAnsi="宋体" w:cs="宋体" w:hint="eastAsia"/>
                <w:sz w:val="21"/>
                <w:szCs w:val="21"/>
                <w:lang w:bidi="ar"/>
              </w:rPr>
              <w:t>补偿面积以有效证明文件记载或实际测量的合法建筑面积计算。无法确定合法面积的，由区政府（管委会）按照村民宅基地审批与建房规划管理相关规定组织认定。</w:t>
            </w:r>
            <w:r>
              <w:rPr>
                <w:rStyle w:val="font11"/>
                <w:rFonts w:ascii="宋体" w:hAnsi="宋体" w:cs="宋体" w:hint="eastAsia"/>
                <w:sz w:val="21"/>
                <w:szCs w:val="21"/>
                <w:lang w:bidi="ar"/>
              </w:rPr>
              <w:br/>
            </w:r>
            <w:r>
              <w:rPr>
                <w:rFonts w:ascii="宋体" w:hAnsi="宋体" w:cs="宋体" w:hint="eastAsia"/>
                <w:color w:val="000000"/>
                <w:kern w:val="0"/>
                <w:szCs w:val="21"/>
                <w:lang w:bidi="ar"/>
              </w:rPr>
              <w:t>2.</w:t>
            </w:r>
            <w:r>
              <w:rPr>
                <w:rStyle w:val="font11"/>
                <w:rFonts w:ascii="宋体" w:hAnsi="宋体" w:cs="宋体" w:hint="eastAsia"/>
                <w:sz w:val="21"/>
                <w:szCs w:val="21"/>
                <w:lang w:bidi="ar"/>
              </w:rPr>
              <w:t>旧料归原主。</w:t>
            </w:r>
            <w:r>
              <w:rPr>
                <w:rStyle w:val="font11"/>
                <w:rFonts w:ascii="宋体" w:hAnsi="宋体" w:cs="宋体" w:hint="eastAsia"/>
                <w:sz w:val="21"/>
                <w:szCs w:val="21"/>
                <w:lang w:bidi="ar"/>
              </w:rPr>
              <w:br/>
            </w:r>
            <w:r>
              <w:rPr>
                <w:rFonts w:ascii="宋体" w:hAnsi="宋体" w:cs="宋体" w:hint="eastAsia"/>
                <w:color w:val="000000"/>
                <w:kern w:val="0"/>
                <w:szCs w:val="21"/>
                <w:lang w:bidi="ar"/>
              </w:rPr>
              <w:t>3.</w:t>
            </w:r>
            <w:r>
              <w:rPr>
                <w:rStyle w:val="font11"/>
                <w:rFonts w:ascii="宋体" w:hAnsi="宋体" w:cs="宋体" w:hint="eastAsia"/>
                <w:sz w:val="21"/>
                <w:szCs w:val="21"/>
                <w:lang w:bidi="ar"/>
              </w:rPr>
              <w:t>建筑正规的大门参照房屋结构套用补偿标准。</w:t>
            </w:r>
            <w:r>
              <w:rPr>
                <w:rStyle w:val="font11"/>
                <w:rFonts w:ascii="宋体" w:hAnsi="宋体" w:cs="宋体" w:hint="eastAsia"/>
                <w:sz w:val="21"/>
                <w:szCs w:val="21"/>
                <w:lang w:bidi="ar"/>
              </w:rPr>
              <w:br/>
            </w:r>
            <w:r>
              <w:rPr>
                <w:rFonts w:ascii="宋体" w:hAnsi="宋体" w:cs="宋体" w:hint="eastAsia"/>
                <w:color w:val="000000"/>
                <w:kern w:val="0"/>
                <w:szCs w:val="21"/>
                <w:lang w:bidi="ar"/>
              </w:rPr>
              <w:t>4.</w:t>
            </w:r>
            <w:r>
              <w:rPr>
                <w:rStyle w:val="font11"/>
                <w:rFonts w:ascii="宋体" w:hAnsi="宋体" w:cs="宋体" w:hint="eastAsia"/>
                <w:sz w:val="21"/>
                <w:szCs w:val="21"/>
                <w:lang w:bidi="ar"/>
              </w:rPr>
              <w:t>全封闭的前出厦按建筑面积的</w:t>
            </w:r>
            <w:r>
              <w:rPr>
                <w:rFonts w:ascii="宋体" w:hAnsi="宋体" w:cs="宋体" w:hint="eastAsia"/>
                <w:color w:val="000000"/>
                <w:kern w:val="0"/>
                <w:szCs w:val="21"/>
                <w:lang w:bidi="ar"/>
              </w:rPr>
              <w:t>100</w:t>
            </w:r>
            <w:r>
              <w:rPr>
                <w:rStyle w:val="font11"/>
                <w:rFonts w:ascii="宋体" w:hAnsi="宋体" w:cs="宋体" w:hint="eastAsia"/>
                <w:sz w:val="21"/>
                <w:szCs w:val="21"/>
                <w:lang w:bidi="ar"/>
              </w:rPr>
              <w:t>％计算，有柱子未封闭的前出厦按建筑面积的</w:t>
            </w:r>
            <w:r>
              <w:rPr>
                <w:rFonts w:ascii="宋体" w:hAnsi="宋体" w:cs="宋体" w:hint="eastAsia"/>
                <w:color w:val="000000"/>
                <w:kern w:val="0"/>
                <w:szCs w:val="21"/>
                <w:lang w:bidi="ar"/>
              </w:rPr>
              <w:t>50</w:t>
            </w:r>
            <w:r>
              <w:rPr>
                <w:rStyle w:val="font11"/>
                <w:rFonts w:ascii="宋体" w:hAnsi="宋体" w:cs="宋体" w:hint="eastAsia"/>
                <w:sz w:val="21"/>
                <w:szCs w:val="21"/>
                <w:lang w:bidi="ar"/>
              </w:rPr>
              <w:t>％计算。</w:t>
            </w:r>
          </w:p>
        </w:tc>
      </w:tr>
      <w:tr w:rsidR="00A320E6" w14:paraId="38C86FA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91714"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71C59"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78A7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r>
              <w:rPr>
                <w:rStyle w:val="font11"/>
                <w:rFonts w:ascii="宋体" w:hAnsi="宋体" w:cs="宋体" w:hint="eastAsia"/>
                <w:sz w:val="21"/>
                <w:szCs w:val="21"/>
                <w:lang w:bidi="ar"/>
              </w:rPr>
              <w:t>楼房</w:t>
            </w:r>
            <w:r>
              <w:rPr>
                <w:rFonts w:ascii="宋体" w:hAnsi="宋体" w:cs="宋体" w:hint="eastAsia"/>
                <w:color w:val="000000"/>
                <w:kern w:val="0"/>
                <w:szCs w:val="21"/>
                <w:lang w:bidi="ar"/>
              </w:rPr>
              <w:t>)</w:t>
            </w:r>
            <w:r>
              <w:rPr>
                <w:rStyle w:val="font11"/>
                <w:rFonts w:ascii="宋体" w:hAnsi="宋体" w:cs="宋体" w:hint="eastAsia"/>
                <w:sz w:val="21"/>
                <w:szCs w:val="21"/>
                <w:lang w:bidi="ar"/>
              </w:rPr>
              <w:t>：砖墙承重，现浇或预制板保温防水屋面，水泥或其他硬化地面的楼房。</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845C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950-1150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AE7B8" w14:textId="77777777" w:rsidR="00A320E6" w:rsidRDefault="00A320E6" w:rsidP="00AE0286">
            <w:pPr>
              <w:jc w:val="left"/>
              <w:rPr>
                <w:rFonts w:ascii="宋体" w:hAnsi="宋体" w:cs="宋体"/>
                <w:color w:val="000000"/>
                <w:szCs w:val="21"/>
              </w:rPr>
            </w:pPr>
          </w:p>
        </w:tc>
      </w:tr>
      <w:tr w:rsidR="00A320E6" w14:paraId="2CF1353E"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7CE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75D52A"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F54F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r>
              <w:rPr>
                <w:rStyle w:val="font11"/>
                <w:rFonts w:ascii="宋体" w:hAnsi="宋体" w:cs="宋体" w:hint="eastAsia"/>
                <w:sz w:val="21"/>
                <w:szCs w:val="21"/>
                <w:lang w:bidi="ar"/>
              </w:rPr>
              <w:t>平房</w:t>
            </w:r>
            <w:r>
              <w:rPr>
                <w:rFonts w:ascii="宋体" w:hAnsi="宋体" w:cs="宋体" w:hint="eastAsia"/>
                <w:color w:val="000000"/>
                <w:kern w:val="0"/>
                <w:szCs w:val="21"/>
                <w:lang w:bidi="ar"/>
              </w:rPr>
              <w:t>)</w:t>
            </w:r>
            <w:r>
              <w:rPr>
                <w:rStyle w:val="font11"/>
                <w:rFonts w:ascii="宋体" w:hAnsi="宋体" w:cs="宋体" w:hint="eastAsia"/>
                <w:sz w:val="21"/>
                <w:szCs w:val="21"/>
                <w:lang w:bidi="ar"/>
              </w:rPr>
              <w:t>：砖墙承重，现浇或预制板保温防水屋面，水泥或其他硬化地面的平房，檐高不低于</w:t>
            </w:r>
            <w:r>
              <w:rPr>
                <w:rFonts w:ascii="宋体" w:hAnsi="宋体" w:cs="宋体" w:hint="eastAsia"/>
                <w:color w:val="000000"/>
                <w:kern w:val="0"/>
                <w:szCs w:val="21"/>
                <w:lang w:bidi="ar"/>
              </w:rPr>
              <w:t>2.5</w:t>
            </w:r>
            <w:r>
              <w:rPr>
                <w:rStyle w:val="font11"/>
                <w:rFonts w:ascii="宋体" w:hAnsi="宋体" w:cs="宋体" w:hint="eastAsia"/>
                <w:sz w:val="21"/>
                <w:szCs w:val="21"/>
                <w:lang w:bidi="ar"/>
              </w:rPr>
              <w:t>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A939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700-900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2D0A4D" w14:textId="77777777" w:rsidR="00A320E6" w:rsidRDefault="00A320E6" w:rsidP="00AE0286">
            <w:pPr>
              <w:jc w:val="left"/>
              <w:rPr>
                <w:rFonts w:ascii="宋体" w:hAnsi="宋体" w:cs="宋体"/>
                <w:color w:val="000000"/>
                <w:szCs w:val="21"/>
              </w:rPr>
            </w:pPr>
          </w:p>
        </w:tc>
      </w:tr>
      <w:tr w:rsidR="00A320E6" w14:paraId="7F74BB53"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5C5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881FA"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290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砖木结构(</w:t>
            </w:r>
            <w:r>
              <w:rPr>
                <w:rStyle w:val="font11"/>
                <w:rFonts w:ascii="宋体" w:hAnsi="宋体" w:cs="宋体" w:hint="eastAsia"/>
                <w:sz w:val="21"/>
                <w:szCs w:val="21"/>
                <w:lang w:bidi="ar"/>
              </w:rPr>
              <w:t>平房</w:t>
            </w:r>
            <w:r>
              <w:rPr>
                <w:rFonts w:ascii="宋体" w:hAnsi="宋体" w:cs="宋体" w:hint="eastAsia"/>
                <w:color w:val="000000"/>
                <w:kern w:val="0"/>
                <w:szCs w:val="21"/>
                <w:lang w:bidi="ar"/>
              </w:rPr>
              <w:t>)</w:t>
            </w:r>
            <w:r>
              <w:rPr>
                <w:rStyle w:val="font11"/>
                <w:rFonts w:ascii="宋体" w:hAnsi="宋体" w:cs="宋体" w:hint="eastAsia"/>
                <w:sz w:val="21"/>
                <w:szCs w:val="21"/>
                <w:lang w:bidi="ar"/>
              </w:rPr>
              <w:t>：规则的石角，砖墙或石墙承重，符合规格的木屋架，木</w:t>
            </w:r>
            <w:r>
              <w:rPr>
                <w:rFonts w:ascii="宋体" w:hAnsi="宋体" w:cs="宋体" w:hint="eastAsia"/>
                <w:color w:val="000000"/>
                <w:kern w:val="0"/>
                <w:szCs w:val="21"/>
                <w:lang w:bidi="ar"/>
              </w:rPr>
              <w:t>(</w:t>
            </w:r>
            <w:r>
              <w:rPr>
                <w:rStyle w:val="font11"/>
                <w:rFonts w:ascii="宋体" w:hAnsi="宋体" w:cs="宋体" w:hint="eastAsia"/>
                <w:sz w:val="21"/>
                <w:szCs w:val="21"/>
                <w:lang w:bidi="ar"/>
              </w:rPr>
              <w:t>预制</w:t>
            </w:r>
            <w:r>
              <w:rPr>
                <w:rFonts w:ascii="宋体" w:hAnsi="宋体" w:cs="宋体" w:hint="eastAsia"/>
                <w:color w:val="000000"/>
                <w:kern w:val="0"/>
                <w:szCs w:val="21"/>
                <w:lang w:bidi="ar"/>
              </w:rPr>
              <w:t>)</w:t>
            </w:r>
            <w:r>
              <w:rPr>
                <w:rStyle w:val="font11"/>
                <w:rFonts w:ascii="宋体" w:hAnsi="宋体" w:cs="宋体" w:hint="eastAsia"/>
                <w:sz w:val="21"/>
                <w:szCs w:val="21"/>
                <w:lang w:bidi="ar"/>
              </w:rPr>
              <w:t>檩条，瓦屋面，外墙扦缝</w:t>
            </w:r>
            <w:r>
              <w:rPr>
                <w:rFonts w:ascii="宋体" w:hAnsi="宋体" w:cs="宋体" w:hint="eastAsia"/>
                <w:color w:val="000000"/>
                <w:kern w:val="0"/>
                <w:szCs w:val="21"/>
                <w:lang w:bidi="ar"/>
              </w:rPr>
              <w:t>(</w:t>
            </w:r>
            <w:r>
              <w:rPr>
                <w:rStyle w:val="font11"/>
                <w:rFonts w:ascii="宋体" w:hAnsi="宋体" w:cs="宋体" w:hint="eastAsia"/>
                <w:sz w:val="21"/>
                <w:szCs w:val="21"/>
                <w:lang w:bidi="ar"/>
              </w:rPr>
              <w:t>抹灰</w:t>
            </w:r>
            <w:r>
              <w:rPr>
                <w:rFonts w:ascii="宋体" w:hAnsi="宋体" w:cs="宋体" w:hint="eastAsia"/>
                <w:color w:val="000000"/>
                <w:kern w:val="0"/>
                <w:szCs w:val="21"/>
                <w:lang w:bidi="ar"/>
              </w:rPr>
              <w:t>)</w:t>
            </w:r>
            <w:r>
              <w:rPr>
                <w:rStyle w:val="font11"/>
                <w:rFonts w:ascii="宋体" w:hAnsi="宋体" w:cs="宋体" w:hint="eastAsia"/>
                <w:sz w:val="21"/>
                <w:szCs w:val="21"/>
                <w:lang w:bidi="ar"/>
              </w:rPr>
              <w:t>，檐高不低于</w:t>
            </w:r>
            <w:r>
              <w:rPr>
                <w:rFonts w:ascii="宋体" w:hAnsi="宋体" w:cs="宋体" w:hint="eastAsia"/>
                <w:color w:val="000000"/>
                <w:kern w:val="0"/>
                <w:szCs w:val="21"/>
                <w:lang w:bidi="ar"/>
              </w:rPr>
              <w:t>2.5</w:t>
            </w:r>
            <w:r>
              <w:rPr>
                <w:rStyle w:val="font11"/>
                <w:rFonts w:ascii="宋体" w:hAnsi="宋体" w:cs="宋体" w:hint="eastAsia"/>
                <w:sz w:val="21"/>
                <w:szCs w:val="21"/>
                <w:lang w:bidi="ar"/>
              </w:rPr>
              <w:t>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5461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550-750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FE8658" w14:textId="77777777" w:rsidR="00A320E6" w:rsidRDefault="00A320E6" w:rsidP="00AE0286">
            <w:pPr>
              <w:jc w:val="left"/>
              <w:rPr>
                <w:rFonts w:ascii="宋体" w:hAnsi="宋体" w:cs="宋体"/>
                <w:color w:val="000000"/>
                <w:szCs w:val="21"/>
              </w:rPr>
            </w:pPr>
          </w:p>
        </w:tc>
      </w:tr>
      <w:tr w:rsidR="00A320E6" w14:paraId="0744164E"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6BC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B2257"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1240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简易结构：承重墙土坯、砖头、条砖混砌、碎石等，不规则木梁檩、瓦屋面，两面借墙或檐高低于2.5</w:t>
            </w:r>
            <w:r>
              <w:rPr>
                <w:rStyle w:val="font11"/>
                <w:rFonts w:ascii="宋体" w:hAnsi="宋体" w:cs="宋体" w:hint="eastAsia"/>
                <w:sz w:val="21"/>
                <w:szCs w:val="21"/>
                <w:lang w:bidi="ar"/>
              </w:rPr>
              <w:t>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09BE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AC7E9" w14:textId="77777777" w:rsidR="00A320E6" w:rsidRDefault="00A320E6" w:rsidP="00AE0286">
            <w:pPr>
              <w:jc w:val="left"/>
              <w:rPr>
                <w:rFonts w:ascii="宋体" w:hAnsi="宋体" w:cs="宋体"/>
                <w:color w:val="000000"/>
                <w:szCs w:val="21"/>
              </w:rPr>
            </w:pPr>
          </w:p>
        </w:tc>
      </w:tr>
      <w:tr w:rsidR="00A320E6" w14:paraId="3F2B7EC9"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6DF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EE54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钢结构</w:t>
            </w:r>
          </w:p>
          <w:p w14:paraId="65EEEB7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厂房</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C6597" w14:textId="77777777" w:rsidR="00A320E6" w:rsidRDefault="00000000" w:rsidP="00AE0286">
            <w:pPr>
              <w:jc w:val="left"/>
              <w:textAlignment w:val="center"/>
              <w:rPr>
                <w:rFonts w:ascii="宋体" w:hAnsi="宋体" w:cs="宋体"/>
                <w:szCs w:val="21"/>
              </w:rPr>
            </w:pPr>
            <w:r>
              <w:rPr>
                <w:rFonts w:ascii="宋体" w:hAnsi="宋体" w:cs="宋体" w:hint="eastAsia"/>
                <w:kern w:val="0"/>
                <w:szCs w:val="21"/>
                <w:lang w:bidi="ar"/>
              </w:rPr>
              <w:t>钢混结构：主体承重为框架结构，钢筋混凝土排架，有檩或无檩体系（网架屋面），跨度大于12m(含)，檐高大于9m（含），吊车吨位大于5吨（含）。</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20328" w14:textId="77777777" w:rsidR="00A320E6" w:rsidRDefault="00000000" w:rsidP="00AE0286">
            <w:pPr>
              <w:jc w:val="center"/>
              <w:textAlignment w:val="center"/>
              <w:rPr>
                <w:rFonts w:ascii="宋体" w:hAnsi="宋体" w:cs="宋体"/>
                <w:szCs w:val="21"/>
              </w:rPr>
            </w:pPr>
            <w:r>
              <w:rPr>
                <w:rFonts w:ascii="宋体" w:hAnsi="宋体" w:cs="宋体" w:hint="eastAsia"/>
                <w:kern w:val="0"/>
                <w:szCs w:val="21"/>
                <w:lang w:bidi="ar"/>
              </w:rPr>
              <w:t>1050-1250</w:t>
            </w:r>
            <w:r>
              <w:rPr>
                <w:rStyle w:val="font11"/>
                <w:rFonts w:ascii="宋体" w:hAnsi="宋体" w:cs="宋体" w:hint="eastAsia"/>
                <w:color w:val="auto"/>
                <w:sz w:val="21"/>
                <w:szCs w:val="21"/>
                <w:lang w:bidi="ar"/>
              </w:rPr>
              <w:t>元</w:t>
            </w:r>
            <w:r>
              <w:rPr>
                <w:rFonts w:ascii="宋体" w:hAnsi="宋体" w:cs="宋体" w:hint="eastAsia"/>
                <w:kern w:val="0"/>
                <w:szCs w:val="21"/>
                <w:lang w:bidi="ar"/>
              </w:rPr>
              <w:t>/</w:t>
            </w:r>
            <w:r>
              <w:rPr>
                <w:rStyle w:val="font11"/>
                <w:rFonts w:ascii="宋体" w:hAnsi="宋体" w:cs="宋体" w:hint="eastAsia"/>
                <w:color w:val="auto"/>
                <w:sz w:val="21"/>
                <w:szCs w:val="21"/>
                <w:lang w:bidi="ar"/>
              </w:rPr>
              <w:t>㎡</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20034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72A7CB2D"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A862"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67766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5BC6A" w14:textId="77777777" w:rsidR="00A320E6" w:rsidRDefault="00000000" w:rsidP="00AE0286">
            <w:pPr>
              <w:jc w:val="left"/>
              <w:textAlignment w:val="center"/>
              <w:rPr>
                <w:rFonts w:ascii="宋体" w:hAnsi="宋体" w:cs="宋体"/>
                <w:szCs w:val="21"/>
              </w:rPr>
            </w:pPr>
            <w:r>
              <w:rPr>
                <w:rFonts w:ascii="宋体" w:hAnsi="宋体" w:cs="宋体" w:hint="eastAsia"/>
                <w:kern w:val="0"/>
                <w:szCs w:val="21"/>
                <w:lang w:bidi="ar"/>
              </w:rPr>
              <w:t>钢混结构：主体承重为框架结构，钢筋混凝土排架，有檩或无檩体系（网架屋面），跨度小于12m，檐高6-9m，吊车吨位小于5吨。</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9F012" w14:textId="77777777" w:rsidR="00A320E6" w:rsidRDefault="00000000" w:rsidP="00AE0286">
            <w:pPr>
              <w:jc w:val="center"/>
              <w:textAlignment w:val="center"/>
              <w:rPr>
                <w:rFonts w:ascii="宋体" w:hAnsi="宋体" w:cs="宋体"/>
                <w:szCs w:val="21"/>
              </w:rPr>
            </w:pPr>
            <w:r>
              <w:rPr>
                <w:rFonts w:ascii="宋体" w:hAnsi="宋体" w:cs="宋体" w:hint="eastAsia"/>
                <w:kern w:val="0"/>
                <w:szCs w:val="21"/>
                <w:lang w:bidi="ar"/>
              </w:rPr>
              <w:t>800-1050</w:t>
            </w:r>
            <w:r>
              <w:rPr>
                <w:rStyle w:val="font11"/>
                <w:rFonts w:ascii="宋体" w:hAnsi="宋体" w:cs="宋体" w:hint="eastAsia"/>
                <w:color w:val="auto"/>
                <w:sz w:val="21"/>
                <w:szCs w:val="21"/>
                <w:lang w:bidi="ar"/>
              </w:rPr>
              <w:t>元</w:t>
            </w:r>
            <w:r>
              <w:rPr>
                <w:rFonts w:ascii="宋体" w:hAnsi="宋体" w:cs="宋体" w:hint="eastAsia"/>
                <w:kern w:val="0"/>
                <w:szCs w:val="21"/>
                <w:lang w:bidi="ar"/>
              </w:rPr>
              <w:t>/</w:t>
            </w:r>
            <w:r>
              <w:rPr>
                <w:rStyle w:val="font11"/>
                <w:rFonts w:ascii="宋体" w:hAnsi="宋体" w:cs="宋体" w:hint="eastAsia"/>
                <w:color w:val="auto"/>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BB9E9" w14:textId="77777777" w:rsidR="00A320E6" w:rsidRDefault="00A320E6" w:rsidP="00AE0286">
            <w:pPr>
              <w:jc w:val="left"/>
              <w:rPr>
                <w:rFonts w:ascii="宋体" w:hAnsi="宋体" w:cs="宋体"/>
                <w:color w:val="000000"/>
                <w:szCs w:val="21"/>
              </w:rPr>
            </w:pPr>
          </w:p>
        </w:tc>
      </w:tr>
      <w:tr w:rsidR="00A320E6" w14:paraId="264345E7"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A6BA5"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05ACE"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5DB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钢结构：主体承重为钢结构，网架车间，彩钢板屋面。</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F6E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550-800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7F78A0" w14:textId="77777777" w:rsidR="00A320E6" w:rsidRDefault="00A320E6" w:rsidP="00AE0286">
            <w:pPr>
              <w:jc w:val="left"/>
              <w:rPr>
                <w:rFonts w:ascii="宋体" w:hAnsi="宋体" w:cs="宋体"/>
                <w:color w:val="000000"/>
                <w:szCs w:val="21"/>
              </w:rPr>
            </w:pPr>
          </w:p>
        </w:tc>
      </w:tr>
      <w:tr w:rsidR="00A320E6" w14:paraId="6193452E"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761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088C5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围墙</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D287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乱石基砖墙高2.5m</w:t>
            </w:r>
            <w:r>
              <w:rPr>
                <w:rStyle w:val="font11"/>
                <w:rFonts w:ascii="宋体" w:hAnsi="宋体" w:cs="宋体" w:hint="eastAsia"/>
                <w:sz w:val="21"/>
                <w:szCs w:val="21"/>
                <w:lang w:bidi="ar"/>
              </w:rPr>
              <w:t>以上</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754C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300-350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BF21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776C1204"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D3F8"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BDBE44"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032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乱石基砖墙高2-2.5m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9ED5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260-300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21E94" w14:textId="77777777" w:rsidR="00A320E6" w:rsidRDefault="00A320E6" w:rsidP="00AE0286">
            <w:pPr>
              <w:jc w:val="left"/>
              <w:rPr>
                <w:rFonts w:ascii="宋体" w:hAnsi="宋体" w:cs="宋体"/>
                <w:color w:val="000000"/>
                <w:szCs w:val="21"/>
              </w:rPr>
            </w:pPr>
          </w:p>
        </w:tc>
      </w:tr>
      <w:tr w:rsidR="00A320E6" w14:paraId="01E3CB3C"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C2622"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4F916F"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3A2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乱石基砖墙高1.5-2m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84B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210-260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4785C5" w14:textId="77777777" w:rsidR="00A320E6" w:rsidRDefault="00A320E6" w:rsidP="00AE0286">
            <w:pPr>
              <w:jc w:val="left"/>
              <w:rPr>
                <w:rFonts w:ascii="宋体" w:hAnsi="宋体" w:cs="宋体"/>
                <w:color w:val="000000"/>
                <w:szCs w:val="21"/>
              </w:rPr>
            </w:pPr>
          </w:p>
        </w:tc>
      </w:tr>
      <w:tr w:rsidR="00A320E6" w14:paraId="06F096D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693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9CB43"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7971E"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乱石基土坯墙高1.5-2.5m</w:t>
            </w:r>
          </w:p>
          <w:p w14:paraId="13DD2235" w14:textId="77777777" w:rsidR="00A320E6" w:rsidRDefault="00A320E6" w:rsidP="00AE0286">
            <w:pPr>
              <w:rPr>
                <w:rFonts w:ascii="宋体" w:hAnsi="宋体" w:cs="宋体"/>
                <w:szCs w:val="21"/>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099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170元/m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5AEADB" w14:textId="77777777" w:rsidR="00A320E6" w:rsidRDefault="00A320E6" w:rsidP="00AE0286">
            <w:pPr>
              <w:jc w:val="left"/>
              <w:rPr>
                <w:rFonts w:ascii="宋体" w:hAnsi="宋体" w:cs="宋体"/>
                <w:color w:val="000000"/>
                <w:szCs w:val="21"/>
              </w:rPr>
            </w:pPr>
          </w:p>
        </w:tc>
      </w:tr>
      <w:tr w:rsidR="00A320E6" w14:paraId="0CCEE8B8"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7BAA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207ED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畜禽舍</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0018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8AEE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260-400元/㎡</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9AB99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6184A6A6"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28EEA"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F1B06D"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A248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简易结构</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549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160-250元/㎡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410C61" w14:textId="77777777" w:rsidR="00A320E6" w:rsidRDefault="00A320E6" w:rsidP="00AE0286">
            <w:pPr>
              <w:jc w:val="left"/>
              <w:rPr>
                <w:rFonts w:ascii="宋体" w:hAnsi="宋体" w:cs="宋体"/>
                <w:color w:val="000000"/>
                <w:szCs w:val="21"/>
              </w:rPr>
            </w:pPr>
          </w:p>
        </w:tc>
      </w:tr>
      <w:tr w:rsidR="00A320E6" w14:paraId="628E12A1"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1E1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617F3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迁坟</w:t>
            </w:r>
          </w:p>
        </w:tc>
        <w:tc>
          <w:tcPr>
            <w:tcW w:w="29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5A74E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棺木、拾骨、骨灰盒</w:t>
            </w:r>
          </w:p>
        </w:tc>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4317E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2200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座</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F816C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1.少数民族按其殡葬习惯和特点补偿标准可以在上浮100%的范围内协商确定。</w:t>
            </w:r>
            <w:r>
              <w:rPr>
                <w:rFonts w:ascii="宋体" w:hAnsi="宋体" w:cs="宋体" w:hint="eastAsia"/>
                <w:color w:val="000000"/>
                <w:kern w:val="0"/>
                <w:szCs w:val="21"/>
                <w:lang w:bidi="ar"/>
              </w:rPr>
              <w:br/>
              <w:t>2.仅包括迁葬、工料等所有费用。</w:t>
            </w:r>
            <w:r>
              <w:rPr>
                <w:rFonts w:ascii="宋体" w:hAnsi="宋体" w:cs="宋体" w:hint="eastAsia"/>
                <w:color w:val="000000"/>
                <w:kern w:val="0"/>
                <w:szCs w:val="21"/>
                <w:lang w:bidi="ar"/>
              </w:rPr>
              <w:br/>
              <w:t>3.多棺可视情况增加补偿标准，原则上每增加一棺的补偿标准最高不超过1000元（六棺及以上的参照六棺标准进行补偿）。</w:t>
            </w:r>
          </w:p>
        </w:tc>
      </w:tr>
      <w:tr w:rsidR="00A320E6" w14:paraId="64FC69EF"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8885"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1B54F2" w14:textId="77777777" w:rsidR="00A320E6" w:rsidRDefault="00A320E6" w:rsidP="00AE0286">
            <w:pPr>
              <w:jc w:val="center"/>
              <w:rPr>
                <w:rFonts w:ascii="宋体" w:hAnsi="宋体" w:cs="宋体"/>
                <w:color w:val="000000"/>
                <w:szCs w:val="21"/>
              </w:rPr>
            </w:pPr>
          </w:p>
        </w:tc>
        <w:tc>
          <w:tcPr>
            <w:tcW w:w="29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96A0DB" w14:textId="77777777" w:rsidR="00A320E6" w:rsidRDefault="00A320E6" w:rsidP="00AE0286">
            <w:pPr>
              <w:jc w:val="left"/>
              <w:rPr>
                <w:rFonts w:ascii="宋体" w:hAnsi="宋体" w:cs="宋体"/>
                <w:color w:val="000000"/>
                <w:szCs w:val="21"/>
              </w:rPr>
            </w:pPr>
          </w:p>
        </w:tc>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A5BC57" w14:textId="77777777" w:rsidR="00A320E6" w:rsidRDefault="00A320E6" w:rsidP="00AE0286">
            <w:pPr>
              <w:jc w:val="center"/>
              <w:rPr>
                <w:rFonts w:ascii="宋体" w:hAnsi="宋体" w:cs="宋体"/>
                <w:color w:val="000000"/>
                <w:szCs w:val="21"/>
              </w:rPr>
            </w:pP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3713B9" w14:textId="77777777" w:rsidR="00A320E6" w:rsidRDefault="00A320E6" w:rsidP="00AE0286">
            <w:pPr>
              <w:jc w:val="left"/>
              <w:rPr>
                <w:rFonts w:ascii="宋体" w:hAnsi="宋体" w:cs="宋体"/>
                <w:color w:val="000000"/>
                <w:szCs w:val="21"/>
              </w:rPr>
            </w:pPr>
          </w:p>
        </w:tc>
      </w:tr>
      <w:tr w:rsidR="00A320E6" w14:paraId="4573524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8EBD6"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FC4DCE" w14:textId="77777777" w:rsidR="00A320E6" w:rsidRDefault="00A320E6" w:rsidP="00AE0286">
            <w:pPr>
              <w:jc w:val="center"/>
              <w:rPr>
                <w:rFonts w:ascii="宋体" w:hAnsi="宋体" w:cs="宋体"/>
                <w:color w:val="000000"/>
                <w:szCs w:val="21"/>
              </w:rPr>
            </w:pPr>
          </w:p>
        </w:tc>
        <w:tc>
          <w:tcPr>
            <w:tcW w:w="29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1A23D" w14:textId="77777777" w:rsidR="00A320E6" w:rsidRDefault="00A320E6" w:rsidP="00AE0286">
            <w:pPr>
              <w:jc w:val="left"/>
              <w:rPr>
                <w:rFonts w:ascii="宋体" w:hAnsi="宋体" w:cs="宋体"/>
                <w:color w:val="000000"/>
                <w:szCs w:val="21"/>
              </w:rPr>
            </w:pPr>
          </w:p>
        </w:tc>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9E628" w14:textId="77777777" w:rsidR="00A320E6" w:rsidRDefault="00A320E6" w:rsidP="00AE0286">
            <w:pPr>
              <w:jc w:val="center"/>
              <w:rPr>
                <w:rFonts w:ascii="宋体" w:hAnsi="宋体" w:cs="宋体"/>
                <w:color w:val="000000"/>
                <w:szCs w:val="21"/>
              </w:rPr>
            </w:pP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F913A" w14:textId="77777777" w:rsidR="00A320E6" w:rsidRDefault="00A320E6" w:rsidP="00AE0286">
            <w:pPr>
              <w:jc w:val="left"/>
              <w:rPr>
                <w:rFonts w:ascii="宋体" w:hAnsi="宋体" w:cs="宋体"/>
                <w:color w:val="000000"/>
                <w:szCs w:val="21"/>
              </w:rPr>
            </w:pPr>
          </w:p>
        </w:tc>
      </w:tr>
      <w:tr w:rsidR="00A320E6" w14:paraId="5514E7AE"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889D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3DF13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温室大棚</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B0C9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钢、砼骨架、玻璃顶</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E4C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200-300元/㎡</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3D7DE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1.旧料归原主。</w:t>
            </w:r>
            <w:r>
              <w:rPr>
                <w:rFonts w:ascii="宋体" w:hAnsi="宋体" w:cs="宋体" w:hint="eastAsia"/>
                <w:color w:val="000000"/>
                <w:kern w:val="0"/>
                <w:szCs w:val="21"/>
                <w:lang w:bidi="ar"/>
              </w:rPr>
              <w:br/>
              <w:t>2.按占地面积计算。</w:t>
            </w:r>
          </w:p>
        </w:tc>
      </w:tr>
      <w:tr w:rsidR="00A320E6" w14:paraId="1199792F"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DE59"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46B188"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586E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钢、砼骨架、三面砖石或培墙、塑料薄膜棚顶、毛毡或草帘（暖棚）</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4ECE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130-180元/㎡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60974F" w14:textId="77777777" w:rsidR="00A320E6" w:rsidRDefault="00A320E6" w:rsidP="00AE0286">
            <w:pPr>
              <w:jc w:val="left"/>
              <w:rPr>
                <w:rFonts w:ascii="宋体" w:hAnsi="宋体" w:cs="宋体"/>
                <w:color w:val="000000"/>
                <w:szCs w:val="21"/>
              </w:rPr>
            </w:pPr>
          </w:p>
        </w:tc>
      </w:tr>
      <w:tr w:rsidR="00A320E6" w14:paraId="510DA29F"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BE7D"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FAA703"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039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钢、砼骨架、塑料薄膜棚顶、毛毡或草帘（暖棚）</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5A2F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80-130元/㎡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973D7" w14:textId="77777777" w:rsidR="00A320E6" w:rsidRDefault="00A320E6" w:rsidP="00AE0286">
            <w:pPr>
              <w:jc w:val="left"/>
              <w:rPr>
                <w:rFonts w:ascii="宋体" w:hAnsi="宋体" w:cs="宋体"/>
                <w:color w:val="000000"/>
                <w:szCs w:val="21"/>
              </w:rPr>
            </w:pPr>
          </w:p>
        </w:tc>
      </w:tr>
      <w:tr w:rsidR="00A320E6" w14:paraId="21D6C1F6"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48B5A"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02C127"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8DD9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简易钢架棚、塑料薄膜棚顶、毛毡或草帘</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D85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25-80元/㎡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9F7DD" w14:textId="77777777" w:rsidR="00A320E6" w:rsidRDefault="00A320E6" w:rsidP="00AE0286">
            <w:pPr>
              <w:jc w:val="left"/>
              <w:rPr>
                <w:rFonts w:ascii="宋体" w:hAnsi="宋体" w:cs="宋体"/>
                <w:color w:val="000000"/>
                <w:szCs w:val="21"/>
              </w:rPr>
            </w:pPr>
          </w:p>
        </w:tc>
      </w:tr>
      <w:tr w:rsidR="00A320E6" w14:paraId="0990D89C"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CAB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FBB75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小桥</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5C35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钢筋混凝土矩形板桥</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F0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2000-2200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88C8E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按桥面面积计算。</w:t>
            </w:r>
          </w:p>
        </w:tc>
      </w:tr>
      <w:tr w:rsidR="00A320E6" w14:paraId="53BBE920"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2881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BC267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4E9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平坦石拱桥</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0BD7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1600-2000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7175AB" w14:textId="77777777" w:rsidR="00A320E6" w:rsidRDefault="00A320E6" w:rsidP="00AE0286">
            <w:pPr>
              <w:jc w:val="left"/>
              <w:rPr>
                <w:rFonts w:ascii="宋体" w:hAnsi="宋体" w:cs="宋体"/>
                <w:color w:val="000000"/>
                <w:szCs w:val="21"/>
              </w:rPr>
            </w:pPr>
          </w:p>
        </w:tc>
      </w:tr>
      <w:tr w:rsidR="00A320E6" w14:paraId="14E615B7"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B5FD1"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7C40B"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8C23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石拱桥</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D19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3000-3400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1828E8" w14:textId="77777777" w:rsidR="00A320E6" w:rsidRDefault="00A320E6" w:rsidP="00AE0286">
            <w:pPr>
              <w:jc w:val="left"/>
              <w:rPr>
                <w:rFonts w:ascii="宋体" w:hAnsi="宋体" w:cs="宋体"/>
                <w:color w:val="000000"/>
                <w:szCs w:val="21"/>
              </w:rPr>
            </w:pPr>
          </w:p>
        </w:tc>
      </w:tr>
      <w:tr w:rsidR="00A320E6" w14:paraId="6CA08F72"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BC141"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1C828"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895C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简易小桥</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7A93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1200元/㎡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2C732" w14:textId="77777777" w:rsidR="00A320E6" w:rsidRDefault="00A320E6" w:rsidP="00AE0286">
            <w:pPr>
              <w:jc w:val="left"/>
              <w:rPr>
                <w:rFonts w:ascii="宋体" w:hAnsi="宋体" w:cs="宋体"/>
                <w:color w:val="000000"/>
                <w:szCs w:val="21"/>
              </w:rPr>
            </w:pPr>
          </w:p>
        </w:tc>
      </w:tr>
      <w:tr w:rsidR="00A320E6" w14:paraId="51F49245"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BF0C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41504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涵洞</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14D9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石盖板涵跨径1</w:t>
            </w:r>
            <w:r>
              <w:rPr>
                <w:rStyle w:val="font11"/>
                <w:rFonts w:ascii="宋体" w:hAnsi="宋体" w:cs="宋体" w:hint="eastAsia"/>
                <w:sz w:val="21"/>
                <w:szCs w:val="21"/>
                <w:lang w:bidi="ar"/>
              </w:rPr>
              <w:t>-</w:t>
            </w:r>
            <w:r>
              <w:rPr>
                <w:rFonts w:ascii="宋体" w:hAnsi="宋体" w:cs="宋体" w:hint="eastAsia"/>
                <w:color w:val="000000"/>
                <w:kern w:val="0"/>
                <w:szCs w:val="21"/>
                <w:lang w:bidi="ar"/>
              </w:rPr>
              <w:t>2m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9A01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900-1100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7FB2A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按涵洞长度计算。</w:t>
            </w:r>
          </w:p>
        </w:tc>
      </w:tr>
      <w:tr w:rsidR="00A320E6" w14:paraId="63566F3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3B5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9DE72E"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905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石拱涵跨径1</w:t>
            </w:r>
            <w:r>
              <w:rPr>
                <w:rStyle w:val="font11"/>
                <w:rFonts w:ascii="宋体" w:hAnsi="宋体" w:cs="宋体" w:hint="eastAsia"/>
                <w:sz w:val="21"/>
                <w:szCs w:val="21"/>
                <w:lang w:bidi="ar"/>
              </w:rPr>
              <w:t>-</w:t>
            </w:r>
            <w:r>
              <w:rPr>
                <w:rFonts w:ascii="宋体" w:hAnsi="宋体" w:cs="宋体" w:hint="eastAsia"/>
                <w:color w:val="000000"/>
                <w:kern w:val="0"/>
                <w:szCs w:val="21"/>
                <w:lang w:bidi="ar"/>
              </w:rPr>
              <w:t>2m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1835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1400-1600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8CA51" w14:textId="77777777" w:rsidR="00A320E6" w:rsidRDefault="00A320E6" w:rsidP="00AE0286">
            <w:pPr>
              <w:jc w:val="left"/>
              <w:rPr>
                <w:rFonts w:ascii="宋体" w:hAnsi="宋体" w:cs="宋体"/>
                <w:color w:val="000000"/>
                <w:szCs w:val="21"/>
              </w:rPr>
            </w:pPr>
          </w:p>
        </w:tc>
      </w:tr>
      <w:tr w:rsidR="00A320E6" w14:paraId="234176CA"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C9D5"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CA7FA"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4F31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石拱涵跨径2</w:t>
            </w:r>
            <w:r>
              <w:rPr>
                <w:rStyle w:val="font11"/>
                <w:rFonts w:ascii="宋体" w:hAnsi="宋体" w:cs="宋体" w:hint="eastAsia"/>
                <w:sz w:val="21"/>
                <w:szCs w:val="21"/>
                <w:lang w:bidi="ar"/>
              </w:rPr>
              <w:t>-</w:t>
            </w:r>
            <w:r>
              <w:rPr>
                <w:rFonts w:ascii="宋体" w:hAnsi="宋体" w:cs="宋体" w:hint="eastAsia"/>
                <w:color w:val="000000"/>
                <w:kern w:val="0"/>
                <w:szCs w:val="21"/>
                <w:lang w:bidi="ar"/>
              </w:rPr>
              <w:t>4m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A2C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1600-2600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95C209" w14:textId="77777777" w:rsidR="00A320E6" w:rsidRDefault="00A320E6" w:rsidP="00AE0286">
            <w:pPr>
              <w:jc w:val="left"/>
              <w:rPr>
                <w:rFonts w:ascii="宋体" w:hAnsi="宋体" w:cs="宋体"/>
                <w:color w:val="000000"/>
                <w:szCs w:val="21"/>
              </w:rPr>
            </w:pPr>
          </w:p>
        </w:tc>
      </w:tr>
      <w:tr w:rsidR="00A320E6" w14:paraId="27B13FBE"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DA9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D4120"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85A2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钢筋混凝土圆管涵跨径1</w:t>
            </w:r>
            <w:r>
              <w:rPr>
                <w:rStyle w:val="font11"/>
                <w:rFonts w:ascii="宋体" w:hAnsi="宋体" w:cs="宋体" w:hint="eastAsia"/>
                <w:sz w:val="21"/>
                <w:szCs w:val="21"/>
                <w:lang w:bidi="ar"/>
              </w:rPr>
              <w:t>-</w:t>
            </w:r>
            <w:r>
              <w:rPr>
                <w:rFonts w:ascii="宋体" w:hAnsi="宋体" w:cs="宋体" w:hint="eastAsia"/>
                <w:color w:val="000000"/>
                <w:kern w:val="0"/>
                <w:szCs w:val="21"/>
                <w:lang w:bidi="ar"/>
              </w:rPr>
              <w:t>2m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F80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1600-2200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B64CE7" w14:textId="77777777" w:rsidR="00A320E6" w:rsidRDefault="00A320E6" w:rsidP="00AE0286">
            <w:pPr>
              <w:jc w:val="left"/>
              <w:rPr>
                <w:rFonts w:ascii="宋体" w:hAnsi="宋体" w:cs="宋体"/>
                <w:color w:val="000000"/>
                <w:szCs w:val="21"/>
              </w:rPr>
            </w:pPr>
          </w:p>
        </w:tc>
      </w:tr>
      <w:tr w:rsidR="00A320E6" w14:paraId="1156B6AC"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1F62"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ABD7C2"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0E93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钢筋混凝土盖板涵跨径1.5</w:t>
            </w:r>
            <w:r>
              <w:rPr>
                <w:rStyle w:val="font11"/>
                <w:rFonts w:ascii="宋体" w:hAnsi="宋体" w:cs="宋体" w:hint="eastAsia"/>
                <w:sz w:val="21"/>
                <w:szCs w:val="21"/>
                <w:lang w:bidi="ar"/>
              </w:rPr>
              <w:t>-</w:t>
            </w:r>
            <w:r>
              <w:rPr>
                <w:rFonts w:ascii="宋体" w:hAnsi="宋体" w:cs="宋体" w:hint="eastAsia"/>
                <w:color w:val="000000"/>
                <w:kern w:val="0"/>
                <w:szCs w:val="21"/>
                <w:lang w:bidi="ar"/>
              </w:rPr>
              <w:t>3m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EF41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1400-2000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6D06C" w14:textId="77777777" w:rsidR="00A320E6" w:rsidRDefault="00A320E6" w:rsidP="00AE0286">
            <w:pPr>
              <w:jc w:val="left"/>
              <w:rPr>
                <w:rFonts w:ascii="宋体" w:hAnsi="宋体" w:cs="宋体"/>
                <w:color w:val="000000"/>
                <w:szCs w:val="21"/>
              </w:rPr>
            </w:pPr>
          </w:p>
        </w:tc>
      </w:tr>
      <w:tr w:rsidR="00A320E6" w14:paraId="4D90A7DA"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AAC7E"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A8269B"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D11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钢筋混凝土盖板涵跨径3</w:t>
            </w:r>
            <w:r>
              <w:rPr>
                <w:rStyle w:val="font11"/>
                <w:rFonts w:ascii="宋体" w:hAnsi="宋体" w:cs="宋体" w:hint="eastAsia"/>
                <w:sz w:val="21"/>
                <w:szCs w:val="21"/>
                <w:lang w:bidi="ar"/>
              </w:rPr>
              <w:t>-</w:t>
            </w:r>
            <w:r>
              <w:rPr>
                <w:rFonts w:ascii="宋体" w:hAnsi="宋体" w:cs="宋体" w:hint="eastAsia"/>
                <w:color w:val="000000"/>
                <w:kern w:val="0"/>
                <w:szCs w:val="21"/>
                <w:lang w:bidi="ar"/>
              </w:rPr>
              <w:t>4m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A3AF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2000-2800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A4DBCB" w14:textId="77777777" w:rsidR="00A320E6" w:rsidRDefault="00A320E6" w:rsidP="00AE0286">
            <w:pPr>
              <w:jc w:val="left"/>
              <w:rPr>
                <w:rFonts w:ascii="宋体" w:hAnsi="宋体" w:cs="宋体"/>
                <w:color w:val="000000"/>
                <w:szCs w:val="21"/>
              </w:rPr>
            </w:pPr>
          </w:p>
        </w:tc>
      </w:tr>
      <w:tr w:rsidR="00A320E6" w14:paraId="5E3B8EAE" w14:textId="77777777" w:rsidTr="006A3ED9">
        <w:trPr>
          <w:trHeight w:val="369"/>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3D5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343E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台田石堰</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897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台田石堰</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3F7D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160-230元/m³</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E4B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按砌体体积计算。</w:t>
            </w:r>
          </w:p>
        </w:tc>
      </w:tr>
      <w:tr w:rsidR="00A320E6" w14:paraId="1276EA21"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A49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01217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水渠水池</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D5A1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土筑水渠、水池</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64DB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25-30</w:t>
            </w:r>
            <w:r>
              <w:rPr>
                <w:rStyle w:val="font11"/>
                <w:rFonts w:ascii="宋体" w:hAnsi="宋体" w:cs="宋体" w:hint="eastAsia"/>
                <w:sz w:val="21"/>
                <w:szCs w:val="21"/>
                <w:lang w:bidi="ar"/>
              </w:rPr>
              <w:t>元</w:t>
            </w:r>
            <w:r>
              <w:rPr>
                <w:rFonts w:ascii="宋体" w:hAnsi="宋体" w:cs="宋体" w:hint="eastAsia"/>
                <w:color w:val="000000"/>
                <w:kern w:val="0"/>
                <w:szCs w:val="21"/>
                <w:lang w:bidi="ar"/>
              </w:rPr>
              <w:t>/m³</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7F6C9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1.不包括田间毛渠。</w:t>
            </w:r>
            <w:r>
              <w:rPr>
                <w:rFonts w:ascii="宋体" w:hAnsi="宋体" w:cs="宋体" w:hint="eastAsia"/>
                <w:color w:val="000000"/>
                <w:kern w:val="0"/>
                <w:szCs w:val="21"/>
                <w:lang w:bidi="ar"/>
              </w:rPr>
              <w:br/>
              <w:t>2.按挖方体积计算。</w:t>
            </w:r>
          </w:p>
        </w:tc>
      </w:tr>
      <w:tr w:rsidR="00A320E6" w14:paraId="0F7BC97A"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0A9DC"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814DC3"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20F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石砌水渠、水池</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A3F3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70-100</w:t>
            </w:r>
            <w:r>
              <w:rPr>
                <w:rStyle w:val="font11"/>
                <w:rFonts w:ascii="宋体" w:hAnsi="宋体" w:cs="宋体" w:hint="eastAsia"/>
                <w:sz w:val="21"/>
                <w:szCs w:val="21"/>
                <w:lang w:bidi="ar"/>
              </w:rPr>
              <w:t>元</w:t>
            </w:r>
            <w:r>
              <w:rPr>
                <w:rFonts w:ascii="宋体" w:hAnsi="宋体" w:cs="宋体" w:hint="eastAsia"/>
                <w:color w:val="000000"/>
                <w:kern w:val="0"/>
                <w:szCs w:val="21"/>
                <w:lang w:bidi="ar"/>
              </w:rPr>
              <w:t>/m³</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88750" w14:textId="77777777" w:rsidR="00A320E6" w:rsidRDefault="00A320E6" w:rsidP="00AE0286">
            <w:pPr>
              <w:jc w:val="left"/>
              <w:rPr>
                <w:rFonts w:ascii="宋体" w:hAnsi="宋体" w:cs="宋体"/>
                <w:color w:val="000000"/>
                <w:szCs w:val="21"/>
              </w:rPr>
            </w:pPr>
          </w:p>
        </w:tc>
      </w:tr>
      <w:tr w:rsidR="00A320E6" w14:paraId="0B0E1574"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16C1"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8E9DE4"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FB0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砖砌水渠、水池</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96B0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100-130</w:t>
            </w:r>
            <w:r>
              <w:rPr>
                <w:rStyle w:val="font11"/>
                <w:rFonts w:ascii="宋体" w:hAnsi="宋体" w:cs="宋体" w:hint="eastAsia"/>
                <w:sz w:val="21"/>
                <w:szCs w:val="21"/>
                <w:lang w:bidi="ar"/>
              </w:rPr>
              <w:t>元</w:t>
            </w:r>
            <w:r>
              <w:rPr>
                <w:rFonts w:ascii="宋体" w:hAnsi="宋体" w:cs="宋体" w:hint="eastAsia"/>
                <w:color w:val="000000"/>
                <w:kern w:val="0"/>
                <w:szCs w:val="21"/>
                <w:lang w:bidi="ar"/>
              </w:rPr>
              <w:t>/m³</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A885D" w14:textId="77777777" w:rsidR="00A320E6" w:rsidRDefault="00A320E6" w:rsidP="00AE0286">
            <w:pPr>
              <w:jc w:val="left"/>
              <w:rPr>
                <w:rFonts w:ascii="宋体" w:hAnsi="宋体" w:cs="宋体"/>
                <w:color w:val="000000"/>
                <w:szCs w:val="21"/>
              </w:rPr>
            </w:pPr>
          </w:p>
        </w:tc>
      </w:tr>
      <w:tr w:rsidR="00A320E6" w14:paraId="5464A471"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9C96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911C9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地面</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677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花砖地面</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DF9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25-40元/㎡</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7F2150"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1.水泥硬化整体厚度每增减1cm，补偿标准增减5元/㎡。</w:t>
            </w:r>
          </w:p>
          <w:p w14:paraId="4A2DA6C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2.沥青硬化整体厚度每增减1cm，补偿标准增减10元/㎡。</w:t>
            </w:r>
            <w:r>
              <w:rPr>
                <w:rFonts w:ascii="宋体" w:hAnsi="宋体" w:cs="宋体" w:hint="eastAsia"/>
                <w:color w:val="000000"/>
                <w:kern w:val="0"/>
                <w:szCs w:val="21"/>
                <w:lang w:bidi="ar"/>
              </w:rPr>
              <w:br/>
              <w:t>3.旧料归原主。</w:t>
            </w:r>
          </w:p>
        </w:tc>
      </w:tr>
      <w:tr w:rsidR="00A320E6" w14:paraId="03BA34A7"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7611"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8F3D0C"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5CB2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水泥路面（18cm）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702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70-120元/㎡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F8CD2" w14:textId="77777777" w:rsidR="00A320E6" w:rsidRDefault="00A320E6" w:rsidP="00AE0286">
            <w:pPr>
              <w:jc w:val="left"/>
              <w:rPr>
                <w:rFonts w:ascii="宋体" w:hAnsi="宋体" w:cs="宋体"/>
                <w:color w:val="000000"/>
                <w:szCs w:val="21"/>
              </w:rPr>
            </w:pPr>
          </w:p>
        </w:tc>
      </w:tr>
      <w:tr w:rsidR="00A320E6" w14:paraId="65AEA6E7"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8E69"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E1E46"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C2BE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沥青路面（10cm）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6FB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100-150元/㎡</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7A26A" w14:textId="77777777" w:rsidR="00A320E6" w:rsidRDefault="00A320E6" w:rsidP="00AE0286">
            <w:pPr>
              <w:jc w:val="left"/>
              <w:rPr>
                <w:rFonts w:ascii="宋体" w:hAnsi="宋体" w:cs="宋体"/>
                <w:color w:val="000000"/>
                <w:szCs w:val="21"/>
              </w:rPr>
            </w:pPr>
          </w:p>
        </w:tc>
      </w:tr>
      <w:tr w:rsidR="00A320E6" w14:paraId="58F4D052"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5E96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18B79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水井</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7F04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手压井</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88A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450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眼</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B91781" w14:textId="77777777" w:rsidR="00A320E6" w:rsidRDefault="00000000" w:rsidP="00AE0286">
            <w:pPr>
              <w:jc w:val="left"/>
              <w:textAlignment w:val="center"/>
              <w:rPr>
                <w:rStyle w:val="font11"/>
                <w:rFonts w:ascii="宋体" w:hAnsi="宋体" w:cs="宋体"/>
                <w:sz w:val="21"/>
                <w:szCs w:val="21"/>
                <w:lang w:bidi="ar"/>
              </w:rPr>
            </w:pPr>
            <w:r>
              <w:rPr>
                <w:rStyle w:val="font11"/>
                <w:rFonts w:ascii="宋体" w:hAnsi="宋体" w:cs="宋体" w:hint="eastAsia"/>
                <w:sz w:val="21"/>
                <w:szCs w:val="21"/>
                <w:lang w:bidi="ar"/>
              </w:rPr>
              <w:t>1.水井补偿包括开凿工程用料及用工等费用。</w:t>
            </w:r>
            <w:r>
              <w:rPr>
                <w:rStyle w:val="font11"/>
                <w:rFonts w:ascii="宋体" w:hAnsi="宋体" w:cs="宋体" w:hint="eastAsia"/>
                <w:sz w:val="21"/>
                <w:szCs w:val="21"/>
                <w:lang w:bidi="ar"/>
              </w:rPr>
              <w:br/>
            </w:r>
            <w:r>
              <w:rPr>
                <w:rFonts w:ascii="宋体" w:hAnsi="宋体" w:cs="宋体" w:hint="eastAsia"/>
                <w:color w:val="000000"/>
                <w:kern w:val="0"/>
                <w:szCs w:val="21"/>
                <w:lang w:bidi="ar"/>
              </w:rPr>
              <w:t>2.</w:t>
            </w:r>
            <w:r>
              <w:rPr>
                <w:rStyle w:val="font11"/>
                <w:rFonts w:ascii="宋体" w:hAnsi="宋体" w:cs="宋体" w:hint="eastAsia"/>
                <w:sz w:val="21"/>
                <w:szCs w:val="21"/>
                <w:lang w:bidi="ar"/>
              </w:rPr>
              <w:t>废、枯井按同类井补偿标准</w:t>
            </w:r>
            <w:r>
              <w:rPr>
                <w:rFonts w:ascii="宋体" w:hAnsi="宋体" w:cs="宋体" w:hint="eastAsia"/>
                <w:color w:val="000000"/>
                <w:kern w:val="0"/>
                <w:szCs w:val="21"/>
                <w:lang w:bidi="ar"/>
              </w:rPr>
              <w:t>30-50</w:t>
            </w:r>
            <w:r>
              <w:rPr>
                <w:rStyle w:val="font11"/>
                <w:rFonts w:ascii="宋体" w:hAnsi="宋体" w:cs="宋体" w:hint="eastAsia"/>
                <w:sz w:val="21"/>
                <w:szCs w:val="21"/>
                <w:lang w:bidi="ar"/>
              </w:rPr>
              <w:t>％补偿。</w:t>
            </w:r>
            <w:r>
              <w:rPr>
                <w:rStyle w:val="font11"/>
                <w:rFonts w:ascii="宋体" w:hAnsi="宋体" w:cs="宋体" w:hint="eastAsia"/>
                <w:sz w:val="21"/>
                <w:szCs w:val="21"/>
                <w:lang w:bidi="ar"/>
              </w:rPr>
              <w:br/>
            </w:r>
            <w:r>
              <w:rPr>
                <w:rFonts w:ascii="宋体" w:hAnsi="宋体" w:cs="宋体" w:hint="eastAsia"/>
                <w:color w:val="000000"/>
                <w:kern w:val="0"/>
                <w:szCs w:val="21"/>
                <w:lang w:bidi="ar"/>
              </w:rPr>
              <w:t>3.</w:t>
            </w:r>
            <w:r>
              <w:rPr>
                <w:rStyle w:val="font11"/>
                <w:rFonts w:ascii="宋体" w:hAnsi="宋体" w:cs="宋体" w:hint="eastAsia"/>
                <w:sz w:val="21"/>
                <w:szCs w:val="21"/>
                <w:lang w:bidi="ar"/>
              </w:rPr>
              <w:t>机井按井深分段计算补偿。</w:t>
            </w:r>
          </w:p>
          <w:p w14:paraId="43C7898D" w14:textId="77777777" w:rsidR="00A320E6" w:rsidRDefault="00000000" w:rsidP="00AE0286">
            <w:pPr>
              <w:jc w:val="left"/>
              <w:textAlignment w:val="center"/>
              <w:rPr>
                <w:rStyle w:val="font11"/>
                <w:rFonts w:ascii="宋体" w:hAnsi="宋体" w:cs="宋体"/>
                <w:sz w:val="21"/>
                <w:szCs w:val="21"/>
                <w:lang w:bidi="ar"/>
              </w:rPr>
            </w:pPr>
            <w:r>
              <w:rPr>
                <w:rStyle w:val="font11"/>
                <w:rFonts w:ascii="宋体" w:hAnsi="宋体" w:cs="宋体" w:hint="eastAsia"/>
                <w:sz w:val="21"/>
                <w:szCs w:val="21"/>
                <w:lang w:bidi="ar"/>
              </w:rPr>
              <w:t>4.下管井参照机井进行补偿。</w:t>
            </w:r>
          </w:p>
        </w:tc>
      </w:tr>
      <w:tr w:rsidR="00A320E6" w14:paraId="02F41538"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8BB6C"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6AEBB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177E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土井：直径1.2m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21AE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150-200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8F1A62" w14:textId="77777777" w:rsidR="00A320E6" w:rsidRDefault="00A320E6" w:rsidP="00AE0286">
            <w:pPr>
              <w:jc w:val="left"/>
              <w:rPr>
                <w:rFonts w:ascii="宋体" w:hAnsi="宋体" w:cs="宋体"/>
                <w:color w:val="000000"/>
                <w:szCs w:val="21"/>
              </w:rPr>
            </w:pPr>
          </w:p>
        </w:tc>
      </w:tr>
      <w:tr w:rsidR="00A320E6" w14:paraId="00740C93"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EC34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F78FDC"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6B37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砖井(包括乱石井)：深5-10m</w:t>
            </w:r>
            <w:r>
              <w:rPr>
                <w:rStyle w:val="font11"/>
                <w:rFonts w:ascii="宋体" w:hAnsi="宋体" w:cs="宋体" w:hint="eastAsia"/>
                <w:sz w:val="21"/>
                <w:szCs w:val="21"/>
                <w:lang w:bidi="ar"/>
              </w:rPr>
              <w:t>、直径</w:t>
            </w:r>
            <w:r>
              <w:rPr>
                <w:rFonts w:ascii="宋体" w:hAnsi="宋体" w:cs="宋体" w:hint="eastAsia"/>
                <w:color w:val="000000"/>
                <w:kern w:val="0"/>
                <w:szCs w:val="21"/>
                <w:lang w:bidi="ar"/>
              </w:rPr>
              <w:t>1.5m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F3C6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4500-6400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口</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C743C" w14:textId="77777777" w:rsidR="00A320E6" w:rsidRDefault="00A320E6" w:rsidP="00AE0286">
            <w:pPr>
              <w:jc w:val="left"/>
              <w:rPr>
                <w:rFonts w:ascii="宋体" w:hAnsi="宋体" w:cs="宋体"/>
                <w:color w:val="000000"/>
                <w:szCs w:val="21"/>
              </w:rPr>
            </w:pPr>
          </w:p>
        </w:tc>
      </w:tr>
      <w:tr w:rsidR="00A320E6" w14:paraId="7FEA3033"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10B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5D20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C10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砖井(包括乱石井)：深10-20m</w:t>
            </w:r>
            <w:r>
              <w:rPr>
                <w:rStyle w:val="font11"/>
                <w:rFonts w:ascii="宋体" w:hAnsi="宋体" w:cs="宋体" w:hint="eastAsia"/>
                <w:sz w:val="21"/>
                <w:szCs w:val="21"/>
                <w:lang w:bidi="ar"/>
              </w:rPr>
              <w:t>、直径</w:t>
            </w:r>
            <w:r>
              <w:rPr>
                <w:rFonts w:ascii="宋体" w:hAnsi="宋体" w:cs="宋体" w:hint="eastAsia"/>
                <w:color w:val="000000"/>
                <w:kern w:val="0"/>
                <w:szCs w:val="21"/>
                <w:lang w:bidi="ar"/>
              </w:rPr>
              <w:t>2.5m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717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6500-8600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口</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953A4C" w14:textId="77777777" w:rsidR="00A320E6" w:rsidRDefault="00A320E6" w:rsidP="00AE0286">
            <w:pPr>
              <w:jc w:val="left"/>
              <w:rPr>
                <w:rFonts w:ascii="宋体" w:hAnsi="宋体" w:cs="宋体"/>
                <w:color w:val="000000"/>
                <w:szCs w:val="21"/>
              </w:rPr>
            </w:pPr>
          </w:p>
        </w:tc>
      </w:tr>
      <w:tr w:rsidR="00A320E6" w14:paraId="7ED5116F"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81661"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F58D6"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FDC2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机井：深20-50m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099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260-380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34AB0" w14:textId="77777777" w:rsidR="00A320E6" w:rsidRDefault="00A320E6" w:rsidP="00AE0286">
            <w:pPr>
              <w:jc w:val="left"/>
              <w:rPr>
                <w:rFonts w:ascii="宋体" w:hAnsi="宋体" w:cs="宋体"/>
                <w:color w:val="000000"/>
                <w:szCs w:val="21"/>
              </w:rPr>
            </w:pPr>
          </w:p>
        </w:tc>
      </w:tr>
      <w:tr w:rsidR="00A320E6" w14:paraId="3AF4AD25"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AC4D0"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2D323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C028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机井：深50-100m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F46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380-440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347EE4" w14:textId="77777777" w:rsidR="00A320E6" w:rsidRDefault="00A320E6" w:rsidP="00AE0286">
            <w:pPr>
              <w:jc w:val="left"/>
              <w:rPr>
                <w:rFonts w:ascii="宋体" w:hAnsi="宋体" w:cs="宋体"/>
                <w:color w:val="000000"/>
                <w:szCs w:val="21"/>
              </w:rPr>
            </w:pPr>
          </w:p>
        </w:tc>
      </w:tr>
      <w:tr w:rsidR="00A320E6" w14:paraId="734D0616"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46B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DF337"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8590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机井：深100-250m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D19E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440-580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A8302C" w14:textId="77777777" w:rsidR="00A320E6" w:rsidRDefault="00A320E6" w:rsidP="00AE0286">
            <w:pPr>
              <w:jc w:val="left"/>
              <w:rPr>
                <w:rFonts w:ascii="宋体" w:hAnsi="宋体" w:cs="宋体"/>
                <w:color w:val="000000"/>
                <w:szCs w:val="21"/>
              </w:rPr>
            </w:pPr>
          </w:p>
        </w:tc>
      </w:tr>
      <w:tr w:rsidR="00A320E6" w14:paraId="61FE3B16"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F6ECE"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AB592"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468B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机井：深250m</w:t>
            </w:r>
            <w:r>
              <w:rPr>
                <w:rStyle w:val="font11"/>
                <w:rFonts w:ascii="宋体" w:hAnsi="宋体" w:cs="宋体" w:hint="eastAsia"/>
                <w:sz w:val="21"/>
                <w:szCs w:val="21"/>
                <w:lang w:bidi="ar"/>
              </w:rPr>
              <w:t>以上</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1598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580-830</w:t>
            </w:r>
            <w:r>
              <w:rPr>
                <w:rStyle w:val="font11"/>
                <w:rFonts w:ascii="宋体" w:hAnsi="宋体" w:cs="宋体" w:hint="eastAsia"/>
                <w:sz w:val="21"/>
                <w:szCs w:val="21"/>
                <w:lang w:bidi="ar"/>
              </w:rPr>
              <w:t>元</w:t>
            </w:r>
            <w:r>
              <w:rPr>
                <w:rFonts w:ascii="宋体" w:hAnsi="宋体" w:cs="宋体" w:hint="eastAsia"/>
                <w:color w:val="000000"/>
                <w:kern w:val="0"/>
                <w:szCs w:val="21"/>
                <w:lang w:bidi="ar"/>
              </w:rPr>
              <w:t>/m</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540985" w14:textId="77777777" w:rsidR="00A320E6" w:rsidRDefault="00A320E6" w:rsidP="00AE0286">
            <w:pPr>
              <w:jc w:val="left"/>
              <w:rPr>
                <w:rFonts w:ascii="宋体" w:hAnsi="宋体" w:cs="宋体"/>
                <w:color w:val="000000"/>
                <w:szCs w:val="21"/>
              </w:rPr>
            </w:pPr>
          </w:p>
        </w:tc>
      </w:tr>
      <w:tr w:rsidR="00A320E6" w14:paraId="12EDAA91"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D99E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76F84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淡水养殖</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EC9D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鱼塘</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1995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15000-25000</w:t>
            </w:r>
          </w:p>
          <w:p w14:paraId="79D56C55" w14:textId="77777777" w:rsidR="00A320E6" w:rsidRDefault="00000000" w:rsidP="00AE0286">
            <w:pPr>
              <w:jc w:val="center"/>
              <w:textAlignment w:val="center"/>
              <w:rPr>
                <w:rFonts w:ascii="宋体" w:hAnsi="宋体" w:cs="宋体"/>
                <w:color w:val="000000"/>
                <w:szCs w:val="21"/>
              </w:rPr>
            </w:pP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亩</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9FA2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含土石方及鱼苗损失费，鱼归原主</w:t>
            </w:r>
          </w:p>
        </w:tc>
      </w:tr>
      <w:tr w:rsidR="00A320E6" w14:paraId="718B60B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49B4"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D94DBD"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8333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藕塘</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1798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8000-15000</w:t>
            </w:r>
          </w:p>
          <w:p w14:paraId="113F305E" w14:textId="77777777" w:rsidR="00A320E6" w:rsidRDefault="00000000" w:rsidP="00AE0286">
            <w:pPr>
              <w:jc w:val="center"/>
              <w:textAlignment w:val="center"/>
              <w:rPr>
                <w:rFonts w:ascii="宋体" w:hAnsi="宋体" w:cs="宋体"/>
                <w:color w:val="000000"/>
                <w:szCs w:val="21"/>
              </w:rPr>
            </w:pP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亩</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F4C3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含土石方及藕秧损失费，藕归原主</w:t>
            </w:r>
          </w:p>
        </w:tc>
      </w:tr>
      <w:tr w:rsidR="00A320E6" w14:paraId="5E6B83B3"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806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C0E1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电力通讯线路</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53DB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低压线路带线</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08D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2200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杆</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C81F7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包括电线等材料损失及拆建工费。</w:t>
            </w:r>
          </w:p>
        </w:tc>
      </w:tr>
      <w:tr w:rsidR="00A320E6" w14:paraId="12CD2E4E"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4CDB"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995DCE"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05F0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通讯广播线路</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B974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2200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杆</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6FD39" w14:textId="77777777" w:rsidR="00A320E6" w:rsidRDefault="00A320E6" w:rsidP="00AE0286">
            <w:pPr>
              <w:jc w:val="left"/>
              <w:rPr>
                <w:rFonts w:ascii="宋体" w:hAnsi="宋体" w:cs="宋体"/>
                <w:color w:val="000000"/>
                <w:szCs w:val="21"/>
              </w:rPr>
            </w:pPr>
          </w:p>
        </w:tc>
      </w:tr>
      <w:tr w:rsidR="00A320E6" w14:paraId="3555EA44"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327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7AC7B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砖窑</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773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（18</w:t>
            </w:r>
            <w:r>
              <w:rPr>
                <w:rStyle w:val="font11"/>
                <w:rFonts w:ascii="宋体" w:hAnsi="宋体" w:cs="宋体" w:hint="eastAsia"/>
                <w:sz w:val="21"/>
                <w:szCs w:val="21"/>
                <w:lang w:bidi="ar"/>
              </w:rPr>
              <w:t>、</w:t>
            </w:r>
            <w:r>
              <w:rPr>
                <w:rFonts w:ascii="宋体" w:hAnsi="宋体" w:cs="宋体" w:hint="eastAsia"/>
                <w:color w:val="000000"/>
                <w:kern w:val="0"/>
                <w:szCs w:val="21"/>
                <w:lang w:bidi="ar"/>
              </w:rPr>
              <w:t>20</w:t>
            </w:r>
            <w:r>
              <w:rPr>
                <w:rStyle w:val="font11"/>
                <w:rFonts w:ascii="宋体" w:hAnsi="宋体" w:cs="宋体" w:hint="eastAsia"/>
                <w:sz w:val="21"/>
                <w:szCs w:val="21"/>
                <w:lang w:bidi="ar"/>
              </w:rPr>
              <w:t>、</w:t>
            </w:r>
            <w:r>
              <w:rPr>
                <w:rFonts w:ascii="宋体" w:hAnsi="宋体" w:cs="宋体" w:hint="eastAsia"/>
                <w:color w:val="000000"/>
                <w:kern w:val="0"/>
                <w:szCs w:val="21"/>
                <w:lang w:bidi="ar"/>
              </w:rPr>
              <w:t>22</w:t>
            </w:r>
            <w:r>
              <w:rPr>
                <w:rStyle w:val="font11"/>
                <w:rFonts w:ascii="宋体" w:hAnsi="宋体" w:cs="宋体" w:hint="eastAsia"/>
                <w:sz w:val="21"/>
                <w:szCs w:val="21"/>
                <w:lang w:bidi="ar"/>
              </w:rPr>
              <w:t>、</w:t>
            </w:r>
            <w:r>
              <w:rPr>
                <w:rFonts w:ascii="宋体" w:hAnsi="宋体" w:cs="宋体" w:hint="eastAsia"/>
                <w:color w:val="000000"/>
                <w:kern w:val="0"/>
                <w:szCs w:val="21"/>
                <w:lang w:bidi="ar"/>
              </w:rPr>
              <w:t>32</w:t>
            </w:r>
            <w:r>
              <w:rPr>
                <w:rStyle w:val="font11"/>
                <w:rFonts w:ascii="宋体" w:hAnsi="宋体" w:cs="宋体" w:hint="eastAsia"/>
                <w:sz w:val="21"/>
                <w:szCs w:val="21"/>
                <w:lang w:bidi="ar"/>
              </w:rPr>
              <w:t>）门轮窑</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4F5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8000-12000</w:t>
            </w:r>
          </w:p>
          <w:p w14:paraId="4FD6D9FC" w14:textId="77777777" w:rsidR="00A320E6" w:rsidRDefault="00000000" w:rsidP="00AE0286">
            <w:pPr>
              <w:jc w:val="center"/>
              <w:textAlignment w:val="center"/>
              <w:rPr>
                <w:rFonts w:ascii="宋体" w:hAnsi="宋体" w:cs="宋体"/>
                <w:color w:val="000000"/>
                <w:szCs w:val="21"/>
              </w:rPr>
            </w:pP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门</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7576A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报废的按照50%</w:t>
            </w:r>
            <w:r>
              <w:rPr>
                <w:rStyle w:val="font11"/>
                <w:rFonts w:ascii="宋体" w:hAnsi="宋体" w:cs="宋体" w:hint="eastAsia"/>
                <w:sz w:val="21"/>
                <w:szCs w:val="21"/>
                <w:lang w:bidi="ar"/>
              </w:rPr>
              <w:t>补偿。</w:t>
            </w:r>
          </w:p>
        </w:tc>
      </w:tr>
      <w:tr w:rsidR="00A320E6" w14:paraId="6E996948"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0760"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CB698"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B6B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老式土窑</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0627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15000-26000</w:t>
            </w:r>
          </w:p>
          <w:p w14:paraId="4EAEB8CA" w14:textId="77777777" w:rsidR="00A320E6" w:rsidRDefault="00000000" w:rsidP="00AE0286">
            <w:pPr>
              <w:jc w:val="center"/>
              <w:textAlignment w:val="center"/>
              <w:rPr>
                <w:rFonts w:ascii="宋体" w:hAnsi="宋体" w:cs="宋体"/>
                <w:color w:val="000000"/>
                <w:szCs w:val="21"/>
              </w:rPr>
            </w:pP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座</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F3FF64" w14:textId="77777777" w:rsidR="00A320E6" w:rsidRDefault="00A320E6" w:rsidP="00AE0286">
            <w:pPr>
              <w:jc w:val="left"/>
              <w:rPr>
                <w:rFonts w:ascii="宋体" w:hAnsi="宋体" w:cs="宋体"/>
                <w:color w:val="000000"/>
                <w:szCs w:val="21"/>
              </w:rPr>
            </w:pPr>
          </w:p>
        </w:tc>
      </w:tr>
      <w:tr w:rsidR="00A320E6" w14:paraId="293CB50D"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8D3B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EBDF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乔木</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A8633"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胸径小于5cm</w:t>
            </w:r>
          </w:p>
          <w:p w14:paraId="4D9B015B" w14:textId="77777777" w:rsidR="00A320E6" w:rsidRDefault="00000000" w:rsidP="00AE0286">
            <w:pPr>
              <w:jc w:val="left"/>
              <w:textAlignment w:val="center"/>
              <w:rPr>
                <w:rFonts w:ascii="宋体" w:hAnsi="宋体" w:cs="宋体"/>
                <w:color w:val="000000"/>
                <w:szCs w:val="21"/>
              </w:rPr>
            </w:pPr>
            <w:r>
              <w:rPr>
                <w:rStyle w:val="font11"/>
                <w:rFonts w:ascii="宋体" w:hAnsi="宋体" w:cs="宋体" w:hint="eastAsia"/>
                <w:sz w:val="21"/>
                <w:szCs w:val="21"/>
                <w:lang w:bidi="ar"/>
              </w:rPr>
              <w:t>（松柏树小于</w:t>
            </w:r>
            <w:r>
              <w:rPr>
                <w:rFonts w:ascii="宋体" w:hAnsi="宋体" w:cs="宋体" w:hint="eastAsia"/>
                <w:color w:val="000000"/>
                <w:kern w:val="0"/>
                <w:szCs w:val="21"/>
                <w:lang w:bidi="ar"/>
              </w:rPr>
              <w:t>3cm)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EE0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10-35元/棵</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AC5B7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1.经济、观赏、绿化类等特殊树种由园林部门根据实际情况认定，补偿标准可委托有资质的机构评估或认证。2.树归原主。</w:t>
            </w:r>
          </w:p>
        </w:tc>
      </w:tr>
      <w:tr w:rsidR="00A320E6" w14:paraId="5DD29BF8"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A73A4"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3322BC"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5D1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胸径5-10cm</w:t>
            </w:r>
            <w:r>
              <w:rPr>
                <w:rStyle w:val="font11"/>
                <w:rFonts w:ascii="宋体" w:hAnsi="宋体" w:cs="宋体" w:hint="eastAsia"/>
                <w:sz w:val="21"/>
                <w:szCs w:val="21"/>
                <w:lang w:bidi="ar"/>
              </w:rPr>
              <w:t>（松柏树</w:t>
            </w:r>
            <w:r>
              <w:rPr>
                <w:rFonts w:ascii="宋体" w:hAnsi="宋体" w:cs="宋体" w:hint="eastAsia"/>
                <w:color w:val="000000"/>
                <w:kern w:val="0"/>
                <w:szCs w:val="21"/>
                <w:lang w:bidi="ar"/>
              </w:rPr>
              <w:t>3-6cm)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15B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35-80元/棵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7E9D6" w14:textId="77777777" w:rsidR="00A320E6" w:rsidRDefault="00A320E6" w:rsidP="00AE0286">
            <w:pPr>
              <w:jc w:val="left"/>
              <w:rPr>
                <w:rFonts w:ascii="宋体" w:hAnsi="宋体" w:cs="宋体"/>
                <w:color w:val="000000"/>
                <w:szCs w:val="21"/>
              </w:rPr>
            </w:pPr>
          </w:p>
        </w:tc>
      </w:tr>
      <w:tr w:rsidR="00A320E6" w14:paraId="5BE39E7A"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6224"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FF23E"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156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胸径10-20cm</w:t>
            </w:r>
            <w:r>
              <w:rPr>
                <w:rStyle w:val="font11"/>
                <w:rFonts w:ascii="宋体" w:hAnsi="宋体" w:cs="宋体" w:hint="eastAsia"/>
                <w:sz w:val="21"/>
                <w:szCs w:val="21"/>
                <w:lang w:bidi="ar"/>
              </w:rPr>
              <w:t>（松柏树</w:t>
            </w:r>
            <w:r>
              <w:rPr>
                <w:rFonts w:ascii="宋体" w:hAnsi="宋体" w:cs="宋体" w:hint="eastAsia"/>
                <w:color w:val="000000"/>
                <w:kern w:val="0"/>
                <w:szCs w:val="21"/>
                <w:lang w:bidi="ar"/>
              </w:rPr>
              <w:t>6-10cm)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0B4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80-100元/棵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D5E9D" w14:textId="77777777" w:rsidR="00A320E6" w:rsidRDefault="00A320E6" w:rsidP="00AE0286">
            <w:pPr>
              <w:jc w:val="left"/>
              <w:rPr>
                <w:rFonts w:ascii="宋体" w:hAnsi="宋体" w:cs="宋体"/>
                <w:color w:val="000000"/>
                <w:szCs w:val="21"/>
              </w:rPr>
            </w:pPr>
          </w:p>
        </w:tc>
      </w:tr>
      <w:tr w:rsidR="00A320E6" w14:paraId="4683248F"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884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D11E4F"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48DD9"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胸径大于20cm</w:t>
            </w:r>
          </w:p>
          <w:p w14:paraId="24428CCF" w14:textId="77777777" w:rsidR="00A320E6" w:rsidRDefault="00000000" w:rsidP="00AE0286">
            <w:pPr>
              <w:jc w:val="left"/>
              <w:textAlignment w:val="center"/>
              <w:rPr>
                <w:rFonts w:ascii="宋体" w:hAnsi="宋体" w:cs="宋体"/>
                <w:color w:val="000000"/>
                <w:szCs w:val="21"/>
              </w:rPr>
            </w:pPr>
            <w:r>
              <w:rPr>
                <w:rStyle w:val="font11"/>
                <w:rFonts w:ascii="宋体" w:hAnsi="宋体" w:cs="宋体" w:hint="eastAsia"/>
                <w:sz w:val="21"/>
                <w:szCs w:val="21"/>
                <w:lang w:bidi="ar"/>
              </w:rPr>
              <w:t>（松柏树</w:t>
            </w:r>
            <w:r>
              <w:rPr>
                <w:rFonts w:ascii="宋体" w:hAnsi="宋体" w:cs="宋体" w:hint="eastAsia"/>
                <w:color w:val="000000"/>
                <w:kern w:val="0"/>
                <w:szCs w:val="21"/>
                <w:lang w:bidi="ar"/>
              </w:rPr>
              <w:t>10cm</w:t>
            </w:r>
            <w:r>
              <w:rPr>
                <w:rStyle w:val="font11"/>
                <w:rFonts w:ascii="宋体" w:hAnsi="宋体" w:cs="宋体" w:hint="eastAsia"/>
                <w:sz w:val="21"/>
                <w:szCs w:val="21"/>
                <w:lang w:bidi="ar"/>
              </w:rPr>
              <w:t>）以上成材料</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A5E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100-120元/棵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9A4C7" w14:textId="77777777" w:rsidR="00A320E6" w:rsidRDefault="00A320E6" w:rsidP="00AE0286">
            <w:pPr>
              <w:jc w:val="left"/>
              <w:rPr>
                <w:rFonts w:ascii="宋体" w:hAnsi="宋体" w:cs="宋体"/>
                <w:color w:val="000000"/>
                <w:szCs w:val="21"/>
              </w:rPr>
            </w:pPr>
          </w:p>
        </w:tc>
      </w:tr>
      <w:tr w:rsidR="00A320E6" w14:paraId="2E989299"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E599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60C9C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灌木</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C1A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一年生以内</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C0A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10-20元/墩</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131EF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1.每墩出条数按10-20根计算。</w:t>
            </w:r>
            <w:r>
              <w:rPr>
                <w:rFonts w:ascii="宋体" w:hAnsi="宋体" w:cs="宋体" w:hint="eastAsia"/>
                <w:color w:val="000000"/>
                <w:kern w:val="0"/>
                <w:szCs w:val="21"/>
                <w:lang w:bidi="ar"/>
              </w:rPr>
              <w:br/>
              <w:t>2.观赏经济类可提高40%-60%。</w:t>
            </w:r>
          </w:p>
        </w:tc>
      </w:tr>
      <w:tr w:rsidR="00A320E6" w14:paraId="51A4F607"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CC463"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46C468"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BDB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一年生以上</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2F8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20-30元/墩</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6E399C" w14:textId="77777777" w:rsidR="00A320E6" w:rsidRDefault="00A320E6" w:rsidP="00AE0286">
            <w:pPr>
              <w:jc w:val="left"/>
              <w:rPr>
                <w:rFonts w:ascii="宋体" w:hAnsi="宋体" w:cs="宋体"/>
                <w:color w:val="000000"/>
                <w:szCs w:val="21"/>
              </w:rPr>
            </w:pPr>
          </w:p>
        </w:tc>
      </w:tr>
      <w:tr w:rsidR="00A320E6" w14:paraId="3CEE733D"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5B0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D34E3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苗圃</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82C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3年以下（移栽）</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2BED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2000-3500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亩</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BF821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1.果树类、花卉类苗木苗圃可适当上浮，原则上不超过30%。2.对于稀有珍贵苗木可以委托有资质的机构进行评估、认证。3.该费用为迁移费。</w:t>
            </w:r>
          </w:p>
        </w:tc>
      </w:tr>
      <w:tr w:rsidR="00A320E6" w14:paraId="589EDC0D"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7BE8F"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62DCB"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7A74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3-5年（移栽）</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9232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3500-8000元/亩</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A6C9F7" w14:textId="77777777" w:rsidR="00A320E6" w:rsidRDefault="00A320E6" w:rsidP="00AE0286">
            <w:pPr>
              <w:jc w:val="left"/>
              <w:rPr>
                <w:rFonts w:ascii="宋体" w:hAnsi="宋体" w:cs="宋体"/>
                <w:color w:val="000000"/>
                <w:szCs w:val="21"/>
              </w:rPr>
            </w:pPr>
          </w:p>
        </w:tc>
      </w:tr>
      <w:tr w:rsidR="00A320E6" w14:paraId="4F92ECF1"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B7F6"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A3F05"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076D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5年以上（移栽）</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D4C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8000-15000</w:t>
            </w:r>
          </w:p>
          <w:p w14:paraId="0D52315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元/亩</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A7B24" w14:textId="77777777" w:rsidR="00A320E6" w:rsidRDefault="00A320E6" w:rsidP="00AE0286">
            <w:pPr>
              <w:jc w:val="left"/>
              <w:rPr>
                <w:rFonts w:ascii="宋体" w:hAnsi="宋体" w:cs="宋体"/>
                <w:color w:val="000000"/>
                <w:szCs w:val="21"/>
              </w:rPr>
            </w:pPr>
          </w:p>
        </w:tc>
      </w:tr>
      <w:tr w:rsidR="00A320E6" w14:paraId="7184722F"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8C3B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978C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葡萄园</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C668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幼龄期（地径小于2cm）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28C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20-35</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棵</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A365C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1.科学密植，每亩不得超过305棵。</w:t>
            </w:r>
            <w:r>
              <w:rPr>
                <w:rFonts w:ascii="宋体" w:hAnsi="宋体" w:cs="宋体" w:hint="eastAsia"/>
                <w:color w:val="000000"/>
                <w:kern w:val="0"/>
                <w:szCs w:val="21"/>
                <w:lang w:bidi="ar"/>
              </w:rPr>
              <w:br/>
              <w:t>2.树归原主。</w:t>
            </w:r>
          </w:p>
        </w:tc>
      </w:tr>
      <w:tr w:rsidR="00A320E6" w14:paraId="50988C59"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6EB0"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C01EB"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2861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初果期（地径2-4cm）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FE18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40-70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AB2C2" w14:textId="77777777" w:rsidR="00A320E6" w:rsidRDefault="00A320E6" w:rsidP="00AE0286">
            <w:pPr>
              <w:jc w:val="left"/>
              <w:rPr>
                <w:rFonts w:ascii="宋体" w:hAnsi="宋体" w:cs="宋体"/>
                <w:color w:val="000000"/>
                <w:szCs w:val="21"/>
              </w:rPr>
            </w:pPr>
          </w:p>
        </w:tc>
      </w:tr>
      <w:tr w:rsidR="00A320E6" w14:paraId="3728B19D"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D244D"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765C04"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C83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盛果期（地径4cm以上）</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1B9B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70-100元/棵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EFD770" w14:textId="77777777" w:rsidR="00A320E6" w:rsidRDefault="00A320E6" w:rsidP="00AE0286">
            <w:pPr>
              <w:jc w:val="left"/>
              <w:rPr>
                <w:rFonts w:ascii="宋体" w:hAnsi="宋体" w:cs="宋体"/>
                <w:color w:val="000000"/>
                <w:szCs w:val="21"/>
              </w:rPr>
            </w:pPr>
          </w:p>
        </w:tc>
      </w:tr>
      <w:tr w:rsidR="00A320E6" w14:paraId="3687FBDB" w14:textId="77777777" w:rsidTr="006A3ED9">
        <w:trPr>
          <w:trHeight w:val="369"/>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2AA4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B424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果树</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996FF"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幼龄期（区分树种）</w:t>
            </w:r>
          </w:p>
          <w:p w14:paraId="0B52973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（胸径3-6cm）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100D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70-100</w:t>
            </w:r>
            <w:r>
              <w:rPr>
                <w:rStyle w:val="font11"/>
                <w:rFonts w:ascii="宋体" w:hAnsi="宋体" w:cs="宋体" w:hint="eastAsia"/>
                <w:sz w:val="21"/>
                <w:szCs w:val="21"/>
                <w:lang w:bidi="ar"/>
              </w:rPr>
              <w:t>元</w:t>
            </w:r>
            <w:r>
              <w:rPr>
                <w:rFonts w:ascii="宋体" w:hAnsi="宋体" w:cs="宋体" w:hint="eastAsia"/>
                <w:color w:val="000000"/>
                <w:kern w:val="0"/>
                <w:szCs w:val="21"/>
                <w:lang w:bidi="ar"/>
              </w:rPr>
              <w:t>/</w:t>
            </w:r>
            <w:r>
              <w:rPr>
                <w:rStyle w:val="font11"/>
                <w:rFonts w:ascii="宋体" w:hAnsi="宋体" w:cs="宋体" w:hint="eastAsia"/>
                <w:sz w:val="21"/>
                <w:szCs w:val="21"/>
                <w:lang w:bidi="ar"/>
              </w:rPr>
              <w:t>棵</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0AE1D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1.包括苹果、杏、桃、梨、枣、柿、山楂、樱桃、板栗等。</w:t>
            </w:r>
            <w:r>
              <w:rPr>
                <w:rFonts w:ascii="宋体" w:hAnsi="宋体" w:cs="宋体" w:hint="eastAsia"/>
                <w:color w:val="000000"/>
                <w:kern w:val="0"/>
                <w:szCs w:val="21"/>
                <w:lang w:bidi="ar"/>
              </w:rPr>
              <w:br/>
              <w:t>2.果树根据科学合理栽植的原则，每亩不得超过120棵，超出部分不予补偿。</w:t>
            </w:r>
            <w:r>
              <w:rPr>
                <w:rFonts w:ascii="宋体" w:hAnsi="宋体" w:cs="宋体" w:hint="eastAsia"/>
                <w:color w:val="000000"/>
                <w:kern w:val="0"/>
                <w:szCs w:val="21"/>
                <w:lang w:bidi="ar"/>
              </w:rPr>
              <w:br/>
              <w:t>3.树归原主。</w:t>
            </w:r>
          </w:p>
        </w:tc>
      </w:tr>
      <w:tr w:rsidR="00A320E6" w14:paraId="2DC49071"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5E437"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A0DBC9"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C84A3"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初果期（区分树种）</w:t>
            </w:r>
          </w:p>
          <w:p w14:paraId="64193A2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（胸径6-10cm）</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8DB5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180-330元/棵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624A2E" w14:textId="77777777" w:rsidR="00A320E6" w:rsidRDefault="00A320E6" w:rsidP="00AE0286">
            <w:pPr>
              <w:jc w:val="left"/>
              <w:rPr>
                <w:rFonts w:ascii="宋体" w:hAnsi="宋体" w:cs="宋体"/>
                <w:color w:val="000000"/>
                <w:szCs w:val="21"/>
              </w:rPr>
            </w:pPr>
          </w:p>
        </w:tc>
      </w:tr>
      <w:tr w:rsidR="00A320E6" w14:paraId="19F2A182"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0EB3"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CEC616"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22AC3"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盛果期（区分树种）</w:t>
            </w:r>
          </w:p>
          <w:p w14:paraId="197F3C7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（胸径10cm以上）</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FF2A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350-650元/棵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4CE4CE" w14:textId="77777777" w:rsidR="00A320E6" w:rsidRDefault="00A320E6" w:rsidP="00AE0286">
            <w:pPr>
              <w:jc w:val="left"/>
              <w:rPr>
                <w:rFonts w:ascii="宋体" w:hAnsi="宋体" w:cs="宋体"/>
                <w:color w:val="000000"/>
                <w:szCs w:val="21"/>
              </w:rPr>
            </w:pPr>
          </w:p>
        </w:tc>
      </w:tr>
      <w:tr w:rsidR="00A320E6" w14:paraId="613BDFF3" w14:textId="77777777" w:rsidTr="006A3ED9">
        <w:trPr>
          <w:trHeight w:val="369"/>
        </w:trPr>
        <w:tc>
          <w:tcPr>
            <w:tcW w:w="67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B692" w14:textId="77777777" w:rsidR="00A320E6" w:rsidRDefault="00A320E6" w:rsidP="00AE0286">
            <w:pPr>
              <w:jc w:val="center"/>
              <w:rPr>
                <w:rFonts w:ascii="宋体" w:hAnsi="宋体" w:cs="宋体"/>
                <w:color w:val="000000"/>
                <w:szCs w:val="21"/>
              </w:rPr>
            </w:pPr>
          </w:p>
        </w:tc>
        <w:tc>
          <w:tcPr>
            <w:tcW w:w="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AAB74F" w14:textId="77777777" w:rsidR="00A320E6" w:rsidRDefault="00A320E6" w:rsidP="00AE0286">
            <w:pPr>
              <w:jc w:val="center"/>
              <w:rPr>
                <w:rFonts w:ascii="宋体" w:hAnsi="宋体" w:cs="宋体"/>
                <w:color w:val="000000"/>
                <w:szCs w:val="21"/>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73B5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衰老期（区分树种）</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CA38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130-280元/棵</w:t>
            </w:r>
          </w:p>
        </w:tc>
        <w:tc>
          <w:tcPr>
            <w:tcW w:w="2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9E53B" w14:textId="77777777" w:rsidR="00A320E6" w:rsidRDefault="00A320E6" w:rsidP="00AE0286">
            <w:pPr>
              <w:jc w:val="left"/>
              <w:rPr>
                <w:rFonts w:ascii="宋体" w:hAnsi="宋体" w:cs="宋体"/>
                <w:color w:val="000000"/>
                <w:szCs w:val="21"/>
              </w:rPr>
            </w:pPr>
          </w:p>
        </w:tc>
      </w:tr>
      <w:tr w:rsidR="00A320E6" w14:paraId="415FBC4B" w14:textId="77777777" w:rsidTr="006A3ED9">
        <w:trPr>
          <w:trHeight w:val="369"/>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4D1C" w14:textId="77777777" w:rsidR="00A320E6" w:rsidRDefault="00000000" w:rsidP="00AE0286">
            <w:pPr>
              <w:jc w:val="center"/>
              <w:rPr>
                <w:rFonts w:ascii="宋体" w:hAnsi="宋体" w:cs="宋体"/>
                <w:color w:val="000000"/>
                <w:szCs w:val="21"/>
              </w:rPr>
            </w:pPr>
            <w:r>
              <w:rPr>
                <w:rFonts w:ascii="宋体" w:hAnsi="宋体" w:cs="宋体" w:hint="eastAsia"/>
                <w:color w:val="000000"/>
                <w:szCs w:val="21"/>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113A" w14:textId="77777777" w:rsidR="00A320E6" w:rsidRDefault="00000000" w:rsidP="00AE0286">
            <w:pPr>
              <w:jc w:val="center"/>
              <w:rPr>
                <w:rFonts w:ascii="宋体" w:hAnsi="宋体" w:cs="宋体"/>
                <w:color w:val="000000"/>
                <w:szCs w:val="21"/>
              </w:rPr>
            </w:pPr>
            <w:r>
              <w:rPr>
                <w:rFonts w:ascii="宋体" w:hAnsi="宋体" w:cs="宋体" w:hint="eastAsia"/>
                <w:color w:val="000000"/>
                <w:szCs w:val="21"/>
              </w:rPr>
              <w:t>青苗</w:t>
            </w:r>
          </w:p>
        </w:tc>
        <w:tc>
          <w:tcPr>
            <w:tcW w:w="2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3A0AE"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粮食作物（小麦、玉米）</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81F6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w:t>
            </w:r>
            <w:r w:rsidRPr="006A3ED9">
              <w:rPr>
                <w:rStyle w:val="font21"/>
                <w:rFonts w:hint="default"/>
                <w:sz w:val="21"/>
                <w:szCs w:val="21"/>
                <w:vertAlign w:val="baseline"/>
                <w:lang w:bidi="ar"/>
              </w:rPr>
              <w:t>元</w:t>
            </w:r>
            <w:r w:rsidRPr="006A3ED9">
              <w:rPr>
                <w:rFonts w:ascii="宋体" w:hAnsi="宋体" w:cs="宋体" w:hint="eastAsia"/>
                <w:color w:val="000000"/>
                <w:kern w:val="0"/>
                <w:szCs w:val="21"/>
                <w:lang w:bidi="ar"/>
              </w:rPr>
              <w:t>/</w:t>
            </w:r>
            <w:r w:rsidRPr="006A3ED9">
              <w:rPr>
                <w:rStyle w:val="font21"/>
                <w:rFonts w:hint="default"/>
                <w:sz w:val="21"/>
                <w:szCs w:val="21"/>
                <w:vertAlign w:val="baseline"/>
                <w:lang w:bidi="ar"/>
              </w:rPr>
              <w:t>亩·季</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9BDB6" w14:textId="77777777" w:rsidR="00A320E6" w:rsidRDefault="00A320E6" w:rsidP="00AE0286">
            <w:pPr>
              <w:jc w:val="left"/>
              <w:textAlignment w:val="center"/>
              <w:rPr>
                <w:rFonts w:ascii="宋体" w:hAnsi="宋体" w:cs="宋体"/>
                <w:color w:val="000000"/>
                <w:szCs w:val="21"/>
              </w:rPr>
            </w:pPr>
          </w:p>
        </w:tc>
      </w:tr>
    </w:tbl>
    <w:p w14:paraId="10C76689" w14:textId="77777777" w:rsidR="00A320E6" w:rsidRDefault="00000000" w:rsidP="00AE0286">
      <w:pPr>
        <w:spacing w:beforeLines="50" w:before="156" w:line="360" w:lineRule="auto"/>
        <w:ind w:firstLineChars="200" w:firstLine="482"/>
        <w:rPr>
          <w:rFonts w:ascii="宋体" w:hAnsi="宋体" w:cs="宋体"/>
          <w:b/>
          <w:bCs/>
          <w:sz w:val="24"/>
          <w:szCs w:val="24"/>
        </w:rPr>
      </w:pPr>
      <w:r>
        <w:rPr>
          <w:rFonts w:ascii="宋体" w:hAnsi="宋体" w:cs="宋体" w:hint="eastAsia"/>
          <w:b/>
          <w:bCs/>
          <w:sz w:val="24"/>
          <w:szCs w:val="24"/>
        </w:rPr>
        <w:t>说明：</w:t>
      </w:r>
    </w:p>
    <w:p w14:paraId="4CB54EB7"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功能区包含济南</w:t>
      </w:r>
      <w:r>
        <w:rPr>
          <w:rFonts w:ascii="宋体" w:hAnsi="宋体" w:cs="宋体" w:hint="eastAsia"/>
          <w:sz w:val="24"/>
          <w:szCs w:val="24"/>
        </w:rPr>
        <w:t>市</w:t>
      </w:r>
      <w:r>
        <w:rPr>
          <w:rFonts w:ascii="宋体" w:hAnsi="宋体" w:cs="宋体"/>
          <w:sz w:val="24"/>
          <w:szCs w:val="24"/>
        </w:rPr>
        <w:t>新旧动能转换起步区、济南</w:t>
      </w:r>
      <w:r>
        <w:rPr>
          <w:rFonts w:ascii="宋体" w:hAnsi="宋体" w:cs="宋体" w:hint="eastAsia"/>
          <w:sz w:val="24"/>
          <w:szCs w:val="24"/>
        </w:rPr>
        <w:t>市</w:t>
      </w:r>
      <w:r>
        <w:rPr>
          <w:rFonts w:ascii="宋体" w:hAnsi="宋体" w:cs="宋体"/>
          <w:sz w:val="24"/>
          <w:szCs w:val="24"/>
        </w:rPr>
        <w:t>高新技术产业开发区和济南市南部山区。</w:t>
      </w:r>
    </w:p>
    <w:p w14:paraId="62999E1E"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2.露天蔬菜、其他经济作物按作物产值补偿一季，作物产值根据市场价格进行协商或评估认证。</w:t>
      </w:r>
    </w:p>
    <w:p w14:paraId="3A53C45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3.其他未列出的地上附着物参照本标准中相近情况给予适当补偿。</w:t>
      </w:r>
    </w:p>
    <w:p w14:paraId="3AA0C0A2"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sz w:val="24"/>
          <w:szCs w:val="24"/>
        </w:rPr>
        <w:t>.难以参照的或被补偿人不接受本补偿标准的地上附着物，可委托有资质的机构进行评估或认证，评估或认证结果经过依法依规确认后，按照确认结果进行补偿。因被补偿人不接受本补偿标准产生的评估或认证费用,根据确认结果决定支付方，如确认结果与本补偿标准一致或者低于本补偿标准，由申请评估或认证的被征收人支付，否则，由征收方支付。</w:t>
      </w:r>
    </w:p>
    <w:p w14:paraId="440ADE11"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sz w:val="24"/>
          <w:szCs w:val="24"/>
        </w:rPr>
        <w:t>.农用地地上附着物和青苗补偿费，除坟墓</w:t>
      </w:r>
      <w:r>
        <w:rPr>
          <w:rFonts w:ascii="宋体" w:hAnsi="宋体" w:cs="宋体" w:hint="eastAsia"/>
          <w:sz w:val="24"/>
          <w:szCs w:val="24"/>
        </w:rPr>
        <w:t>、</w:t>
      </w:r>
      <w:r>
        <w:rPr>
          <w:rFonts w:ascii="宋体" w:hAnsi="宋体" w:cs="宋体"/>
          <w:sz w:val="24"/>
          <w:szCs w:val="24"/>
        </w:rPr>
        <w:t>电力通讯线路</w:t>
      </w:r>
      <w:r>
        <w:rPr>
          <w:rFonts w:ascii="宋体" w:hAnsi="宋体" w:cs="宋体" w:hint="eastAsia"/>
          <w:sz w:val="24"/>
          <w:szCs w:val="24"/>
        </w:rPr>
        <w:t>和井</w:t>
      </w:r>
      <w:r>
        <w:rPr>
          <w:rFonts w:ascii="宋体" w:hAnsi="宋体" w:cs="宋体"/>
          <w:sz w:val="24"/>
          <w:szCs w:val="24"/>
        </w:rPr>
        <w:t>外，可实行包干方式补偿，补偿标准超过5万元</w:t>
      </w:r>
      <w:r>
        <w:rPr>
          <w:rFonts w:ascii="宋体" w:hAnsi="宋体" w:cs="宋体" w:hint="eastAsia"/>
          <w:sz w:val="24"/>
          <w:szCs w:val="24"/>
        </w:rPr>
        <w:t>/亩</w:t>
      </w:r>
      <w:r>
        <w:rPr>
          <w:rFonts w:ascii="宋体" w:hAnsi="宋体" w:cs="宋体"/>
          <w:sz w:val="24"/>
          <w:szCs w:val="24"/>
        </w:rPr>
        <w:t>（不含）的，报市政府批准后执行</w:t>
      </w:r>
      <w:r>
        <w:rPr>
          <w:rFonts w:ascii="宋体" w:hAnsi="宋体" w:cs="宋体" w:hint="eastAsia"/>
          <w:sz w:val="24"/>
          <w:szCs w:val="24"/>
        </w:rPr>
        <w:t>，</w:t>
      </w:r>
      <w:r>
        <w:rPr>
          <w:rFonts w:ascii="宋体" w:hAnsi="宋体" w:cs="宋体"/>
          <w:sz w:val="24"/>
          <w:szCs w:val="24"/>
        </w:rPr>
        <w:t>最高标准不得超过7.2万元/亩。</w:t>
      </w:r>
    </w:p>
    <w:p w14:paraId="6FF61C7F"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6</w:t>
      </w:r>
      <w:r>
        <w:rPr>
          <w:rFonts w:ascii="宋体" w:hAnsi="宋体" w:cs="宋体"/>
          <w:sz w:val="24"/>
          <w:szCs w:val="24"/>
        </w:rPr>
        <w:t>.自征收土地预公告发布之日起，抢种、抢栽的青苗和其他地上附着物，以及抢建的房屋等建（构）筑物不予补偿。</w:t>
      </w:r>
    </w:p>
    <w:p w14:paraId="4FB02AA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7</w:t>
      </w:r>
      <w:r>
        <w:rPr>
          <w:rFonts w:ascii="宋体" w:hAnsi="宋体" w:cs="宋体"/>
          <w:sz w:val="24"/>
          <w:szCs w:val="24"/>
        </w:rPr>
        <w:t>.国家和省确定的铁路、公路、机场、航道港口、水利工程、能源工程等重大基础设施项目征收土地地上附着物和青苗补偿等标准另有规定的，从其规定。</w:t>
      </w:r>
    </w:p>
    <w:p w14:paraId="3461F01C" w14:textId="77777777" w:rsidR="00A320E6" w:rsidRDefault="00000000" w:rsidP="00AE0286">
      <w:pPr>
        <w:spacing w:line="360" w:lineRule="auto"/>
        <w:ind w:firstLineChars="200" w:firstLine="480"/>
        <w:rPr>
          <w:rFonts w:ascii="宋体" w:hAnsi="宋体" w:cs="宋体"/>
          <w:sz w:val="24"/>
          <w:szCs w:val="24"/>
        </w:rPr>
      </w:pPr>
      <w:r>
        <w:rPr>
          <w:rFonts w:ascii="宋体" w:hAnsi="宋体" w:cs="宋体" w:hint="eastAsia"/>
          <w:sz w:val="24"/>
          <w:szCs w:val="24"/>
        </w:rPr>
        <w:t>8.其他电力、电信等设备设施的迁移费按照行业标准执行。</w:t>
      </w:r>
    </w:p>
    <w:p w14:paraId="2C454408" w14:textId="77777777" w:rsidR="00A320E6" w:rsidRDefault="00000000" w:rsidP="00AE0286">
      <w:pPr>
        <w:adjustRightInd w:val="0"/>
        <w:snapToGrid w:val="0"/>
        <w:spacing w:line="360" w:lineRule="auto"/>
        <w:jc w:val="center"/>
        <w:rPr>
          <w:rFonts w:ascii="宋体" w:hAnsi="宋体" w:cs="宋体"/>
          <w:sz w:val="24"/>
          <w:szCs w:val="24"/>
        </w:rPr>
      </w:pPr>
      <w:r>
        <w:rPr>
          <w:rFonts w:ascii="宋体" w:hAnsi="宋体" w:cs="宋体" w:hint="eastAsia"/>
          <w:sz w:val="24"/>
          <w:szCs w:val="24"/>
        </w:rPr>
        <w:t>9</w:t>
      </w:r>
      <w:r>
        <w:rPr>
          <w:rFonts w:ascii="宋体" w:hAnsi="宋体" w:cs="宋体"/>
          <w:sz w:val="24"/>
          <w:szCs w:val="24"/>
        </w:rPr>
        <w:t>.搬家费和过渡安置费补偿标准参照国有土地上房屋征收补偿标准执行。以人口为补偿依据的，按40㎡/人计算补偿面积。因房屋征收部门提供的产权调换房屋为期房或现房但不能及时交付使用的，被征收人需要二次搬迁的，房屋征收部门应当按上述标准支付二次搬迁费。</w:t>
      </w:r>
    </w:p>
    <w:p w14:paraId="784FA2EC"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济南市征地地上附着物和青苗补偿标准</w:t>
      </w:r>
    </w:p>
    <w:p w14:paraId="222A2488" w14:textId="77777777" w:rsidR="00A320E6" w:rsidRDefault="00000000" w:rsidP="00AE0286">
      <w:pPr>
        <w:adjustRightInd w:val="0"/>
        <w:snapToGrid w:val="0"/>
        <w:spacing w:line="360" w:lineRule="auto"/>
        <w:jc w:val="center"/>
        <w:rPr>
          <w:rFonts w:ascii="宋体" w:hAnsi="宋体" w:cs="宋体"/>
          <w:sz w:val="24"/>
          <w:szCs w:val="24"/>
        </w:rPr>
      </w:pPr>
      <w:r>
        <w:rPr>
          <w:rFonts w:ascii="宋体" w:hAnsi="宋体" w:cs="宋体" w:hint="eastAsia"/>
          <w:kern w:val="0"/>
          <w:sz w:val="24"/>
          <w:szCs w:val="24"/>
        </w:rPr>
        <w:t>（章丘区）</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681"/>
        <w:gridCol w:w="4320"/>
        <w:gridCol w:w="1304"/>
        <w:gridCol w:w="2456"/>
      </w:tblGrid>
      <w:tr w:rsidR="00090867" w14:paraId="19172225" w14:textId="77777777" w:rsidTr="00320C3C">
        <w:trPr>
          <w:trHeight w:val="283"/>
          <w:tblHeader/>
          <w:jc w:val="center"/>
        </w:trPr>
        <w:tc>
          <w:tcPr>
            <w:tcW w:w="366" w:type="pct"/>
            <w:noWrap/>
            <w:vAlign w:val="center"/>
          </w:tcPr>
          <w:p w14:paraId="45C8455B"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序号</w:t>
            </w:r>
          </w:p>
        </w:tc>
        <w:tc>
          <w:tcPr>
            <w:tcW w:w="360" w:type="pct"/>
            <w:noWrap/>
            <w:vAlign w:val="center"/>
          </w:tcPr>
          <w:p w14:paraId="2F1986A2"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名称</w:t>
            </w:r>
          </w:p>
        </w:tc>
        <w:tc>
          <w:tcPr>
            <w:tcW w:w="2285" w:type="pct"/>
            <w:noWrap/>
            <w:vAlign w:val="center"/>
          </w:tcPr>
          <w:p w14:paraId="014EAEC6"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类别规格</w:t>
            </w:r>
          </w:p>
        </w:tc>
        <w:tc>
          <w:tcPr>
            <w:tcW w:w="690" w:type="pct"/>
            <w:noWrap/>
            <w:vAlign w:val="center"/>
          </w:tcPr>
          <w:p w14:paraId="4293A511"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补偿标准</w:t>
            </w:r>
          </w:p>
        </w:tc>
        <w:tc>
          <w:tcPr>
            <w:tcW w:w="1299" w:type="pct"/>
            <w:noWrap/>
            <w:vAlign w:val="center"/>
          </w:tcPr>
          <w:p w14:paraId="35304D6D"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备注</w:t>
            </w:r>
          </w:p>
        </w:tc>
      </w:tr>
      <w:tr w:rsidR="00090867" w14:paraId="6B207B6D" w14:textId="77777777" w:rsidTr="00320C3C">
        <w:trPr>
          <w:trHeight w:val="283"/>
          <w:jc w:val="center"/>
        </w:trPr>
        <w:tc>
          <w:tcPr>
            <w:tcW w:w="366" w:type="pct"/>
            <w:vMerge w:val="restart"/>
            <w:noWrap/>
            <w:vAlign w:val="center"/>
          </w:tcPr>
          <w:p w14:paraId="2785AD39"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w:t>
            </w:r>
          </w:p>
        </w:tc>
        <w:tc>
          <w:tcPr>
            <w:tcW w:w="360" w:type="pct"/>
            <w:vMerge w:val="restart"/>
            <w:noWrap/>
            <w:vAlign w:val="center"/>
          </w:tcPr>
          <w:p w14:paraId="4E533DFF"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房屋</w:t>
            </w:r>
          </w:p>
        </w:tc>
        <w:tc>
          <w:tcPr>
            <w:tcW w:w="2285" w:type="pct"/>
            <w:noWrap/>
            <w:vAlign w:val="center"/>
          </w:tcPr>
          <w:p w14:paraId="6A7E34C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砖混结构（楼房）：砖墙承重，现浇或预制板保温防水屋面，水泥或其他硬化地面的楼房。</w:t>
            </w:r>
          </w:p>
        </w:tc>
        <w:tc>
          <w:tcPr>
            <w:tcW w:w="690" w:type="pct"/>
            <w:noWrap/>
            <w:vAlign w:val="center"/>
          </w:tcPr>
          <w:p w14:paraId="06BAB72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850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4410B08D"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41"/>
                <w:rFonts w:hint="default"/>
                <w:sz w:val="21"/>
                <w:szCs w:val="21"/>
                <w:lang w:bidi="ar"/>
              </w:rPr>
              <w:t>补偿面积以有效证明文件记载或实际测量的合法建筑面积计算。无法确定合法面积的，由区政府按照村民宅基地审批与建房规划管理相关规定确定补偿标准。</w:t>
            </w:r>
          </w:p>
          <w:p w14:paraId="4F51EE3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w:t>
            </w:r>
            <w:r>
              <w:rPr>
                <w:rStyle w:val="font41"/>
                <w:rFonts w:hint="default"/>
                <w:sz w:val="21"/>
                <w:szCs w:val="21"/>
                <w:lang w:bidi="ar"/>
              </w:rPr>
              <w:t>旧料归原主。</w:t>
            </w:r>
          </w:p>
          <w:p w14:paraId="152C510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w:t>
            </w:r>
            <w:r>
              <w:rPr>
                <w:rStyle w:val="font41"/>
                <w:rFonts w:hint="default"/>
                <w:sz w:val="21"/>
                <w:szCs w:val="21"/>
                <w:lang w:bidi="ar"/>
              </w:rPr>
              <w:t>建筑正规的大门参照房屋结构套用补偿标准。</w:t>
            </w:r>
          </w:p>
          <w:p w14:paraId="602E4BD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4.</w:t>
            </w:r>
            <w:r>
              <w:rPr>
                <w:rStyle w:val="font41"/>
                <w:rFonts w:hint="default"/>
                <w:sz w:val="21"/>
                <w:szCs w:val="21"/>
                <w:lang w:bidi="ar"/>
              </w:rPr>
              <w:t>全封闭的前出厦，有柱子未封闭的前出厦由房屋测绘部门按国家有关规定认证。</w:t>
            </w:r>
          </w:p>
        </w:tc>
      </w:tr>
      <w:tr w:rsidR="00090867" w14:paraId="6B0FFEF9" w14:textId="77777777" w:rsidTr="00320C3C">
        <w:trPr>
          <w:trHeight w:val="283"/>
          <w:jc w:val="center"/>
        </w:trPr>
        <w:tc>
          <w:tcPr>
            <w:tcW w:w="366" w:type="pct"/>
            <w:vMerge/>
            <w:noWrap/>
            <w:vAlign w:val="center"/>
          </w:tcPr>
          <w:p w14:paraId="582BFC42" w14:textId="77777777" w:rsidR="00A320E6" w:rsidRDefault="00A320E6" w:rsidP="00AE0286">
            <w:pPr>
              <w:jc w:val="center"/>
              <w:rPr>
                <w:rFonts w:ascii="宋体" w:hAnsi="宋体" w:cs="宋体"/>
                <w:kern w:val="0"/>
                <w:szCs w:val="21"/>
              </w:rPr>
            </w:pPr>
          </w:p>
        </w:tc>
        <w:tc>
          <w:tcPr>
            <w:tcW w:w="360" w:type="pct"/>
            <w:vMerge/>
            <w:noWrap/>
            <w:vAlign w:val="center"/>
          </w:tcPr>
          <w:p w14:paraId="2A794CF7" w14:textId="77777777" w:rsidR="00A320E6" w:rsidRDefault="00A320E6" w:rsidP="00AE0286">
            <w:pPr>
              <w:jc w:val="center"/>
              <w:rPr>
                <w:rFonts w:ascii="宋体" w:hAnsi="宋体" w:cs="宋体"/>
                <w:kern w:val="0"/>
                <w:szCs w:val="21"/>
              </w:rPr>
            </w:pPr>
          </w:p>
        </w:tc>
        <w:tc>
          <w:tcPr>
            <w:tcW w:w="2285" w:type="pct"/>
            <w:noWrap/>
            <w:vAlign w:val="center"/>
          </w:tcPr>
          <w:p w14:paraId="0A8A632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砖混结构（平房）：砖墙承重，现浇或预制板保温防水屋面，水泥或其他硬化地面的平房，檐高不低于2.2m</w:t>
            </w:r>
            <w:r>
              <w:rPr>
                <w:rStyle w:val="font41"/>
                <w:rFonts w:hint="default"/>
                <w:sz w:val="21"/>
                <w:szCs w:val="21"/>
                <w:lang w:bidi="ar"/>
              </w:rPr>
              <w:t>。</w:t>
            </w:r>
          </w:p>
        </w:tc>
        <w:tc>
          <w:tcPr>
            <w:tcW w:w="690" w:type="pct"/>
            <w:noWrap/>
            <w:vAlign w:val="center"/>
          </w:tcPr>
          <w:p w14:paraId="7A0B2E6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19FF1D33" w14:textId="77777777" w:rsidR="00A320E6" w:rsidRDefault="00A320E6" w:rsidP="00AE0286">
            <w:pPr>
              <w:jc w:val="left"/>
              <w:textAlignment w:val="center"/>
              <w:rPr>
                <w:rFonts w:ascii="宋体" w:hAnsi="宋体" w:cs="宋体"/>
                <w:kern w:val="0"/>
                <w:szCs w:val="21"/>
              </w:rPr>
            </w:pPr>
          </w:p>
        </w:tc>
      </w:tr>
      <w:tr w:rsidR="00090867" w14:paraId="16669DBD" w14:textId="77777777" w:rsidTr="00320C3C">
        <w:trPr>
          <w:trHeight w:val="283"/>
          <w:jc w:val="center"/>
        </w:trPr>
        <w:tc>
          <w:tcPr>
            <w:tcW w:w="366" w:type="pct"/>
            <w:vMerge/>
            <w:noWrap/>
            <w:vAlign w:val="center"/>
          </w:tcPr>
          <w:p w14:paraId="5FB5814E" w14:textId="77777777" w:rsidR="00A320E6" w:rsidRDefault="00A320E6" w:rsidP="00AE0286">
            <w:pPr>
              <w:jc w:val="center"/>
              <w:rPr>
                <w:rFonts w:ascii="宋体" w:hAnsi="宋体" w:cs="宋体"/>
                <w:kern w:val="0"/>
                <w:szCs w:val="21"/>
              </w:rPr>
            </w:pPr>
          </w:p>
        </w:tc>
        <w:tc>
          <w:tcPr>
            <w:tcW w:w="360" w:type="pct"/>
            <w:vMerge/>
            <w:noWrap/>
            <w:vAlign w:val="center"/>
          </w:tcPr>
          <w:p w14:paraId="512E6813" w14:textId="77777777" w:rsidR="00A320E6" w:rsidRDefault="00A320E6" w:rsidP="00AE0286">
            <w:pPr>
              <w:jc w:val="center"/>
              <w:rPr>
                <w:rFonts w:ascii="宋体" w:hAnsi="宋体" w:cs="宋体"/>
                <w:kern w:val="0"/>
                <w:szCs w:val="21"/>
              </w:rPr>
            </w:pPr>
          </w:p>
        </w:tc>
        <w:tc>
          <w:tcPr>
            <w:tcW w:w="2285" w:type="pct"/>
            <w:noWrap/>
            <w:vAlign w:val="center"/>
          </w:tcPr>
          <w:p w14:paraId="7C5B797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砖木结构（平房）：规则的石角，砖墙或石墙承重，符合规格的木屋架，木（预制）檩条，瓦屋面，外墙扦缝（抹灰），檐高不低于2.2m</w:t>
            </w:r>
            <w:r>
              <w:rPr>
                <w:rStyle w:val="font41"/>
                <w:rFonts w:hint="default"/>
                <w:sz w:val="21"/>
                <w:szCs w:val="21"/>
                <w:lang w:bidi="ar"/>
              </w:rPr>
              <w:t>。</w:t>
            </w:r>
          </w:p>
        </w:tc>
        <w:tc>
          <w:tcPr>
            <w:tcW w:w="690" w:type="pct"/>
            <w:noWrap/>
            <w:vAlign w:val="center"/>
          </w:tcPr>
          <w:p w14:paraId="5C4FBEE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7A5B29FC" w14:textId="77777777" w:rsidR="00A320E6" w:rsidRDefault="00A320E6" w:rsidP="00AE0286">
            <w:pPr>
              <w:jc w:val="left"/>
              <w:textAlignment w:val="center"/>
              <w:rPr>
                <w:rFonts w:ascii="宋体" w:hAnsi="宋体" w:cs="宋体"/>
                <w:kern w:val="0"/>
                <w:szCs w:val="21"/>
              </w:rPr>
            </w:pPr>
          </w:p>
        </w:tc>
      </w:tr>
      <w:tr w:rsidR="00090867" w14:paraId="4A63CCB2" w14:textId="77777777" w:rsidTr="00320C3C">
        <w:trPr>
          <w:trHeight w:val="283"/>
          <w:jc w:val="center"/>
        </w:trPr>
        <w:tc>
          <w:tcPr>
            <w:tcW w:w="366" w:type="pct"/>
            <w:vMerge/>
            <w:noWrap/>
            <w:vAlign w:val="center"/>
          </w:tcPr>
          <w:p w14:paraId="79BE126E" w14:textId="77777777" w:rsidR="00A320E6" w:rsidRDefault="00A320E6" w:rsidP="00AE0286">
            <w:pPr>
              <w:jc w:val="center"/>
              <w:rPr>
                <w:rFonts w:ascii="宋体" w:hAnsi="宋体" w:cs="宋体"/>
                <w:kern w:val="0"/>
                <w:szCs w:val="21"/>
              </w:rPr>
            </w:pPr>
          </w:p>
        </w:tc>
        <w:tc>
          <w:tcPr>
            <w:tcW w:w="360" w:type="pct"/>
            <w:vMerge/>
            <w:noWrap/>
            <w:vAlign w:val="center"/>
          </w:tcPr>
          <w:p w14:paraId="0BD5FDB3" w14:textId="77777777" w:rsidR="00A320E6" w:rsidRDefault="00A320E6" w:rsidP="00AE0286">
            <w:pPr>
              <w:jc w:val="center"/>
              <w:rPr>
                <w:rFonts w:ascii="宋体" w:hAnsi="宋体" w:cs="宋体"/>
                <w:kern w:val="0"/>
                <w:szCs w:val="21"/>
              </w:rPr>
            </w:pPr>
          </w:p>
        </w:tc>
        <w:tc>
          <w:tcPr>
            <w:tcW w:w="2285" w:type="pct"/>
            <w:noWrap/>
            <w:vAlign w:val="center"/>
          </w:tcPr>
          <w:p w14:paraId="2B7279B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简易结构：承重墙土坯、砖头、条砖混砌、碎石等，不规则木梁檩、瓦屋面，两面借墙且檐高不低于2.2m</w:t>
            </w:r>
            <w:r>
              <w:rPr>
                <w:rStyle w:val="font41"/>
                <w:rFonts w:hint="default"/>
                <w:sz w:val="21"/>
                <w:szCs w:val="21"/>
                <w:lang w:bidi="ar"/>
              </w:rPr>
              <w:t>。</w:t>
            </w:r>
          </w:p>
        </w:tc>
        <w:tc>
          <w:tcPr>
            <w:tcW w:w="690" w:type="pct"/>
            <w:noWrap/>
            <w:vAlign w:val="center"/>
          </w:tcPr>
          <w:p w14:paraId="61B367F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AA7974A" w14:textId="77777777" w:rsidR="00A320E6" w:rsidRDefault="00A320E6" w:rsidP="00AE0286">
            <w:pPr>
              <w:rPr>
                <w:rFonts w:ascii="宋体" w:hAnsi="宋体" w:cs="宋体"/>
                <w:kern w:val="0"/>
                <w:szCs w:val="21"/>
              </w:rPr>
            </w:pPr>
          </w:p>
        </w:tc>
      </w:tr>
      <w:tr w:rsidR="00090867" w14:paraId="0EDBAB3A" w14:textId="77777777" w:rsidTr="00320C3C">
        <w:trPr>
          <w:trHeight w:val="283"/>
          <w:jc w:val="center"/>
        </w:trPr>
        <w:tc>
          <w:tcPr>
            <w:tcW w:w="366" w:type="pct"/>
            <w:vMerge w:val="restart"/>
            <w:noWrap/>
            <w:vAlign w:val="center"/>
          </w:tcPr>
          <w:p w14:paraId="71B0A83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2</w:t>
            </w:r>
          </w:p>
        </w:tc>
        <w:tc>
          <w:tcPr>
            <w:tcW w:w="360" w:type="pct"/>
            <w:vMerge w:val="restart"/>
            <w:noWrap/>
            <w:vAlign w:val="center"/>
          </w:tcPr>
          <w:p w14:paraId="213176B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车间</w:t>
            </w:r>
          </w:p>
        </w:tc>
        <w:tc>
          <w:tcPr>
            <w:tcW w:w="2285" w:type="pct"/>
            <w:noWrap/>
            <w:vAlign w:val="center"/>
          </w:tcPr>
          <w:p w14:paraId="01A3D10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混合结构：主体承重为砖混结构，砖排架（带壁柱），有檩或无檩体系，跨度小于12m</w:t>
            </w:r>
            <w:r>
              <w:rPr>
                <w:rStyle w:val="font41"/>
                <w:rFonts w:hint="default"/>
                <w:sz w:val="21"/>
                <w:szCs w:val="21"/>
                <w:lang w:bidi="ar"/>
              </w:rPr>
              <w:t>，檐高小于</w:t>
            </w:r>
            <w:r>
              <w:rPr>
                <w:rFonts w:ascii="宋体" w:hAnsi="宋体" w:cs="宋体" w:hint="eastAsia"/>
                <w:color w:val="000000"/>
                <w:kern w:val="0"/>
                <w:szCs w:val="21"/>
                <w:lang w:bidi="ar"/>
              </w:rPr>
              <w:t>6m</w:t>
            </w:r>
            <w:r>
              <w:rPr>
                <w:rStyle w:val="font41"/>
                <w:rFonts w:hint="default"/>
                <w:sz w:val="21"/>
                <w:szCs w:val="21"/>
                <w:lang w:bidi="ar"/>
              </w:rPr>
              <w:t>，大于</w:t>
            </w:r>
            <w:r>
              <w:rPr>
                <w:rFonts w:ascii="宋体" w:hAnsi="宋体" w:cs="宋体" w:hint="eastAsia"/>
                <w:color w:val="000000"/>
                <w:kern w:val="0"/>
                <w:szCs w:val="21"/>
                <w:lang w:bidi="ar"/>
              </w:rPr>
              <w:t>4.2m</w:t>
            </w:r>
            <w:r>
              <w:rPr>
                <w:rStyle w:val="font41"/>
                <w:rFonts w:hint="default"/>
                <w:sz w:val="21"/>
                <w:szCs w:val="21"/>
                <w:lang w:bidi="ar"/>
              </w:rPr>
              <w:t>。</w:t>
            </w:r>
          </w:p>
        </w:tc>
        <w:tc>
          <w:tcPr>
            <w:tcW w:w="690" w:type="pct"/>
            <w:noWrap/>
            <w:vAlign w:val="center"/>
          </w:tcPr>
          <w:p w14:paraId="0495BF4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7FD7A4D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车间檐高大于6m</w:t>
            </w:r>
            <w:r>
              <w:rPr>
                <w:rStyle w:val="font41"/>
                <w:rFonts w:hint="default"/>
                <w:sz w:val="21"/>
                <w:szCs w:val="21"/>
                <w:lang w:bidi="ar"/>
              </w:rPr>
              <w:t>，小于</w:t>
            </w:r>
            <w:r>
              <w:rPr>
                <w:rFonts w:ascii="宋体" w:hAnsi="宋体" w:cs="宋体" w:hint="eastAsia"/>
                <w:color w:val="000000"/>
                <w:kern w:val="0"/>
                <w:szCs w:val="21"/>
                <w:lang w:bidi="ar"/>
              </w:rPr>
              <w:t>9m</w:t>
            </w:r>
            <w:r>
              <w:rPr>
                <w:rStyle w:val="font41"/>
                <w:rFonts w:hint="default"/>
                <w:sz w:val="21"/>
                <w:szCs w:val="21"/>
                <w:lang w:bidi="ar"/>
              </w:rPr>
              <w:t>时，每超过</w:t>
            </w:r>
            <w:r>
              <w:rPr>
                <w:rFonts w:ascii="宋体" w:hAnsi="宋体" w:cs="宋体" w:hint="eastAsia"/>
                <w:color w:val="000000"/>
                <w:kern w:val="0"/>
                <w:szCs w:val="21"/>
                <w:lang w:bidi="ar"/>
              </w:rPr>
              <w:t>1m</w:t>
            </w:r>
            <w:r>
              <w:rPr>
                <w:rStyle w:val="font41"/>
                <w:rFonts w:hint="default"/>
                <w:sz w:val="21"/>
                <w:szCs w:val="21"/>
                <w:lang w:bidi="ar"/>
              </w:rPr>
              <w:t>补偿标准每平方米增加</w:t>
            </w:r>
            <w:r>
              <w:rPr>
                <w:rFonts w:ascii="宋体" w:hAnsi="宋体" w:cs="宋体" w:hint="eastAsia"/>
                <w:color w:val="000000"/>
                <w:kern w:val="0"/>
                <w:szCs w:val="21"/>
                <w:lang w:bidi="ar"/>
              </w:rPr>
              <w:t>60</w:t>
            </w:r>
            <w:r>
              <w:rPr>
                <w:rStyle w:val="font41"/>
                <w:rFonts w:hint="default"/>
                <w:sz w:val="21"/>
                <w:szCs w:val="21"/>
                <w:lang w:bidi="ar"/>
              </w:rPr>
              <w:t>元。</w:t>
            </w:r>
          </w:p>
        </w:tc>
      </w:tr>
      <w:tr w:rsidR="00090867" w14:paraId="08FA70AB" w14:textId="77777777" w:rsidTr="00320C3C">
        <w:trPr>
          <w:trHeight w:val="283"/>
          <w:jc w:val="center"/>
        </w:trPr>
        <w:tc>
          <w:tcPr>
            <w:tcW w:w="366" w:type="pct"/>
            <w:vMerge/>
            <w:noWrap/>
            <w:vAlign w:val="center"/>
          </w:tcPr>
          <w:p w14:paraId="1C447F81" w14:textId="77777777" w:rsidR="00A320E6" w:rsidRDefault="00A320E6" w:rsidP="00AE0286">
            <w:pPr>
              <w:jc w:val="center"/>
              <w:rPr>
                <w:rFonts w:ascii="宋体" w:hAnsi="宋体" w:cs="宋体"/>
                <w:kern w:val="0"/>
                <w:szCs w:val="21"/>
              </w:rPr>
            </w:pPr>
          </w:p>
        </w:tc>
        <w:tc>
          <w:tcPr>
            <w:tcW w:w="360" w:type="pct"/>
            <w:vMerge/>
            <w:noWrap/>
            <w:vAlign w:val="center"/>
          </w:tcPr>
          <w:p w14:paraId="0ADC2A85" w14:textId="77777777" w:rsidR="00A320E6" w:rsidRDefault="00A320E6" w:rsidP="00AE0286">
            <w:pPr>
              <w:jc w:val="center"/>
              <w:rPr>
                <w:rFonts w:ascii="宋体" w:hAnsi="宋体" w:cs="宋体"/>
                <w:kern w:val="0"/>
                <w:szCs w:val="21"/>
              </w:rPr>
            </w:pPr>
          </w:p>
        </w:tc>
        <w:tc>
          <w:tcPr>
            <w:tcW w:w="2285" w:type="pct"/>
            <w:noWrap/>
            <w:vAlign w:val="center"/>
          </w:tcPr>
          <w:p w14:paraId="3B57DBB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钢筋混凝土结构：主体承重为框架结构，钢筋混凝土排架，有檩或无檩体系（网架屋面），跨度大于12m</w:t>
            </w:r>
            <w:r>
              <w:rPr>
                <w:rStyle w:val="font41"/>
                <w:rFonts w:hint="default"/>
                <w:sz w:val="21"/>
                <w:szCs w:val="21"/>
                <w:lang w:bidi="ar"/>
              </w:rPr>
              <w:t>，檐高</w:t>
            </w:r>
            <w:r>
              <w:rPr>
                <w:rFonts w:ascii="宋体" w:hAnsi="宋体" w:cs="宋体" w:hint="eastAsia"/>
                <w:color w:val="000000"/>
                <w:kern w:val="0"/>
                <w:szCs w:val="21"/>
                <w:lang w:bidi="ar"/>
              </w:rPr>
              <w:t>6-9m</w:t>
            </w:r>
            <w:r>
              <w:rPr>
                <w:rStyle w:val="font41"/>
                <w:rFonts w:hint="default"/>
                <w:sz w:val="21"/>
                <w:szCs w:val="21"/>
                <w:lang w:bidi="ar"/>
              </w:rPr>
              <w:t>，吊车吨位大于</w:t>
            </w:r>
            <w:r>
              <w:rPr>
                <w:rFonts w:ascii="宋体" w:hAnsi="宋体" w:cs="宋体" w:hint="eastAsia"/>
                <w:color w:val="000000"/>
                <w:kern w:val="0"/>
                <w:szCs w:val="21"/>
                <w:lang w:bidi="ar"/>
              </w:rPr>
              <w:t>5</w:t>
            </w:r>
            <w:r>
              <w:rPr>
                <w:rStyle w:val="font41"/>
                <w:rFonts w:hint="default"/>
                <w:sz w:val="21"/>
                <w:szCs w:val="21"/>
                <w:lang w:bidi="ar"/>
              </w:rPr>
              <w:t>吨。</w:t>
            </w:r>
          </w:p>
        </w:tc>
        <w:tc>
          <w:tcPr>
            <w:tcW w:w="690" w:type="pct"/>
            <w:noWrap/>
            <w:vAlign w:val="center"/>
          </w:tcPr>
          <w:p w14:paraId="3494426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6C39A12" w14:textId="77777777" w:rsidR="00A320E6" w:rsidRDefault="00A320E6" w:rsidP="00AE0286">
            <w:pPr>
              <w:jc w:val="left"/>
              <w:rPr>
                <w:rFonts w:ascii="宋体" w:hAnsi="宋体" w:cs="宋体"/>
                <w:kern w:val="0"/>
                <w:szCs w:val="21"/>
              </w:rPr>
            </w:pPr>
          </w:p>
        </w:tc>
      </w:tr>
      <w:tr w:rsidR="00090867" w14:paraId="0B87D375" w14:textId="77777777" w:rsidTr="00320C3C">
        <w:trPr>
          <w:trHeight w:val="283"/>
          <w:jc w:val="center"/>
        </w:trPr>
        <w:tc>
          <w:tcPr>
            <w:tcW w:w="366" w:type="pct"/>
            <w:vMerge/>
            <w:noWrap/>
            <w:vAlign w:val="center"/>
          </w:tcPr>
          <w:p w14:paraId="0AC11895" w14:textId="77777777" w:rsidR="00A320E6" w:rsidRDefault="00A320E6" w:rsidP="00AE0286">
            <w:pPr>
              <w:jc w:val="center"/>
              <w:rPr>
                <w:rFonts w:ascii="宋体" w:hAnsi="宋体" w:cs="宋体"/>
                <w:kern w:val="0"/>
                <w:szCs w:val="21"/>
              </w:rPr>
            </w:pPr>
          </w:p>
        </w:tc>
        <w:tc>
          <w:tcPr>
            <w:tcW w:w="360" w:type="pct"/>
            <w:vMerge/>
            <w:noWrap/>
            <w:vAlign w:val="center"/>
          </w:tcPr>
          <w:p w14:paraId="2CD8B20B" w14:textId="77777777" w:rsidR="00A320E6" w:rsidRDefault="00A320E6" w:rsidP="00AE0286">
            <w:pPr>
              <w:jc w:val="center"/>
              <w:rPr>
                <w:rFonts w:ascii="宋体" w:hAnsi="宋体" w:cs="宋体"/>
                <w:kern w:val="0"/>
                <w:szCs w:val="21"/>
              </w:rPr>
            </w:pPr>
          </w:p>
        </w:tc>
        <w:tc>
          <w:tcPr>
            <w:tcW w:w="2285" w:type="pct"/>
            <w:noWrap/>
            <w:vAlign w:val="center"/>
          </w:tcPr>
          <w:p w14:paraId="1033266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钢筋混凝土结构：主体承重为框架结构，钢筋混凝土排架，有檩或无檩体系（网架屋面），跨度大于</w:t>
            </w:r>
            <w:r>
              <w:rPr>
                <w:rStyle w:val="font51"/>
                <w:rFonts w:ascii="宋体" w:eastAsia="宋体" w:cs="宋体" w:hint="eastAsia"/>
                <w:sz w:val="21"/>
                <w:szCs w:val="21"/>
                <w:lang w:bidi="ar"/>
              </w:rPr>
              <w:t>12m</w:t>
            </w:r>
            <w:r>
              <w:rPr>
                <w:rStyle w:val="font61"/>
                <w:rFonts w:hint="default"/>
                <w:sz w:val="21"/>
                <w:szCs w:val="21"/>
                <w:lang w:bidi="ar"/>
              </w:rPr>
              <w:t>，檐高大于</w:t>
            </w:r>
            <w:r>
              <w:rPr>
                <w:rStyle w:val="font51"/>
                <w:rFonts w:ascii="宋体" w:eastAsia="宋体" w:cs="宋体" w:hint="eastAsia"/>
                <w:sz w:val="21"/>
                <w:szCs w:val="21"/>
                <w:lang w:bidi="ar"/>
              </w:rPr>
              <w:t>9m</w:t>
            </w:r>
            <w:r>
              <w:rPr>
                <w:rStyle w:val="font41"/>
                <w:rFonts w:hint="default"/>
                <w:sz w:val="21"/>
                <w:szCs w:val="21"/>
                <w:lang w:bidi="ar"/>
              </w:rPr>
              <w:t>，吊车吨位大于</w:t>
            </w:r>
            <w:r>
              <w:rPr>
                <w:rFonts w:ascii="宋体" w:hAnsi="宋体" w:cs="宋体" w:hint="eastAsia"/>
                <w:color w:val="000000"/>
                <w:kern w:val="0"/>
                <w:szCs w:val="21"/>
                <w:lang w:bidi="ar"/>
              </w:rPr>
              <w:t>5</w:t>
            </w:r>
            <w:r>
              <w:rPr>
                <w:rStyle w:val="font41"/>
                <w:rFonts w:hint="default"/>
                <w:sz w:val="21"/>
                <w:szCs w:val="21"/>
                <w:lang w:bidi="ar"/>
              </w:rPr>
              <w:t>吨。</w:t>
            </w:r>
          </w:p>
        </w:tc>
        <w:tc>
          <w:tcPr>
            <w:tcW w:w="690" w:type="pct"/>
            <w:noWrap/>
            <w:vAlign w:val="center"/>
          </w:tcPr>
          <w:p w14:paraId="15548E5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1050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67E65CED" w14:textId="77777777" w:rsidR="00A320E6" w:rsidRDefault="00A320E6" w:rsidP="00AE0286">
            <w:pPr>
              <w:jc w:val="left"/>
              <w:rPr>
                <w:rFonts w:ascii="宋体" w:hAnsi="宋体" w:cs="宋体"/>
                <w:kern w:val="0"/>
                <w:szCs w:val="21"/>
              </w:rPr>
            </w:pPr>
          </w:p>
        </w:tc>
      </w:tr>
      <w:tr w:rsidR="00090867" w14:paraId="5929D40A" w14:textId="77777777" w:rsidTr="00320C3C">
        <w:trPr>
          <w:trHeight w:val="283"/>
          <w:jc w:val="center"/>
        </w:trPr>
        <w:tc>
          <w:tcPr>
            <w:tcW w:w="366" w:type="pct"/>
            <w:vMerge/>
            <w:noWrap/>
            <w:vAlign w:val="center"/>
          </w:tcPr>
          <w:p w14:paraId="74C7DD6F" w14:textId="77777777" w:rsidR="00A320E6" w:rsidRDefault="00A320E6" w:rsidP="00AE0286">
            <w:pPr>
              <w:jc w:val="center"/>
              <w:rPr>
                <w:rFonts w:ascii="宋体" w:hAnsi="宋体" w:cs="宋体"/>
                <w:kern w:val="0"/>
                <w:szCs w:val="21"/>
              </w:rPr>
            </w:pPr>
          </w:p>
        </w:tc>
        <w:tc>
          <w:tcPr>
            <w:tcW w:w="360" w:type="pct"/>
            <w:vMerge/>
            <w:noWrap/>
            <w:vAlign w:val="center"/>
          </w:tcPr>
          <w:p w14:paraId="3286D26D" w14:textId="77777777" w:rsidR="00A320E6" w:rsidRDefault="00A320E6" w:rsidP="00AE0286">
            <w:pPr>
              <w:jc w:val="center"/>
              <w:rPr>
                <w:rFonts w:ascii="宋体" w:hAnsi="宋体" w:cs="宋体"/>
                <w:kern w:val="0"/>
                <w:szCs w:val="21"/>
              </w:rPr>
            </w:pPr>
          </w:p>
        </w:tc>
        <w:tc>
          <w:tcPr>
            <w:tcW w:w="2285" w:type="pct"/>
            <w:noWrap/>
            <w:vAlign w:val="center"/>
          </w:tcPr>
          <w:p w14:paraId="7943770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钢结构：主体承重为钢结构，网架车间，彩钢板屋面。</w:t>
            </w:r>
          </w:p>
        </w:tc>
        <w:tc>
          <w:tcPr>
            <w:tcW w:w="690" w:type="pct"/>
            <w:noWrap/>
            <w:vAlign w:val="center"/>
          </w:tcPr>
          <w:p w14:paraId="2C3A938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5E395975" w14:textId="77777777" w:rsidR="00A320E6" w:rsidRDefault="00A320E6" w:rsidP="00AE0286">
            <w:pPr>
              <w:jc w:val="left"/>
              <w:rPr>
                <w:rFonts w:ascii="宋体" w:hAnsi="宋体" w:cs="宋体"/>
                <w:kern w:val="0"/>
                <w:szCs w:val="21"/>
              </w:rPr>
            </w:pPr>
          </w:p>
        </w:tc>
      </w:tr>
      <w:tr w:rsidR="00090867" w14:paraId="4AA0EB12" w14:textId="77777777" w:rsidTr="00320C3C">
        <w:trPr>
          <w:trHeight w:val="283"/>
          <w:jc w:val="center"/>
        </w:trPr>
        <w:tc>
          <w:tcPr>
            <w:tcW w:w="366" w:type="pct"/>
            <w:vMerge/>
            <w:noWrap/>
            <w:vAlign w:val="center"/>
          </w:tcPr>
          <w:p w14:paraId="34B86B1C" w14:textId="77777777" w:rsidR="00A320E6" w:rsidRDefault="00A320E6" w:rsidP="00AE0286">
            <w:pPr>
              <w:jc w:val="center"/>
              <w:rPr>
                <w:rFonts w:ascii="宋体" w:hAnsi="宋体" w:cs="宋体"/>
                <w:kern w:val="0"/>
                <w:szCs w:val="21"/>
              </w:rPr>
            </w:pPr>
          </w:p>
        </w:tc>
        <w:tc>
          <w:tcPr>
            <w:tcW w:w="360" w:type="pct"/>
            <w:vMerge/>
            <w:noWrap/>
            <w:vAlign w:val="center"/>
          </w:tcPr>
          <w:p w14:paraId="21F1E518" w14:textId="77777777" w:rsidR="00A320E6" w:rsidRDefault="00A320E6" w:rsidP="00AE0286">
            <w:pPr>
              <w:jc w:val="center"/>
              <w:rPr>
                <w:rFonts w:ascii="宋体" w:hAnsi="宋体" w:cs="宋体"/>
                <w:kern w:val="0"/>
                <w:szCs w:val="21"/>
              </w:rPr>
            </w:pPr>
          </w:p>
        </w:tc>
        <w:tc>
          <w:tcPr>
            <w:tcW w:w="2285" w:type="pct"/>
            <w:noWrap/>
            <w:vAlign w:val="center"/>
          </w:tcPr>
          <w:p w14:paraId="57EE8DF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钢混结构：主体承重为钢结构或砼结构，主要指框架结构的大跨度厂房或多层楼房。</w:t>
            </w:r>
          </w:p>
        </w:tc>
        <w:tc>
          <w:tcPr>
            <w:tcW w:w="690" w:type="pct"/>
            <w:noWrap/>
            <w:vAlign w:val="center"/>
          </w:tcPr>
          <w:p w14:paraId="75C99BD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1050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526D6AA4" w14:textId="77777777" w:rsidR="00A320E6" w:rsidRDefault="00A320E6" w:rsidP="00AE0286">
            <w:pPr>
              <w:jc w:val="left"/>
              <w:rPr>
                <w:rFonts w:ascii="宋体" w:hAnsi="宋体" w:cs="宋体"/>
                <w:kern w:val="0"/>
                <w:szCs w:val="21"/>
              </w:rPr>
            </w:pPr>
          </w:p>
        </w:tc>
      </w:tr>
      <w:tr w:rsidR="00090867" w14:paraId="5881A4AB" w14:textId="77777777" w:rsidTr="00320C3C">
        <w:trPr>
          <w:trHeight w:val="283"/>
          <w:jc w:val="center"/>
        </w:trPr>
        <w:tc>
          <w:tcPr>
            <w:tcW w:w="366" w:type="pct"/>
            <w:vMerge w:val="restart"/>
            <w:noWrap/>
            <w:vAlign w:val="center"/>
          </w:tcPr>
          <w:p w14:paraId="1A66F50C"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3</w:t>
            </w:r>
          </w:p>
        </w:tc>
        <w:tc>
          <w:tcPr>
            <w:tcW w:w="360" w:type="pct"/>
            <w:vMerge w:val="restart"/>
            <w:noWrap/>
            <w:vAlign w:val="center"/>
          </w:tcPr>
          <w:p w14:paraId="7AD38939"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棚房</w:t>
            </w:r>
          </w:p>
        </w:tc>
        <w:tc>
          <w:tcPr>
            <w:tcW w:w="2285" w:type="pct"/>
            <w:noWrap/>
            <w:vAlign w:val="center"/>
          </w:tcPr>
          <w:p w14:paraId="204454E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石棉瓦无支架棚</w:t>
            </w:r>
          </w:p>
        </w:tc>
        <w:tc>
          <w:tcPr>
            <w:tcW w:w="690" w:type="pct"/>
            <w:noWrap/>
            <w:vAlign w:val="center"/>
          </w:tcPr>
          <w:p w14:paraId="787B06C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22C0C63C" w14:textId="77777777" w:rsidR="00A320E6" w:rsidRDefault="00A320E6" w:rsidP="00AE0286">
            <w:pPr>
              <w:jc w:val="left"/>
              <w:rPr>
                <w:rFonts w:ascii="宋体" w:hAnsi="宋体" w:cs="宋体"/>
                <w:kern w:val="0"/>
                <w:szCs w:val="21"/>
              </w:rPr>
            </w:pPr>
          </w:p>
        </w:tc>
      </w:tr>
      <w:tr w:rsidR="00090867" w14:paraId="2F2DCA7A" w14:textId="77777777" w:rsidTr="00320C3C">
        <w:trPr>
          <w:trHeight w:val="283"/>
          <w:jc w:val="center"/>
        </w:trPr>
        <w:tc>
          <w:tcPr>
            <w:tcW w:w="366" w:type="pct"/>
            <w:vMerge/>
            <w:noWrap/>
            <w:vAlign w:val="center"/>
          </w:tcPr>
          <w:p w14:paraId="009708CB" w14:textId="77777777" w:rsidR="00A320E6" w:rsidRDefault="00A320E6" w:rsidP="00AE0286">
            <w:pPr>
              <w:jc w:val="center"/>
              <w:rPr>
                <w:rFonts w:ascii="宋体" w:hAnsi="宋体" w:cs="宋体"/>
                <w:kern w:val="0"/>
                <w:szCs w:val="21"/>
              </w:rPr>
            </w:pPr>
          </w:p>
        </w:tc>
        <w:tc>
          <w:tcPr>
            <w:tcW w:w="360" w:type="pct"/>
            <w:vMerge/>
            <w:noWrap/>
            <w:vAlign w:val="center"/>
          </w:tcPr>
          <w:p w14:paraId="3D3910F7" w14:textId="77777777" w:rsidR="00A320E6" w:rsidRDefault="00A320E6" w:rsidP="00AE0286">
            <w:pPr>
              <w:jc w:val="center"/>
              <w:rPr>
                <w:rFonts w:ascii="宋体" w:hAnsi="宋体" w:cs="宋体"/>
                <w:kern w:val="0"/>
                <w:szCs w:val="21"/>
              </w:rPr>
            </w:pPr>
          </w:p>
        </w:tc>
        <w:tc>
          <w:tcPr>
            <w:tcW w:w="2285" w:type="pct"/>
            <w:noWrap/>
            <w:vAlign w:val="center"/>
          </w:tcPr>
          <w:p w14:paraId="514C969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石棉瓦砖承重棚</w:t>
            </w:r>
          </w:p>
        </w:tc>
        <w:tc>
          <w:tcPr>
            <w:tcW w:w="690" w:type="pct"/>
            <w:noWrap/>
            <w:vAlign w:val="center"/>
          </w:tcPr>
          <w:p w14:paraId="02391EE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190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64626E49" w14:textId="77777777" w:rsidR="00A320E6" w:rsidRDefault="00A320E6" w:rsidP="00AE0286">
            <w:pPr>
              <w:jc w:val="left"/>
              <w:rPr>
                <w:rFonts w:ascii="宋体" w:hAnsi="宋体" w:cs="宋体"/>
                <w:kern w:val="0"/>
                <w:szCs w:val="21"/>
              </w:rPr>
            </w:pPr>
          </w:p>
        </w:tc>
      </w:tr>
      <w:tr w:rsidR="00090867" w14:paraId="6DF5225B" w14:textId="77777777" w:rsidTr="00320C3C">
        <w:trPr>
          <w:trHeight w:val="283"/>
          <w:jc w:val="center"/>
        </w:trPr>
        <w:tc>
          <w:tcPr>
            <w:tcW w:w="366" w:type="pct"/>
            <w:vMerge/>
            <w:noWrap/>
            <w:vAlign w:val="center"/>
          </w:tcPr>
          <w:p w14:paraId="0ABD80A4" w14:textId="77777777" w:rsidR="00A320E6" w:rsidRDefault="00A320E6" w:rsidP="00AE0286">
            <w:pPr>
              <w:jc w:val="center"/>
              <w:rPr>
                <w:rFonts w:ascii="宋体" w:hAnsi="宋体" w:cs="宋体"/>
                <w:kern w:val="0"/>
                <w:szCs w:val="21"/>
              </w:rPr>
            </w:pPr>
          </w:p>
        </w:tc>
        <w:tc>
          <w:tcPr>
            <w:tcW w:w="360" w:type="pct"/>
            <w:vMerge/>
            <w:noWrap/>
            <w:vAlign w:val="center"/>
          </w:tcPr>
          <w:p w14:paraId="22FCD0A6" w14:textId="77777777" w:rsidR="00A320E6" w:rsidRDefault="00A320E6" w:rsidP="00AE0286">
            <w:pPr>
              <w:jc w:val="center"/>
              <w:rPr>
                <w:rFonts w:ascii="宋体" w:hAnsi="宋体" w:cs="宋体"/>
                <w:kern w:val="0"/>
                <w:szCs w:val="21"/>
              </w:rPr>
            </w:pPr>
          </w:p>
        </w:tc>
        <w:tc>
          <w:tcPr>
            <w:tcW w:w="2285" w:type="pct"/>
            <w:noWrap/>
            <w:vAlign w:val="center"/>
          </w:tcPr>
          <w:p w14:paraId="57DD253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瓦面无支架棚</w:t>
            </w:r>
          </w:p>
        </w:tc>
        <w:tc>
          <w:tcPr>
            <w:tcW w:w="690" w:type="pct"/>
            <w:noWrap/>
            <w:vAlign w:val="center"/>
          </w:tcPr>
          <w:p w14:paraId="59E91ED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5F5228D3" w14:textId="77777777" w:rsidR="00A320E6" w:rsidRDefault="00A320E6" w:rsidP="00AE0286">
            <w:pPr>
              <w:jc w:val="left"/>
              <w:rPr>
                <w:rFonts w:ascii="宋体" w:hAnsi="宋体" w:cs="宋体"/>
                <w:kern w:val="0"/>
                <w:szCs w:val="21"/>
              </w:rPr>
            </w:pPr>
          </w:p>
        </w:tc>
      </w:tr>
      <w:tr w:rsidR="00090867" w14:paraId="03CDB94F" w14:textId="77777777" w:rsidTr="00320C3C">
        <w:trPr>
          <w:trHeight w:val="283"/>
          <w:jc w:val="center"/>
        </w:trPr>
        <w:tc>
          <w:tcPr>
            <w:tcW w:w="366" w:type="pct"/>
            <w:vMerge/>
            <w:noWrap/>
            <w:vAlign w:val="center"/>
          </w:tcPr>
          <w:p w14:paraId="7033F8FD" w14:textId="77777777" w:rsidR="00A320E6" w:rsidRDefault="00A320E6" w:rsidP="00AE0286">
            <w:pPr>
              <w:jc w:val="center"/>
              <w:rPr>
                <w:rFonts w:ascii="宋体" w:hAnsi="宋体" w:cs="宋体"/>
                <w:kern w:val="0"/>
                <w:szCs w:val="21"/>
              </w:rPr>
            </w:pPr>
          </w:p>
        </w:tc>
        <w:tc>
          <w:tcPr>
            <w:tcW w:w="360" w:type="pct"/>
            <w:vMerge/>
            <w:noWrap/>
            <w:vAlign w:val="center"/>
          </w:tcPr>
          <w:p w14:paraId="14E3EC89" w14:textId="77777777" w:rsidR="00A320E6" w:rsidRDefault="00A320E6" w:rsidP="00AE0286">
            <w:pPr>
              <w:jc w:val="center"/>
              <w:rPr>
                <w:rFonts w:ascii="宋体" w:hAnsi="宋体" w:cs="宋体"/>
                <w:kern w:val="0"/>
                <w:szCs w:val="21"/>
              </w:rPr>
            </w:pPr>
          </w:p>
        </w:tc>
        <w:tc>
          <w:tcPr>
            <w:tcW w:w="2285" w:type="pct"/>
            <w:noWrap/>
            <w:vAlign w:val="center"/>
          </w:tcPr>
          <w:p w14:paraId="06F6098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瓦面砖承重棚</w:t>
            </w:r>
          </w:p>
        </w:tc>
        <w:tc>
          <w:tcPr>
            <w:tcW w:w="690" w:type="pct"/>
            <w:noWrap/>
            <w:vAlign w:val="center"/>
          </w:tcPr>
          <w:p w14:paraId="27D85E0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270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29B1DA9" w14:textId="77777777" w:rsidR="00A320E6" w:rsidRDefault="00A320E6" w:rsidP="00AE0286">
            <w:pPr>
              <w:jc w:val="left"/>
              <w:rPr>
                <w:rFonts w:ascii="宋体" w:hAnsi="宋体" w:cs="宋体"/>
                <w:kern w:val="0"/>
                <w:szCs w:val="21"/>
              </w:rPr>
            </w:pPr>
          </w:p>
        </w:tc>
      </w:tr>
      <w:tr w:rsidR="00090867" w14:paraId="50BFC454" w14:textId="77777777" w:rsidTr="00320C3C">
        <w:trPr>
          <w:trHeight w:val="283"/>
          <w:jc w:val="center"/>
        </w:trPr>
        <w:tc>
          <w:tcPr>
            <w:tcW w:w="366" w:type="pct"/>
            <w:vMerge w:val="restart"/>
            <w:noWrap/>
            <w:vAlign w:val="center"/>
          </w:tcPr>
          <w:p w14:paraId="064AC82C"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4</w:t>
            </w:r>
          </w:p>
        </w:tc>
        <w:tc>
          <w:tcPr>
            <w:tcW w:w="360" w:type="pct"/>
            <w:vMerge w:val="restart"/>
            <w:noWrap/>
            <w:vAlign w:val="center"/>
          </w:tcPr>
          <w:p w14:paraId="7DEDE37F"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围墙</w:t>
            </w:r>
          </w:p>
        </w:tc>
        <w:tc>
          <w:tcPr>
            <w:tcW w:w="2285" w:type="pct"/>
            <w:noWrap/>
            <w:vAlign w:val="center"/>
          </w:tcPr>
          <w:p w14:paraId="2A3D831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24</w:t>
            </w:r>
            <w:r>
              <w:rPr>
                <w:rStyle w:val="font41"/>
                <w:rFonts w:hint="default"/>
                <w:sz w:val="21"/>
                <w:szCs w:val="21"/>
                <w:lang w:bidi="ar"/>
              </w:rPr>
              <w:t>砖墙</w:t>
            </w:r>
          </w:p>
        </w:tc>
        <w:tc>
          <w:tcPr>
            <w:tcW w:w="690" w:type="pct"/>
            <w:noWrap/>
            <w:vAlign w:val="center"/>
          </w:tcPr>
          <w:p w14:paraId="14DAB7E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25CD519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r>
              <w:rPr>
                <w:rStyle w:val="font41"/>
                <w:rFonts w:hint="default"/>
                <w:sz w:val="21"/>
                <w:szCs w:val="21"/>
                <w:lang w:bidi="ar"/>
              </w:rPr>
              <w:t>。</w:t>
            </w:r>
          </w:p>
        </w:tc>
      </w:tr>
      <w:tr w:rsidR="00090867" w14:paraId="4408FFBA" w14:textId="77777777" w:rsidTr="00320C3C">
        <w:trPr>
          <w:trHeight w:val="283"/>
          <w:jc w:val="center"/>
        </w:trPr>
        <w:tc>
          <w:tcPr>
            <w:tcW w:w="366" w:type="pct"/>
            <w:vMerge/>
            <w:noWrap/>
            <w:vAlign w:val="center"/>
          </w:tcPr>
          <w:p w14:paraId="67DBA660" w14:textId="77777777" w:rsidR="00A320E6" w:rsidRDefault="00A320E6" w:rsidP="00AE0286">
            <w:pPr>
              <w:jc w:val="center"/>
              <w:rPr>
                <w:rFonts w:ascii="宋体" w:hAnsi="宋体" w:cs="宋体"/>
                <w:kern w:val="0"/>
                <w:szCs w:val="21"/>
              </w:rPr>
            </w:pPr>
          </w:p>
        </w:tc>
        <w:tc>
          <w:tcPr>
            <w:tcW w:w="360" w:type="pct"/>
            <w:vMerge/>
            <w:noWrap/>
            <w:vAlign w:val="center"/>
          </w:tcPr>
          <w:p w14:paraId="708AA53C" w14:textId="77777777" w:rsidR="00A320E6" w:rsidRDefault="00A320E6" w:rsidP="00AE0286">
            <w:pPr>
              <w:jc w:val="center"/>
              <w:rPr>
                <w:rFonts w:ascii="宋体" w:hAnsi="宋体" w:cs="宋体"/>
                <w:kern w:val="0"/>
                <w:szCs w:val="21"/>
              </w:rPr>
            </w:pPr>
          </w:p>
        </w:tc>
        <w:tc>
          <w:tcPr>
            <w:tcW w:w="2285" w:type="pct"/>
            <w:noWrap/>
            <w:vAlign w:val="center"/>
          </w:tcPr>
          <w:p w14:paraId="11F1F26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12</w:t>
            </w:r>
            <w:r>
              <w:rPr>
                <w:rStyle w:val="font41"/>
                <w:rFonts w:hint="default"/>
                <w:sz w:val="21"/>
                <w:szCs w:val="21"/>
                <w:lang w:bidi="ar"/>
              </w:rPr>
              <w:t>砖墙</w:t>
            </w:r>
          </w:p>
        </w:tc>
        <w:tc>
          <w:tcPr>
            <w:tcW w:w="690" w:type="pct"/>
            <w:noWrap/>
            <w:vAlign w:val="center"/>
          </w:tcPr>
          <w:p w14:paraId="09EBFED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D9CD0F4" w14:textId="77777777" w:rsidR="00A320E6" w:rsidRDefault="00A320E6" w:rsidP="00AE0286">
            <w:pPr>
              <w:jc w:val="left"/>
              <w:rPr>
                <w:rFonts w:ascii="宋体" w:hAnsi="宋体" w:cs="宋体"/>
                <w:kern w:val="0"/>
                <w:szCs w:val="21"/>
              </w:rPr>
            </w:pPr>
          </w:p>
        </w:tc>
      </w:tr>
      <w:tr w:rsidR="00090867" w14:paraId="69CAF911" w14:textId="77777777" w:rsidTr="00320C3C">
        <w:trPr>
          <w:trHeight w:val="283"/>
          <w:jc w:val="center"/>
        </w:trPr>
        <w:tc>
          <w:tcPr>
            <w:tcW w:w="366" w:type="pct"/>
            <w:vMerge w:val="restart"/>
            <w:noWrap/>
            <w:vAlign w:val="center"/>
          </w:tcPr>
          <w:p w14:paraId="2847494E"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5</w:t>
            </w:r>
          </w:p>
        </w:tc>
        <w:tc>
          <w:tcPr>
            <w:tcW w:w="360" w:type="pct"/>
            <w:vMerge w:val="restart"/>
            <w:noWrap/>
            <w:vAlign w:val="center"/>
          </w:tcPr>
          <w:p w14:paraId="51D3FACB"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畜禽舍</w:t>
            </w:r>
          </w:p>
        </w:tc>
        <w:tc>
          <w:tcPr>
            <w:tcW w:w="2285" w:type="pct"/>
            <w:noWrap/>
            <w:vAlign w:val="center"/>
          </w:tcPr>
          <w:p w14:paraId="4C49263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w:t>
            </w:r>
          </w:p>
        </w:tc>
        <w:tc>
          <w:tcPr>
            <w:tcW w:w="690" w:type="pct"/>
            <w:noWrap/>
            <w:vAlign w:val="center"/>
          </w:tcPr>
          <w:p w14:paraId="2D4B2DF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382E785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r>
              <w:rPr>
                <w:rStyle w:val="font41"/>
                <w:rFonts w:hint="default"/>
                <w:sz w:val="21"/>
                <w:szCs w:val="21"/>
                <w:lang w:bidi="ar"/>
              </w:rPr>
              <w:t>。</w:t>
            </w:r>
          </w:p>
        </w:tc>
      </w:tr>
      <w:tr w:rsidR="00090867" w14:paraId="3E2EA9A0" w14:textId="77777777" w:rsidTr="00320C3C">
        <w:trPr>
          <w:trHeight w:val="283"/>
          <w:jc w:val="center"/>
        </w:trPr>
        <w:tc>
          <w:tcPr>
            <w:tcW w:w="366" w:type="pct"/>
            <w:vMerge/>
            <w:noWrap/>
            <w:vAlign w:val="center"/>
          </w:tcPr>
          <w:p w14:paraId="2AC1F71D" w14:textId="77777777" w:rsidR="00A320E6" w:rsidRDefault="00A320E6" w:rsidP="00AE0286">
            <w:pPr>
              <w:jc w:val="center"/>
              <w:rPr>
                <w:rFonts w:ascii="宋体" w:hAnsi="宋体" w:cs="宋体"/>
                <w:kern w:val="0"/>
                <w:szCs w:val="21"/>
              </w:rPr>
            </w:pPr>
          </w:p>
        </w:tc>
        <w:tc>
          <w:tcPr>
            <w:tcW w:w="360" w:type="pct"/>
            <w:vMerge/>
            <w:noWrap/>
            <w:vAlign w:val="center"/>
          </w:tcPr>
          <w:p w14:paraId="6E31E9A0" w14:textId="77777777" w:rsidR="00A320E6" w:rsidRDefault="00A320E6" w:rsidP="00AE0286">
            <w:pPr>
              <w:jc w:val="center"/>
              <w:rPr>
                <w:rFonts w:ascii="宋体" w:hAnsi="宋体" w:cs="宋体"/>
                <w:kern w:val="0"/>
                <w:szCs w:val="21"/>
              </w:rPr>
            </w:pPr>
          </w:p>
        </w:tc>
        <w:tc>
          <w:tcPr>
            <w:tcW w:w="2285" w:type="pct"/>
            <w:noWrap/>
            <w:vAlign w:val="center"/>
          </w:tcPr>
          <w:p w14:paraId="0BDC940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简易结构</w:t>
            </w:r>
          </w:p>
        </w:tc>
        <w:tc>
          <w:tcPr>
            <w:tcW w:w="690" w:type="pct"/>
            <w:noWrap/>
            <w:vAlign w:val="center"/>
          </w:tcPr>
          <w:p w14:paraId="28271EB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7FD23455" w14:textId="77777777" w:rsidR="00A320E6" w:rsidRDefault="00A320E6" w:rsidP="00AE0286">
            <w:pPr>
              <w:jc w:val="left"/>
              <w:rPr>
                <w:rFonts w:ascii="宋体" w:hAnsi="宋体" w:cs="宋体"/>
                <w:kern w:val="0"/>
                <w:szCs w:val="21"/>
              </w:rPr>
            </w:pPr>
          </w:p>
        </w:tc>
      </w:tr>
      <w:tr w:rsidR="00090867" w14:paraId="24CEA7D0" w14:textId="77777777" w:rsidTr="00320C3C">
        <w:trPr>
          <w:trHeight w:val="283"/>
          <w:jc w:val="center"/>
        </w:trPr>
        <w:tc>
          <w:tcPr>
            <w:tcW w:w="366" w:type="pct"/>
            <w:noWrap/>
            <w:vAlign w:val="center"/>
          </w:tcPr>
          <w:p w14:paraId="1F2E25A3"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6</w:t>
            </w:r>
          </w:p>
        </w:tc>
        <w:tc>
          <w:tcPr>
            <w:tcW w:w="360" w:type="pct"/>
            <w:noWrap/>
            <w:vAlign w:val="center"/>
          </w:tcPr>
          <w:p w14:paraId="48668EC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迁坟</w:t>
            </w:r>
          </w:p>
        </w:tc>
        <w:tc>
          <w:tcPr>
            <w:tcW w:w="2285" w:type="pct"/>
            <w:noWrap/>
            <w:vAlign w:val="center"/>
          </w:tcPr>
          <w:p w14:paraId="217FEA0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棺木、拾骨、骨灰盒</w:t>
            </w:r>
          </w:p>
        </w:tc>
        <w:tc>
          <w:tcPr>
            <w:tcW w:w="690" w:type="pct"/>
            <w:noWrap/>
            <w:vAlign w:val="center"/>
          </w:tcPr>
          <w:p w14:paraId="43417C1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座</w:t>
            </w:r>
          </w:p>
        </w:tc>
        <w:tc>
          <w:tcPr>
            <w:tcW w:w="1299" w:type="pct"/>
            <w:noWrap/>
            <w:vAlign w:val="center"/>
          </w:tcPr>
          <w:p w14:paraId="4243242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w:t>
            </w:r>
            <w:r>
              <w:rPr>
                <w:rStyle w:val="font41"/>
                <w:rFonts w:hint="default"/>
                <w:sz w:val="21"/>
                <w:szCs w:val="21"/>
                <w:lang w:bidi="ar"/>
              </w:rPr>
              <w:t>．少数民族按其殡葬习惯和特点补偿标准可以在上浮</w:t>
            </w:r>
            <w:r>
              <w:rPr>
                <w:rFonts w:ascii="宋体" w:hAnsi="宋体" w:cs="宋体" w:hint="eastAsia"/>
                <w:color w:val="000000"/>
                <w:kern w:val="0"/>
                <w:szCs w:val="21"/>
                <w:lang w:bidi="ar"/>
              </w:rPr>
              <w:t>100%</w:t>
            </w:r>
            <w:r>
              <w:rPr>
                <w:rStyle w:val="font41"/>
                <w:rFonts w:hint="default"/>
                <w:sz w:val="21"/>
                <w:szCs w:val="21"/>
                <w:lang w:bidi="ar"/>
              </w:rPr>
              <w:t>的范围内协商确定。</w:t>
            </w:r>
            <w:r>
              <w:rPr>
                <w:rFonts w:ascii="宋体" w:hAnsi="宋体" w:cs="宋体" w:hint="eastAsia"/>
                <w:color w:val="000000"/>
                <w:kern w:val="0"/>
                <w:szCs w:val="21"/>
                <w:lang w:bidi="ar"/>
              </w:rPr>
              <w:t>2.</w:t>
            </w:r>
            <w:r>
              <w:rPr>
                <w:rStyle w:val="font41"/>
                <w:rFonts w:hint="default"/>
                <w:sz w:val="21"/>
                <w:szCs w:val="21"/>
                <w:lang w:bidi="ar"/>
              </w:rPr>
              <w:t>包括迁葬、工料等所有费用。</w:t>
            </w:r>
            <w:r>
              <w:rPr>
                <w:rFonts w:ascii="宋体" w:hAnsi="宋体" w:cs="宋体" w:hint="eastAsia"/>
                <w:color w:val="000000"/>
                <w:kern w:val="0"/>
                <w:szCs w:val="21"/>
                <w:lang w:bidi="ar"/>
              </w:rPr>
              <w:t>3.</w:t>
            </w:r>
            <w:r>
              <w:rPr>
                <w:rStyle w:val="font41"/>
                <w:rFonts w:hint="default"/>
                <w:sz w:val="21"/>
                <w:szCs w:val="21"/>
                <w:lang w:bidi="ar"/>
              </w:rPr>
              <w:t>双棺可视情况增加补偿标准，原则上最高不超过</w:t>
            </w:r>
            <w:r>
              <w:rPr>
                <w:rFonts w:ascii="宋体" w:hAnsi="宋体" w:cs="宋体" w:hint="eastAsia"/>
                <w:color w:val="000000"/>
                <w:kern w:val="0"/>
                <w:szCs w:val="21"/>
                <w:lang w:bidi="ar"/>
              </w:rPr>
              <w:t>600</w:t>
            </w:r>
            <w:r>
              <w:rPr>
                <w:rStyle w:val="font41"/>
                <w:rFonts w:hint="default"/>
                <w:sz w:val="21"/>
                <w:szCs w:val="21"/>
                <w:lang w:bidi="ar"/>
              </w:rPr>
              <w:t>元。</w:t>
            </w:r>
          </w:p>
        </w:tc>
      </w:tr>
      <w:tr w:rsidR="00090867" w14:paraId="5753D18F" w14:textId="77777777" w:rsidTr="00320C3C">
        <w:trPr>
          <w:trHeight w:val="283"/>
          <w:jc w:val="center"/>
        </w:trPr>
        <w:tc>
          <w:tcPr>
            <w:tcW w:w="366" w:type="pct"/>
            <w:vMerge w:val="restart"/>
            <w:noWrap/>
            <w:vAlign w:val="center"/>
          </w:tcPr>
          <w:p w14:paraId="2708A08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7</w:t>
            </w:r>
          </w:p>
        </w:tc>
        <w:tc>
          <w:tcPr>
            <w:tcW w:w="360" w:type="pct"/>
            <w:vMerge w:val="restart"/>
            <w:noWrap/>
            <w:vAlign w:val="center"/>
          </w:tcPr>
          <w:p w14:paraId="1102CC83"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温室</w:t>
            </w:r>
          </w:p>
        </w:tc>
        <w:tc>
          <w:tcPr>
            <w:tcW w:w="2285" w:type="pct"/>
            <w:noWrap/>
            <w:vAlign w:val="center"/>
          </w:tcPr>
          <w:p w14:paraId="336C67E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钢、砼骨架、玻璃顶</w:t>
            </w:r>
          </w:p>
        </w:tc>
        <w:tc>
          <w:tcPr>
            <w:tcW w:w="690" w:type="pct"/>
            <w:noWrap/>
            <w:vAlign w:val="center"/>
          </w:tcPr>
          <w:p w14:paraId="60DBBAA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6893698F"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41"/>
                <w:rFonts w:hint="default"/>
                <w:sz w:val="21"/>
                <w:szCs w:val="21"/>
                <w:lang w:bidi="ar"/>
              </w:rPr>
              <w:t>旧料归原主。</w:t>
            </w:r>
          </w:p>
          <w:p w14:paraId="7A45803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w:t>
            </w:r>
            <w:r>
              <w:rPr>
                <w:rStyle w:val="font41"/>
                <w:rFonts w:hint="default"/>
                <w:sz w:val="21"/>
                <w:szCs w:val="21"/>
                <w:lang w:bidi="ar"/>
              </w:rPr>
              <w:t>按占地面积计算。</w:t>
            </w:r>
          </w:p>
        </w:tc>
      </w:tr>
      <w:tr w:rsidR="00090867" w14:paraId="34BFEFBB" w14:textId="77777777" w:rsidTr="00320C3C">
        <w:trPr>
          <w:trHeight w:val="283"/>
          <w:jc w:val="center"/>
        </w:trPr>
        <w:tc>
          <w:tcPr>
            <w:tcW w:w="366" w:type="pct"/>
            <w:vMerge/>
            <w:noWrap/>
            <w:vAlign w:val="center"/>
          </w:tcPr>
          <w:p w14:paraId="459B3B3B" w14:textId="77777777" w:rsidR="00A320E6" w:rsidRDefault="00A320E6" w:rsidP="00AE0286">
            <w:pPr>
              <w:jc w:val="center"/>
              <w:rPr>
                <w:rFonts w:ascii="宋体" w:hAnsi="宋体" w:cs="宋体"/>
                <w:kern w:val="0"/>
                <w:szCs w:val="21"/>
              </w:rPr>
            </w:pPr>
          </w:p>
        </w:tc>
        <w:tc>
          <w:tcPr>
            <w:tcW w:w="360" w:type="pct"/>
            <w:vMerge/>
            <w:noWrap/>
            <w:vAlign w:val="center"/>
          </w:tcPr>
          <w:p w14:paraId="6F3C2FEE" w14:textId="77777777" w:rsidR="00A320E6" w:rsidRDefault="00A320E6" w:rsidP="00AE0286">
            <w:pPr>
              <w:jc w:val="center"/>
              <w:rPr>
                <w:rFonts w:ascii="宋体" w:hAnsi="宋体" w:cs="宋体"/>
                <w:kern w:val="0"/>
                <w:szCs w:val="21"/>
              </w:rPr>
            </w:pPr>
          </w:p>
        </w:tc>
        <w:tc>
          <w:tcPr>
            <w:tcW w:w="2285" w:type="pct"/>
            <w:noWrap/>
            <w:vAlign w:val="center"/>
          </w:tcPr>
          <w:p w14:paraId="7307B41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钢、砼骨架、塑料薄膜棚顶</w:t>
            </w:r>
          </w:p>
        </w:tc>
        <w:tc>
          <w:tcPr>
            <w:tcW w:w="690" w:type="pct"/>
            <w:noWrap/>
            <w:vAlign w:val="center"/>
          </w:tcPr>
          <w:p w14:paraId="0994051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0E92E74B" w14:textId="77777777" w:rsidR="00A320E6" w:rsidRDefault="00A320E6" w:rsidP="00AE0286">
            <w:pPr>
              <w:jc w:val="left"/>
              <w:textAlignment w:val="center"/>
              <w:rPr>
                <w:rFonts w:ascii="宋体" w:hAnsi="宋体" w:cs="宋体"/>
                <w:kern w:val="0"/>
                <w:szCs w:val="21"/>
              </w:rPr>
            </w:pPr>
          </w:p>
        </w:tc>
      </w:tr>
      <w:tr w:rsidR="00090867" w14:paraId="15208064" w14:textId="77777777" w:rsidTr="00320C3C">
        <w:trPr>
          <w:trHeight w:val="283"/>
          <w:jc w:val="center"/>
        </w:trPr>
        <w:tc>
          <w:tcPr>
            <w:tcW w:w="366" w:type="pct"/>
            <w:vMerge/>
            <w:noWrap/>
            <w:vAlign w:val="center"/>
          </w:tcPr>
          <w:p w14:paraId="425C9759" w14:textId="77777777" w:rsidR="00A320E6" w:rsidRDefault="00A320E6" w:rsidP="00AE0286">
            <w:pPr>
              <w:jc w:val="center"/>
              <w:rPr>
                <w:rFonts w:ascii="宋体" w:hAnsi="宋体" w:cs="宋体"/>
                <w:kern w:val="0"/>
                <w:szCs w:val="21"/>
              </w:rPr>
            </w:pPr>
          </w:p>
        </w:tc>
        <w:tc>
          <w:tcPr>
            <w:tcW w:w="360" w:type="pct"/>
            <w:vMerge/>
            <w:noWrap/>
            <w:vAlign w:val="center"/>
          </w:tcPr>
          <w:p w14:paraId="752716EF" w14:textId="77777777" w:rsidR="00A320E6" w:rsidRDefault="00A320E6" w:rsidP="00AE0286">
            <w:pPr>
              <w:jc w:val="center"/>
              <w:rPr>
                <w:rFonts w:ascii="宋体" w:hAnsi="宋体" w:cs="宋体"/>
                <w:kern w:val="0"/>
                <w:szCs w:val="21"/>
              </w:rPr>
            </w:pPr>
          </w:p>
        </w:tc>
        <w:tc>
          <w:tcPr>
            <w:tcW w:w="2285" w:type="pct"/>
            <w:noWrap/>
            <w:vAlign w:val="center"/>
          </w:tcPr>
          <w:p w14:paraId="77A7B45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简易塑料薄膜棚顶</w:t>
            </w:r>
          </w:p>
        </w:tc>
        <w:tc>
          <w:tcPr>
            <w:tcW w:w="690" w:type="pct"/>
            <w:noWrap/>
            <w:vAlign w:val="center"/>
          </w:tcPr>
          <w:p w14:paraId="77BEBF5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6BBEE33D" w14:textId="77777777" w:rsidR="00A320E6" w:rsidRDefault="00A320E6" w:rsidP="00AE0286">
            <w:pPr>
              <w:rPr>
                <w:rFonts w:ascii="宋体" w:hAnsi="宋体" w:cs="宋体"/>
                <w:kern w:val="0"/>
                <w:szCs w:val="21"/>
              </w:rPr>
            </w:pPr>
          </w:p>
        </w:tc>
      </w:tr>
      <w:tr w:rsidR="00090867" w14:paraId="40C6CFA2" w14:textId="77777777" w:rsidTr="00320C3C">
        <w:trPr>
          <w:trHeight w:val="283"/>
          <w:jc w:val="center"/>
        </w:trPr>
        <w:tc>
          <w:tcPr>
            <w:tcW w:w="366" w:type="pct"/>
            <w:vMerge w:val="restart"/>
            <w:noWrap/>
            <w:vAlign w:val="center"/>
          </w:tcPr>
          <w:p w14:paraId="1AEA3F18"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8</w:t>
            </w:r>
          </w:p>
        </w:tc>
        <w:tc>
          <w:tcPr>
            <w:tcW w:w="360" w:type="pct"/>
            <w:vMerge w:val="restart"/>
            <w:noWrap/>
            <w:vAlign w:val="center"/>
          </w:tcPr>
          <w:p w14:paraId="27832921"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小桥</w:t>
            </w:r>
          </w:p>
        </w:tc>
        <w:tc>
          <w:tcPr>
            <w:tcW w:w="2285" w:type="pct"/>
            <w:noWrap/>
            <w:vAlign w:val="center"/>
          </w:tcPr>
          <w:p w14:paraId="6DCD8D4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钢筋混凝土矩形板桥</w:t>
            </w:r>
          </w:p>
        </w:tc>
        <w:tc>
          <w:tcPr>
            <w:tcW w:w="690" w:type="pct"/>
            <w:noWrap/>
            <w:vAlign w:val="center"/>
          </w:tcPr>
          <w:p w14:paraId="01B303F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4BACD72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按桥面面积计算</w:t>
            </w:r>
            <w:r>
              <w:rPr>
                <w:rStyle w:val="font41"/>
                <w:rFonts w:hint="default"/>
                <w:sz w:val="21"/>
                <w:szCs w:val="21"/>
                <w:lang w:bidi="ar"/>
              </w:rPr>
              <w:t>。</w:t>
            </w:r>
          </w:p>
        </w:tc>
      </w:tr>
      <w:tr w:rsidR="00090867" w14:paraId="46512F20" w14:textId="77777777" w:rsidTr="00320C3C">
        <w:trPr>
          <w:trHeight w:val="283"/>
          <w:jc w:val="center"/>
        </w:trPr>
        <w:tc>
          <w:tcPr>
            <w:tcW w:w="366" w:type="pct"/>
            <w:vMerge/>
            <w:noWrap/>
            <w:vAlign w:val="center"/>
          </w:tcPr>
          <w:p w14:paraId="261849E0" w14:textId="77777777" w:rsidR="00A320E6" w:rsidRDefault="00A320E6" w:rsidP="00AE0286">
            <w:pPr>
              <w:jc w:val="center"/>
              <w:rPr>
                <w:rFonts w:ascii="宋体" w:hAnsi="宋体" w:cs="宋体"/>
                <w:kern w:val="0"/>
                <w:szCs w:val="21"/>
              </w:rPr>
            </w:pPr>
          </w:p>
        </w:tc>
        <w:tc>
          <w:tcPr>
            <w:tcW w:w="360" w:type="pct"/>
            <w:vMerge/>
            <w:noWrap/>
            <w:vAlign w:val="center"/>
          </w:tcPr>
          <w:p w14:paraId="0CD6EFEB" w14:textId="77777777" w:rsidR="00A320E6" w:rsidRDefault="00A320E6" w:rsidP="00AE0286">
            <w:pPr>
              <w:jc w:val="center"/>
              <w:rPr>
                <w:rFonts w:ascii="宋体" w:hAnsi="宋体" w:cs="宋体"/>
                <w:kern w:val="0"/>
                <w:szCs w:val="21"/>
              </w:rPr>
            </w:pPr>
          </w:p>
        </w:tc>
        <w:tc>
          <w:tcPr>
            <w:tcW w:w="2285" w:type="pct"/>
            <w:noWrap/>
            <w:vAlign w:val="center"/>
          </w:tcPr>
          <w:p w14:paraId="2CBEC02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平坦石拱桥</w:t>
            </w:r>
          </w:p>
        </w:tc>
        <w:tc>
          <w:tcPr>
            <w:tcW w:w="690" w:type="pct"/>
            <w:noWrap/>
            <w:vAlign w:val="center"/>
          </w:tcPr>
          <w:p w14:paraId="2CDF1B7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062EA3DE" w14:textId="77777777" w:rsidR="00A320E6" w:rsidRDefault="00A320E6" w:rsidP="00AE0286">
            <w:pPr>
              <w:jc w:val="left"/>
              <w:rPr>
                <w:rFonts w:ascii="宋体" w:hAnsi="宋体" w:cs="宋体"/>
                <w:kern w:val="0"/>
                <w:szCs w:val="21"/>
              </w:rPr>
            </w:pPr>
          </w:p>
        </w:tc>
      </w:tr>
      <w:tr w:rsidR="00090867" w14:paraId="7BAD823D" w14:textId="77777777" w:rsidTr="00320C3C">
        <w:trPr>
          <w:trHeight w:val="283"/>
          <w:jc w:val="center"/>
        </w:trPr>
        <w:tc>
          <w:tcPr>
            <w:tcW w:w="366" w:type="pct"/>
            <w:vMerge/>
            <w:noWrap/>
            <w:vAlign w:val="center"/>
          </w:tcPr>
          <w:p w14:paraId="3389B04C" w14:textId="77777777" w:rsidR="00A320E6" w:rsidRDefault="00A320E6" w:rsidP="00AE0286">
            <w:pPr>
              <w:jc w:val="center"/>
              <w:rPr>
                <w:rFonts w:ascii="宋体" w:hAnsi="宋体" w:cs="宋体"/>
                <w:kern w:val="0"/>
                <w:szCs w:val="21"/>
              </w:rPr>
            </w:pPr>
          </w:p>
        </w:tc>
        <w:tc>
          <w:tcPr>
            <w:tcW w:w="360" w:type="pct"/>
            <w:vMerge/>
            <w:noWrap/>
            <w:vAlign w:val="center"/>
          </w:tcPr>
          <w:p w14:paraId="443D2D00" w14:textId="77777777" w:rsidR="00A320E6" w:rsidRDefault="00A320E6" w:rsidP="00AE0286">
            <w:pPr>
              <w:jc w:val="center"/>
              <w:rPr>
                <w:rFonts w:ascii="宋体" w:hAnsi="宋体" w:cs="宋体"/>
                <w:kern w:val="0"/>
                <w:szCs w:val="21"/>
              </w:rPr>
            </w:pPr>
          </w:p>
        </w:tc>
        <w:tc>
          <w:tcPr>
            <w:tcW w:w="2285" w:type="pct"/>
            <w:noWrap/>
            <w:vAlign w:val="center"/>
          </w:tcPr>
          <w:p w14:paraId="79F4273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石拱桥</w:t>
            </w:r>
          </w:p>
        </w:tc>
        <w:tc>
          <w:tcPr>
            <w:tcW w:w="690" w:type="pct"/>
            <w:noWrap/>
            <w:vAlign w:val="center"/>
          </w:tcPr>
          <w:p w14:paraId="2691A7D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2600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CE015B4" w14:textId="77777777" w:rsidR="00A320E6" w:rsidRDefault="00A320E6" w:rsidP="00AE0286">
            <w:pPr>
              <w:jc w:val="left"/>
              <w:rPr>
                <w:rFonts w:ascii="宋体" w:hAnsi="宋体" w:cs="宋体"/>
                <w:kern w:val="0"/>
                <w:szCs w:val="21"/>
              </w:rPr>
            </w:pPr>
          </w:p>
        </w:tc>
      </w:tr>
      <w:tr w:rsidR="00090867" w14:paraId="03A38644" w14:textId="77777777" w:rsidTr="00320C3C">
        <w:trPr>
          <w:trHeight w:val="283"/>
          <w:jc w:val="center"/>
        </w:trPr>
        <w:tc>
          <w:tcPr>
            <w:tcW w:w="366" w:type="pct"/>
            <w:vMerge/>
            <w:noWrap/>
            <w:vAlign w:val="center"/>
          </w:tcPr>
          <w:p w14:paraId="4A6A54EC" w14:textId="77777777" w:rsidR="00A320E6" w:rsidRDefault="00A320E6" w:rsidP="00AE0286">
            <w:pPr>
              <w:jc w:val="center"/>
              <w:rPr>
                <w:rFonts w:ascii="宋体" w:hAnsi="宋体" w:cs="宋体"/>
                <w:kern w:val="0"/>
                <w:szCs w:val="21"/>
              </w:rPr>
            </w:pPr>
          </w:p>
        </w:tc>
        <w:tc>
          <w:tcPr>
            <w:tcW w:w="360" w:type="pct"/>
            <w:vMerge/>
            <w:noWrap/>
            <w:vAlign w:val="center"/>
          </w:tcPr>
          <w:p w14:paraId="6C48B7D3" w14:textId="77777777" w:rsidR="00A320E6" w:rsidRDefault="00A320E6" w:rsidP="00AE0286">
            <w:pPr>
              <w:jc w:val="center"/>
              <w:rPr>
                <w:rFonts w:ascii="宋体" w:hAnsi="宋体" w:cs="宋体"/>
                <w:kern w:val="0"/>
                <w:szCs w:val="21"/>
              </w:rPr>
            </w:pPr>
          </w:p>
        </w:tc>
        <w:tc>
          <w:tcPr>
            <w:tcW w:w="2285" w:type="pct"/>
            <w:noWrap/>
            <w:vAlign w:val="center"/>
          </w:tcPr>
          <w:p w14:paraId="3CC10E8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简易小桥</w:t>
            </w:r>
          </w:p>
        </w:tc>
        <w:tc>
          <w:tcPr>
            <w:tcW w:w="690" w:type="pct"/>
            <w:noWrap/>
            <w:vAlign w:val="center"/>
          </w:tcPr>
          <w:p w14:paraId="5557ABC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1F651356" w14:textId="77777777" w:rsidR="00A320E6" w:rsidRDefault="00A320E6" w:rsidP="00AE0286">
            <w:pPr>
              <w:jc w:val="left"/>
              <w:rPr>
                <w:rFonts w:ascii="宋体" w:hAnsi="宋体" w:cs="宋体"/>
                <w:kern w:val="0"/>
                <w:szCs w:val="21"/>
              </w:rPr>
            </w:pPr>
          </w:p>
        </w:tc>
      </w:tr>
      <w:tr w:rsidR="00090867" w14:paraId="1CC560D3" w14:textId="77777777" w:rsidTr="00320C3C">
        <w:trPr>
          <w:trHeight w:val="283"/>
          <w:jc w:val="center"/>
        </w:trPr>
        <w:tc>
          <w:tcPr>
            <w:tcW w:w="366" w:type="pct"/>
            <w:vMerge w:val="restart"/>
            <w:noWrap/>
            <w:vAlign w:val="center"/>
          </w:tcPr>
          <w:p w14:paraId="33627EC6"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9</w:t>
            </w:r>
          </w:p>
        </w:tc>
        <w:tc>
          <w:tcPr>
            <w:tcW w:w="360" w:type="pct"/>
            <w:vMerge w:val="restart"/>
            <w:noWrap/>
            <w:vAlign w:val="center"/>
          </w:tcPr>
          <w:p w14:paraId="64A641E0"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涵洞</w:t>
            </w:r>
          </w:p>
        </w:tc>
        <w:tc>
          <w:tcPr>
            <w:tcW w:w="2285" w:type="pct"/>
            <w:noWrap/>
            <w:vAlign w:val="center"/>
          </w:tcPr>
          <w:p w14:paraId="593A274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石盖板涵跨径1-2m</w:t>
            </w:r>
          </w:p>
        </w:tc>
        <w:tc>
          <w:tcPr>
            <w:tcW w:w="690" w:type="pct"/>
            <w:noWrap/>
            <w:vAlign w:val="center"/>
          </w:tcPr>
          <w:p w14:paraId="2702E1F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val="restart"/>
            <w:noWrap/>
            <w:vAlign w:val="center"/>
          </w:tcPr>
          <w:p w14:paraId="34A443AF" w14:textId="77777777" w:rsidR="00A320E6" w:rsidRDefault="00A320E6" w:rsidP="00AE0286">
            <w:pPr>
              <w:jc w:val="left"/>
              <w:rPr>
                <w:rFonts w:ascii="宋体" w:hAnsi="宋体" w:cs="宋体"/>
                <w:kern w:val="0"/>
                <w:szCs w:val="21"/>
              </w:rPr>
            </w:pPr>
          </w:p>
        </w:tc>
      </w:tr>
      <w:tr w:rsidR="00090867" w14:paraId="1A6A6000" w14:textId="77777777" w:rsidTr="00320C3C">
        <w:trPr>
          <w:trHeight w:val="283"/>
          <w:jc w:val="center"/>
        </w:trPr>
        <w:tc>
          <w:tcPr>
            <w:tcW w:w="366" w:type="pct"/>
            <w:vMerge/>
            <w:noWrap/>
            <w:vAlign w:val="center"/>
          </w:tcPr>
          <w:p w14:paraId="5B2046BB" w14:textId="77777777" w:rsidR="00A320E6" w:rsidRDefault="00A320E6" w:rsidP="00AE0286">
            <w:pPr>
              <w:jc w:val="center"/>
              <w:rPr>
                <w:rFonts w:ascii="宋体" w:hAnsi="宋体" w:cs="宋体"/>
                <w:kern w:val="0"/>
                <w:szCs w:val="21"/>
              </w:rPr>
            </w:pPr>
          </w:p>
        </w:tc>
        <w:tc>
          <w:tcPr>
            <w:tcW w:w="360" w:type="pct"/>
            <w:vMerge/>
            <w:noWrap/>
            <w:vAlign w:val="center"/>
          </w:tcPr>
          <w:p w14:paraId="00466A1A" w14:textId="77777777" w:rsidR="00A320E6" w:rsidRDefault="00A320E6" w:rsidP="00AE0286">
            <w:pPr>
              <w:jc w:val="center"/>
              <w:rPr>
                <w:rFonts w:ascii="宋体" w:hAnsi="宋体" w:cs="宋体"/>
                <w:kern w:val="0"/>
                <w:szCs w:val="21"/>
              </w:rPr>
            </w:pPr>
          </w:p>
        </w:tc>
        <w:tc>
          <w:tcPr>
            <w:tcW w:w="2285" w:type="pct"/>
            <w:noWrap/>
            <w:vAlign w:val="center"/>
          </w:tcPr>
          <w:p w14:paraId="286105B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石拱涵跨径1-2m</w:t>
            </w:r>
          </w:p>
        </w:tc>
        <w:tc>
          <w:tcPr>
            <w:tcW w:w="690" w:type="pct"/>
            <w:noWrap/>
            <w:vAlign w:val="center"/>
          </w:tcPr>
          <w:p w14:paraId="2D25260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052FEB81" w14:textId="77777777" w:rsidR="00A320E6" w:rsidRDefault="00A320E6" w:rsidP="00AE0286">
            <w:pPr>
              <w:jc w:val="left"/>
              <w:rPr>
                <w:rFonts w:ascii="宋体" w:hAnsi="宋体" w:cs="宋体"/>
                <w:kern w:val="0"/>
                <w:szCs w:val="21"/>
              </w:rPr>
            </w:pPr>
          </w:p>
        </w:tc>
      </w:tr>
      <w:tr w:rsidR="00090867" w14:paraId="1DC1508D" w14:textId="77777777" w:rsidTr="00320C3C">
        <w:trPr>
          <w:trHeight w:val="283"/>
          <w:jc w:val="center"/>
        </w:trPr>
        <w:tc>
          <w:tcPr>
            <w:tcW w:w="366" w:type="pct"/>
            <w:vMerge/>
            <w:noWrap/>
            <w:vAlign w:val="center"/>
          </w:tcPr>
          <w:p w14:paraId="7DF192F3" w14:textId="77777777" w:rsidR="00A320E6" w:rsidRDefault="00A320E6" w:rsidP="00AE0286">
            <w:pPr>
              <w:jc w:val="center"/>
              <w:rPr>
                <w:rFonts w:ascii="宋体" w:hAnsi="宋体" w:cs="宋体"/>
                <w:kern w:val="0"/>
                <w:szCs w:val="21"/>
              </w:rPr>
            </w:pPr>
          </w:p>
        </w:tc>
        <w:tc>
          <w:tcPr>
            <w:tcW w:w="360" w:type="pct"/>
            <w:vMerge/>
            <w:noWrap/>
            <w:vAlign w:val="center"/>
          </w:tcPr>
          <w:p w14:paraId="379F61E6" w14:textId="77777777" w:rsidR="00A320E6" w:rsidRDefault="00A320E6" w:rsidP="00AE0286">
            <w:pPr>
              <w:jc w:val="center"/>
              <w:rPr>
                <w:rFonts w:ascii="宋体" w:hAnsi="宋体" w:cs="宋体"/>
                <w:kern w:val="0"/>
                <w:szCs w:val="21"/>
              </w:rPr>
            </w:pPr>
          </w:p>
        </w:tc>
        <w:tc>
          <w:tcPr>
            <w:tcW w:w="2285" w:type="pct"/>
            <w:noWrap/>
            <w:vAlign w:val="center"/>
          </w:tcPr>
          <w:p w14:paraId="787B848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石拱涵跨径2-4m</w:t>
            </w:r>
          </w:p>
        </w:tc>
        <w:tc>
          <w:tcPr>
            <w:tcW w:w="690" w:type="pct"/>
            <w:noWrap/>
            <w:vAlign w:val="center"/>
          </w:tcPr>
          <w:p w14:paraId="35971B6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010451C3" w14:textId="77777777" w:rsidR="00A320E6" w:rsidRDefault="00A320E6" w:rsidP="00AE0286">
            <w:pPr>
              <w:jc w:val="left"/>
              <w:rPr>
                <w:rFonts w:ascii="宋体" w:hAnsi="宋体" w:cs="宋体"/>
                <w:kern w:val="0"/>
                <w:szCs w:val="21"/>
              </w:rPr>
            </w:pPr>
          </w:p>
        </w:tc>
      </w:tr>
      <w:tr w:rsidR="00090867" w14:paraId="0F74172C" w14:textId="77777777" w:rsidTr="00320C3C">
        <w:trPr>
          <w:trHeight w:val="283"/>
          <w:jc w:val="center"/>
        </w:trPr>
        <w:tc>
          <w:tcPr>
            <w:tcW w:w="366" w:type="pct"/>
            <w:vMerge/>
            <w:noWrap/>
            <w:vAlign w:val="center"/>
          </w:tcPr>
          <w:p w14:paraId="1C3BF93C" w14:textId="77777777" w:rsidR="00A320E6" w:rsidRDefault="00A320E6" w:rsidP="00AE0286">
            <w:pPr>
              <w:jc w:val="center"/>
              <w:rPr>
                <w:rFonts w:ascii="宋体" w:hAnsi="宋体" w:cs="宋体"/>
                <w:kern w:val="0"/>
                <w:szCs w:val="21"/>
              </w:rPr>
            </w:pPr>
          </w:p>
        </w:tc>
        <w:tc>
          <w:tcPr>
            <w:tcW w:w="360" w:type="pct"/>
            <w:vMerge/>
            <w:noWrap/>
            <w:vAlign w:val="center"/>
          </w:tcPr>
          <w:p w14:paraId="43D520C4" w14:textId="77777777" w:rsidR="00A320E6" w:rsidRDefault="00A320E6" w:rsidP="00AE0286">
            <w:pPr>
              <w:jc w:val="center"/>
              <w:rPr>
                <w:rFonts w:ascii="宋体" w:hAnsi="宋体" w:cs="宋体"/>
                <w:kern w:val="0"/>
                <w:szCs w:val="21"/>
              </w:rPr>
            </w:pPr>
          </w:p>
        </w:tc>
        <w:tc>
          <w:tcPr>
            <w:tcW w:w="2285" w:type="pct"/>
            <w:noWrap/>
            <w:vAlign w:val="center"/>
          </w:tcPr>
          <w:p w14:paraId="6256D69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钢筋混凝土圆管涵跨径1-2m</w:t>
            </w:r>
          </w:p>
        </w:tc>
        <w:tc>
          <w:tcPr>
            <w:tcW w:w="690" w:type="pct"/>
            <w:noWrap/>
            <w:vAlign w:val="center"/>
          </w:tcPr>
          <w:p w14:paraId="3873E0E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50881400" w14:textId="77777777" w:rsidR="00A320E6" w:rsidRDefault="00A320E6" w:rsidP="00AE0286">
            <w:pPr>
              <w:jc w:val="left"/>
              <w:rPr>
                <w:rFonts w:ascii="宋体" w:hAnsi="宋体" w:cs="宋体"/>
                <w:kern w:val="0"/>
                <w:szCs w:val="21"/>
              </w:rPr>
            </w:pPr>
          </w:p>
        </w:tc>
      </w:tr>
      <w:tr w:rsidR="00090867" w14:paraId="10E4D493" w14:textId="77777777" w:rsidTr="00320C3C">
        <w:trPr>
          <w:trHeight w:val="283"/>
          <w:jc w:val="center"/>
        </w:trPr>
        <w:tc>
          <w:tcPr>
            <w:tcW w:w="366" w:type="pct"/>
            <w:vMerge/>
            <w:noWrap/>
            <w:vAlign w:val="center"/>
          </w:tcPr>
          <w:p w14:paraId="73A9BE49" w14:textId="77777777" w:rsidR="00A320E6" w:rsidRDefault="00A320E6" w:rsidP="00AE0286">
            <w:pPr>
              <w:jc w:val="center"/>
              <w:rPr>
                <w:rFonts w:ascii="宋体" w:hAnsi="宋体" w:cs="宋体"/>
                <w:kern w:val="0"/>
                <w:szCs w:val="21"/>
              </w:rPr>
            </w:pPr>
          </w:p>
        </w:tc>
        <w:tc>
          <w:tcPr>
            <w:tcW w:w="360" w:type="pct"/>
            <w:vMerge/>
            <w:noWrap/>
            <w:vAlign w:val="center"/>
          </w:tcPr>
          <w:p w14:paraId="51F5E56A" w14:textId="77777777" w:rsidR="00A320E6" w:rsidRDefault="00A320E6" w:rsidP="00AE0286">
            <w:pPr>
              <w:jc w:val="center"/>
              <w:rPr>
                <w:rFonts w:ascii="宋体" w:hAnsi="宋体" w:cs="宋体"/>
                <w:kern w:val="0"/>
                <w:szCs w:val="21"/>
              </w:rPr>
            </w:pPr>
          </w:p>
        </w:tc>
        <w:tc>
          <w:tcPr>
            <w:tcW w:w="2285" w:type="pct"/>
            <w:noWrap/>
            <w:vAlign w:val="center"/>
          </w:tcPr>
          <w:p w14:paraId="616EE6C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钢筋混凝土盖板涵跨径1.5-3m</w:t>
            </w:r>
          </w:p>
        </w:tc>
        <w:tc>
          <w:tcPr>
            <w:tcW w:w="690" w:type="pct"/>
            <w:noWrap/>
            <w:vAlign w:val="center"/>
          </w:tcPr>
          <w:p w14:paraId="76974C6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255A3660" w14:textId="77777777" w:rsidR="00A320E6" w:rsidRDefault="00A320E6" w:rsidP="00AE0286">
            <w:pPr>
              <w:jc w:val="left"/>
              <w:rPr>
                <w:rFonts w:ascii="宋体" w:hAnsi="宋体" w:cs="宋体"/>
                <w:kern w:val="0"/>
                <w:szCs w:val="21"/>
              </w:rPr>
            </w:pPr>
          </w:p>
        </w:tc>
      </w:tr>
      <w:tr w:rsidR="00090867" w14:paraId="28DB5B3C" w14:textId="77777777" w:rsidTr="00320C3C">
        <w:trPr>
          <w:trHeight w:val="283"/>
          <w:jc w:val="center"/>
        </w:trPr>
        <w:tc>
          <w:tcPr>
            <w:tcW w:w="366" w:type="pct"/>
            <w:vMerge/>
            <w:noWrap/>
            <w:vAlign w:val="center"/>
          </w:tcPr>
          <w:p w14:paraId="35BBBAC2" w14:textId="77777777" w:rsidR="00A320E6" w:rsidRDefault="00A320E6" w:rsidP="00AE0286">
            <w:pPr>
              <w:jc w:val="center"/>
              <w:rPr>
                <w:rFonts w:ascii="宋体" w:hAnsi="宋体" w:cs="宋体"/>
                <w:kern w:val="0"/>
                <w:szCs w:val="21"/>
              </w:rPr>
            </w:pPr>
          </w:p>
        </w:tc>
        <w:tc>
          <w:tcPr>
            <w:tcW w:w="360" w:type="pct"/>
            <w:vMerge/>
            <w:noWrap/>
            <w:vAlign w:val="center"/>
          </w:tcPr>
          <w:p w14:paraId="7DF87685" w14:textId="77777777" w:rsidR="00A320E6" w:rsidRDefault="00A320E6" w:rsidP="00AE0286">
            <w:pPr>
              <w:jc w:val="center"/>
              <w:rPr>
                <w:rFonts w:ascii="宋体" w:hAnsi="宋体" w:cs="宋体"/>
                <w:kern w:val="0"/>
                <w:szCs w:val="21"/>
              </w:rPr>
            </w:pPr>
          </w:p>
        </w:tc>
        <w:tc>
          <w:tcPr>
            <w:tcW w:w="2285" w:type="pct"/>
            <w:noWrap/>
            <w:vAlign w:val="center"/>
          </w:tcPr>
          <w:p w14:paraId="3FE7C88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钢筋混凝土盖板涵跨径3-4m</w:t>
            </w:r>
          </w:p>
        </w:tc>
        <w:tc>
          <w:tcPr>
            <w:tcW w:w="690" w:type="pct"/>
            <w:noWrap/>
            <w:vAlign w:val="center"/>
          </w:tcPr>
          <w:p w14:paraId="3A0582F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007F25D7" w14:textId="77777777" w:rsidR="00A320E6" w:rsidRDefault="00A320E6" w:rsidP="00AE0286">
            <w:pPr>
              <w:jc w:val="left"/>
              <w:rPr>
                <w:rFonts w:ascii="宋体" w:hAnsi="宋体" w:cs="宋体"/>
                <w:kern w:val="0"/>
                <w:szCs w:val="21"/>
              </w:rPr>
            </w:pPr>
          </w:p>
        </w:tc>
      </w:tr>
      <w:tr w:rsidR="00090867" w14:paraId="4A4DBFA1" w14:textId="77777777" w:rsidTr="00320C3C">
        <w:trPr>
          <w:trHeight w:val="283"/>
          <w:jc w:val="center"/>
        </w:trPr>
        <w:tc>
          <w:tcPr>
            <w:tcW w:w="366" w:type="pct"/>
            <w:vMerge w:val="restart"/>
            <w:noWrap/>
            <w:vAlign w:val="center"/>
          </w:tcPr>
          <w:p w14:paraId="0247D42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10</w:t>
            </w:r>
          </w:p>
        </w:tc>
        <w:tc>
          <w:tcPr>
            <w:tcW w:w="360" w:type="pct"/>
            <w:vMerge w:val="restart"/>
            <w:noWrap/>
            <w:vAlign w:val="center"/>
          </w:tcPr>
          <w:p w14:paraId="18A1D856"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台田</w:t>
            </w:r>
            <w:r>
              <w:rPr>
                <w:rStyle w:val="font41"/>
                <w:rFonts w:hint="default"/>
                <w:sz w:val="21"/>
                <w:szCs w:val="21"/>
                <w:lang w:bidi="ar"/>
              </w:rPr>
              <w:t>石堰</w:t>
            </w:r>
          </w:p>
        </w:tc>
        <w:tc>
          <w:tcPr>
            <w:tcW w:w="2285" w:type="pct"/>
            <w:noWrap/>
            <w:vAlign w:val="center"/>
          </w:tcPr>
          <w:p w14:paraId="13F50B0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1m</w:t>
            </w:r>
            <w:r>
              <w:rPr>
                <w:rStyle w:val="font41"/>
                <w:rFonts w:hint="default"/>
                <w:sz w:val="21"/>
                <w:szCs w:val="21"/>
                <w:lang w:bidi="ar"/>
              </w:rPr>
              <w:t>以上</w:t>
            </w:r>
          </w:p>
        </w:tc>
        <w:tc>
          <w:tcPr>
            <w:tcW w:w="690" w:type="pct"/>
            <w:noWrap/>
            <w:vAlign w:val="center"/>
          </w:tcPr>
          <w:p w14:paraId="3AB447E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val="restart"/>
            <w:noWrap/>
            <w:vAlign w:val="center"/>
          </w:tcPr>
          <w:p w14:paraId="3137F20E" w14:textId="77777777" w:rsidR="00A320E6" w:rsidRDefault="00A320E6" w:rsidP="00AE0286">
            <w:pPr>
              <w:jc w:val="left"/>
              <w:rPr>
                <w:rFonts w:ascii="宋体" w:hAnsi="宋体" w:cs="宋体"/>
                <w:kern w:val="0"/>
                <w:szCs w:val="21"/>
              </w:rPr>
            </w:pPr>
          </w:p>
        </w:tc>
      </w:tr>
      <w:tr w:rsidR="00090867" w14:paraId="575DAEFF" w14:textId="77777777" w:rsidTr="00320C3C">
        <w:trPr>
          <w:trHeight w:val="283"/>
          <w:jc w:val="center"/>
        </w:trPr>
        <w:tc>
          <w:tcPr>
            <w:tcW w:w="366" w:type="pct"/>
            <w:vMerge/>
            <w:noWrap/>
            <w:vAlign w:val="center"/>
          </w:tcPr>
          <w:p w14:paraId="23BD5457" w14:textId="77777777" w:rsidR="00A320E6" w:rsidRDefault="00A320E6" w:rsidP="00AE0286">
            <w:pPr>
              <w:jc w:val="center"/>
              <w:rPr>
                <w:rFonts w:ascii="宋体" w:hAnsi="宋体" w:cs="宋体"/>
                <w:kern w:val="0"/>
                <w:szCs w:val="21"/>
              </w:rPr>
            </w:pPr>
          </w:p>
        </w:tc>
        <w:tc>
          <w:tcPr>
            <w:tcW w:w="360" w:type="pct"/>
            <w:vMerge/>
            <w:noWrap/>
            <w:vAlign w:val="center"/>
          </w:tcPr>
          <w:p w14:paraId="315940B5" w14:textId="77777777" w:rsidR="00A320E6" w:rsidRDefault="00A320E6" w:rsidP="00AE0286">
            <w:pPr>
              <w:jc w:val="center"/>
              <w:rPr>
                <w:rFonts w:ascii="宋体" w:hAnsi="宋体" w:cs="宋体"/>
                <w:kern w:val="0"/>
                <w:szCs w:val="21"/>
              </w:rPr>
            </w:pPr>
          </w:p>
        </w:tc>
        <w:tc>
          <w:tcPr>
            <w:tcW w:w="2285" w:type="pct"/>
            <w:noWrap/>
            <w:vAlign w:val="center"/>
          </w:tcPr>
          <w:p w14:paraId="481434F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1m</w:t>
            </w:r>
            <w:r>
              <w:rPr>
                <w:rStyle w:val="font41"/>
                <w:rFonts w:hint="default"/>
                <w:sz w:val="21"/>
                <w:szCs w:val="21"/>
                <w:lang w:bidi="ar"/>
              </w:rPr>
              <w:t>以下</w:t>
            </w:r>
          </w:p>
        </w:tc>
        <w:tc>
          <w:tcPr>
            <w:tcW w:w="690" w:type="pct"/>
            <w:noWrap/>
            <w:vAlign w:val="center"/>
          </w:tcPr>
          <w:p w14:paraId="4A4015E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17955800" w14:textId="77777777" w:rsidR="00A320E6" w:rsidRDefault="00A320E6" w:rsidP="00AE0286">
            <w:pPr>
              <w:jc w:val="left"/>
              <w:rPr>
                <w:rFonts w:ascii="宋体" w:hAnsi="宋体" w:cs="宋体"/>
                <w:kern w:val="0"/>
                <w:szCs w:val="21"/>
              </w:rPr>
            </w:pPr>
          </w:p>
        </w:tc>
      </w:tr>
      <w:tr w:rsidR="00090867" w14:paraId="367D2E7F" w14:textId="77777777" w:rsidTr="00320C3C">
        <w:trPr>
          <w:trHeight w:val="283"/>
          <w:jc w:val="center"/>
        </w:trPr>
        <w:tc>
          <w:tcPr>
            <w:tcW w:w="366" w:type="pct"/>
            <w:vMerge w:val="restart"/>
            <w:noWrap/>
            <w:vAlign w:val="center"/>
          </w:tcPr>
          <w:p w14:paraId="400F52EA"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11</w:t>
            </w:r>
          </w:p>
        </w:tc>
        <w:tc>
          <w:tcPr>
            <w:tcW w:w="360" w:type="pct"/>
            <w:vMerge w:val="restart"/>
            <w:noWrap/>
            <w:vAlign w:val="center"/>
          </w:tcPr>
          <w:p w14:paraId="26ECB287"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水渠</w:t>
            </w:r>
            <w:r>
              <w:rPr>
                <w:rStyle w:val="font41"/>
                <w:rFonts w:hint="default"/>
                <w:sz w:val="21"/>
                <w:szCs w:val="21"/>
                <w:lang w:bidi="ar"/>
              </w:rPr>
              <w:t>水池</w:t>
            </w:r>
          </w:p>
        </w:tc>
        <w:tc>
          <w:tcPr>
            <w:tcW w:w="2285" w:type="pct"/>
            <w:noWrap/>
            <w:vAlign w:val="center"/>
          </w:tcPr>
          <w:p w14:paraId="61899E8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土筑水渠、水池</w:t>
            </w:r>
          </w:p>
        </w:tc>
        <w:tc>
          <w:tcPr>
            <w:tcW w:w="690" w:type="pct"/>
            <w:noWrap/>
            <w:vAlign w:val="center"/>
          </w:tcPr>
          <w:p w14:paraId="7792EDA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r>
              <w:rPr>
                <w:rStyle w:val="font61"/>
                <w:rFonts w:hint="default"/>
                <w:sz w:val="21"/>
                <w:szCs w:val="21"/>
                <w:lang w:bidi="ar"/>
              </w:rPr>
              <w:t>元</w:t>
            </w:r>
            <w:r>
              <w:rPr>
                <w:rStyle w:val="font51"/>
                <w:rFonts w:ascii="宋体" w:eastAsia="宋体" w:cs="宋体" w:hint="eastAsia"/>
                <w:sz w:val="21"/>
                <w:szCs w:val="21"/>
                <w:lang w:bidi="ar"/>
              </w:rPr>
              <w:t>/m³</w:t>
            </w:r>
          </w:p>
        </w:tc>
        <w:tc>
          <w:tcPr>
            <w:tcW w:w="1299" w:type="pct"/>
            <w:vMerge w:val="restart"/>
            <w:noWrap/>
            <w:vAlign w:val="center"/>
          </w:tcPr>
          <w:p w14:paraId="5AB3958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w:t>
            </w:r>
            <w:r>
              <w:rPr>
                <w:rStyle w:val="font41"/>
                <w:rFonts w:hint="default"/>
                <w:sz w:val="21"/>
                <w:szCs w:val="21"/>
                <w:lang w:bidi="ar"/>
              </w:rPr>
              <w:t>不包括田间毛渠。</w:t>
            </w:r>
            <w:r>
              <w:rPr>
                <w:rFonts w:ascii="宋体" w:hAnsi="宋体" w:cs="宋体" w:hint="eastAsia"/>
                <w:color w:val="000000"/>
                <w:kern w:val="0"/>
                <w:szCs w:val="21"/>
                <w:lang w:bidi="ar"/>
              </w:rPr>
              <w:t>2.</w:t>
            </w:r>
            <w:r>
              <w:rPr>
                <w:rStyle w:val="font41"/>
                <w:rFonts w:hint="default"/>
                <w:sz w:val="21"/>
                <w:szCs w:val="21"/>
                <w:lang w:bidi="ar"/>
              </w:rPr>
              <w:t>按挖方体积计算。</w:t>
            </w:r>
          </w:p>
        </w:tc>
      </w:tr>
      <w:tr w:rsidR="00090867" w14:paraId="4264BC02" w14:textId="77777777" w:rsidTr="00320C3C">
        <w:trPr>
          <w:trHeight w:val="283"/>
          <w:jc w:val="center"/>
        </w:trPr>
        <w:tc>
          <w:tcPr>
            <w:tcW w:w="366" w:type="pct"/>
            <w:vMerge/>
            <w:noWrap/>
            <w:vAlign w:val="center"/>
          </w:tcPr>
          <w:p w14:paraId="7B6D83AB" w14:textId="77777777" w:rsidR="00A320E6" w:rsidRDefault="00A320E6" w:rsidP="00AE0286">
            <w:pPr>
              <w:jc w:val="center"/>
              <w:rPr>
                <w:rFonts w:ascii="宋体" w:hAnsi="宋体" w:cs="宋体"/>
                <w:kern w:val="0"/>
                <w:szCs w:val="21"/>
              </w:rPr>
            </w:pPr>
          </w:p>
        </w:tc>
        <w:tc>
          <w:tcPr>
            <w:tcW w:w="360" w:type="pct"/>
            <w:vMerge/>
            <w:noWrap/>
            <w:vAlign w:val="center"/>
          </w:tcPr>
          <w:p w14:paraId="3361268A" w14:textId="77777777" w:rsidR="00A320E6" w:rsidRDefault="00A320E6" w:rsidP="00AE0286">
            <w:pPr>
              <w:jc w:val="center"/>
              <w:rPr>
                <w:rFonts w:ascii="宋体" w:hAnsi="宋体" w:cs="宋体"/>
                <w:kern w:val="0"/>
                <w:szCs w:val="21"/>
              </w:rPr>
            </w:pPr>
          </w:p>
        </w:tc>
        <w:tc>
          <w:tcPr>
            <w:tcW w:w="2285" w:type="pct"/>
            <w:noWrap/>
            <w:vAlign w:val="center"/>
          </w:tcPr>
          <w:p w14:paraId="311059D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石砌水渠、水池</w:t>
            </w:r>
          </w:p>
        </w:tc>
        <w:tc>
          <w:tcPr>
            <w:tcW w:w="690" w:type="pct"/>
            <w:noWrap/>
            <w:vAlign w:val="center"/>
          </w:tcPr>
          <w:p w14:paraId="5B547C6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/m³</w:t>
            </w:r>
          </w:p>
        </w:tc>
        <w:tc>
          <w:tcPr>
            <w:tcW w:w="1299" w:type="pct"/>
            <w:vMerge/>
            <w:noWrap/>
            <w:vAlign w:val="center"/>
          </w:tcPr>
          <w:p w14:paraId="533564B1" w14:textId="77777777" w:rsidR="00A320E6" w:rsidRDefault="00A320E6" w:rsidP="00AE0286">
            <w:pPr>
              <w:jc w:val="left"/>
              <w:rPr>
                <w:rFonts w:ascii="宋体" w:hAnsi="宋体" w:cs="宋体"/>
                <w:kern w:val="0"/>
                <w:szCs w:val="21"/>
              </w:rPr>
            </w:pPr>
          </w:p>
        </w:tc>
      </w:tr>
      <w:tr w:rsidR="00090867" w14:paraId="3C3CAFFB" w14:textId="77777777" w:rsidTr="00320C3C">
        <w:trPr>
          <w:trHeight w:val="283"/>
          <w:jc w:val="center"/>
        </w:trPr>
        <w:tc>
          <w:tcPr>
            <w:tcW w:w="366" w:type="pct"/>
            <w:vMerge/>
            <w:noWrap/>
            <w:vAlign w:val="center"/>
          </w:tcPr>
          <w:p w14:paraId="2D8D6D2C" w14:textId="77777777" w:rsidR="00A320E6" w:rsidRDefault="00A320E6" w:rsidP="00AE0286">
            <w:pPr>
              <w:jc w:val="center"/>
              <w:rPr>
                <w:rFonts w:ascii="宋体" w:hAnsi="宋体" w:cs="宋体"/>
                <w:kern w:val="0"/>
                <w:szCs w:val="21"/>
              </w:rPr>
            </w:pPr>
          </w:p>
        </w:tc>
        <w:tc>
          <w:tcPr>
            <w:tcW w:w="360" w:type="pct"/>
            <w:vMerge/>
            <w:noWrap/>
            <w:vAlign w:val="center"/>
          </w:tcPr>
          <w:p w14:paraId="25A1FFA9" w14:textId="77777777" w:rsidR="00A320E6" w:rsidRDefault="00A320E6" w:rsidP="00AE0286">
            <w:pPr>
              <w:jc w:val="center"/>
              <w:rPr>
                <w:rFonts w:ascii="宋体" w:hAnsi="宋体" w:cs="宋体"/>
                <w:kern w:val="0"/>
                <w:szCs w:val="21"/>
              </w:rPr>
            </w:pPr>
          </w:p>
        </w:tc>
        <w:tc>
          <w:tcPr>
            <w:tcW w:w="2285" w:type="pct"/>
            <w:noWrap/>
            <w:vAlign w:val="center"/>
          </w:tcPr>
          <w:p w14:paraId="52D9C59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砖砌水渠、水池</w:t>
            </w:r>
          </w:p>
        </w:tc>
        <w:tc>
          <w:tcPr>
            <w:tcW w:w="690" w:type="pct"/>
            <w:noWrap/>
            <w:vAlign w:val="center"/>
          </w:tcPr>
          <w:p w14:paraId="077E31D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w:t>
            </w:r>
            <w:r>
              <w:rPr>
                <w:rStyle w:val="font61"/>
                <w:rFonts w:hint="default"/>
                <w:sz w:val="21"/>
                <w:szCs w:val="21"/>
                <w:lang w:bidi="ar"/>
              </w:rPr>
              <w:t>元</w:t>
            </w:r>
            <w:r>
              <w:rPr>
                <w:rStyle w:val="font51"/>
                <w:rFonts w:ascii="宋体" w:eastAsia="宋体" w:cs="宋体" w:hint="eastAsia"/>
                <w:sz w:val="21"/>
                <w:szCs w:val="21"/>
                <w:lang w:bidi="ar"/>
              </w:rPr>
              <w:t>/m³</w:t>
            </w:r>
          </w:p>
        </w:tc>
        <w:tc>
          <w:tcPr>
            <w:tcW w:w="1299" w:type="pct"/>
            <w:vMerge/>
            <w:noWrap/>
            <w:vAlign w:val="center"/>
          </w:tcPr>
          <w:p w14:paraId="0F4A9B83" w14:textId="77777777" w:rsidR="00A320E6" w:rsidRDefault="00A320E6" w:rsidP="00AE0286">
            <w:pPr>
              <w:jc w:val="left"/>
              <w:rPr>
                <w:rFonts w:ascii="宋体" w:hAnsi="宋体" w:cs="宋体"/>
                <w:kern w:val="0"/>
                <w:szCs w:val="21"/>
              </w:rPr>
            </w:pPr>
          </w:p>
        </w:tc>
      </w:tr>
      <w:tr w:rsidR="00090867" w14:paraId="0DCAF649" w14:textId="77777777" w:rsidTr="00320C3C">
        <w:trPr>
          <w:trHeight w:val="283"/>
          <w:jc w:val="center"/>
        </w:trPr>
        <w:tc>
          <w:tcPr>
            <w:tcW w:w="366" w:type="pct"/>
            <w:vMerge w:val="restart"/>
            <w:noWrap/>
            <w:vAlign w:val="center"/>
          </w:tcPr>
          <w:p w14:paraId="7F37FD48"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12</w:t>
            </w:r>
          </w:p>
        </w:tc>
        <w:tc>
          <w:tcPr>
            <w:tcW w:w="360" w:type="pct"/>
            <w:vMerge w:val="restart"/>
            <w:noWrap/>
            <w:vAlign w:val="center"/>
          </w:tcPr>
          <w:p w14:paraId="21FCAFD7"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地面</w:t>
            </w:r>
          </w:p>
        </w:tc>
        <w:tc>
          <w:tcPr>
            <w:tcW w:w="2285" w:type="pct"/>
            <w:noWrap/>
            <w:vAlign w:val="center"/>
          </w:tcPr>
          <w:p w14:paraId="75F2882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水泥地面</w:t>
            </w:r>
          </w:p>
        </w:tc>
        <w:tc>
          <w:tcPr>
            <w:tcW w:w="690" w:type="pct"/>
            <w:noWrap/>
            <w:vAlign w:val="center"/>
          </w:tcPr>
          <w:p w14:paraId="745EDB3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val="restart"/>
            <w:noWrap/>
            <w:vAlign w:val="center"/>
          </w:tcPr>
          <w:p w14:paraId="760DE30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r>
              <w:rPr>
                <w:rStyle w:val="font41"/>
                <w:rFonts w:hint="default"/>
                <w:sz w:val="21"/>
                <w:szCs w:val="21"/>
                <w:lang w:bidi="ar"/>
              </w:rPr>
              <w:t>。</w:t>
            </w:r>
          </w:p>
        </w:tc>
      </w:tr>
      <w:tr w:rsidR="00090867" w14:paraId="15563531" w14:textId="77777777" w:rsidTr="00320C3C">
        <w:trPr>
          <w:trHeight w:val="283"/>
          <w:jc w:val="center"/>
        </w:trPr>
        <w:tc>
          <w:tcPr>
            <w:tcW w:w="366" w:type="pct"/>
            <w:vMerge/>
            <w:noWrap/>
            <w:vAlign w:val="center"/>
          </w:tcPr>
          <w:p w14:paraId="3E56FC4D" w14:textId="77777777" w:rsidR="00A320E6" w:rsidRDefault="00A320E6" w:rsidP="00AE0286">
            <w:pPr>
              <w:jc w:val="center"/>
              <w:rPr>
                <w:rFonts w:ascii="宋体" w:hAnsi="宋体" w:cs="宋体"/>
                <w:kern w:val="0"/>
                <w:szCs w:val="21"/>
              </w:rPr>
            </w:pPr>
          </w:p>
        </w:tc>
        <w:tc>
          <w:tcPr>
            <w:tcW w:w="360" w:type="pct"/>
            <w:vMerge/>
            <w:noWrap/>
            <w:vAlign w:val="center"/>
          </w:tcPr>
          <w:p w14:paraId="2A19EF24" w14:textId="77777777" w:rsidR="00A320E6" w:rsidRDefault="00A320E6" w:rsidP="00AE0286">
            <w:pPr>
              <w:jc w:val="center"/>
              <w:rPr>
                <w:rFonts w:ascii="宋体" w:hAnsi="宋体" w:cs="宋体"/>
                <w:kern w:val="0"/>
                <w:szCs w:val="21"/>
              </w:rPr>
            </w:pPr>
          </w:p>
        </w:tc>
        <w:tc>
          <w:tcPr>
            <w:tcW w:w="2285" w:type="pct"/>
            <w:noWrap/>
            <w:vAlign w:val="center"/>
          </w:tcPr>
          <w:p w14:paraId="3FF7F16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花砖地面</w:t>
            </w:r>
          </w:p>
        </w:tc>
        <w:tc>
          <w:tcPr>
            <w:tcW w:w="690" w:type="pct"/>
            <w:noWrap/>
            <w:vAlign w:val="center"/>
          </w:tcPr>
          <w:p w14:paraId="25F4AE2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36CA98D7" w14:textId="77777777" w:rsidR="00A320E6" w:rsidRDefault="00A320E6" w:rsidP="00AE0286">
            <w:pPr>
              <w:jc w:val="left"/>
              <w:rPr>
                <w:rFonts w:ascii="宋体" w:hAnsi="宋体" w:cs="宋体"/>
                <w:kern w:val="0"/>
                <w:szCs w:val="21"/>
              </w:rPr>
            </w:pPr>
          </w:p>
        </w:tc>
      </w:tr>
      <w:tr w:rsidR="00090867" w14:paraId="729AF62A" w14:textId="77777777" w:rsidTr="00320C3C">
        <w:trPr>
          <w:trHeight w:val="283"/>
          <w:jc w:val="center"/>
        </w:trPr>
        <w:tc>
          <w:tcPr>
            <w:tcW w:w="366" w:type="pct"/>
            <w:vMerge/>
            <w:noWrap/>
            <w:vAlign w:val="center"/>
          </w:tcPr>
          <w:p w14:paraId="27435E69" w14:textId="77777777" w:rsidR="00A320E6" w:rsidRDefault="00A320E6" w:rsidP="00AE0286">
            <w:pPr>
              <w:jc w:val="center"/>
              <w:rPr>
                <w:rFonts w:ascii="宋体" w:hAnsi="宋体" w:cs="宋体"/>
                <w:kern w:val="0"/>
                <w:szCs w:val="21"/>
              </w:rPr>
            </w:pPr>
          </w:p>
        </w:tc>
        <w:tc>
          <w:tcPr>
            <w:tcW w:w="360" w:type="pct"/>
            <w:vMerge/>
            <w:noWrap/>
            <w:vAlign w:val="center"/>
          </w:tcPr>
          <w:p w14:paraId="5E89B22B" w14:textId="77777777" w:rsidR="00A320E6" w:rsidRDefault="00A320E6" w:rsidP="00AE0286">
            <w:pPr>
              <w:jc w:val="center"/>
              <w:rPr>
                <w:rFonts w:ascii="宋体" w:hAnsi="宋体" w:cs="宋体"/>
                <w:kern w:val="0"/>
                <w:szCs w:val="21"/>
              </w:rPr>
            </w:pPr>
          </w:p>
        </w:tc>
        <w:tc>
          <w:tcPr>
            <w:tcW w:w="2285" w:type="pct"/>
            <w:noWrap/>
            <w:vAlign w:val="center"/>
          </w:tcPr>
          <w:p w14:paraId="6384F52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水泥路面</w:t>
            </w:r>
          </w:p>
        </w:tc>
        <w:tc>
          <w:tcPr>
            <w:tcW w:w="690" w:type="pct"/>
            <w:noWrap/>
            <w:vAlign w:val="center"/>
          </w:tcPr>
          <w:p w14:paraId="7EBE020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w:t>
            </w:r>
          </w:p>
        </w:tc>
        <w:tc>
          <w:tcPr>
            <w:tcW w:w="1299" w:type="pct"/>
            <w:vMerge/>
            <w:noWrap/>
            <w:vAlign w:val="center"/>
          </w:tcPr>
          <w:p w14:paraId="5A61BCF5" w14:textId="77777777" w:rsidR="00A320E6" w:rsidRDefault="00A320E6" w:rsidP="00AE0286">
            <w:pPr>
              <w:jc w:val="left"/>
              <w:rPr>
                <w:rFonts w:ascii="宋体" w:hAnsi="宋体" w:cs="宋体"/>
                <w:kern w:val="0"/>
                <w:szCs w:val="21"/>
              </w:rPr>
            </w:pPr>
          </w:p>
        </w:tc>
      </w:tr>
      <w:tr w:rsidR="00090867" w14:paraId="297D4323" w14:textId="77777777" w:rsidTr="00320C3C">
        <w:trPr>
          <w:trHeight w:val="283"/>
          <w:jc w:val="center"/>
        </w:trPr>
        <w:tc>
          <w:tcPr>
            <w:tcW w:w="366" w:type="pct"/>
            <w:vMerge w:val="restart"/>
            <w:noWrap/>
            <w:vAlign w:val="center"/>
          </w:tcPr>
          <w:p w14:paraId="3DE2B06E"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13</w:t>
            </w:r>
          </w:p>
        </w:tc>
        <w:tc>
          <w:tcPr>
            <w:tcW w:w="360" w:type="pct"/>
            <w:vMerge w:val="restart"/>
            <w:noWrap/>
            <w:vAlign w:val="center"/>
          </w:tcPr>
          <w:p w14:paraId="3C973983"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水井</w:t>
            </w:r>
          </w:p>
        </w:tc>
        <w:tc>
          <w:tcPr>
            <w:tcW w:w="2285" w:type="pct"/>
            <w:noWrap/>
            <w:vAlign w:val="center"/>
          </w:tcPr>
          <w:p w14:paraId="1086305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手压井</w:t>
            </w:r>
          </w:p>
        </w:tc>
        <w:tc>
          <w:tcPr>
            <w:tcW w:w="690" w:type="pct"/>
            <w:noWrap/>
            <w:vAlign w:val="center"/>
          </w:tcPr>
          <w:p w14:paraId="06F9DDC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390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眼</w:t>
            </w:r>
          </w:p>
        </w:tc>
        <w:tc>
          <w:tcPr>
            <w:tcW w:w="1299" w:type="pct"/>
            <w:vMerge w:val="restart"/>
            <w:noWrap/>
            <w:vAlign w:val="center"/>
          </w:tcPr>
          <w:p w14:paraId="3ABD5F5A"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41"/>
                <w:rFonts w:hint="default"/>
                <w:sz w:val="21"/>
                <w:szCs w:val="21"/>
                <w:lang w:bidi="ar"/>
              </w:rPr>
              <w:t>水井补偿包括开凿工程用料及用工等费用。</w:t>
            </w:r>
            <w:r>
              <w:rPr>
                <w:rFonts w:ascii="宋体" w:hAnsi="宋体" w:cs="宋体" w:hint="eastAsia"/>
                <w:color w:val="000000"/>
                <w:kern w:val="0"/>
                <w:szCs w:val="21"/>
                <w:lang w:bidi="ar"/>
              </w:rPr>
              <w:t>2.</w:t>
            </w:r>
            <w:r>
              <w:rPr>
                <w:rStyle w:val="font41"/>
                <w:rFonts w:hint="default"/>
                <w:sz w:val="21"/>
                <w:szCs w:val="21"/>
                <w:lang w:bidi="ar"/>
              </w:rPr>
              <w:t>废、枯井按同类井补偿标准</w:t>
            </w:r>
            <w:r>
              <w:rPr>
                <w:rFonts w:ascii="宋体" w:hAnsi="宋体" w:cs="宋体" w:hint="eastAsia"/>
                <w:color w:val="000000"/>
                <w:kern w:val="0"/>
                <w:szCs w:val="21"/>
                <w:lang w:bidi="ar"/>
              </w:rPr>
              <w:t>30-50</w:t>
            </w:r>
            <w:r>
              <w:rPr>
                <w:rStyle w:val="font41"/>
                <w:rFonts w:hint="default"/>
                <w:sz w:val="21"/>
                <w:szCs w:val="21"/>
                <w:lang w:bidi="ar"/>
              </w:rPr>
              <w:t>％补偿。</w:t>
            </w:r>
          </w:p>
          <w:p w14:paraId="0DFFCD8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w:t>
            </w:r>
            <w:r>
              <w:rPr>
                <w:rStyle w:val="font41"/>
                <w:rFonts w:hint="default"/>
                <w:sz w:val="21"/>
                <w:szCs w:val="21"/>
                <w:lang w:bidi="ar"/>
              </w:rPr>
              <w:t>机井按井深分段计算补偿。</w:t>
            </w:r>
          </w:p>
        </w:tc>
      </w:tr>
      <w:tr w:rsidR="00090867" w14:paraId="3FC238F3" w14:textId="77777777" w:rsidTr="00320C3C">
        <w:trPr>
          <w:trHeight w:val="283"/>
          <w:jc w:val="center"/>
        </w:trPr>
        <w:tc>
          <w:tcPr>
            <w:tcW w:w="366" w:type="pct"/>
            <w:vMerge/>
            <w:noWrap/>
            <w:vAlign w:val="center"/>
          </w:tcPr>
          <w:p w14:paraId="45854FEF" w14:textId="77777777" w:rsidR="00A320E6" w:rsidRDefault="00A320E6" w:rsidP="00AE0286">
            <w:pPr>
              <w:jc w:val="center"/>
              <w:rPr>
                <w:rFonts w:ascii="宋体" w:hAnsi="宋体" w:cs="宋体"/>
                <w:kern w:val="0"/>
                <w:szCs w:val="21"/>
              </w:rPr>
            </w:pPr>
          </w:p>
        </w:tc>
        <w:tc>
          <w:tcPr>
            <w:tcW w:w="360" w:type="pct"/>
            <w:vMerge/>
            <w:noWrap/>
            <w:vAlign w:val="center"/>
          </w:tcPr>
          <w:p w14:paraId="265862D6" w14:textId="77777777" w:rsidR="00A320E6" w:rsidRDefault="00A320E6" w:rsidP="00AE0286">
            <w:pPr>
              <w:jc w:val="center"/>
              <w:rPr>
                <w:rFonts w:ascii="宋体" w:hAnsi="宋体" w:cs="宋体"/>
                <w:kern w:val="0"/>
                <w:szCs w:val="21"/>
              </w:rPr>
            </w:pPr>
          </w:p>
        </w:tc>
        <w:tc>
          <w:tcPr>
            <w:tcW w:w="2285" w:type="pct"/>
            <w:noWrap/>
            <w:vAlign w:val="center"/>
          </w:tcPr>
          <w:p w14:paraId="27D46B8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土井：直径1.2m</w:t>
            </w:r>
          </w:p>
        </w:tc>
        <w:tc>
          <w:tcPr>
            <w:tcW w:w="690" w:type="pct"/>
            <w:noWrap/>
            <w:vAlign w:val="center"/>
          </w:tcPr>
          <w:p w14:paraId="1B2D23C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2DC37DEA" w14:textId="77777777" w:rsidR="00A320E6" w:rsidRDefault="00A320E6" w:rsidP="00AE0286">
            <w:pPr>
              <w:jc w:val="left"/>
              <w:textAlignment w:val="center"/>
              <w:rPr>
                <w:rFonts w:ascii="宋体" w:hAnsi="宋体" w:cs="宋体"/>
                <w:kern w:val="0"/>
                <w:szCs w:val="21"/>
              </w:rPr>
            </w:pPr>
          </w:p>
        </w:tc>
      </w:tr>
      <w:tr w:rsidR="00090867" w14:paraId="2B9110FD" w14:textId="77777777" w:rsidTr="00320C3C">
        <w:trPr>
          <w:trHeight w:val="283"/>
          <w:jc w:val="center"/>
        </w:trPr>
        <w:tc>
          <w:tcPr>
            <w:tcW w:w="366" w:type="pct"/>
            <w:vMerge/>
            <w:noWrap/>
            <w:vAlign w:val="center"/>
          </w:tcPr>
          <w:p w14:paraId="190F8BEF" w14:textId="77777777" w:rsidR="00A320E6" w:rsidRDefault="00A320E6" w:rsidP="00AE0286">
            <w:pPr>
              <w:jc w:val="center"/>
              <w:rPr>
                <w:rFonts w:ascii="宋体" w:hAnsi="宋体" w:cs="宋体"/>
                <w:kern w:val="0"/>
                <w:szCs w:val="21"/>
              </w:rPr>
            </w:pPr>
          </w:p>
        </w:tc>
        <w:tc>
          <w:tcPr>
            <w:tcW w:w="360" w:type="pct"/>
            <w:vMerge/>
            <w:noWrap/>
            <w:vAlign w:val="center"/>
          </w:tcPr>
          <w:p w14:paraId="04781882" w14:textId="77777777" w:rsidR="00A320E6" w:rsidRDefault="00A320E6" w:rsidP="00AE0286">
            <w:pPr>
              <w:jc w:val="center"/>
              <w:rPr>
                <w:rFonts w:ascii="宋体" w:hAnsi="宋体" w:cs="宋体"/>
                <w:kern w:val="0"/>
                <w:szCs w:val="21"/>
              </w:rPr>
            </w:pPr>
          </w:p>
        </w:tc>
        <w:tc>
          <w:tcPr>
            <w:tcW w:w="2285" w:type="pct"/>
            <w:noWrap/>
            <w:vAlign w:val="center"/>
          </w:tcPr>
          <w:p w14:paraId="0E50EE0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砖井（包括乱石井）</w:t>
            </w:r>
            <w:r>
              <w:rPr>
                <w:rStyle w:val="font41"/>
                <w:rFonts w:hint="default"/>
                <w:sz w:val="21"/>
                <w:szCs w:val="21"/>
                <w:lang w:bidi="ar"/>
              </w:rPr>
              <w:t>：深</w:t>
            </w:r>
            <w:r>
              <w:rPr>
                <w:rFonts w:ascii="宋体" w:hAnsi="宋体" w:cs="宋体" w:hint="eastAsia"/>
                <w:color w:val="000000"/>
                <w:kern w:val="0"/>
                <w:szCs w:val="21"/>
                <w:lang w:bidi="ar"/>
              </w:rPr>
              <w:t>5-10m</w:t>
            </w:r>
            <w:r>
              <w:rPr>
                <w:rStyle w:val="font41"/>
                <w:rFonts w:hint="default"/>
                <w:sz w:val="21"/>
                <w:szCs w:val="21"/>
                <w:lang w:bidi="ar"/>
              </w:rPr>
              <w:t>直径</w:t>
            </w:r>
            <w:r>
              <w:rPr>
                <w:rFonts w:ascii="宋体" w:hAnsi="宋体" w:cs="宋体" w:hint="eastAsia"/>
                <w:color w:val="000000"/>
                <w:kern w:val="0"/>
                <w:szCs w:val="21"/>
                <w:lang w:bidi="ar"/>
              </w:rPr>
              <w:t>1.5m</w:t>
            </w:r>
          </w:p>
        </w:tc>
        <w:tc>
          <w:tcPr>
            <w:tcW w:w="690" w:type="pct"/>
            <w:noWrap/>
            <w:vAlign w:val="center"/>
          </w:tcPr>
          <w:p w14:paraId="51C90C6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3900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 xml:space="preserve">口　</w:t>
            </w:r>
          </w:p>
        </w:tc>
        <w:tc>
          <w:tcPr>
            <w:tcW w:w="1299" w:type="pct"/>
            <w:vMerge/>
            <w:noWrap/>
            <w:vAlign w:val="center"/>
          </w:tcPr>
          <w:p w14:paraId="28ED1D7D" w14:textId="77777777" w:rsidR="00A320E6" w:rsidRDefault="00A320E6" w:rsidP="00AE0286">
            <w:pPr>
              <w:rPr>
                <w:rFonts w:ascii="宋体" w:hAnsi="宋体" w:cs="宋体"/>
                <w:kern w:val="0"/>
                <w:szCs w:val="21"/>
              </w:rPr>
            </w:pPr>
          </w:p>
        </w:tc>
      </w:tr>
      <w:tr w:rsidR="00090867" w14:paraId="737A2127" w14:textId="77777777" w:rsidTr="00320C3C">
        <w:trPr>
          <w:trHeight w:val="283"/>
          <w:jc w:val="center"/>
        </w:trPr>
        <w:tc>
          <w:tcPr>
            <w:tcW w:w="366" w:type="pct"/>
            <w:vMerge/>
            <w:noWrap/>
            <w:vAlign w:val="center"/>
          </w:tcPr>
          <w:p w14:paraId="774585CF" w14:textId="77777777" w:rsidR="00A320E6" w:rsidRDefault="00A320E6" w:rsidP="00AE0286">
            <w:pPr>
              <w:jc w:val="center"/>
              <w:rPr>
                <w:rFonts w:ascii="宋体" w:hAnsi="宋体" w:cs="宋体"/>
                <w:kern w:val="0"/>
                <w:szCs w:val="21"/>
              </w:rPr>
            </w:pPr>
          </w:p>
        </w:tc>
        <w:tc>
          <w:tcPr>
            <w:tcW w:w="360" w:type="pct"/>
            <w:vMerge/>
            <w:noWrap/>
            <w:vAlign w:val="center"/>
          </w:tcPr>
          <w:p w14:paraId="412B567A" w14:textId="77777777" w:rsidR="00A320E6" w:rsidRDefault="00A320E6" w:rsidP="00AE0286">
            <w:pPr>
              <w:jc w:val="center"/>
              <w:rPr>
                <w:rFonts w:ascii="宋体" w:hAnsi="宋体" w:cs="宋体"/>
                <w:kern w:val="0"/>
                <w:szCs w:val="21"/>
              </w:rPr>
            </w:pPr>
          </w:p>
        </w:tc>
        <w:tc>
          <w:tcPr>
            <w:tcW w:w="2285" w:type="pct"/>
            <w:noWrap/>
            <w:vAlign w:val="center"/>
          </w:tcPr>
          <w:p w14:paraId="36A15EF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砖井（包括乱石井）</w:t>
            </w:r>
            <w:r>
              <w:rPr>
                <w:rStyle w:val="font41"/>
                <w:rFonts w:hint="default"/>
                <w:sz w:val="21"/>
                <w:szCs w:val="21"/>
                <w:lang w:bidi="ar"/>
              </w:rPr>
              <w:t>：深</w:t>
            </w:r>
            <w:r>
              <w:rPr>
                <w:rFonts w:ascii="宋体" w:hAnsi="宋体" w:cs="宋体" w:hint="eastAsia"/>
                <w:color w:val="000000"/>
                <w:kern w:val="0"/>
                <w:szCs w:val="21"/>
                <w:lang w:bidi="ar"/>
              </w:rPr>
              <w:t>10-20m</w:t>
            </w:r>
            <w:r>
              <w:rPr>
                <w:rStyle w:val="font41"/>
                <w:rFonts w:hint="default"/>
                <w:sz w:val="21"/>
                <w:szCs w:val="21"/>
                <w:lang w:bidi="ar"/>
              </w:rPr>
              <w:t>直径</w:t>
            </w:r>
            <w:r>
              <w:rPr>
                <w:rFonts w:ascii="宋体" w:hAnsi="宋体" w:cs="宋体" w:hint="eastAsia"/>
                <w:color w:val="000000"/>
                <w:kern w:val="0"/>
                <w:szCs w:val="21"/>
                <w:lang w:bidi="ar"/>
              </w:rPr>
              <w:t>2.5m</w:t>
            </w:r>
          </w:p>
        </w:tc>
        <w:tc>
          <w:tcPr>
            <w:tcW w:w="690" w:type="pct"/>
            <w:noWrap/>
            <w:vAlign w:val="center"/>
          </w:tcPr>
          <w:p w14:paraId="67C4D8A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5200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口</w:t>
            </w:r>
          </w:p>
        </w:tc>
        <w:tc>
          <w:tcPr>
            <w:tcW w:w="1299" w:type="pct"/>
            <w:vMerge/>
            <w:noWrap/>
            <w:vAlign w:val="center"/>
          </w:tcPr>
          <w:p w14:paraId="05B7B3D2" w14:textId="77777777" w:rsidR="00A320E6" w:rsidRDefault="00A320E6" w:rsidP="00AE0286">
            <w:pPr>
              <w:rPr>
                <w:rFonts w:ascii="宋体" w:hAnsi="宋体" w:cs="宋体"/>
                <w:kern w:val="0"/>
                <w:szCs w:val="21"/>
              </w:rPr>
            </w:pPr>
          </w:p>
        </w:tc>
      </w:tr>
      <w:tr w:rsidR="00090867" w14:paraId="5669B075" w14:textId="77777777" w:rsidTr="00320C3C">
        <w:trPr>
          <w:trHeight w:val="283"/>
          <w:jc w:val="center"/>
        </w:trPr>
        <w:tc>
          <w:tcPr>
            <w:tcW w:w="366" w:type="pct"/>
            <w:vMerge/>
            <w:noWrap/>
            <w:vAlign w:val="center"/>
          </w:tcPr>
          <w:p w14:paraId="2F56D945" w14:textId="77777777" w:rsidR="00A320E6" w:rsidRDefault="00A320E6" w:rsidP="00AE0286">
            <w:pPr>
              <w:jc w:val="center"/>
              <w:rPr>
                <w:rFonts w:ascii="宋体" w:hAnsi="宋体" w:cs="宋体"/>
                <w:kern w:val="0"/>
                <w:szCs w:val="21"/>
              </w:rPr>
            </w:pPr>
          </w:p>
        </w:tc>
        <w:tc>
          <w:tcPr>
            <w:tcW w:w="360" w:type="pct"/>
            <w:vMerge/>
            <w:noWrap/>
            <w:vAlign w:val="center"/>
          </w:tcPr>
          <w:p w14:paraId="31D9E889" w14:textId="77777777" w:rsidR="00A320E6" w:rsidRDefault="00A320E6" w:rsidP="00AE0286">
            <w:pPr>
              <w:jc w:val="center"/>
              <w:rPr>
                <w:rFonts w:ascii="宋体" w:hAnsi="宋体" w:cs="宋体"/>
                <w:kern w:val="0"/>
                <w:szCs w:val="21"/>
              </w:rPr>
            </w:pPr>
          </w:p>
        </w:tc>
        <w:tc>
          <w:tcPr>
            <w:tcW w:w="2285" w:type="pct"/>
            <w:noWrap/>
            <w:vAlign w:val="center"/>
          </w:tcPr>
          <w:p w14:paraId="0FBA99A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机井：深20-50m</w:t>
            </w:r>
          </w:p>
        </w:tc>
        <w:tc>
          <w:tcPr>
            <w:tcW w:w="690" w:type="pct"/>
            <w:noWrap/>
            <w:vAlign w:val="center"/>
          </w:tcPr>
          <w:p w14:paraId="04A552E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260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5569C9A5" w14:textId="77777777" w:rsidR="00A320E6" w:rsidRDefault="00A320E6" w:rsidP="00AE0286">
            <w:pPr>
              <w:rPr>
                <w:rFonts w:ascii="宋体" w:hAnsi="宋体" w:cs="宋体"/>
                <w:kern w:val="0"/>
                <w:szCs w:val="21"/>
              </w:rPr>
            </w:pPr>
          </w:p>
        </w:tc>
      </w:tr>
      <w:tr w:rsidR="00090867" w14:paraId="15CAA497" w14:textId="77777777" w:rsidTr="00320C3C">
        <w:trPr>
          <w:trHeight w:val="283"/>
          <w:jc w:val="center"/>
        </w:trPr>
        <w:tc>
          <w:tcPr>
            <w:tcW w:w="366" w:type="pct"/>
            <w:vMerge/>
            <w:noWrap/>
            <w:vAlign w:val="center"/>
          </w:tcPr>
          <w:p w14:paraId="2FA35976" w14:textId="77777777" w:rsidR="00A320E6" w:rsidRDefault="00A320E6" w:rsidP="00AE0286">
            <w:pPr>
              <w:jc w:val="center"/>
              <w:rPr>
                <w:rFonts w:ascii="宋体" w:hAnsi="宋体" w:cs="宋体"/>
                <w:kern w:val="0"/>
                <w:szCs w:val="21"/>
              </w:rPr>
            </w:pPr>
          </w:p>
        </w:tc>
        <w:tc>
          <w:tcPr>
            <w:tcW w:w="360" w:type="pct"/>
            <w:vMerge/>
            <w:noWrap/>
            <w:vAlign w:val="center"/>
          </w:tcPr>
          <w:p w14:paraId="28ABDF5B" w14:textId="77777777" w:rsidR="00A320E6" w:rsidRDefault="00A320E6" w:rsidP="00AE0286">
            <w:pPr>
              <w:jc w:val="center"/>
              <w:rPr>
                <w:rFonts w:ascii="宋体" w:hAnsi="宋体" w:cs="宋体"/>
                <w:kern w:val="0"/>
                <w:szCs w:val="21"/>
              </w:rPr>
            </w:pPr>
          </w:p>
        </w:tc>
        <w:tc>
          <w:tcPr>
            <w:tcW w:w="2285" w:type="pct"/>
            <w:noWrap/>
            <w:vAlign w:val="center"/>
          </w:tcPr>
          <w:p w14:paraId="64A4779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机井：深50-100m</w:t>
            </w:r>
          </w:p>
        </w:tc>
        <w:tc>
          <w:tcPr>
            <w:tcW w:w="690" w:type="pct"/>
            <w:noWrap/>
            <w:vAlign w:val="center"/>
          </w:tcPr>
          <w:p w14:paraId="148C5A9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350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677BDC98" w14:textId="77777777" w:rsidR="00A320E6" w:rsidRDefault="00A320E6" w:rsidP="00AE0286">
            <w:pPr>
              <w:rPr>
                <w:rFonts w:ascii="宋体" w:hAnsi="宋体" w:cs="宋体"/>
                <w:kern w:val="0"/>
                <w:szCs w:val="21"/>
              </w:rPr>
            </w:pPr>
          </w:p>
        </w:tc>
      </w:tr>
      <w:tr w:rsidR="00090867" w14:paraId="1375AF37" w14:textId="77777777" w:rsidTr="00320C3C">
        <w:trPr>
          <w:trHeight w:val="283"/>
          <w:jc w:val="center"/>
        </w:trPr>
        <w:tc>
          <w:tcPr>
            <w:tcW w:w="366" w:type="pct"/>
            <w:vMerge/>
            <w:noWrap/>
            <w:vAlign w:val="center"/>
          </w:tcPr>
          <w:p w14:paraId="1A18E184" w14:textId="77777777" w:rsidR="00A320E6" w:rsidRDefault="00A320E6" w:rsidP="00AE0286">
            <w:pPr>
              <w:jc w:val="center"/>
              <w:rPr>
                <w:rFonts w:ascii="宋体" w:hAnsi="宋体" w:cs="宋体"/>
                <w:kern w:val="0"/>
                <w:szCs w:val="21"/>
              </w:rPr>
            </w:pPr>
          </w:p>
        </w:tc>
        <w:tc>
          <w:tcPr>
            <w:tcW w:w="360" w:type="pct"/>
            <w:vMerge/>
            <w:noWrap/>
            <w:vAlign w:val="center"/>
          </w:tcPr>
          <w:p w14:paraId="47904252" w14:textId="77777777" w:rsidR="00A320E6" w:rsidRDefault="00A320E6" w:rsidP="00AE0286">
            <w:pPr>
              <w:jc w:val="center"/>
              <w:rPr>
                <w:rFonts w:ascii="宋体" w:hAnsi="宋体" w:cs="宋体"/>
                <w:kern w:val="0"/>
                <w:szCs w:val="21"/>
              </w:rPr>
            </w:pPr>
          </w:p>
        </w:tc>
        <w:tc>
          <w:tcPr>
            <w:tcW w:w="2285" w:type="pct"/>
            <w:noWrap/>
            <w:vAlign w:val="center"/>
          </w:tcPr>
          <w:p w14:paraId="044D149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机井：深100-250m</w:t>
            </w:r>
          </w:p>
        </w:tc>
        <w:tc>
          <w:tcPr>
            <w:tcW w:w="690" w:type="pct"/>
            <w:noWrap/>
            <w:vAlign w:val="center"/>
          </w:tcPr>
          <w:p w14:paraId="1C1AAAD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410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4617A084" w14:textId="77777777" w:rsidR="00A320E6" w:rsidRDefault="00A320E6" w:rsidP="00AE0286">
            <w:pPr>
              <w:rPr>
                <w:rFonts w:ascii="宋体" w:hAnsi="宋体" w:cs="宋体"/>
                <w:kern w:val="0"/>
                <w:szCs w:val="21"/>
              </w:rPr>
            </w:pPr>
          </w:p>
        </w:tc>
      </w:tr>
      <w:tr w:rsidR="00090867" w14:paraId="7624BEC3" w14:textId="77777777" w:rsidTr="00320C3C">
        <w:trPr>
          <w:trHeight w:val="283"/>
          <w:jc w:val="center"/>
        </w:trPr>
        <w:tc>
          <w:tcPr>
            <w:tcW w:w="366" w:type="pct"/>
            <w:vMerge/>
            <w:noWrap/>
            <w:vAlign w:val="center"/>
          </w:tcPr>
          <w:p w14:paraId="24CF7A7E" w14:textId="77777777" w:rsidR="00A320E6" w:rsidRDefault="00A320E6" w:rsidP="00AE0286">
            <w:pPr>
              <w:jc w:val="center"/>
              <w:rPr>
                <w:rFonts w:ascii="宋体" w:hAnsi="宋体" w:cs="宋体"/>
                <w:kern w:val="0"/>
                <w:szCs w:val="21"/>
              </w:rPr>
            </w:pPr>
          </w:p>
        </w:tc>
        <w:tc>
          <w:tcPr>
            <w:tcW w:w="360" w:type="pct"/>
            <w:vMerge/>
            <w:noWrap/>
            <w:vAlign w:val="center"/>
          </w:tcPr>
          <w:p w14:paraId="469AFF60" w14:textId="77777777" w:rsidR="00A320E6" w:rsidRDefault="00A320E6" w:rsidP="00AE0286">
            <w:pPr>
              <w:jc w:val="center"/>
              <w:rPr>
                <w:rFonts w:ascii="宋体" w:hAnsi="宋体" w:cs="宋体"/>
                <w:kern w:val="0"/>
                <w:szCs w:val="21"/>
              </w:rPr>
            </w:pPr>
          </w:p>
        </w:tc>
        <w:tc>
          <w:tcPr>
            <w:tcW w:w="2285" w:type="pct"/>
            <w:noWrap/>
            <w:vAlign w:val="center"/>
          </w:tcPr>
          <w:p w14:paraId="4343EA4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机井：深250m</w:t>
            </w:r>
            <w:r>
              <w:rPr>
                <w:rStyle w:val="font41"/>
                <w:rFonts w:hint="default"/>
                <w:sz w:val="21"/>
                <w:szCs w:val="21"/>
                <w:lang w:bidi="ar"/>
              </w:rPr>
              <w:t>以上</w:t>
            </w:r>
          </w:p>
        </w:tc>
        <w:tc>
          <w:tcPr>
            <w:tcW w:w="690" w:type="pct"/>
            <w:noWrap/>
            <w:vAlign w:val="center"/>
          </w:tcPr>
          <w:p w14:paraId="1F7F8EE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520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7B9AA123" w14:textId="77777777" w:rsidR="00A320E6" w:rsidRDefault="00A320E6" w:rsidP="00AE0286">
            <w:pPr>
              <w:rPr>
                <w:rFonts w:ascii="宋体" w:hAnsi="宋体" w:cs="宋体"/>
                <w:kern w:val="0"/>
                <w:szCs w:val="21"/>
              </w:rPr>
            </w:pPr>
          </w:p>
        </w:tc>
      </w:tr>
      <w:tr w:rsidR="00090867" w14:paraId="0A97428C" w14:textId="77777777" w:rsidTr="00320C3C">
        <w:trPr>
          <w:trHeight w:val="283"/>
          <w:jc w:val="center"/>
        </w:trPr>
        <w:tc>
          <w:tcPr>
            <w:tcW w:w="366" w:type="pct"/>
            <w:vMerge w:val="restart"/>
            <w:noWrap/>
            <w:vAlign w:val="center"/>
          </w:tcPr>
          <w:p w14:paraId="7AB73333"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14</w:t>
            </w:r>
          </w:p>
        </w:tc>
        <w:tc>
          <w:tcPr>
            <w:tcW w:w="360" w:type="pct"/>
            <w:vMerge w:val="restart"/>
            <w:noWrap/>
            <w:vAlign w:val="center"/>
          </w:tcPr>
          <w:p w14:paraId="61342F2D"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淡水</w:t>
            </w:r>
            <w:r>
              <w:rPr>
                <w:rStyle w:val="font41"/>
                <w:rFonts w:hint="default"/>
                <w:sz w:val="21"/>
                <w:szCs w:val="21"/>
                <w:lang w:bidi="ar"/>
              </w:rPr>
              <w:t>养殖</w:t>
            </w:r>
          </w:p>
        </w:tc>
        <w:tc>
          <w:tcPr>
            <w:tcW w:w="2285" w:type="pct"/>
            <w:noWrap/>
            <w:vAlign w:val="center"/>
          </w:tcPr>
          <w:p w14:paraId="2A02B0B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鱼塘</w:t>
            </w:r>
          </w:p>
        </w:tc>
        <w:tc>
          <w:tcPr>
            <w:tcW w:w="690" w:type="pct"/>
            <w:noWrap/>
            <w:vAlign w:val="center"/>
          </w:tcPr>
          <w:p w14:paraId="4442D88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p>
        </w:tc>
        <w:tc>
          <w:tcPr>
            <w:tcW w:w="1299" w:type="pct"/>
            <w:vMerge w:val="restart"/>
            <w:noWrap/>
            <w:vAlign w:val="center"/>
          </w:tcPr>
          <w:p w14:paraId="537A017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含土石方及鱼苗</w:t>
            </w:r>
            <w:r>
              <w:rPr>
                <w:rStyle w:val="font41"/>
                <w:rFonts w:hint="default"/>
                <w:sz w:val="21"/>
                <w:szCs w:val="21"/>
                <w:lang w:bidi="ar"/>
              </w:rPr>
              <w:t>（藕秧）损失费，鱼（藕）归原主。</w:t>
            </w:r>
          </w:p>
        </w:tc>
      </w:tr>
      <w:tr w:rsidR="00090867" w14:paraId="13A9864C" w14:textId="77777777" w:rsidTr="00320C3C">
        <w:trPr>
          <w:trHeight w:val="283"/>
          <w:jc w:val="center"/>
        </w:trPr>
        <w:tc>
          <w:tcPr>
            <w:tcW w:w="366" w:type="pct"/>
            <w:vMerge/>
            <w:noWrap/>
            <w:vAlign w:val="center"/>
          </w:tcPr>
          <w:p w14:paraId="67E0A230" w14:textId="77777777" w:rsidR="00A320E6" w:rsidRDefault="00A320E6" w:rsidP="00AE0286">
            <w:pPr>
              <w:jc w:val="center"/>
              <w:rPr>
                <w:rFonts w:ascii="宋体" w:hAnsi="宋体" w:cs="宋体"/>
                <w:kern w:val="0"/>
                <w:szCs w:val="21"/>
              </w:rPr>
            </w:pPr>
          </w:p>
        </w:tc>
        <w:tc>
          <w:tcPr>
            <w:tcW w:w="360" w:type="pct"/>
            <w:vMerge/>
            <w:noWrap/>
            <w:vAlign w:val="center"/>
          </w:tcPr>
          <w:p w14:paraId="2FBB0785" w14:textId="77777777" w:rsidR="00A320E6" w:rsidRDefault="00A320E6" w:rsidP="00AE0286">
            <w:pPr>
              <w:jc w:val="center"/>
              <w:rPr>
                <w:rFonts w:ascii="宋体" w:hAnsi="宋体" w:cs="宋体"/>
                <w:kern w:val="0"/>
                <w:szCs w:val="21"/>
              </w:rPr>
            </w:pPr>
          </w:p>
        </w:tc>
        <w:tc>
          <w:tcPr>
            <w:tcW w:w="2285" w:type="pct"/>
            <w:noWrap/>
            <w:vAlign w:val="center"/>
          </w:tcPr>
          <w:p w14:paraId="351C4B5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藕塘</w:t>
            </w:r>
          </w:p>
        </w:tc>
        <w:tc>
          <w:tcPr>
            <w:tcW w:w="690" w:type="pct"/>
            <w:noWrap/>
            <w:vAlign w:val="center"/>
          </w:tcPr>
          <w:p w14:paraId="198404A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p>
        </w:tc>
        <w:tc>
          <w:tcPr>
            <w:tcW w:w="1299" w:type="pct"/>
            <w:vMerge/>
            <w:noWrap/>
            <w:vAlign w:val="center"/>
          </w:tcPr>
          <w:p w14:paraId="78B35AA6" w14:textId="77777777" w:rsidR="00A320E6" w:rsidRDefault="00A320E6" w:rsidP="00AE0286">
            <w:pPr>
              <w:jc w:val="left"/>
              <w:rPr>
                <w:rFonts w:ascii="宋体" w:hAnsi="宋体" w:cs="宋体"/>
                <w:kern w:val="0"/>
                <w:szCs w:val="21"/>
              </w:rPr>
            </w:pPr>
          </w:p>
        </w:tc>
      </w:tr>
      <w:tr w:rsidR="00090867" w14:paraId="35BF9DD7" w14:textId="77777777" w:rsidTr="00320C3C">
        <w:trPr>
          <w:trHeight w:val="283"/>
          <w:jc w:val="center"/>
        </w:trPr>
        <w:tc>
          <w:tcPr>
            <w:tcW w:w="366" w:type="pct"/>
            <w:vMerge w:val="restart"/>
            <w:noWrap/>
            <w:vAlign w:val="center"/>
          </w:tcPr>
          <w:p w14:paraId="6991CBFA"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15</w:t>
            </w:r>
          </w:p>
        </w:tc>
        <w:tc>
          <w:tcPr>
            <w:tcW w:w="360" w:type="pct"/>
            <w:vMerge w:val="restart"/>
            <w:noWrap/>
            <w:vAlign w:val="center"/>
          </w:tcPr>
          <w:p w14:paraId="194B22C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电力通讯线路</w:t>
            </w:r>
          </w:p>
        </w:tc>
        <w:tc>
          <w:tcPr>
            <w:tcW w:w="2285" w:type="pct"/>
            <w:noWrap/>
            <w:vAlign w:val="center"/>
          </w:tcPr>
          <w:p w14:paraId="7281971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低压线路带线</w:t>
            </w:r>
          </w:p>
        </w:tc>
        <w:tc>
          <w:tcPr>
            <w:tcW w:w="690" w:type="pct"/>
            <w:noWrap/>
            <w:vAlign w:val="center"/>
          </w:tcPr>
          <w:p w14:paraId="708E17A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杆</w:t>
            </w:r>
          </w:p>
        </w:tc>
        <w:tc>
          <w:tcPr>
            <w:tcW w:w="1299" w:type="pct"/>
            <w:vMerge w:val="restart"/>
            <w:noWrap/>
            <w:vAlign w:val="center"/>
          </w:tcPr>
          <w:p w14:paraId="162F759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包括电线等材料损失及拆建工费</w:t>
            </w:r>
            <w:r>
              <w:rPr>
                <w:rStyle w:val="font41"/>
                <w:rFonts w:hint="default"/>
                <w:sz w:val="21"/>
                <w:szCs w:val="21"/>
                <w:lang w:bidi="ar"/>
              </w:rPr>
              <w:t>。</w:t>
            </w:r>
          </w:p>
        </w:tc>
      </w:tr>
      <w:tr w:rsidR="00090867" w14:paraId="1EDC8AE0" w14:textId="77777777" w:rsidTr="00320C3C">
        <w:trPr>
          <w:trHeight w:val="283"/>
          <w:jc w:val="center"/>
        </w:trPr>
        <w:tc>
          <w:tcPr>
            <w:tcW w:w="366" w:type="pct"/>
            <w:vMerge/>
            <w:noWrap/>
            <w:vAlign w:val="center"/>
          </w:tcPr>
          <w:p w14:paraId="1317157A" w14:textId="77777777" w:rsidR="00A320E6" w:rsidRDefault="00A320E6" w:rsidP="00AE0286">
            <w:pPr>
              <w:jc w:val="center"/>
              <w:rPr>
                <w:rFonts w:ascii="宋体" w:hAnsi="宋体" w:cs="宋体"/>
                <w:kern w:val="0"/>
                <w:szCs w:val="21"/>
              </w:rPr>
            </w:pPr>
          </w:p>
        </w:tc>
        <w:tc>
          <w:tcPr>
            <w:tcW w:w="360" w:type="pct"/>
            <w:vMerge/>
            <w:noWrap/>
            <w:vAlign w:val="center"/>
          </w:tcPr>
          <w:p w14:paraId="779FB106" w14:textId="77777777" w:rsidR="00A320E6" w:rsidRDefault="00A320E6" w:rsidP="00AE0286">
            <w:pPr>
              <w:jc w:val="center"/>
              <w:rPr>
                <w:rFonts w:ascii="宋体" w:hAnsi="宋体" w:cs="宋体"/>
                <w:kern w:val="0"/>
                <w:szCs w:val="21"/>
              </w:rPr>
            </w:pPr>
          </w:p>
        </w:tc>
        <w:tc>
          <w:tcPr>
            <w:tcW w:w="2285" w:type="pct"/>
            <w:noWrap/>
            <w:vAlign w:val="center"/>
          </w:tcPr>
          <w:p w14:paraId="44572CD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通讯广播线路</w:t>
            </w:r>
          </w:p>
        </w:tc>
        <w:tc>
          <w:tcPr>
            <w:tcW w:w="690" w:type="pct"/>
            <w:noWrap/>
            <w:vAlign w:val="center"/>
          </w:tcPr>
          <w:p w14:paraId="5F60F3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杆</w:t>
            </w:r>
          </w:p>
        </w:tc>
        <w:tc>
          <w:tcPr>
            <w:tcW w:w="1299" w:type="pct"/>
            <w:vMerge/>
            <w:noWrap/>
            <w:vAlign w:val="center"/>
          </w:tcPr>
          <w:p w14:paraId="256B4255" w14:textId="77777777" w:rsidR="00A320E6" w:rsidRDefault="00A320E6" w:rsidP="00AE0286">
            <w:pPr>
              <w:jc w:val="left"/>
              <w:rPr>
                <w:rFonts w:ascii="宋体" w:hAnsi="宋体" w:cs="宋体"/>
                <w:kern w:val="0"/>
                <w:szCs w:val="21"/>
              </w:rPr>
            </w:pPr>
          </w:p>
        </w:tc>
      </w:tr>
      <w:tr w:rsidR="00090867" w14:paraId="34381E2B" w14:textId="77777777" w:rsidTr="00320C3C">
        <w:trPr>
          <w:trHeight w:val="283"/>
          <w:jc w:val="center"/>
        </w:trPr>
        <w:tc>
          <w:tcPr>
            <w:tcW w:w="366" w:type="pct"/>
            <w:vMerge w:val="restart"/>
            <w:noWrap/>
            <w:vAlign w:val="center"/>
          </w:tcPr>
          <w:p w14:paraId="0DC87E9B"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16</w:t>
            </w:r>
          </w:p>
        </w:tc>
        <w:tc>
          <w:tcPr>
            <w:tcW w:w="360" w:type="pct"/>
            <w:vMerge w:val="restart"/>
            <w:noWrap/>
            <w:vAlign w:val="center"/>
          </w:tcPr>
          <w:p w14:paraId="5FADC1DF"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砖窑</w:t>
            </w:r>
          </w:p>
        </w:tc>
        <w:tc>
          <w:tcPr>
            <w:tcW w:w="2285" w:type="pct"/>
            <w:noWrap/>
            <w:vAlign w:val="center"/>
          </w:tcPr>
          <w:p w14:paraId="27F35F6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（18</w:t>
            </w:r>
            <w:r>
              <w:rPr>
                <w:rStyle w:val="font41"/>
                <w:rFonts w:hint="default"/>
                <w:sz w:val="21"/>
                <w:szCs w:val="21"/>
                <w:lang w:bidi="ar"/>
              </w:rPr>
              <w:t>、</w:t>
            </w:r>
            <w:r>
              <w:rPr>
                <w:rFonts w:ascii="宋体" w:hAnsi="宋体" w:cs="宋体" w:hint="eastAsia"/>
                <w:color w:val="000000"/>
                <w:kern w:val="0"/>
                <w:szCs w:val="21"/>
                <w:lang w:bidi="ar"/>
              </w:rPr>
              <w:t>20</w:t>
            </w:r>
            <w:r>
              <w:rPr>
                <w:rStyle w:val="font41"/>
                <w:rFonts w:hint="default"/>
                <w:sz w:val="21"/>
                <w:szCs w:val="21"/>
                <w:lang w:bidi="ar"/>
              </w:rPr>
              <w:t>、</w:t>
            </w:r>
            <w:r>
              <w:rPr>
                <w:rFonts w:ascii="宋体" w:hAnsi="宋体" w:cs="宋体" w:hint="eastAsia"/>
                <w:color w:val="000000"/>
                <w:kern w:val="0"/>
                <w:szCs w:val="21"/>
                <w:lang w:bidi="ar"/>
              </w:rPr>
              <w:t>22</w:t>
            </w:r>
            <w:r>
              <w:rPr>
                <w:rStyle w:val="font41"/>
                <w:rFonts w:hint="default"/>
                <w:sz w:val="21"/>
                <w:szCs w:val="21"/>
                <w:lang w:bidi="ar"/>
              </w:rPr>
              <w:t>、</w:t>
            </w:r>
            <w:r>
              <w:rPr>
                <w:rFonts w:ascii="宋体" w:hAnsi="宋体" w:cs="宋体" w:hint="eastAsia"/>
                <w:color w:val="000000"/>
                <w:kern w:val="0"/>
                <w:szCs w:val="21"/>
                <w:lang w:bidi="ar"/>
              </w:rPr>
              <w:t>32</w:t>
            </w:r>
            <w:r>
              <w:rPr>
                <w:rStyle w:val="font41"/>
                <w:rFonts w:hint="default"/>
                <w:sz w:val="21"/>
                <w:szCs w:val="21"/>
                <w:lang w:bidi="ar"/>
              </w:rPr>
              <w:t>）门轮窑</w:t>
            </w:r>
          </w:p>
        </w:tc>
        <w:tc>
          <w:tcPr>
            <w:tcW w:w="690" w:type="pct"/>
            <w:noWrap/>
            <w:vAlign w:val="center"/>
          </w:tcPr>
          <w:p w14:paraId="3E9EDE2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门</w:t>
            </w:r>
          </w:p>
        </w:tc>
        <w:tc>
          <w:tcPr>
            <w:tcW w:w="1299" w:type="pct"/>
            <w:vMerge w:val="restart"/>
            <w:noWrap/>
            <w:vAlign w:val="center"/>
          </w:tcPr>
          <w:p w14:paraId="6FBCACA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报废的按照50%</w:t>
            </w:r>
            <w:r>
              <w:rPr>
                <w:rStyle w:val="font41"/>
                <w:rFonts w:hint="default"/>
                <w:sz w:val="21"/>
                <w:szCs w:val="21"/>
                <w:lang w:bidi="ar"/>
              </w:rPr>
              <w:t>补偿。</w:t>
            </w:r>
          </w:p>
        </w:tc>
      </w:tr>
      <w:tr w:rsidR="00090867" w14:paraId="7CFD7356" w14:textId="77777777" w:rsidTr="00320C3C">
        <w:trPr>
          <w:trHeight w:val="283"/>
          <w:jc w:val="center"/>
        </w:trPr>
        <w:tc>
          <w:tcPr>
            <w:tcW w:w="366" w:type="pct"/>
            <w:vMerge/>
            <w:noWrap/>
            <w:vAlign w:val="center"/>
          </w:tcPr>
          <w:p w14:paraId="67EA2492" w14:textId="77777777" w:rsidR="00A320E6" w:rsidRDefault="00A320E6" w:rsidP="00AE0286">
            <w:pPr>
              <w:jc w:val="center"/>
              <w:rPr>
                <w:rFonts w:ascii="宋体" w:hAnsi="宋体" w:cs="宋体"/>
                <w:kern w:val="0"/>
                <w:szCs w:val="21"/>
              </w:rPr>
            </w:pPr>
          </w:p>
        </w:tc>
        <w:tc>
          <w:tcPr>
            <w:tcW w:w="360" w:type="pct"/>
            <w:vMerge/>
            <w:noWrap/>
            <w:vAlign w:val="center"/>
          </w:tcPr>
          <w:p w14:paraId="1C89E3C9" w14:textId="77777777" w:rsidR="00A320E6" w:rsidRDefault="00A320E6" w:rsidP="00AE0286">
            <w:pPr>
              <w:jc w:val="center"/>
              <w:rPr>
                <w:rFonts w:ascii="宋体" w:hAnsi="宋体" w:cs="宋体"/>
                <w:kern w:val="0"/>
                <w:szCs w:val="21"/>
              </w:rPr>
            </w:pPr>
          </w:p>
        </w:tc>
        <w:tc>
          <w:tcPr>
            <w:tcW w:w="2285" w:type="pct"/>
            <w:noWrap/>
            <w:vAlign w:val="center"/>
          </w:tcPr>
          <w:p w14:paraId="70F45B5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老式土窑</w:t>
            </w:r>
          </w:p>
        </w:tc>
        <w:tc>
          <w:tcPr>
            <w:tcW w:w="690" w:type="pct"/>
            <w:noWrap/>
            <w:vAlign w:val="center"/>
          </w:tcPr>
          <w:p w14:paraId="6960800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20500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座</w:t>
            </w:r>
          </w:p>
        </w:tc>
        <w:tc>
          <w:tcPr>
            <w:tcW w:w="1299" w:type="pct"/>
            <w:vMerge/>
            <w:noWrap/>
            <w:vAlign w:val="center"/>
          </w:tcPr>
          <w:p w14:paraId="361C7691" w14:textId="77777777" w:rsidR="00A320E6" w:rsidRDefault="00A320E6" w:rsidP="00AE0286">
            <w:pPr>
              <w:jc w:val="left"/>
              <w:rPr>
                <w:rFonts w:ascii="宋体" w:hAnsi="宋体" w:cs="宋体"/>
                <w:kern w:val="0"/>
                <w:szCs w:val="21"/>
              </w:rPr>
            </w:pPr>
          </w:p>
        </w:tc>
      </w:tr>
      <w:tr w:rsidR="00090867" w14:paraId="4CBA7013" w14:textId="77777777" w:rsidTr="00320C3C">
        <w:trPr>
          <w:trHeight w:val="283"/>
          <w:jc w:val="center"/>
        </w:trPr>
        <w:tc>
          <w:tcPr>
            <w:tcW w:w="366" w:type="pct"/>
            <w:vMerge w:val="restart"/>
            <w:noWrap/>
            <w:vAlign w:val="center"/>
          </w:tcPr>
          <w:p w14:paraId="223EA234"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17</w:t>
            </w:r>
          </w:p>
        </w:tc>
        <w:tc>
          <w:tcPr>
            <w:tcW w:w="360" w:type="pct"/>
            <w:vMerge w:val="restart"/>
            <w:noWrap/>
            <w:vAlign w:val="center"/>
          </w:tcPr>
          <w:p w14:paraId="57E17763"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乔木</w:t>
            </w:r>
          </w:p>
        </w:tc>
        <w:tc>
          <w:tcPr>
            <w:tcW w:w="2285" w:type="pct"/>
            <w:noWrap/>
            <w:vAlign w:val="center"/>
          </w:tcPr>
          <w:p w14:paraId="7FADEA4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胸径小于5cm</w:t>
            </w:r>
            <w:r>
              <w:rPr>
                <w:rStyle w:val="font41"/>
                <w:rFonts w:hint="default"/>
                <w:sz w:val="21"/>
                <w:szCs w:val="21"/>
                <w:lang w:bidi="ar"/>
              </w:rPr>
              <w:t>（幼树，松柏树小于</w:t>
            </w:r>
            <w:r>
              <w:rPr>
                <w:rFonts w:ascii="宋体" w:hAnsi="宋体" w:cs="宋体" w:hint="eastAsia"/>
                <w:color w:val="000000"/>
                <w:kern w:val="0"/>
                <w:szCs w:val="21"/>
                <w:lang w:bidi="ar"/>
              </w:rPr>
              <w:t>3cm</w:t>
            </w:r>
            <w:r>
              <w:rPr>
                <w:rStyle w:val="font41"/>
                <w:rFonts w:hint="default"/>
                <w:sz w:val="21"/>
                <w:szCs w:val="21"/>
                <w:lang w:bidi="ar"/>
              </w:rPr>
              <w:t>）</w:t>
            </w:r>
          </w:p>
        </w:tc>
        <w:tc>
          <w:tcPr>
            <w:tcW w:w="690" w:type="pct"/>
            <w:noWrap/>
            <w:vAlign w:val="center"/>
          </w:tcPr>
          <w:p w14:paraId="4E01936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val="restart"/>
            <w:noWrap/>
            <w:vAlign w:val="center"/>
          </w:tcPr>
          <w:p w14:paraId="2D81197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树归原主</w:t>
            </w:r>
            <w:r>
              <w:rPr>
                <w:rStyle w:val="font41"/>
                <w:rFonts w:hint="default"/>
                <w:sz w:val="21"/>
                <w:szCs w:val="21"/>
                <w:lang w:bidi="ar"/>
              </w:rPr>
              <w:t>。</w:t>
            </w:r>
          </w:p>
        </w:tc>
      </w:tr>
      <w:tr w:rsidR="00090867" w14:paraId="28DB60DC" w14:textId="77777777" w:rsidTr="00320C3C">
        <w:trPr>
          <w:trHeight w:val="283"/>
          <w:jc w:val="center"/>
        </w:trPr>
        <w:tc>
          <w:tcPr>
            <w:tcW w:w="366" w:type="pct"/>
            <w:vMerge/>
            <w:noWrap/>
            <w:vAlign w:val="center"/>
          </w:tcPr>
          <w:p w14:paraId="276A6930" w14:textId="77777777" w:rsidR="00A320E6" w:rsidRDefault="00A320E6" w:rsidP="00AE0286">
            <w:pPr>
              <w:jc w:val="center"/>
              <w:rPr>
                <w:rFonts w:ascii="宋体" w:hAnsi="宋体" w:cs="宋体"/>
                <w:kern w:val="0"/>
                <w:szCs w:val="21"/>
              </w:rPr>
            </w:pPr>
          </w:p>
        </w:tc>
        <w:tc>
          <w:tcPr>
            <w:tcW w:w="360" w:type="pct"/>
            <w:vMerge/>
            <w:noWrap/>
            <w:vAlign w:val="center"/>
          </w:tcPr>
          <w:p w14:paraId="38521993" w14:textId="77777777" w:rsidR="00A320E6" w:rsidRDefault="00A320E6" w:rsidP="00AE0286">
            <w:pPr>
              <w:jc w:val="center"/>
              <w:rPr>
                <w:rFonts w:ascii="宋体" w:hAnsi="宋体" w:cs="宋体"/>
                <w:kern w:val="0"/>
                <w:szCs w:val="21"/>
              </w:rPr>
            </w:pPr>
          </w:p>
        </w:tc>
        <w:tc>
          <w:tcPr>
            <w:tcW w:w="2285" w:type="pct"/>
            <w:noWrap/>
            <w:vAlign w:val="center"/>
          </w:tcPr>
          <w:p w14:paraId="40ABECA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胸径5-10cm</w:t>
            </w:r>
            <w:r>
              <w:rPr>
                <w:rStyle w:val="font41"/>
                <w:rFonts w:hint="default"/>
                <w:sz w:val="21"/>
                <w:szCs w:val="21"/>
                <w:lang w:bidi="ar"/>
              </w:rPr>
              <w:t>（松柏树</w:t>
            </w:r>
            <w:r>
              <w:rPr>
                <w:rFonts w:ascii="宋体" w:hAnsi="宋体" w:cs="宋体" w:hint="eastAsia"/>
                <w:color w:val="000000"/>
                <w:kern w:val="0"/>
                <w:szCs w:val="21"/>
                <w:lang w:bidi="ar"/>
              </w:rPr>
              <w:t>3-6cm</w:t>
            </w:r>
            <w:r>
              <w:rPr>
                <w:rStyle w:val="font41"/>
                <w:rFonts w:hint="default"/>
                <w:sz w:val="21"/>
                <w:szCs w:val="21"/>
                <w:lang w:bidi="ar"/>
              </w:rPr>
              <w:t>）</w:t>
            </w:r>
          </w:p>
        </w:tc>
        <w:tc>
          <w:tcPr>
            <w:tcW w:w="690" w:type="pct"/>
            <w:noWrap/>
            <w:vAlign w:val="center"/>
          </w:tcPr>
          <w:p w14:paraId="1EA28AC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5CB1B78C" w14:textId="77777777" w:rsidR="00A320E6" w:rsidRDefault="00A320E6" w:rsidP="00AE0286">
            <w:pPr>
              <w:jc w:val="left"/>
              <w:rPr>
                <w:rFonts w:ascii="宋体" w:hAnsi="宋体" w:cs="宋体"/>
                <w:kern w:val="0"/>
                <w:szCs w:val="21"/>
              </w:rPr>
            </w:pPr>
          </w:p>
        </w:tc>
      </w:tr>
      <w:tr w:rsidR="00090867" w14:paraId="3DFF2BFF" w14:textId="77777777" w:rsidTr="00320C3C">
        <w:trPr>
          <w:trHeight w:val="283"/>
          <w:jc w:val="center"/>
        </w:trPr>
        <w:tc>
          <w:tcPr>
            <w:tcW w:w="366" w:type="pct"/>
            <w:vMerge/>
            <w:noWrap/>
            <w:vAlign w:val="center"/>
          </w:tcPr>
          <w:p w14:paraId="031F9A16" w14:textId="77777777" w:rsidR="00A320E6" w:rsidRDefault="00A320E6" w:rsidP="00AE0286">
            <w:pPr>
              <w:jc w:val="center"/>
              <w:rPr>
                <w:rFonts w:ascii="宋体" w:hAnsi="宋体" w:cs="宋体"/>
                <w:kern w:val="0"/>
                <w:szCs w:val="21"/>
              </w:rPr>
            </w:pPr>
          </w:p>
        </w:tc>
        <w:tc>
          <w:tcPr>
            <w:tcW w:w="360" w:type="pct"/>
            <w:vMerge/>
            <w:noWrap/>
            <w:vAlign w:val="center"/>
          </w:tcPr>
          <w:p w14:paraId="6E670060" w14:textId="77777777" w:rsidR="00A320E6" w:rsidRDefault="00A320E6" w:rsidP="00AE0286">
            <w:pPr>
              <w:jc w:val="center"/>
              <w:rPr>
                <w:rFonts w:ascii="宋体" w:hAnsi="宋体" w:cs="宋体"/>
                <w:kern w:val="0"/>
                <w:szCs w:val="21"/>
              </w:rPr>
            </w:pPr>
          </w:p>
        </w:tc>
        <w:tc>
          <w:tcPr>
            <w:tcW w:w="2285" w:type="pct"/>
            <w:noWrap/>
            <w:vAlign w:val="center"/>
          </w:tcPr>
          <w:p w14:paraId="0086608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胸径10-20cm</w:t>
            </w:r>
            <w:r>
              <w:rPr>
                <w:rStyle w:val="font41"/>
                <w:rFonts w:hint="default"/>
                <w:sz w:val="21"/>
                <w:szCs w:val="21"/>
                <w:lang w:bidi="ar"/>
              </w:rPr>
              <w:t>（松柏树</w:t>
            </w:r>
            <w:r>
              <w:rPr>
                <w:rFonts w:ascii="宋体" w:hAnsi="宋体" w:cs="宋体" w:hint="eastAsia"/>
                <w:color w:val="000000"/>
                <w:kern w:val="0"/>
                <w:szCs w:val="21"/>
                <w:lang w:bidi="ar"/>
              </w:rPr>
              <w:t>6-10cm</w:t>
            </w:r>
            <w:r>
              <w:rPr>
                <w:rStyle w:val="font41"/>
                <w:rFonts w:hint="default"/>
                <w:sz w:val="21"/>
                <w:szCs w:val="21"/>
                <w:lang w:bidi="ar"/>
              </w:rPr>
              <w:t>）</w:t>
            </w:r>
          </w:p>
        </w:tc>
        <w:tc>
          <w:tcPr>
            <w:tcW w:w="690" w:type="pct"/>
            <w:noWrap/>
            <w:vAlign w:val="center"/>
          </w:tcPr>
          <w:p w14:paraId="3E32235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24828398" w14:textId="77777777" w:rsidR="00A320E6" w:rsidRDefault="00A320E6" w:rsidP="00AE0286">
            <w:pPr>
              <w:jc w:val="left"/>
              <w:rPr>
                <w:rFonts w:ascii="宋体" w:hAnsi="宋体" w:cs="宋体"/>
                <w:kern w:val="0"/>
                <w:szCs w:val="21"/>
              </w:rPr>
            </w:pPr>
          </w:p>
        </w:tc>
      </w:tr>
      <w:tr w:rsidR="00090867" w14:paraId="6240E71F" w14:textId="77777777" w:rsidTr="00320C3C">
        <w:trPr>
          <w:trHeight w:val="283"/>
          <w:jc w:val="center"/>
        </w:trPr>
        <w:tc>
          <w:tcPr>
            <w:tcW w:w="366" w:type="pct"/>
            <w:vMerge/>
            <w:noWrap/>
            <w:vAlign w:val="center"/>
          </w:tcPr>
          <w:p w14:paraId="01479DF2" w14:textId="77777777" w:rsidR="00A320E6" w:rsidRDefault="00A320E6" w:rsidP="00AE0286">
            <w:pPr>
              <w:jc w:val="center"/>
              <w:rPr>
                <w:rFonts w:ascii="宋体" w:hAnsi="宋体" w:cs="宋体"/>
                <w:kern w:val="0"/>
                <w:szCs w:val="21"/>
              </w:rPr>
            </w:pPr>
          </w:p>
        </w:tc>
        <w:tc>
          <w:tcPr>
            <w:tcW w:w="360" w:type="pct"/>
            <w:vMerge/>
            <w:noWrap/>
            <w:vAlign w:val="center"/>
          </w:tcPr>
          <w:p w14:paraId="33830B41" w14:textId="77777777" w:rsidR="00A320E6" w:rsidRDefault="00A320E6" w:rsidP="00AE0286">
            <w:pPr>
              <w:jc w:val="center"/>
              <w:rPr>
                <w:rFonts w:ascii="宋体" w:hAnsi="宋体" w:cs="宋体"/>
                <w:kern w:val="0"/>
                <w:szCs w:val="21"/>
              </w:rPr>
            </w:pPr>
          </w:p>
        </w:tc>
        <w:tc>
          <w:tcPr>
            <w:tcW w:w="2285" w:type="pct"/>
            <w:noWrap/>
            <w:vAlign w:val="center"/>
          </w:tcPr>
          <w:p w14:paraId="45539B4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胸径大于20cm</w:t>
            </w:r>
            <w:r>
              <w:rPr>
                <w:rStyle w:val="font41"/>
                <w:rFonts w:hint="default"/>
                <w:sz w:val="21"/>
                <w:szCs w:val="21"/>
                <w:lang w:bidi="ar"/>
              </w:rPr>
              <w:t>（松柏树</w:t>
            </w:r>
            <w:r>
              <w:rPr>
                <w:rFonts w:ascii="宋体" w:hAnsi="宋体" w:cs="宋体" w:hint="eastAsia"/>
                <w:color w:val="000000"/>
                <w:kern w:val="0"/>
                <w:szCs w:val="21"/>
                <w:lang w:bidi="ar"/>
              </w:rPr>
              <w:t>10cm</w:t>
            </w:r>
            <w:r>
              <w:rPr>
                <w:rStyle w:val="font41"/>
                <w:rFonts w:hint="default"/>
                <w:sz w:val="21"/>
                <w:szCs w:val="21"/>
                <w:lang w:bidi="ar"/>
              </w:rPr>
              <w:t>以上）成材料</w:t>
            </w:r>
          </w:p>
        </w:tc>
        <w:tc>
          <w:tcPr>
            <w:tcW w:w="690" w:type="pct"/>
            <w:noWrap/>
            <w:vAlign w:val="center"/>
          </w:tcPr>
          <w:p w14:paraId="3377B50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12690712" w14:textId="77777777" w:rsidR="00A320E6" w:rsidRDefault="00A320E6" w:rsidP="00AE0286">
            <w:pPr>
              <w:jc w:val="left"/>
              <w:rPr>
                <w:rFonts w:ascii="宋体" w:hAnsi="宋体" w:cs="宋体"/>
                <w:kern w:val="0"/>
                <w:szCs w:val="21"/>
              </w:rPr>
            </w:pPr>
          </w:p>
        </w:tc>
      </w:tr>
      <w:tr w:rsidR="00090867" w14:paraId="6F7C2C87" w14:textId="77777777" w:rsidTr="00320C3C">
        <w:trPr>
          <w:trHeight w:val="283"/>
          <w:jc w:val="center"/>
        </w:trPr>
        <w:tc>
          <w:tcPr>
            <w:tcW w:w="366" w:type="pct"/>
            <w:vMerge w:val="restart"/>
            <w:noWrap/>
            <w:vAlign w:val="center"/>
          </w:tcPr>
          <w:p w14:paraId="6EEF893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18</w:t>
            </w:r>
          </w:p>
        </w:tc>
        <w:tc>
          <w:tcPr>
            <w:tcW w:w="360" w:type="pct"/>
            <w:vMerge w:val="restart"/>
            <w:noWrap/>
            <w:vAlign w:val="center"/>
          </w:tcPr>
          <w:p w14:paraId="766F237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灌木</w:t>
            </w:r>
          </w:p>
        </w:tc>
        <w:tc>
          <w:tcPr>
            <w:tcW w:w="2285" w:type="pct"/>
            <w:noWrap/>
            <w:vAlign w:val="center"/>
          </w:tcPr>
          <w:p w14:paraId="20AFB5F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一年生以内</w:t>
            </w:r>
          </w:p>
        </w:tc>
        <w:tc>
          <w:tcPr>
            <w:tcW w:w="690" w:type="pct"/>
            <w:noWrap/>
            <w:vAlign w:val="center"/>
          </w:tcPr>
          <w:p w14:paraId="0FE5823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墩</w:t>
            </w:r>
          </w:p>
        </w:tc>
        <w:tc>
          <w:tcPr>
            <w:tcW w:w="1299" w:type="pct"/>
            <w:vMerge w:val="restart"/>
            <w:noWrap/>
            <w:vAlign w:val="center"/>
          </w:tcPr>
          <w:p w14:paraId="72C0CFD1"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41"/>
                <w:rFonts w:hint="default"/>
                <w:sz w:val="21"/>
                <w:szCs w:val="21"/>
                <w:lang w:bidi="ar"/>
              </w:rPr>
              <w:t>每墩出条数按</w:t>
            </w:r>
            <w:r>
              <w:rPr>
                <w:rFonts w:ascii="宋体" w:hAnsi="宋体" w:cs="宋体" w:hint="eastAsia"/>
                <w:color w:val="000000"/>
                <w:kern w:val="0"/>
                <w:szCs w:val="21"/>
                <w:lang w:bidi="ar"/>
              </w:rPr>
              <w:t>10-20</w:t>
            </w:r>
            <w:r>
              <w:rPr>
                <w:rStyle w:val="font41"/>
                <w:rFonts w:hint="default"/>
                <w:sz w:val="21"/>
                <w:szCs w:val="21"/>
                <w:lang w:bidi="ar"/>
              </w:rPr>
              <w:t>根计算。</w:t>
            </w:r>
          </w:p>
          <w:p w14:paraId="69F1775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w:t>
            </w:r>
            <w:r>
              <w:rPr>
                <w:rStyle w:val="font41"/>
                <w:rFonts w:hint="default"/>
                <w:sz w:val="21"/>
                <w:szCs w:val="21"/>
                <w:lang w:bidi="ar"/>
              </w:rPr>
              <w:t>观赏经济类可提高</w:t>
            </w:r>
            <w:r>
              <w:rPr>
                <w:rFonts w:ascii="宋体" w:hAnsi="宋体" w:cs="宋体" w:hint="eastAsia"/>
                <w:color w:val="000000"/>
                <w:kern w:val="0"/>
                <w:szCs w:val="21"/>
                <w:lang w:bidi="ar"/>
              </w:rPr>
              <w:t>40-60%</w:t>
            </w:r>
            <w:r>
              <w:rPr>
                <w:rStyle w:val="font41"/>
                <w:rFonts w:hint="default"/>
                <w:sz w:val="21"/>
                <w:szCs w:val="21"/>
                <w:lang w:bidi="ar"/>
              </w:rPr>
              <w:t>。</w:t>
            </w:r>
          </w:p>
        </w:tc>
      </w:tr>
      <w:tr w:rsidR="00090867" w14:paraId="5DF440EF" w14:textId="77777777" w:rsidTr="00320C3C">
        <w:trPr>
          <w:trHeight w:val="283"/>
          <w:jc w:val="center"/>
        </w:trPr>
        <w:tc>
          <w:tcPr>
            <w:tcW w:w="366" w:type="pct"/>
            <w:vMerge/>
            <w:noWrap/>
            <w:vAlign w:val="center"/>
          </w:tcPr>
          <w:p w14:paraId="09C534C7" w14:textId="77777777" w:rsidR="00A320E6" w:rsidRDefault="00A320E6" w:rsidP="00AE0286">
            <w:pPr>
              <w:jc w:val="center"/>
              <w:rPr>
                <w:rFonts w:ascii="宋体" w:hAnsi="宋体" w:cs="宋体"/>
                <w:kern w:val="0"/>
                <w:szCs w:val="21"/>
              </w:rPr>
            </w:pPr>
          </w:p>
        </w:tc>
        <w:tc>
          <w:tcPr>
            <w:tcW w:w="360" w:type="pct"/>
            <w:vMerge/>
            <w:noWrap/>
            <w:vAlign w:val="center"/>
          </w:tcPr>
          <w:p w14:paraId="6D8661F9" w14:textId="77777777" w:rsidR="00A320E6" w:rsidRDefault="00A320E6" w:rsidP="00AE0286">
            <w:pPr>
              <w:jc w:val="center"/>
              <w:rPr>
                <w:rFonts w:ascii="宋体" w:hAnsi="宋体" w:cs="宋体"/>
                <w:kern w:val="0"/>
                <w:szCs w:val="21"/>
              </w:rPr>
            </w:pPr>
          </w:p>
        </w:tc>
        <w:tc>
          <w:tcPr>
            <w:tcW w:w="2285" w:type="pct"/>
            <w:noWrap/>
            <w:vAlign w:val="center"/>
          </w:tcPr>
          <w:p w14:paraId="576989B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一年生以上</w:t>
            </w:r>
          </w:p>
        </w:tc>
        <w:tc>
          <w:tcPr>
            <w:tcW w:w="690" w:type="pct"/>
            <w:noWrap/>
            <w:vAlign w:val="center"/>
          </w:tcPr>
          <w:p w14:paraId="06D4051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墩</w:t>
            </w:r>
          </w:p>
        </w:tc>
        <w:tc>
          <w:tcPr>
            <w:tcW w:w="1299" w:type="pct"/>
            <w:vMerge/>
            <w:noWrap/>
            <w:vAlign w:val="center"/>
          </w:tcPr>
          <w:p w14:paraId="0ED35F1B" w14:textId="77777777" w:rsidR="00A320E6" w:rsidRDefault="00A320E6" w:rsidP="00AE0286">
            <w:pPr>
              <w:jc w:val="left"/>
              <w:textAlignment w:val="center"/>
              <w:rPr>
                <w:rFonts w:ascii="宋体" w:hAnsi="宋体" w:cs="宋体"/>
                <w:kern w:val="0"/>
                <w:szCs w:val="21"/>
              </w:rPr>
            </w:pPr>
          </w:p>
        </w:tc>
      </w:tr>
      <w:tr w:rsidR="00090867" w14:paraId="464C9ECC" w14:textId="77777777" w:rsidTr="00320C3C">
        <w:trPr>
          <w:trHeight w:val="283"/>
          <w:jc w:val="center"/>
        </w:trPr>
        <w:tc>
          <w:tcPr>
            <w:tcW w:w="366" w:type="pct"/>
            <w:vMerge w:val="restart"/>
            <w:noWrap/>
            <w:vAlign w:val="center"/>
          </w:tcPr>
          <w:p w14:paraId="7E6BFE84"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19</w:t>
            </w:r>
          </w:p>
        </w:tc>
        <w:tc>
          <w:tcPr>
            <w:tcW w:w="360" w:type="pct"/>
            <w:vMerge w:val="restart"/>
            <w:noWrap/>
            <w:vAlign w:val="center"/>
          </w:tcPr>
          <w:p w14:paraId="10100B29"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苗圃</w:t>
            </w:r>
          </w:p>
        </w:tc>
        <w:tc>
          <w:tcPr>
            <w:tcW w:w="2285" w:type="pct"/>
            <w:noWrap/>
            <w:vAlign w:val="center"/>
          </w:tcPr>
          <w:p w14:paraId="5288EB7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w:t>
            </w:r>
            <w:r>
              <w:rPr>
                <w:rStyle w:val="font41"/>
                <w:rFonts w:hint="default"/>
                <w:sz w:val="21"/>
                <w:szCs w:val="21"/>
                <w:lang w:bidi="ar"/>
              </w:rPr>
              <w:t>年以下（移栽，下同）</w:t>
            </w:r>
          </w:p>
        </w:tc>
        <w:tc>
          <w:tcPr>
            <w:tcW w:w="690" w:type="pct"/>
            <w:noWrap/>
            <w:vAlign w:val="center"/>
          </w:tcPr>
          <w:p w14:paraId="69BD86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p>
        </w:tc>
        <w:tc>
          <w:tcPr>
            <w:tcW w:w="1299" w:type="pct"/>
            <w:vMerge w:val="restart"/>
            <w:noWrap/>
            <w:vAlign w:val="center"/>
          </w:tcPr>
          <w:p w14:paraId="26DEA42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w:t>
            </w:r>
            <w:r>
              <w:rPr>
                <w:rStyle w:val="font41"/>
                <w:rFonts w:hint="default"/>
                <w:sz w:val="21"/>
                <w:szCs w:val="21"/>
                <w:lang w:bidi="ar"/>
              </w:rPr>
              <w:t>花卉苗圃上浮</w:t>
            </w:r>
            <w:r>
              <w:rPr>
                <w:rFonts w:ascii="宋体" w:hAnsi="宋体" w:cs="宋体" w:hint="eastAsia"/>
                <w:color w:val="000000"/>
                <w:kern w:val="0"/>
                <w:szCs w:val="21"/>
                <w:lang w:bidi="ar"/>
              </w:rPr>
              <w:t>30%</w:t>
            </w:r>
            <w:r>
              <w:rPr>
                <w:rStyle w:val="font41"/>
                <w:rFonts w:hint="default"/>
                <w:sz w:val="21"/>
                <w:szCs w:val="21"/>
                <w:lang w:bidi="ar"/>
              </w:rPr>
              <w:t>。</w:t>
            </w:r>
            <w:r>
              <w:rPr>
                <w:rFonts w:ascii="宋体" w:hAnsi="宋体" w:cs="宋体" w:hint="eastAsia"/>
                <w:color w:val="000000"/>
                <w:kern w:val="0"/>
                <w:szCs w:val="21"/>
                <w:lang w:bidi="ar"/>
              </w:rPr>
              <w:t>2.</w:t>
            </w:r>
            <w:r>
              <w:rPr>
                <w:rStyle w:val="font41"/>
                <w:rFonts w:hint="default"/>
                <w:sz w:val="21"/>
                <w:szCs w:val="21"/>
                <w:lang w:bidi="ar"/>
              </w:rPr>
              <w:t>对于稀有珍贵苗木可以委托有资质的机构进行评估、认证。</w:t>
            </w:r>
            <w:r>
              <w:rPr>
                <w:rFonts w:ascii="宋体" w:hAnsi="宋体" w:cs="宋体" w:hint="eastAsia"/>
                <w:color w:val="000000"/>
                <w:kern w:val="0"/>
                <w:szCs w:val="21"/>
                <w:lang w:bidi="ar"/>
              </w:rPr>
              <w:t>3.</w:t>
            </w:r>
            <w:r>
              <w:rPr>
                <w:rStyle w:val="font41"/>
                <w:rFonts w:hint="default"/>
                <w:sz w:val="21"/>
                <w:szCs w:val="21"/>
                <w:lang w:bidi="ar"/>
              </w:rPr>
              <w:t>该费用是迁移费。</w:t>
            </w:r>
          </w:p>
        </w:tc>
      </w:tr>
      <w:tr w:rsidR="00090867" w14:paraId="343EF579" w14:textId="77777777" w:rsidTr="00320C3C">
        <w:trPr>
          <w:trHeight w:val="283"/>
          <w:jc w:val="center"/>
        </w:trPr>
        <w:tc>
          <w:tcPr>
            <w:tcW w:w="366" w:type="pct"/>
            <w:vMerge/>
            <w:noWrap/>
            <w:vAlign w:val="center"/>
          </w:tcPr>
          <w:p w14:paraId="0474D327" w14:textId="77777777" w:rsidR="00A320E6" w:rsidRDefault="00A320E6" w:rsidP="00AE0286">
            <w:pPr>
              <w:jc w:val="center"/>
              <w:rPr>
                <w:rFonts w:ascii="宋体" w:hAnsi="宋体" w:cs="宋体"/>
                <w:kern w:val="0"/>
                <w:szCs w:val="21"/>
              </w:rPr>
            </w:pPr>
          </w:p>
        </w:tc>
        <w:tc>
          <w:tcPr>
            <w:tcW w:w="360" w:type="pct"/>
            <w:vMerge/>
            <w:noWrap/>
            <w:vAlign w:val="center"/>
          </w:tcPr>
          <w:p w14:paraId="10D526E2" w14:textId="77777777" w:rsidR="00A320E6" w:rsidRDefault="00A320E6" w:rsidP="00AE0286">
            <w:pPr>
              <w:jc w:val="center"/>
              <w:rPr>
                <w:rFonts w:ascii="宋体" w:hAnsi="宋体" w:cs="宋体"/>
                <w:kern w:val="0"/>
                <w:szCs w:val="21"/>
              </w:rPr>
            </w:pPr>
          </w:p>
        </w:tc>
        <w:tc>
          <w:tcPr>
            <w:tcW w:w="2285" w:type="pct"/>
            <w:noWrap/>
            <w:vAlign w:val="center"/>
          </w:tcPr>
          <w:p w14:paraId="5C4169E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3-5</w:t>
            </w:r>
            <w:r>
              <w:rPr>
                <w:rStyle w:val="font41"/>
                <w:rFonts w:hint="default"/>
                <w:sz w:val="21"/>
                <w:szCs w:val="21"/>
                <w:lang w:bidi="ar"/>
              </w:rPr>
              <w:t>年</w:t>
            </w:r>
          </w:p>
        </w:tc>
        <w:tc>
          <w:tcPr>
            <w:tcW w:w="690" w:type="pct"/>
            <w:noWrap/>
            <w:vAlign w:val="center"/>
          </w:tcPr>
          <w:p w14:paraId="5489309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3700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p>
        </w:tc>
        <w:tc>
          <w:tcPr>
            <w:tcW w:w="1299" w:type="pct"/>
            <w:vMerge/>
            <w:noWrap/>
            <w:vAlign w:val="center"/>
          </w:tcPr>
          <w:p w14:paraId="2E19F0FD" w14:textId="77777777" w:rsidR="00A320E6" w:rsidRDefault="00A320E6" w:rsidP="00AE0286">
            <w:pPr>
              <w:jc w:val="left"/>
              <w:rPr>
                <w:rFonts w:ascii="宋体" w:hAnsi="宋体" w:cs="宋体"/>
                <w:kern w:val="0"/>
                <w:szCs w:val="21"/>
              </w:rPr>
            </w:pPr>
          </w:p>
        </w:tc>
      </w:tr>
      <w:tr w:rsidR="00090867" w14:paraId="1DA2198D" w14:textId="77777777" w:rsidTr="00320C3C">
        <w:trPr>
          <w:trHeight w:val="283"/>
          <w:jc w:val="center"/>
        </w:trPr>
        <w:tc>
          <w:tcPr>
            <w:tcW w:w="366" w:type="pct"/>
            <w:vMerge/>
            <w:noWrap/>
            <w:vAlign w:val="center"/>
          </w:tcPr>
          <w:p w14:paraId="6E5BFB72" w14:textId="77777777" w:rsidR="00A320E6" w:rsidRDefault="00A320E6" w:rsidP="00AE0286">
            <w:pPr>
              <w:jc w:val="center"/>
              <w:rPr>
                <w:rFonts w:ascii="宋体" w:hAnsi="宋体" w:cs="宋体"/>
                <w:kern w:val="0"/>
                <w:szCs w:val="21"/>
              </w:rPr>
            </w:pPr>
          </w:p>
        </w:tc>
        <w:tc>
          <w:tcPr>
            <w:tcW w:w="360" w:type="pct"/>
            <w:vMerge/>
            <w:noWrap/>
            <w:vAlign w:val="center"/>
          </w:tcPr>
          <w:p w14:paraId="59CA321C" w14:textId="77777777" w:rsidR="00A320E6" w:rsidRDefault="00A320E6" w:rsidP="00AE0286">
            <w:pPr>
              <w:jc w:val="center"/>
              <w:rPr>
                <w:rFonts w:ascii="宋体" w:hAnsi="宋体" w:cs="宋体"/>
                <w:kern w:val="0"/>
                <w:szCs w:val="21"/>
              </w:rPr>
            </w:pPr>
          </w:p>
        </w:tc>
        <w:tc>
          <w:tcPr>
            <w:tcW w:w="2285" w:type="pct"/>
            <w:noWrap/>
            <w:vAlign w:val="center"/>
          </w:tcPr>
          <w:p w14:paraId="3CF1330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5</w:t>
            </w:r>
            <w:r>
              <w:rPr>
                <w:rStyle w:val="font41"/>
                <w:rFonts w:hint="default"/>
                <w:sz w:val="21"/>
                <w:szCs w:val="21"/>
                <w:lang w:bidi="ar"/>
              </w:rPr>
              <w:t>年以上</w:t>
            </w:r>
          </w:p>
        </w:tc>
        <w:tc>
          <w:tcPr>
            <w:tcW w:w="690" w:type="pct"/>
            <w:noWrap/>
            <w:vAlign w:val="center"/>
          </w:tcPr>
          <w:p w14:paraId="0C3EE7F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6500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p>
        </w:tc>
        <w:tc>
          <w:tcPr>
            <w:tcW w:w="1299" w:type="pct"/>
            <w:vMerge/>
            <w:noWrap/>
            <w:vAlign w:val="center"/>
          </w:tcPr>
          <w:p w14:paraId="6454A09A" w14:textId="77777777" w:rsidR="00A320E6" w:rsidRDefault="00A320E6" w:rsidP="00AE0286">
            <w:pPr>
              <w:jc w:val="left"/>
              <w:rPr>
                <w:rFonts w:ascii="宋体" w:hAnsi="宋体" w:cs="宋体"/>
                <w:kern w:val="0"/>
                <w:szCs w:val="21"/>
              </w:rPr>
            </w:pPr>
          </w:p>
        </w:tc>
      </w:tr>
      <w:tr w:rsidR="00090867" w14:paraId="13992988" w14:textId="77777777" w:rsidTr="00320C3C">
        <w:trPr>
          <w:trHeight w:val="283"/>
          <w:jc w:val="center"/>
        </w:trPr>
        <w:tc>
          <w:tcPr>
            <w:tcW w:w="366" w:type="pct"/>
            <w:vMerge w:val="restart"/>
            <w:noWrap/>
            <w:vAlign w:val="center"/>
          </w:tcPr>
          <w:p w14:paraId="6EBAF56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20</w:t>
            </w:r>
          </w:p>
        </w:tc>
        <w:tc>
          <w:tcPr>
            <w:tcW w:w="360" w:type="pct"/>
            <w:vMerge w:val="restart"/>
            <w:noWrap/>
            <w:vAlign w:val="center"/>
          </w:tcPr>
          <w:p w14:paraId="1564B587"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葡萄园</w:t>
            </w:r>
          </w:p>
        </w:tc>
        <w:tc>
          <w:tcPr>
            <w:tcW w:w="2285" w:type="pct"/>
            <w:noWrap/>
            <w:vAlign w:val="center"/>
          </w:tcPr>
          <w:p w14:paraId="5394B88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幼龄</w:t>
            </w:r>
          </w:p>
        </w:tc>
        <w:tc>
          <w:tcPr>
            <w:tcW w:w="690" w:type="pct"/>
            <w:noWrap/>
            <w:vAlign w:val="center"/>
          </w:tcPr>
          <w:p w14:paraId="0B77437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val="restart"/>
            <w:noWrap/>
            <w:vAlign w:val="center"/>
          </w:tcPr>
          <w:p w14:paraId="7964302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w:t>
            </w:r>
            <w:r>
              <w:rPr>
                <w:rStyle w:val="font41"/>
                <w:rFonts w:hint="default"/>
                <w:sz w:val="21"/>
                <w:szCs w:val="21"/>
                <w:lang w:bidi="ar"/>
              </w:rPr>
              <w:t>科学密植，每亩不得超过</w:t>
            </w:r>
            <w:r>
              <w:rPr>
                <w:rFonts w:ascii="宋体" w:hAnsi="宋体" w:cs="宋体" w:hint="eastAsia"/>
                <w:color w:val="000000"/>
                <w:kern w:val="0"/>
                <w:szCs w:val="21"/>
                <w:lang w:bidi="ar"/>
              </w:rPr>
              <w:t>305</w:t>
            </w:r>
            <w:r>
              <w:rPr>
                <w:rStyle w:val="font41"/>
                <w:rFonts w:hint="default"/>
                <w:sz w:val="21"/>
                <w:szCs w:val="21"/>
                <w:lang w:bidi="ar"/>
              </w:rPr>
              <w:t>棵。</w:t>
            </w:r>
            <w:r>
              <w:rPr>
                <w:rFonts w:ascii="宋体" w:hAnsi="宋体" w:cs="宋体" w:hint="eastAsia"/>
                <w:color w:val="000000"/>
                <w:kern w:val="0"/>
                <w:szCs w:val="21"/>
                <w:lang w:bidi="ar"/>
              </w:rPr>
              <w:t>2.</w:t>
            </w:r>
            <w:r>
              <w:rPr>
                <w:rStyle w:val="font41"/>
                <w:rFonts w:hint="default"/>
                <w:sz w:val="21"/>
                <w:szCs w:val="21"/>
                <w:lang w:bidi="ar"/>
              </w:rPr>
              <w:t>树归原主。</w:t>
            </w:r>
          </w:p>
        </w:tc>
      </w:tr>
      <w:tr w:rsidR="00090867" w14:paraId="554CFAF7" w14:textId="77777777" w:rsidTr="00320C3C">
        <w:trPr>
          <w:trHeight w:val="283"/>
          <w:jc w:val="center"/>
        </w:trPr>
        <w:tc>
          <w:tcPr>
            <w:tcW w:w="366" w:type="pct"/>
            <w:vMerge/>
            <w:noWrap/>
            <w:vAlign w:val="center"/>
          </w:tcPr>
          <w:p w14:paraId="75DB118E" w14:textId="77777777" w:rsidR="00A320E6" w:rsidRDefault="00A320E6" w:rsidP="00AE0286">
            <w:pPr>
              <w:jc w:val="center"/>
              <w:rPr>
                <w:rFonts w:ascii="宋体" w:hAnsi="宋体" w:cs="宋体"/>
                <w:kern w:val="0"/>
                <w:szCs w:val="21"/>
              </w:rPr>
            </w:pPr>
          </w:p>
        </w:tc>
        <w:tc>
          <w:tcPr>
            <w:tcW w:w="360" w:type="pct"/>
            <w:vMerge/>
            <w:noWrap/>
            <w:vAlign w:val="center"/>
          </w:tcPr>
          <w:p w14:paraId="703D7BE7" w14:textId="77777777" w:rsidR="00A320E6" w:rsidRDefault="00A320E6" w:rsidP="00AE0286">
            <w:pPr>
              <w:jc w:val="center"/>
              <w:rPr>
                <w:rFonts w:ascii="宋体" w:hAnsi="宋体" w:cs="宋体"/>
                <w:kern w:val="0"/>
                <w:szCs w:val="21"/>
              </w:rPr>
            </w:pPr>
          </w:p>
        </w:tc>
        <w:tc>
          <w:tcPr>
            <w:tcW w:w="2285" w:type="pct"/>
            <w:noWrap/>
            <w:vAlign w:val="center"/>
          </w:tcPr>
          <w:p w14:paraId="01C74EE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初果期</w:t>
            </w:r>
          </w:p>
        </w:tc>
        <w:tc>
          <w:tcPr>
            <w:tcW w:w="690" w:type="pct"/>
            <w:noWrap/>
            <w:vAlign w:val="center"/>
          </w:tcPr>
          <w:p w14:paraId="562B6CE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5AFDCA76" w14:textId="77777777" w:rsidR="00A320E6" w:rsidRDefault="00A320E6" w:rsidP="00AE0286">
            <w:pPr>
              <w:jc w:val="left"/>
              <w:rPr>
                <w:rFonts w:ascii="宋体" w:hAnsi="宋体" w:cs="宋体"/>
                <w:kern w:val="0"/>
                <w:szCs w:val="21"/>
              </w:rPr>
            </w:pPr>
          </w:p>
        </w:tc>
      </w:tr>
      <w:tr w:rsidR="00090867" w14:paraId="7FA8E583" w14:textId="77777777" w:rsidTr="00320C3C">
        <w:trPr>
          <w:trHeight w:val="283"/>
          <w:jc w:val="center"/>
        </w:trPr>
        <w:tc>
          <w:tcPr>
            <w:tcW w:w="366" w:type="pct"/>
            <w:vMerge/>
            <w:noWrap/>
            <w:vAlign w:val="center"/>
          </w:tcPr>
          <w:p w14:paraId="0544B75E" w14:textId="77777777" w:rsidR="00A320E6" w:rsidRDefault="00A320E6" w:rsidP="00AE0286">
            <w:pPr>
              <w:jc w:val="center"/>
              <w:rPr>
                <w:rFonts w:ascii="宋体" w:hAnsi="宋体" w:cs="宋体"/>
                <w:kern w:val="0"/>
                <w:szCs w:val="21"/>
              </w:rPr>
            </w:pPr>
          </w:p>
        </w:tc>
        <w:tc>
          <w:tcPr>
            <w:tcW w:w="360" w:type="pct"/>
            <w:vMerge/>
            <w:noWrap/>
            <w:vAlign w:val="center"/>
          </w:tcPr>
          <w:p w14:paraId="383B3843" w14:textId="77777777" w:rsidR="00A320E6" w:rsidRDefault="00A320E6" w:rsidP="00AE0286">
            <w:pPr>
              <w:jc w:val="center"/>
              <w:rPr>
                <w:rFonts w:ascii="宋体" w:hAnsi="宋体" w:cs="宋体"/>
                <w:kern w:val="0"/>
                <w:szCs w:val="21"/>
              </w:rPr>
            </w:pPr>
          </w:p>
        </w:tc>
        <w:tc>
          <w:tcPr>
            <w:tcW w:w="2285" w:type="pct"/>
            <w:noWrap/>
            <w:vAlign w:val="center"/>
          </w:tcPr>
          <w:p w14:paraId="52EA352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盛果期</w:t>
            </w:r>
          </w:p>
        </w:tc>
        <w:tc>
          <w:tcPr>
            <w:tcW w:w="690" w:type="pct"/>
            <w:noWrap/>
            <w:vAlign w:val="center"/>
          </w:tcPr>
          <w:p w14:paraId="7E054E8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2CA2E145" w14:textId="77777777" w:rsidR="00A320E6" w:rsidRDefault="00A320E6" w:rsidP="00AE0286">
            <w:pPr>
              <w:jc w:val="left"/>
              <w:rPr>
                <w:rFonts w:ascii="宋体" w:hAnsi="宋体" w:cs="宋体"/>
                <w:kern w:val="0"/>
                <w:szCs w:val="21"/>
              </w:rPr>
            </w:pPr>
          </w:p>
        </w:tc>
      </w:tr>
      <w:tr w:rsidR="00090867" w14:paraId="4A2727DD" w14:textId="77777777" w:rsidTr="00320C3C">
        <w:trPr>
          <w:trHeight w:val="283"/>
          <w:jc w:val="center"/>
        </w:trPr>
        <w:tc>
          <w:tcPr>
            <w:tcW w:w="366" w:type="pct"/>
            <w:vMerge w:val="restart"/>
            <w:noWrap/>
            <w:vAlign w:val="center"/>
          </w:tcPr>
          <w:p w14:paraId="0D79BD71"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21</w:t>
            </w:r>
          </w:p>
        </w:tc>
        <w:tc>
          <w:tcPr>
            <w:tcW w:w="360" w:type="pct"/>
            <w:vMerge w:val="restart"/>
            <w:noWrap/>
            <w:vAlign w:val="center"/>
          </w:tcPr>
          <w:p w14:paraId="12654C6E"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果树</w:t>
            </w:r>
          </w:p>
        </w:tc>
        <w:tc>
          <w:tcPr>
            <w:tcW w:w="2285" w:type="pct"/>
            <w:noWrap/>
            <w:vAlign w:val="center"/>
          </w:tcPr>
          <w:p w14:paraId="5331CA2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果树苗（区分树种）</w:t>
            </w:r>
          </w:p>
        </w:tc>
        <w:tc>
          <w:tcPr>
            <w:tcW w:w="690" w:type="pct"/>
            <w:noWrap/>
            <w:vAlign w:val="center"/>
          </w:tcPr>
          <w:p w14:paraId="38257B8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val="restart"/>
            <w:noWrap/>
            <w:vAlign w:val="center"/>
          </w:tcPr>
          <w:p w14:paraId="1101EFAC"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41"/>
                <w:rFonts w:hint="default"/>
                <w:sz w:val="21"/>
                <w:szCs w:val="21"/>
                <w:lang w:bidi="ar"/>
              </w:rPr>
              <w:t>包括苹果、杏、桃、梨、枣、柿、山楂、樱桃、板栗等。</w:t>
            </w:r>
            <w:r>
              <w:rPr>
                <w:rFonts w:ascii="宋体" w:hAnsi="宋体" w:cs="宋体" w:hint="eastAsia"/>
                <w:color w:val="000000"/>
                <w:kern w:val="0"/>
                <w:szCs w:val="21"/>
                <w:lang w:bidi="ar"/>
              </w:rPr>
              <w:t>2.</w:t>
            </w:r>
            <w:r>
              <w:rPr>
                <w:rStyle w:val="font41"/>
                <w:rFonts w:hint="default"/>
                <w:sz w:val="21"/>
                <w:szCs w:val="21"/>
                <w:lang w:bidi="ar"/>
              </w:rPr>
              <w:t>果树根据科学合理栽植的原则，每亩不得超过</w:t>
            </w:r>
            <w:r>
              <w:rPr>
                <w:rFonts w:ascii="宋体" w:hAnsi="宋体" w:cs="宋体" w:hint="eastAsia"/>
                <w:color w:val="000000"/>
                <w:kern w:val="0"/>
                <w:szCs w:val="21"/>
                <w:lang w:bidi="ar"/>
              </w:rPr>
              <w:t>120</w:t>
            </w:r>
            <w:r>
              <w:rPr>
                <w:rStyle w:val="font41"/>
                <w:rFonts w:hint="default"/>
                <w:sz w:val="21"/>
                <w:szCs w:val="21"/>
                <w:lang w:bidi="ar"/>
              </w:rPr>
              <w:t>棵，超出部分不予补偿。</w:t>
            </w:r>
          </w:p>
          <w:p w14:paraId="1254615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w:t>
            </w:r>
            <w:r>
              <w:rPr>
                <w:rStyle w:val="font41"/>
                <w:rFonts w:hint="default"/>
                <w:sz w:val="21"/>
                <w:szCs w:val="21"/>
                <w:lang w:bidi="ar"/>
              </w:rPr>
              <w:t>树归原主。</w:t>
            </w:r>
          </w:p>
        </w:tc>
      </w:tr>
      <w:tr w:rsidR="00090867" w14:paraId="004222C0" w14:textId="77777777" w:rsidTr="00320C3C">
        <w:trPr>
          <w:trHeight w:val="283"/>
          <w:jc w:val="center"/>
        </w:trPr>
        <w:tc>
          <w:tcPr>
            <w:tcW w:w="366" w:type="pct"/>
            <w:vMerge/>
            <w:noWrap/>
            <w:vAlign w:val="center"/>
          </w:tcPr>
          <w:p w14:paraId="5B311A48" w14:textId="77777777" w:rsidR="00A320E6" w:rsidRDefault="00A320E6" w:rsidP="00AE0286">
            <w:pPr>
              <w:jc w:val="center"/>
              <w:rPr>
                <w:rFonts w:ascii="宋体" w:hAnsi="宋体" w:cs="宋体"/>
                <w:kern w:val="0"/>
                <w:szCs w:val="21"/>
              </w:rPr>
            </w:pPr>
          </w:p>
        </w:tc>
        <w:tc>
          <w:tcPr>
            <w:tcW w:w="360" w:type="pct"/>
            <w:vMerge/>
            <w:noWrap/>
            <w:vAlign w:val="center"/>
          </w:tcPr>
          <w:p w14:paraId="05CA2390" w14:textId="77777777" w:rsidR="00A320E6" w:rsidRDefault="00A320E6" w:rsidP="00AE0286">
            <w:pPr>
              <w:jc w:val="center"/>
              <w:rPr>
                <w:rFonts w:ascii="宋体" w:hAnsi="宋体" w:cs="宋体"/>
                <w:kern w:val="0"/>
                <w:szCs w:val="21"/>
              </w:rPr>
            </w:pPr>
          </w:p>
        </w:tc>
        <w:tc>
          <w:tcPr>
            <w:tcW w:w="2285" w:type="pct"/>
            <w:noWrap/>
            <w:vAlign w:val="center"/>
          </w:tcPr>
          <w:p w14:paraId="36C2F1E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幼龄期（区分树种）</w:t>
            </w:r>
          </w:p>
        </w:tc>
        <w:tc>
          <w:tcPr>
            <w:tcW w:w="690" w:type="pct"/>
            <w:noWrap/>
            <w:vAlign w:val="center"/>
          </w:tcPr>
          <w:p w14:paraId="6FC6F34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3E709648" w14:textId="77777777" w:rsidR="00A320E6" w:rsidRDefault="00A320E6" w:rsidP="00AE0286">
            <w:pPr>
              <w:jc w:val="left"/>
              <w:textAlignment w:val="center"/>
              <w:rPr>
                <w:rFonts w:ascii="宋体" w:hAnsi="宋体" w:cs="宋体"/>
                <w:kern w:val="0"/>
                <w:szCs w:val="21"/>
              </w:rPr>
            </w:pPr>
          </w:p>
        </w:tc>
      </w:tr>
      <w:tr w:rsidR="00090867" w14:paraId="5AD06D99" w14:textId="77777777" w:rsidTr="00320C3C">
        <w:trPr>
          <w:trHeight w:val="283"/>
          <w:jc w:val="center"/>
        </w:trPr>
        <w:tc>
          <w:tcPr>
            <w:tcW w:w="366" w:type="pct"/>
            <w:vMerge/>
            <w:noWrap/>
            <w:vAlign w:val="center"/>
          </w:tcPr>
          <w:p w14:paraId="043BC405" w14:textId="77777777" w:rsidR="00A320E6" w:rsidRDefault="00A320E6" w:rsidP="00AE0286">
            <w:pPr>
              <w:jc w:val="center"/>
              <w:rPr>
                <w:rFonts w:ascii="宋体" w:hAnsi="宋体" w:cs="宋体"/>
                <w:kern w:val="0"/>
                <w:szCs w:val="21"/>
              </w:rPr>
            </w:pPr>
          </w:p>
        </w:tc>
        <w:tc>
          <w:tcPr>
            <w:tcW w:w="360" w:type="pct"/>
            <w:vMerge/>
            <w:noWrap/>
            <w:vAlign w:val="center"/>
          </w:tcPr>
          <w:p w14:paraId="03DBA400" w14:textId="77777777" w:rsidR="00A320E6" w:rsidRDefault="00A320E6" w:rsidP="00AE0286">
            <w:pPr>
              <w:jc w:val="center"/>
              <w:rPr>
                <w:rFonts w:ascii="宋体" w:hAnsi="宋体" w:cs="宋体"/>
                <w:kern w:val="0"/>
                <w:szCs w:val="21"/>
              </w:rPr>
            </w:pPr>
          </w:p>
        </w:tc>
        <w:tc>
          <w:tcPr>
            <w:tcW w:w="2285" w:type="pct"/>
            <w:noWrap/>
            <w:vAlign w:val="center"/>
          </w:tcPr>
          <w:p w14:paraId="1C2F4DF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初果期（区分树种）</w:t>
            </w:r>
          </w:p>
        </w:tc>
        <w:tc>
          <w:tcPr>
            <w:tcW w:w="690" w:type="pct"/>
            <w:noWrap/>
            <w:vAlign w:val="center"/>
          </w:tcPr>
          <w:p w14:paraId="5DCF6FC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79FF864F" w14:textId="77777777" w:rsidR="00A320E6" w:rsidRDefault="00A320E6" w:rsidP="00AE0286">
            <w:pPr>
              <w:rPr>
                <w:rFonts w:ascii="宋体" w:hAnsi="宋体" w:cs="宋体"/>
                <w:kern w:val="0"/>
                <w:szCs w:val="21"/>
              </w:rPr>
            </w:pPr>
          </w:p>
        </w:tc>
      </w:tr>
      <w:tr w:rsidR="00090867" w14:paraId="0FF942C5" w14:textId="77777777" w:rsidTr="00320C3C">
        <w:trPr>
          <w:trHeight w:val="283"/>
          <w:jc w:val="center"/>
        </w:trPr>
        <w:tc>
          <w:tcPr>
            <w:tcW w:w="366" w:type="pct"/>
            <w:vMerge/>
            <w:noWrap/>
            <w:vAlign w:val="center"/>
          </w:tcPr>
          <w:p w14:paraId="09096BD0" w14:textId="77777777" w:rsidR="00A320E6" w:rsidRDefault="00A320E6" w:rsidP="00AE0286">
            <w:pPr>
              <w:jc w:val="center"/>
              <w:rPr>
                <w:rFonts w:ascii="宋体" w:hAnsi="宋体" w:cs="宋体"/>
                <w:kern w:val="0"/>
                <w:szCs w:val="21"/>
              </w:rPr>
            </w:pPr>
          </w:p>
        </w:tc>
        <w:tc>
          <w:tcPr>
            <w:tcW w:w="360" w:type="pct"/>
            <w:vMerge/>
            <w:noWrap/>
            <w:vAlign w:val="center"/>
          </w:tcPr>
          <w:p w14:paraId="4979CD40" w14:textId="77777777" w:rsidR="00A320E6" w:rsidRDefault="00A320E6" w:rsidP="00AE0286">
            <w:pPr>
              <w:jc w:val="center"/>
              <w:rPr>
                <w:rFonts w:ascii="宋体" w:hAnsi="宋体" w:cs="宋体"/>
                <w:kern w:val="0"/>
                <w:szCs w:val="21"/>
              </w:rPr>
            </w:pPr>
          </w:p>
        </w:tc>
        <w:tc>
          <w:tcPr>
            <w:tcW w:w="2285" w:type="pct"/>
            <w:noWrap/>
            <w:vAlign w:val="center"/>
          </w:tcPr>
          <w:p w14:paraId="60C3DD0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盛果期（区分树种）</w:t>
            </w:r>
          </w:p>
        </w:tc>
        <w:tc>
          <w:tcPr>
            <w:tcW w:w="690" w:type="pct"/>
            <w:noWrap/>
            <w:vAlign w:val="center"/>
          </w:tcPr>
          <w:p w14:paraId="55041C8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19C75AF6" w14:textId="77777777" w:rsidR="00A320E6" w:rsidRDefault="00A320E6" w:rsidP="00AE0286">
            <w:pPr>
              <w:rPr>
                <w:rFonts w:ascii="宋体" w:hAnsi="宋体" w:cs="宋体"/>
                <w:kern w:val="0"/>
                <w:szCs w:val="21"/>
              </w:rPr>
            </w:pPr>
          </w:p>
        </w:tc>
      </w:tr>
      <w:tr w:rsidR="00090867" w14:paraId="209D4F43" w14:textId="77777777" w:rsidTr="00320C3C">
        <w:trPr>
          <w:trHeight w:val="283"/>
          <w:jc w:val="center"/>
        </w:trPr>
        <w:tc>
          <w:tcPr>
            <w:tcW w:w="366" w:type="pct"/>
            <w:vMerge/>
            <w:noWrap/>
            <w:vAlign w:val="center"/>
          </w:tcPr>
          <w:p w14:paraId="68834A45" w14:textId="77777777" w:rsidR="00A320E6" w:rsidRDefault="00A320E6" w:rsidP="00AE0286">
            <w:pPr>
              <w:jc w:val="center"/>
              <w:rPr>
                <w:rFonts w:ascii="宋体" w:hAnsi="宋体" w:cs="宋体"/>
                <w:kern w:val="0"/>
                <w:szCs w:val="21"/>
              </w:rPr>
            </w:pPr>
          </w:p>
        </w:tc>
        <w:tc>
          <w:tcPr>
            <w:tcW w:w="360" w:type="pct"/>
            <w:vMerge/>
            <w:noWrap/>
            <w:vAlign w:val="center"/>
          </w:tcPr>
          <w:p w14:paraId="0FC51695" w14:textId="77777777" w:rsidR="00A320E6" w:rsidRDefault="00A320E6" w:rsidP="00AE0286">
            <w:pPr>
              <w:jc w:val="center"/>
              <w:rPr>
                <w:rFonts w:ascii="宋体" w:hAnsi="宋体" w:cs="宋体"/>
                <w:kern w:val="0"/>
                <w:szCs w:val="21"/>
              </w:rPr>
            </w:pPr>
          </w:p>
        </w:tc>
        <w:tc>
          <w:tcPr>
            <w:tcW w:w="2285" w:type="pct"/>
            <w:noWrap/>
            <w:vAlign w:val="center"/>
          </w:tcPr>
          <w:p w14:paraId="16FFF99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衰老期（区分树种）</w:t>
            </w:r>
          </w:p>
        </w:tc>
        <w:tc>
          <w:tcPr>
            <w:tcW w:w="690" w:type="pct"/>
            <w:noWrap/>
            <w:vAlign w:val="center"/>
          </w:tcPr>
          <w:p w14:paraId="7517F1A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棵</w:t>
            </w:r>
          </w:p>
        </w:tc>
        <w:tc>
          <w:tcPr>
            <w:tcW w:w="1299" w:type="pct"/>
            <w:vMerge/>
            <w:noWrap/>
            <w:vAlign w:val="center"/>
          </w:tcPr>
          <w:p w14:paraId="329F3411" w14:textId="77777777" w:rsidR="00A320E6" w:rsidRDefault="00A320E6" w:rsidP="00AE0286">
            <w:pPr>
              <w:rPr>
                <w:rFonts w:ascii="宋体" w:hAnsi="宋体" w:cs="宋体"/>
                <w:kern w:val="0"/>
                <w:szCs w:val="21"/>
              </w:rPr>
            </w:pPr>
          </w:p>
        </w:tc>
      </w:tr>
      <w:tr w:rsidR="00090867" w14:paraId="7315ED64" w14:textId="77777777" w:rsidTr="00320C3C">
        <w:trPr>
          <w:trHeight w:val="283"/>
          <w:jc w:val="center"/>
        </w:trPr>
        <w:tc>
          <w:tcPr>
            <w:tcW w:w="366" w:type="pct"/>
            <w:vMerge w:val="restart"/>
            <w:noWrap/>
            <w:vAlign w:val="center"/>
          </w:tcPr>
          <w:p w14:paraId="4DF6841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22</w:t>
            </w:r>
          </w:p>
        </w:tc>
        <w:tc>
          <w:tcPr>
            <w:tcW w:w="360" w:type="pct"/>
            <w:vMerge w:val="restart"/>
            <w:noWrap/>
            <w:vAlign w:val="center"/>
          </w:tcPr>
          <w:p w14:paraId="0535925D"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花椒树</w:t>
            </w:r>
          </w:p>
        </w:tc>
        <w:tc>
          <w:tcPr>
            <w:tcW w:w="2285" w:type="pct"/>
            <w:noWrap/>
            <w:vAlign w:val="center"/>
          </w:tcPr>
          <w:p w14:paraId="733CBBD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花椒苗</w:t>
            </w:r>
          </w:p>
        </w:tc>
        <w:tc>
          <w:tcPr>
            <w:tcW w:w="690" w:type="pct"/>
            <w:noWrap/>
            <w:vAlign w:val="center"/>
          </w:tcPr>
          <w:p w14:paraId="7C003BC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株</w:t>
            </w:r>
          </w:p>
        </w:tc>
        <w:tc>
          <w:tcPr>
            <w:tcW w:w="1299" w:type="pct"/>
            <w:vMerge w:val="restart"/>
            <w:noWrap/>
            <w:vAlign w:val="center"/>
          </w:tcPr>
          <w:p w14:paraId="3002B63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树归原主</w:t>
            </w:r>
            <w:r>
              <w:rPr>
                <w:rStyle w:val="font41"/>
                <w:rFonts w:hint="default"/>
                <w:sz w:val="21"/>
                <w:szCs w:val="21"/>
                <w:lang w:bidi="ar"/>
              </w:rPr>
              <w:t>。</w:t>
            </w:r>
          </w:p>
        </w:tc>
      </w:tr>
      <w:tr w:rsidR="00090867" w14:paraId="3BE097D3" w14:textId="77777777" w:rsidTr="00320C3C">
        <w:trPr>
          <w:trHeight w:val="283"/>
          <w:jc w:val="center"/>
        </w:trPr>
        <w:tc>
          <w:tcPr>
            <w:tcW w:w="366" w:type="pct"/>
            <w:vMerge/>
            <w:noWrap/>
            <w:vAlign w:val="center"/>
          </w:tcPr>
          <w:p w14:paraId="2B410E1D" w14:textId="77777777" w:rsidR="00A320E6" w:rsidRDefault="00A320E6" w:rsidP="00AE0286">
            <w:pPr>
              <w:jc w:val="center"/>
              <w:rPr>
                <w:rFonts w:ascii="宋体" w:hAnsi="宋体" w:cs="宋体"/>
                <w:kern w:val="0"/>
                <w:szCs w:val="21"/>
              </w:rPr>
            </w:pPr>
          </w:p>
        </w:tc>
        <w:tc>
          <w:tcPr>
            <w:tcW w:w="360" w:type="pct"/>
            <w:vMerge/>
            <w:noWrap/>
            <w:vAlign w:val="center"/>
          </w:tcPr>
          <w:p w14:paraId="79C740E1" w14:textId="77777777" w:rsidR="00A320E6" w:rsidRDefault="00A320E6" w:rsidP="00AE0286">
            <w:pPr>
              <w:jc w:val="center"/>
              <w:rPr>
                <w:rFonts w:ascii="宋体" w:hAnsi="宋体" w:cs="宋体"/>
                <w:kern w:val="0"/>
                <w:szCs w:val="21"/>
              </w:rPr>
            </w:pPr>
          </w:p>
        </w:tc>
        <w:tc>
          <w:tcPr>
            <w:tcW w:w="2285" w:type="pct"/>
            <w:noWrap/>
            <w:vAlign w:val="center"/>
          </w:tcPr>
          <w:p w14:paraId="6C10E97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地径2-5cm</w:t>
            </w:r>
            <w:r>
              <w:rPr>
                <w:rStyle w:val="font41"/>
                <w:rFonts w:hint="default"/>
                <w:sz w:val="21"/>
                <w:szCs w:val="21"/>
                <w:lang w:bidi="ar"/>
              </w:rPr>
              <w:t>（不含</w:t>
            </w:r>
            <w:r>
              <w:rPr>
                <w:rFonts w:ascii="宋体" w:hAnsi="宋体" w:cs="宋体" w:hint="eastAsia"/>
                <w:color w:val="000000"/>
                <w:kern w:val="0"/>
                <w:szCs w:val="21"/>
                <w:lang w:bidi="ar"/>
              </w:rPr>
              <w:t>5cm</w:t>
            </w:r>
            <w:r>
              <w:rPr>
                <w:rStyle w:val="font41"/>
                <w:rFonts w:hint="default"/>
                <w:sz w:val="21"/>
                <w:szCs w:val="21"/>
                <w:lang w:bidi="ar"/>
              </w:rPr>
              <w:t>）</w:t>
            </w:r>
          </w:p>
        </w:tc>
        <w:tc>
          <w:tcPr>
            <w:tcW w:w="690" w:type="pct"/>
            <w:noWrap/>
            <w:vAlign w:val="center"/>
          </w:tcPr>
          <w:p w14:paraId="5FD9E35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株</w:t>
            </w:r>
          </w:p>
        </w:tc>
        <w:tc>
          <w:tcPr>
            <w:tcW w:w="1299" w:type="pct"/>
            <w:vMerge/>
            <w:noWrap/>
            <w:vAlign w:val="center"/>
          </w:tcPr>
          <w:p w14:paraId="44F31104" w14:textId="77777777" w:rsidR="00A320E6" w:rsidRDefault="00A320E6" w:rsidP="00AE0286">
            <w:pPr>
              <w:jc w:val="left"/>
              <w:rPr>
                <w:rFonts w:ascii="宋体" w:hAnsi="宋体" w:cs="宋体"/>
                <w:kern w:val="0"/>
                <w:szCs w:val="21"/>
              </w:rPr>
            </w:pPr>
          </w:p>
        </w:tc>
      </w:tr>
      <w:tr w:rsidR="00090867" w14:paraId="3DCDCE1E" w14:textId="77777777" w:rsidTr="00320C3C">
        <w:trPr>
          <w:trHeight w:val="283"/>
          <w:jc w:val="center"/>
        </w:trPr>
        <w:tc>
          <w:tcPr>
            <w:tcW w:w="366" w:type="pct"/>
            <w:vMerge/>
            <w:noWrap/>
            <w:vAlign w:val="center"/>
          </w:tcPr>
          <w:p w14:paraId="322D5D88" w14:textId="77777777" w:rsidR="00A320E6" w:rsidRDefault="00A320E6" w:rsidP="00AE0286">
            <w:pPr>
              <w:jc w:val="center"/>
              <w:rPr>
                <w:rFonts w:ascii="宋体" w:hAnsi="宋体" w:cs="宋体"/>
                <w:kern w:val="0"/>
                <w:szCs w:val="21"/>
              </w:rPr>
            </w:pPr>
          </w:p>
        </w:tc>
        <w:tc>
          <w:tcPr>
            <w:tcW w:w="360" w:type="pct"/>
            <w:vMerge/>
            <w:noWrap/>
            <w:vAlign w:val="center"/>
          </w:tcPr>
          <w:p w14:paraId="116A091E" w14:textId="77777777" w:rsidR="00A320E6" w:rsidRDefault="00A320E6" w:rsidP="00AE0286">
            <w:pPr>
              <w:jc w:val="center"/>
              <w:rPr>
                <w:rFonts w:ascii="宋体" w:hAnsi="宋体" w:cs="宋体"/>
                <w:kern w:val="0"/>
                <w:szCs w:val="21"/>
              </w:rPr>
            </w:pPr>
          </w:p>
        </w:tc>
        <w:tc>
          <w:tcPr>
            <w:tcW w:w="2285" w:type="pct"/>
            <w:noWrap/>
            <w:vAlign w:val="center"/>
          </w:tcPr>
          <w:p w14:paraId="2BEC8E2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地径5-10cm</w:t>
            </w:r>
            <w:r>
              <w:rPr>
                <w:rStyle w:val="font41"/>
                <w:rFonts w:hint="default"/>
                <w:sz w:val="21"/>
                <w:szCs w:val="21"/>
                <w:lang w:bidi="ar"/>
              </w:rPr>
              <w:t>（不含</w:t>
            </w:r>
            <w:r>
              <w:rPr>
                <w:rFonts w:ascii="宋体" w:hAnsi="宋体" w:cs="宋体" w:hint="eastAsia"/>
                <w:color w:val="000000"/>
                <w:kern w:val="0"/>
                <w:szCs w:val="21"/>
                <w:lang w:bidi="ar"/>
              </w:rPr>
              <w:t>10cm</w:t>
            </w:r>
            <w:r>
              <w:rPr>
                <w:rStyle w:val="font41"/>
                <w:rFonts w:hint="default"/>
                <w:sz w:val="21"/>
                <w:szCs w:val="21"/>
                <w:lang w:bidi="ar"/>
              </w:rPr>
              <w:t>）</w:t>
            </w:r>
          </w:p>
        </w:tc>
        <w:tc>
          <w:tcPr>
            <w:tcW w:w="690" w:type="pct"/>
            <w:noWrap/>
            <w:vAlign w:val="center"/>
          </w:tcPr>
          <w:p w14:paraId="2D16483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株</w:t>
            </w:r>
          </w:p>
        </w:tc>
        <w:tc>
          <w:tcPr>
            <w:tcW w:w="1299" w:type="pct"/>
            <w:vMerge/>
            <w:noWrap/>
            <w:vAlign w:val="center"/>
          </w:tcPr>
          <w:p w14:paraId="4ADDE603" w14:textId="77777777" w:rsidR="00A320E6" w:rsidRDefault="00A320E6" w:rsidP="00AE0286">
            <w:pPr>
              <w:jc w:val="left"/>
              <w:rPr>
                <w:rFonts w:ascii="宋体" w:hAnsi="宋体" w:cs="宋体"/>
                <w:kern w:val="0"/>
                <w:szCs w:val="21"/>
              </w:rPr>
            </w:pPr>
          </w:p>
        </w:tc>
      </w:tr>
      <w:tr w:rsidR="00090867" w14:paraId="25986F14" w14:textId="77777777" w:rsidTr="00320C3C">
        <w:trPr>
          <w:trHeight w:val="283"/>
          <w:jc w:val="center"/>
        </w:trPr>
        <w:tc>
          <w:tcPr>
            <w:tcW w:w="366" w:type="pct"/>
            <w:vMerge/>
            <w:noWrap/>
            <w:vAlign w:val="center"/>
          </w:tcPr>
          <w:p w14:paraId="1B692440" w14:textId="77777777" w:rsidR="00A320E6" w:rsidRDefault="00A320E6" w:rsidP="00AE0286">
            <w:pPr>
              <w:jc w:val="center"/>
              <w:rPr>
                <w:rFonts w:ascii="宋体" w:hAnsi="宋体" w:cs="宋体"/>
                <w:kern w:val="0"/>
                <w:szCs w:val="21"/>
              </w:rPr>
            </w:pPr>
          </w:p>
        </w:tc>
        <w:tc>
          <w:tcPr>
            <w:tcW w:w="360" w:type="pct"/>
            <w:vMerge/>
            <w:noWrap/>
            <w:vAlign w:val="center"/>
          </w:tcPr>
          <w:p w14:paraId="2BA06C70" w14:textId="77777777" w:rsidR="00A320E6" w:rsidRDefault="00A320E6" w:rsidP="00AE0286">
            <w:pPr>
              <w:jc w:val="center"/>
              <w:rPr>
                <w:rFonts w:ascii="宋体" w:hAnsi="宋体" w:cs="宋体"/>
                <w:kern w:val="0"/>
                <w:szCs w:val="21"/>
              </w:rPr>
            </w:pPr>
          </w:p>
        </w:tc>
        <w:tc>
          <w:tcPr>
            <w:tcW w:w="2285" w:type="pct"/>
            <w:noWrap/>
            <w:vAlign w:val="center"/>
          </w:tcPr>
          <w:p w14:paraId="446CDF9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地径10-15cm</w:t>
            </w:r>
            <w:r>
              <w:rPr>
                <w:rStyle w:val="font41"/>
                <w:rFonts w:hint="default"/>
                <w:sz w:val="21"/>
                <w:szCs w:val="21"/>
                <w:lang w:bidi="ar"/>
              </w:rPr>
              <w:t>（不含</w:t>
            </w:r>
            <w:r>
              <w:rPr>
                <w:rFonts w:ascii="宋体" w:hAnsi="宋体" w:cs="宋体" w:hint="eastAsia"/>
                <w:color w:val="000000"/>
                <w:kern w:val="0"/>
                <w:szCs w:val="21"/>
                <w:lang w:bidi="ar"/>
              </w:rPr>
              <w:t>15cm</w:t>
            </w:r>
            <w:r>
              <w:rPr>
                <w:rStyle w:val="font41"/>
                <w:rFonts w:hint="default"/>
                <w:sz w:val="21"/>
                <w:szCs w:val="21"/>
                <w:lang w:bidi="ar"/>
              </w:rPr>
              <w:t>）</w:t>
            </w:r>
          </w:p>
        </w:tc>
        <w:tc>
          <w:tcPr>
            <w:tcW w:w="690" w:type="pct"/>
            <w:noWrap/>
            <w:vAlign w:val="center"/>
          </w:tcPr>
          <w:p w14:paraId="1FC9F0E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株</w:t>
            </w:r>
          </w:p>
        </w:tc>
        <w:tc>
          <w:tcPr>
            <w:tcW w:w="1299" w:type="pct"/>
            <w:vMerge/>
            <w:noWrap/>
            <w:vAlign w:val="center"/>
          </w:tcPr>
          <w:p w14:paraId="212BBA57" w14:textId="77777777" w:rsidR="00A320E6" w:rsidRDefault="00A320E6" w:rsidP="00AE0286">
            <w:pPr>
              <w:jc w:val="left"/>
              <w:rPr>
                <w:rFonts w:ascii="宋体" w:hAnsi="宋体" w:cs="宋体"/>
                <w:kern w:val="0"/>
                <w:szCs w:val="21"/>
              </w:rPr>
            </w:pPr>
          </w:p>
        </w:tc>
      </w:tr>
      <w:tr w:rsidR="00090867" w14:paraId="35795340" w14:textId="77777777" w:rsidTr="00320C3C">
        <w:trPr>
          <w:trHeight w:val="283"/>
          <w:jc w:val="center"/>
        </w:trPr>
        <w:tc>
          <w:tcPr>
            <w:tcW w:w="366" w:type="pct"/>
            <w:vMerge/>
            <w:noWrap/>
            <w:vAlign w:val="center"/>
          </w:tcPr>
          <w:p w14:paraId="63EA1314" w14:textId="77777777" w:rsidR="00A320E6" w:rsidRDefault="00A320E6" w:rsidP="00AE0286">
            <w:pPr>
              <w:jc w:val="center"/>
              <w:rPr>
                <w:rFonts w:ascii="宋体" w:hAnsi="宋体" w:cs="宋体"/>
                <w:kern w:val="0"/>
                <w:szCs w:val="21"/>
              </w:rPr>
            </w:pPr>
          </w:p>
        </w:tc>
        <w:tc>
          <w:tcPr>
            <w:tcW w:w="360" w:type="pct"/>
            <w:vMerge/>
            <w:noWrap/>
            <w:vAlign w:val="center"/>
          </w:tcPr>
          <w:p w14:paraId="25EAC4AD" w14:textId="77777777" w:rsidR="00A320E6" w:rsidRDefault="00A320E6" w:rsidP="00AE0286">
            <w:pPr>
              <w:jc w:val="center"/>
              <w:rPr>
                <w:rFonts w:ascii="宋体" w:hAnsi="宋体" w:cs="宋体"/>
                <w:kern w:val="0"/>
                <w:szCs w:val="21"/>
              </w:rPr>
            </w:pPr>
          </w:p>
        </w:tc>
        <w:tc>
          <w:tcPr>
            <w:tcW w:w="2285" w:type="pct"/>
            <w:noWrap/>
            <w:vAlign w:val="center"/>
          </w:tcPr>
          <w:p w14:paraId="3A87F59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地径15cm</w:t>
            </w:r>
            <w:r>
              <w:rPr>
                <w:rStyle w:val="font41"/>
                <w:rFonts w:hint="default"/>
                <w:sz w:val="21"/>
                <w:szCs w:val="21"/>
                <w:lang w:bidi="ar"/>
              </w:rPr>
              <w:t>以上</w:t>
            </w:r>
          </w:p>
        </w:tc>
        <w:tc>
          <w:tcPr>
            <w:tcW w:w="690" w:type="pct"/>
            <w:noWrap/>
            <w:vAlign w:val="center"/>
          </w:tcPr>
          <w:p w14:paraId="0CE58C6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220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株</w:t>
            </w:r>
          </w:p>
        </w:tc>
        <w:tc>
          <w:tcPr>
            <w:tcW w:w="1299" w:type="pct"/>
            <w:vMerge/>
            <w:noWrap/>
            <w:vAlign w:val="center"/>
          </w:tcPr>
          <w:p w14:paraId="5D48307F" w14:textId="77777777" w:rsidR="00A320E6" w:rsidRDefault="00A320E6" w:rsidP="00AE0286">
            <w:pPr>
              <w:jc w:val="left"/>
              <w:rPr>
                <w:rFonts w:ascii="宋体" w:hAnsi="宋体" w:cs="宋体"/>
                <w:kern w:val="0"/>
                <w:szCs w:val="21"/>
              </w:rPr>
            </w:pPr>
          </w:p>
        </w:tc>
      </w:tr>
      <w:tr w:rsidR="00090867" w14:paraId="7289EC48" w14:textId="77777777" w:rsidTr="00320C3C">
        <w:trPr>
          <w:trHeight w:val="283"/>
          <w:jc w:val="center"/>
        </w:trPr>
        <w:tc>
          <w:tcPr>
            <w:tcW w:w="366" w:type="pct"/>
            <w:vMerge/>
            <w:noWrap/>
            <w:vAlign w:val="center"/>
          </w:tcPr>
          <w:p w14:paraId="0A7B934C" w14:textId="77777777" w:rsidR="00A320E6" w:rsidRDefault="00A320E6" w:rsidP="00AE0286">
            <w:pPr>
              <w:jc w:val="center"/>
              <w:rPr>
                <w:rFonts w:ascii="宋体" w:hAnsi="宋体" w:cs="宋体"/>
                <w:kern w:val="0"/>
                <w:szCs w:val="21"/>
              </w:rPr>
            </w:pPr>
          </w:p>
        </w:tc>
        <w:tc>
          <w:tcPr>
            <w:tcW w:w="360" w:type="pct"/>
            <w:vMerge/>
            <w:noWrap/>
            <w:vAlign w:val="center"/>
          </w:tcPr>
          <w:p w14:paraId="41CE844E" w14:textId="77777777" w:rsidR="00A320E6" w:rsidRDefault="00A320E6" w:rsidP="00AE0286">
            <w:pPr>
              <w:jc w:val="center"/>
              <w:rPr>
                <w:rFonts w:ascii="宋体" w:hAnsi="宋体" w:cs="宋体"/>
                <w:kern w:val="0"/>
                <w:szCs w:val="21"/>
              </w:rPr>
            </w:pPr>
          </w:p>
        </w:tc>
        <w:tc>
          <w:tcPr>
            <w:tcW w:w="2285" w:type="pct"/>
            <w:noWrap/>
            <w:vAlign w:val="center"/>
          </w:tcPr>
          <w:p w14:paraId="2AB678E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花椒墙：单株地径小于5cm</w:t>
            </w:r>
          </w:p>
        </w:tc>
        <w:tc>
          <w:tcPr>
            <w:tcW w:w="690" w:type="pct"/>
            <w:noWrap/>
            <w:vAlign w:val="center"/>
          </w:tcPr>
          <w:p w14:paraId="354A1F1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7796E2DB" w14:textId="77777777" w:rsidR="00A320E6" w:rsidRDefault="00A320E6" w:rsidP="00AE0286">
            <w:pPr>
              <w:jc w:val="left"/>
              <w:rPr>
                <w:rFonts w:ascii="宋体" w:hAnsi="宋体" w:cs="宋体"/>
                <w:kern w:val="0"/>
                <w:szCs w:val="21"/>
              </w:rPr>
            </w:pPr>
          </w:p>
        </w:tc>
      </w:tr>
      <w:tr w:rsidR="00090867" w14:paraId="40271C8D" w14:textId="77777777" w:rsidTr="00320C3C">
        <w:trPr>
          <w:trHeight w:val="283"/>
          <w:jc w:val="center"/>
        </w:trPr>
        <w:tc>
          <w:tcPr>
            <w:tcW w:w="366" w:type="pct"/>
            <w:vMerge/>
            <w:noWrap/>
            <w:vAlign w:val="center"/>
          </w:tcPr>
          <w:p w14:paraId="303A88C2" w14:textId="77777777" w:rsidR="00A320E6" w:rsidRDefault="00A320E6" w:rsidP="00AE0286">
            <w:pPr>
              <w:jc w:val="center"/>
              <w:rPr>
                <w:rFonts w:ascii="宋体" w:hAnsi="宋体" w:cs="宋体"/>
                <w:kern w:val="0"/>
                <w:szCs w:val="21"/>
              </w:rPr>
            </w:pPr>
          </w:p>
        </w:tc>
        <w:tc>
          <w:tcPr>
            <w:tcW w:w="360" w:type="pct"/>
            <w:vMerge/>
            <w:noWrap/>
            <w:vAlign w:val="center"/>
          </w:tcPr>
          <w:p w14:paraId="509D4508" w14:textId="77777777" w:rsidR="00A320E6" w:rsidRDefault="00A320E6" w:rsidP="00AE0286">
            <w:pPr>
              <w:jc w:val="center"/>
              <w:rPr>
                <w:rFonts w:ascii="宋体" w:hAnsi="宋体" w:cs="宋体"/>
                <w:kern w:val="0"/>
                <w:szCs w:val="21"/>
              </w:rPr>
            </w:pPr>
          </w:p>
        </w:tc>
        <w:tc>
          <w:tcPr>
            <w:tcW w:w="2285" w:type="pct"/>
            <w:noWrap/>
            <w:vAlign w:val="center"/>
          </w:tcPr>
          <w:p w14:paraId="3C6E137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花椒墙：单株地径大于5cm</w:t>
            </w:r>
          </w:p>
        </w:tc>
        <w:tc>
          <w:tcPr>
            <w:tcW w:w="690" w:type="pct"/>
            <w:noWrap/>
            <w:vAlign w:val="center"/>
          </w:tcPr>
          <w:p w14:paraId="65EE2BC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w:t>
            </w:r>
            <w:r>
              <w:rPr>
                <w:rStyle w:val="font61"/>
                <w:rFonts w:hint="default"/>
                <w:sz w:val="21"/>
                <w:szCs w:val="21"/>
                <w:lang w:bidi="ar"/>
              </w:rPr>
              <w:t>元</w:t>
            </w:r>
            <w:r>
              <w:rPr>
                <w:rStyle w:val="font51"/>
                <w:rFonts w:ascii="宋体" w:eastAsia="宋体" w:cs="宋体" w:hint="eastAsia"/>
                <w:sz w:val="21"/>
                <w:szCs w:val="21"/>
                <w:lang w:bidi="ar"/>
              </w:rPr>
              <w:t>/m</w:t>
            </w:r>
          </w:p>
        </w:tc>
        <w:tc>
          <w:tcPr>
            <w:tcW w:w="1299" w:type="pct"/>
            <w:vMerge/>
            <w:noWrap/>
            <w:vAlign w:val="center"/>
          </w:tcPr>
          <w:p w14:paraId="7D123FD0" w14:textId="77777777" w:rsidR="00A320E6" w:rsidRDefault="00A320E6" w:rsidP="00AE0286">
            <w:pPr>
              <w:jc w:val="left"/>
              <w:rPr>
                <w:rFonts w:ascii="宋体" w:hAnsi="宋体" w:cs="宋体"/>
                <w:kern w:val="0"/>
                <w:szCs w:val="21"/>
              </w:rPr>
            </w:pPr>
          </w:p>
        </w:tc>
      </w:tr>
      <w:tr w:rsidR="00090867" w14:paraId="46C718B6" w14:textId="77777777" w:rsidTr="00320C3C">
        <w:trPr>
          <w:trHeight w:val="283"/>
          <w:jc w:val="center"/>
        </w:trPr>
        <w:tc>
          <w:tcPr>
            <w:tcW w:w="366" w:type="pct"/>
            <w:noWrap/>
            <w:vAlign w:val="center"/>
          </w:tcPr>
          <w:p w14:paraId="377F2F28"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23</w:t>
            </w:r>
          </w:p>
        </w:tc>
        <w:tc>
          <w:tcPr>
            <w:tcW w:w="360" w:type="pct"/>
            <w:noWrap/>
            <w:vAlign w:val="center"/>
          </w:tcPr>
          <w:p w14:paraId="2540D48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青苗</w:t>
            </w:r>
          </w:p>
        </w:tc>
        <w:tc>
          <w:tcPr>
            <w:tcW w:w="2285" w:type="pct"/>
            <w:noWrap/>
            <w:vAlign w:val="center"/>
          </w:tcPr>
          <w:p w14:paraId="4325B4A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粮食作物（小麦、玉米）</w:t>
            </w:r>
          </w:p>
        </w:tc>
        <w:tc>
          <w:tcPr>
            <w:tcW w:w="690" w:type="pct"/>
            <w:noWrap/>
            <w:vAlign w:val="center"/>
          </w:tcPr>
          <w:p w14:paraId="188F54D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w:t>
            </w:r>
            <w:r>
              <w:rPr>
                <w:rStyle w:val="font61"/>
                <w:rFonts w:hint="default"/>
                <w:sz w:val="21"/>
                <w:szCs w:val="21"/>
                <w:lang w:bidi="ar"/>
              </w:rPr>
              <w:t>元</w:t>
            </w:r>
            <w:r>
              <w:rPr>
                <w:rStyle w:val="font51"/>
                <w:rFonts w:ascii="宋体" w:eastAsia="宋体" w:cs="宋体" w:hint="eastAsia"/>
                <w:sz w:val="21"/>
                <w:szCs w:val="21"/>
                <w:lang w:bidi="ar"/>
              </w:rPr>
              <w:t>/</w:t>
            </w:r>
            <w:r>
              <w:rPr>
                <w:rStyle w:val="font61"/>
                <w:rFonts w:hint="default"/>
                <w:sz w:val="21"/>
                <w:szCs w:val="21"/>
                <w:lang w:bidi="ar"/>
              </w:rPr>
              <w:t>亩</w:t>
            </w:r>
            <w:r>
              <w:rPr>
                <w:rStyle w:val="font51"/>
                <w:rFonts w:ascii="宋体" w:eastAsia="宋体" w:cs="宋体" w:hint="eastAsia"/>
                <w:sz w:val="21"/>
                <w:szCs w:val="21"/>
                <w:lang w:bidi="ar"/>
              </w:rPr>
              <w:t>·</w:t>
            </w:r>
            <w:r>
              <w:rPr>
                <w:rStyle w:val="font61"/>
                <w:rFonts w:hint="default"/>
                <w:sz w:val="21"/>
                <w:szCs w:val="21"/>
                <w:lang w:bidi="ar"/>
              </w:rPr>
              <w:t>季</w:t>
            </w:r>
          </w:p>
        </w:tc>
        <w:tc>
          <w:tcPr>
            <w:tcW w:w="1299" w:type="pct"/>
            <w:noWrap/>
            <w:vAlign w:val="center"/>
          </w:tcPr>
          <w:p w14:paraId="4DB57E9D" w14:textId="77777777" w:rsidR="00A320E6" w:rsidRDefault="00A320E6" w:rsidP="00AE0286">
            <w:pPr>
              <w:rPr>
                <w:rFonts w:ascii="宋体" w:hAnsi="宋体" w:cs="宋体"/>
                <w:kern w:val="0"/>
                <w:szCs w:val="21"/>
              </w:rPr>
            </w:pPr>
          </w:p>
        </w:tc>
      </w:tr>
    </w:tbl>
    <w:p w14:paraId="5F0BE97D" w14:textId="77777777" w:rsidR="00A320E6" w:rsidRDefault="00000000" w:rsidP="00AE0286">
      <w:pPr>
        <w:adjustRightInd w:val="0"/>
        <w:snapToGrid w:val="0"/>
        <w:spacing w:line="360" w:lineRule="auto"/>
        <w:ind w:firstLineChars="200" w:firstLine="482"/>
        <w:jc w:val="left"/>
        <w:rPr>
          <w:rFonts w:ascii="宋体" w:hAnsi="宋体" w:cs="宋体"/>
          <w:b/>
          <w:bCs/>
          <w:kern w:val="0"/>
          <w:sz w:val="24"/>
          <w:szCs w:val="24"/>
        </w:rPr>
      </w:pPr>
      <w:r>
        <w:rPr>
          <w:rFonts w:ascii="宋体" w:hAnsi="宋体" w:cs="宋体" w:hint="eastAsia"/>
          <w:b/>
          <w:bCs/>
          <w:kern w:val="0"/>
          <w:sz w:val="24"/>
          <w:szCs w:val="24"/>
        </w:rPr>
        <w:t>说明：</w:t>
      </w:r>
    </w:p>
    <w:p w14:paraId="67094569"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1.其他未列出的地上附着物参照本标准中相近情况给予适当补偿。</w:t>
      </w:r>
    </w:p>
    <w:p w14:paraId="69B8C7A6"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sz w:val="24"/>
          <w:szCs w:val="24"/>
        </w:rPr>
        <w:t>露天蔬菜、其他经济作物按作物产值补偿一季，作物产值根据市场价格进行协商或评估认证</w:t>
      </w:r>
      <w:r>
        <w:rPr>
          <w:rFonts w:ascii="宋体" w:hAnsi="宋体" w:cs="宋体" w:hint="eastAsia"/>
          <w:kern w:val="0"/>
          <w:sz w:val="24"/>
          <w:szCs w:val="24"/>
        </w:rPr>
        <w:t>。</w:t>
      </w:r>
    </w:p>
    <w:p w14:paraId="70D02AD4"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w:t>
      </w:r>
      <w:r>
        <w:rPr>
          <w:rFonts w:ascii="宋体" w:hAnsi="宋体" w:cs="宋体" w:hint="eastAsia"/>
          <w:sz w:val="24"/>
          <w:szCs w:val="24"/>
        </w:rPr>
        <w:t>难以参照的或被补偿人不接受本补偿标准的地上附着物，可委托有资质的机构进行评估或认证，评估或认证结果经过依法依规确认后，按照确认结果进行补偿。因被补偿人不接受本补偿标准产生的评估或认证费用,根据确认结果决定支付方，如确认结果与本补偿标准一致或者低于本补偿标准，由申请评估或认证的被征收人支付，否则，由征收方支付</w:t>
      </w:r>
      <w:r>
        <w:rPr>
          <w:rFonts w:ascii="宋体" w:hAnsi="宋体" w:cs="宋体" w:hint="eastAsia"/>
          <w:kern w:val="0"/>
          <w:sz w:val="24"/>
          <w:szCs w:val="24"/>
        </w:rPr>
        <w:t>。</w:t>
      </w:r>
    </w:p>
    <w:p w14:paraId="7D080D0F"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4.农用地地上附着物和青苗补偿费，除坟墓、电力通讯线路和井外，可实行包干方式补偿，具体按有关规定执行。</w:t>
      </w:r>
    </w:p>
    <w:p w14:paraId="38E9F701"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5.</w:t>
      </w:r>
      <w:r>
        <w:rPr>
          <w:rFonts w:ascii="宋体" w:hAnsi="宋体" w:cs="宋体" w:hint="eastAsia"/>
          <w:sz w:val="24"/>
          <w:szCs w:val="24"/>
        </w:rPr>
        <w:t>自征收土地预公告发布之日起</w:t>
      </w:r>
      <w:r>
        <w:rPr>
          <w:rFonts w:ascii="宋体" w:hAnsi="宋体" w:cs="宋体" w:hint="eastAsia"/>
          <w:kern w:val="0"/>
          <w:sz w:val="24"/>
          <w:szCs w:val="24"/>
        </w:rPr>
        <w:t>，抢种、抢栽的青苗和其他地上附着物，以及抢建的房屋等建（构）筑物不予补偿。</w:t>
      </w:r>
    </w:p>
    <w:p w14:paraId="02B5B344"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6.国家和省确定的铁路、公路、机场、航道港口、水利工程、能源工程等重大基础设施项目征收土地地上附着物和青苗补偿等标准另有规定的，从其规定。</w:t>
      </w:r>
    </w:p>
    <w:p w14:paraId="0FAAD946"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7.有线电视、宽带网、电话、空调、太阳能、热水器等迁移费按照行业标准执行。</w:t>
      </w:r>
    </w:p>
    <w:p w14:paraId="285E144C" w14:textId="77777777" w:rsidR="00A320E6" w:rsidRDefault="00000000" w:rsidP="00AE0286">
      <w:pPr>
        <w:adjustRightInd w:val="0"/>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8.过渡安置费和搬家费根据土地性质和区域相应标准执行。</w:t>
      </w:r>
    </w:p>
    <w:p w14:paraId="3C3D6520" w14:textId="77777777" w:rsidR="00A320E6" w:rsidRDefault="00000000" w:rsidP="00AE0286">
      <w:pPr>
        <w:adjustRightInd w:val="0"/>
        <w:snapToGrid w:val="0"/>
        <w:spacing w:line="360" w:lineRule="auto"/>
        <w:jc w:val="center"/>
        <w:rPr>
          <w:rFonts w:ascii="宋体" w:hAnsi="宋体" w:cs="宋体"/>
          <w:color w:val="000000"/>
          <w:kern w:val="0"/>
          <w:sz w:val="24"/>
          <w:szCs w:val="24"/>
          <w:lang w:bidi="ar"/>
        </w:rPr>
      </w:pPr>
      <w:r>
        <w:rPr>
          <w:rFonts w:ascii="宋体" w:hAnsi="宋体" w:cs="宋体" w:hint="eastAsia"/>
          <w:kern w:val="0"/>
          <w:sz w:val="24"/>
          <w:szCs w:val="24"/>
        </w:rPr>
        <w:t>济南市征地地上附着物和青苗补偿标准</w:t>
      </w:r>
    </w:p>
    <w:p w14:paraId="1A5D5B56" w14:textId="77777777" w:rsidR="00A320E6" w:rsidRDefault="00000000" w:rsidP="00AE0286">
      <w:pPr>
        <w:adjustRightInd w:val="0"/>
        <w:snapToGrid w:val="0"/>
        <w:spacing w:line="360" w:lineRule="auto"/>
        <w:jc w:val="center"/>
        <w:rPr>
          <w:rFonts w:ascii="宋体" w:hAnsi="宋体" w:cs="宋体"/>
          <w:sz w:val="24"/>
          <w:szCs w:val="24"/>
        </w:rPr>
      </w:pPr>
      <w:r>
        <w:rPr>
          <w:rFonts w:ascii="宋体" w:hAnsi="宋体" w:cs="宋体" w:hint="eastAsia"/>
          <w:kern w:val="0"/>
          <w:sz w:val="24"/>
          <w:szCs w:val="24"/>
        </w:rPr>
        <w:t>（济阳区）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2"/>
        <w:gridCol w:w="1432"/>
        <w:gridCol w:w="3686"/>
        <w:gridCol w:w="1115"/>
        <w:gridCol w:w="1769"/>
      </w:tblGrid>
      <w:tr w:rsidR="00A320E6" w14:paraId="1548F3E9" w14:textId="77777777" w:rsidTr="008B03FA">
        <w:trPr>
          <w:trHeight w:val="312"/>
          <w:tblHeader/>
          <w:jc w:val="center"/>
        </w:trPr>
        <w:tc>
          <w:tcPr>
            <w:tcW w:w="0" w:type="auto"/>
            <w:vMerge w:val="restart"/>
            <w:shd w:val="clear" w:color="auto" w:fill="auto"/>
            <w:vAlign w:val="center"/>
          </w:tcPr>
          <w:p w14:paraId="0A85BC80" w14:textId="77777777" w:rsidR="00A320E6" w:rsidRDefault="00000000" w:rsidP="00320C3C">
            <w:pPr>
              <w:jc w:val="center"/>
              <w:textAlignment w:val="center"/>
              <w:rPr>
                <w:rFonts w:ascii="宋体" w:hAnsi="宋体" w:cs="宋体"/>
                <w:b/>
                <w:kern w:val="0"/>
                <w:szCs w:val="21"/>
              </w:rPr>
            </w:pPr>
            <w:r>
              <w:rPr>
                <w:rFonts w:ascii="宋体" w:hAnsi="宋体" w:cs="宋体" w:hint="eastAsia"/>
                <w:b/>
                <w:bCs/>
                <w:color w:val="000000"/>
                <w:kern w:val="0"/>
                <w:szCs w:val="21"/>
                <w:lang w:bidi="ar"/>
              </w:rPr>
              <w:t>序号</w:t>
            </w:r>
          </w:p>
        </w:tc>
        <w:tc>
          <w:tcPr>
            <w:tcW w:w="0" w:type="auto"/>
            <w:vMerge w:val="restart"/>
            <w:shd w:val="clear" w:color="auto" w:fill="auto"/>
            <w:vAlign w:val="center"/>
          </w:tcPr>
          <w:p w14:paraId="479D2E33" w14:textId="77777777" w:rsidR="00A320E6" w:rsidRDefault="00000000" w:rsidP="00320C3C">
            <w:pPr>
              <w:jc w:val="center"/>
              <w:textAlignment w:val="center"/>
              <w:rPr>
                <w:rFonts w:ascii="宋体" w:hAnsi="宋体" w:cs="宋体"/>
                <w:b/>
                <w:kern w:val="0"/>
                <w:szCs w:val="21"/>
              </w:rPr>
            </w:pPr>
            <w:r>
              <w:rPr>
                <w:rFonts w:ascii="宋体" w:hAnsi="宋体" w:cs="宋体" w:hint="eastAsia"/>
                <w:b/>
                <w:bCs/>
                <w:color w:val="000000"/>
                <w:kern w:val="0"/>
                <w:szCs w:val="21"/>
                <w:lang w:bidi="ar"/>
              </w:rPr>
              <w:t>名称</w:t>
            </w:r>
          </w:p>
        </w:tc>
        <w:tc>
          <w:tcPr>
            <w:tcW w:w="1432" w:type="dxa"/>
            <w:vMerge w:val="restart"/>
            <w:shd w:val="clear" w:color="auto" w:fill="auto"/>
            <w:vAlign w:val="center"/>
          </w:tcPr>
          <w:p w14:paraId="7402411A" w14:textId="77777777" w:rsidR="00A320E6" w:rsidRDefault="00000000" w:rsidP="00320C3C">
            <w:pPr>
              <w:jc w:val="center"/>
              <w:textAlignment w:val="center"/>
              <w:rPr>
                <w:rFonts w:ascii="宋体" w:hAnsi="宋体" w:cs="宋体"/>
                <w:b/>
                <w:kern w:val="0"/>
                <w:szCs w:val="21"/>
              </w:rPr>
            </w:pPr>
            <w:r>
              <w:rPr>
                <w:rFonts w:ascii="宋体" w:hAnsi="宋体" w:cs="宋体" w:hint="eastAsia"/>
                <w:b/>
                <w:bCs/>
                <w:color w:val="000000"/>
                <w:kern w:val="0"/>
                <w:szCs w:val="21"/>
                <w:lang w:bidi="ar"/>
              </w:rPr>
              <w:t>类别规格</w:t>
            </w:r>
          </w:p>
        </w:tc>
        <w:tc>
          <w:tcPr>
            <w:tcW w:w="4801" w:type="dxa"/>
            <w:gridSpan w:val="2"/>
            <w:shd w:val="clear" w:color="auto" w:fill="auto"/>
            <w:vAlign w:val="bottom"/>
          </w:tcPr>
          <w:p w14:paraId="158875D6" w14:textId="77777777" w:rsidR="00A320E6" w:rsidRDefault="00000000" w:rsidP="00320C3C">
            <w:pPr>
              <w:jc w:val="center"/>
              <w:textAlignment w:val="bottom"/>
              <w:rPr>
                <w:rFonts w:ascii="宋体" w:hAnsi="宋体" w:cs="宋体"/>
                <w:b/>
                <w:kern w:val="0"/>
                <w:szCs w:val="21"/>
              </w:rPr>
            </w:pPr>
            <w:r>
              <w:rPr>
                <w:rFonts w:ascii="宋体" w:hAnsi="宋体" w:cs="宋体" w:hint="eastAsia"/>
                <w:b/>
                <w:bCs/>
                <w:color w:val="000000"/>
                <w:kern w:val="0"/>
                <w:szCs w:val="21"/>
                <w:lang w:bidi="ar"/>
              </w:rPr>
              <w:t>补偿标准</w:t>
            </w:r>
          </w:p>
        </w:tc>
        <w:tc>
          <w:tcPr>
            <w:tcW w:w="1769" w:type="dxa"/>
            <w:vMerge w:val="restart"/>
            <w:shd w:val="clear" w:color="auto" w:fill="auto"/>
            <w:vAlign w:val="center"/>
          </w:tcPr>
          <w:p w14:paraId="2F1D6218" w14:textId="77777777" w:rsidR="00A320E6" w:rsidRDefault="00000000" w:rsidP="00320C3C">
            <w:pPr>
              <w:jc w:val="center"/>
              <w:textAlignment w:val="center"/>
              <w:rPr>
                <w:rFonts w:ascii="宋体" w:hAnsi="宋体" w:cs="宋体"/>
                <w:b/>
                <w:kern w:val="0"/>
                <w:szCs w:val="21"/>
              </w:rPr>
            </w:pPr>
            <w:r>
              <w:rPr>
                <w:rFonts w:ascii="宋体" w:hAnsi="宋体" w:cs="宋体" w:hint="eastAsia"/>
                <w:b/>
                <w:bCs/>
                <w:color w:val="000000"/>
                <w:kern w:val="0"/>
                <w:szCs w:val="21"/>
                <w:lang w:bidi="ar"/>
              </w:rPr>
              <w:t>备注</w:t>
            </w:r>
          </w:p>
        </w:tc>
      </w:tr>
      <w:tr w:rsidR="00A320E6" w14:paraId="5E756AA3" w14:textId="77777777" w:rsidTr="008B03FA">
        <w:trPr>
          <w:trHeight w:val="312"/>
          <w:tblHeader/>
          <w:jc w:val="center"/>
        </w:trPr>
        <w:tc>
          <w:tcPr>
            <w:tcW w:w="0" w:type="auto"/>
            <w:vMerge/>
            <w:shd w:val="clear" w:color="auto" w:fill="auto"/>
            <w:vAlign w:val="center"/>
          </w:tcPr>
          <w:p w14:paraId="2AC1E62C" w14:textId="77777777" w:rsidR="00A320E6" w:rsidRDefault="00A320E6" w:rsidP="00320C3C">
            <w:pPr>
              <w:jc w:val="center"/>
              <w:rPr>
                <w:rFonts w:ascii="宋体" w:hAnsi="宋体" w:cs="宋体"/>
                <w:b/>
                <w:kern w:val="0"/>
                <w:szCs w:val="21"/>
              </w:rPr>
            </w:pPr>
          </w:p>
        </w:tc>
        <w:tc>
          <w:tcPr>
            <w:tcW w:w="0" w:type="auto"/>
            <w:vMerge/>
            <w:shd w:val="clear" w:color="auto" w:fill="auto"/>
            <w:vAlign w:val="center"/>
          </w:tcPr>
          <w:p w14:paraId="6BA7E61F" w14:textId="77777777" w:rsidR="00A320E6" w:rsidRDefault="00A320E6" w:rsidP="00320C3C">
            <w:pPr>
              <w:jc w:val="center"/>
              <w:rPr>
                <w:rFonts w:ascii="宋体" w:hAnsi="宋体" w:cs="宋体"/>
                <w:b/>
                <w:kern w:val="0"/>
                <w:szCs w:val="21"/>
              </w:rPr>
            </w:pPr>
          </w:p>
        </w:tc>
        <w:tc>
          <w:tcPr>
            <w:tcW w:w="1432" w:type="dxa"/>
            <w:vMerge/>
            <w:shd w:val="clear" w:color="auto" w:fill="auto"/>
            <w:vAlign w:val="center"/>
          </w:tcPr>
          <w:p w14:paraId="23341FAF" w14:textId="77777777" w:rsidR="00A320E6" w:rsidRDefault="00A320E6" w:rsidP="00320C3C">
            <w:pPr>
              <w:jc w:val="center"/>
              <w:rPr>
                <w:rFonts w:ascii="宋体" w:hAnsi="宋体" w:cs="宋体"/>
                <w:b/>
                <w:kern w:val="0"/>
                <w:szCs w:val="21"/>
              </w:rPr>
            </w:pPr>
          </w:p>
        </w:tc>
        <w:tc>
          <w:tcPr>
            <w:tcW w:w="3686" w:type="dxa"/>
            <w:shd w:val="clear" w:color="auto" w:fill="auto"/>
            <w:vAlign w:val="bottom"/>
          </w:tcPr>
          <w:p w14:paraId="21B0501F" w14:textId="77777777" w:rsidR="00A320E6" w:rsidRDefault="00000000" w:rsidP="00320C3C">
            <w:pPr>
              <w:jc w:val="center"/>
              <w:textAlignment w:val="bottom"/>
              <w:rPr>
                <w:rFonts w:ascii="宋体" w:hAnsi="宋体" w:cs="宋体"/>
                <w:b/>
                <w:kern w:val="0"/>
                <w:szCs w:val="21"/>
              </w:rPr>
            </w:pPr>
            <w:r>
              <w:rPr>
                <w:rFonts w:ascii="宋体" w:hAnsi="宋体" w:cs="宋体" w:hint="eastAsia"/>
                <w:b/>
                <w:bCs/>
                <w:color w:val="000000"/>
                <w:kern w:val="0"/>
                <w:szCs w:val="21"/>
                <w:lang w:bidi="ar"/>
              </w:rPr>
              <w:t>等级</w:t>
            </w:r>
          </w:p>
        </w:tc>
        <w:tc>
          <w:tcPr>
            <w:tcW w:w="1115" w:type="dxa"/>
            <w:vAlign w:val="center"/>
          </w:tcPr>
          <w:p w14:paraId="03FE7D0C" w14:textId="77777777" w:rsidR="00A320E6" w:rsidRDefault="00000000" w:rsidP="00320C3C">
            <w:pPr>
              <w:jc w:val="center"/>
              <w:textAlignment w:val="center"/>
              <w:rPr>
                <w:rFonts w:ascii="宋体" w:hAnsi="宋体" w:cs="宋体"/>
                <w:b/>
                <w:kern w:val="0"/>
                <w:szCs w:val="21"/>
              </w:rPr>
            </w:pPr>
            <w:r>
              <w:rPr>
                <w:rFonts w:ascii="宋体" w:hAnsi="宋体" w:cs="宋体" w:hint="eastAsia"/>
                <w:b/>
                <w:bCs/>
                <w:color w:val="000000"/>
                <w:kern w:val="0"/>
                <w:szCs w:val="21"/>
                <w:lang w:bidi="ar"/>
              </w:rPr>
              <w:t>标准</w:t>
            </w:r>
          </w:p>
        </w:tc>
        <w:tc>
          <w:tcPr>
            <w:tcW w:w="1769" w:type="dxa"/>
            <w:vMerge/>
            <w:shd w:val="clear" w:color="auto" w:fill="auto"/>
            <w:vAlign w:val="center"/>
          </w:tcPr>
          <w:p w14:paraId="550FE949" w14:textId="77777777" w:rsidR="00A320E6" w:rsidRDefault="00A320E6" w:rsidP="00320C3C">
            <w:pPr>
              <w:jc w:val="center"/>
              <w:rPr>
                <w:rFonts w:ascii="宋体" w:hAnsi="宋体" w:cs="宋体"/>
                <w:b/>
                <w:kern w:val="0"/>
                <w:szCs w:val="21"/>
              </w:rPr>
            </w:pPr>
          </w:p>
        </w:tc>
      </w:tr>
      <w:tr w:rsidR="00A320E6" w14:paraId="4B607600" w14:textId="77777777" w:rsidTr="008B03FA">
        <w:trPr>
          <w:trHeight w:val="312"/>
          <w:jc w:val="center"/>
        </w:trPr>
        <w:tc>
          <w:tcPr>
            <w:tcW w:w="0" w:type="auto"/>
            <w:vMerge w:val="restart"/>
            <w:shd w:val="clear" w:color="auto" w:fill="auto"/>
            <w:vAlign w:val="center"/>
          </w:tcPr>
          <w:p w14:paraId="5988D63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w:t>
            </w:r>
          </w:p>
        </w:tc>
        <w:tc>
          <w:tcPr>
            <w:tcW w:w="0" w:type="auto"/>
            <w:vMerge w:val="restart"/>
            <w:shd w:val="clear" w:color="auto" w:fill="auto"/>
            <w:vAlign w:val="center"/>
          </w:tcPr>
          <w:p w14:paraId="718FD8F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房屋</w:t>
            </w:r>
          </w:p>
        </w:tc>
        <w:tc>
          <w:tcPr>
            <w:tcW w:w="1432" w:type="dxa"/>
            <w:vMerge w:val="restart"/>
            <w:shd w:val="clear" w:color="auto" w:fill="auto"/>
            <w:vAlign w:val="center"/>
          </w:tcPr>
          <w:p w14:paraId="36848BA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砖混结构（楼房）:砖墙承重，现浇或预制板保温防水屋面，水泥或其他硬化地面的楼房</w:t>
            </w:r>
          </w:p>
        </w:tc>
        <w:tc>
          <w:tcPr>
            <w:tcW w:w="3686" w:type="dxa"/>
            <w:shd w:val="clear" w:color="auto" w:fill="auto"/>
            <w:vAlign w:val="center"/>
          </w:tcPr>
          <w:p w14:paraId="15ED3CA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一级：檐高3.0米以上，钢筋混凝土基础或整板基础，砖墙为主要承重结构，水泥砂浆砌筑，层层圈梁，钢筋混凝土构造柱，现浇楼梯，楼梯间不锈钢扶手，铝合金或塑钢门窗，纱窗，外墙面砖或外墙涂料，内墙面乳胶漆，混凝土屋面有防水保温层或混凝土屋面上有红瓦起脊屋面，瓷砖或水磨石地面，厨房、卫生间防滑瓷砖，厨房、卫生间内墙面贴面砖到顶，供水、排水、供暖、电照设施及卫生间三具齐全，有线电视、宽带、电话齐全。</w:t>
            </w:r>
          </w:p>
        </w:tc>
        <w:tc>
          <w:tcPr>
            <w:tcW w:w="1115" w:type="dxa"/>
            <w:vAlign w:val="center"/>
          </w:tcPr>
          <w:p w14:paraId="493C05F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700元/㎡</w:t>
            </w:r>
          </w:p>
        </w:tc>
        <w:tc>
          <w:tcPr>
            <w:tcW w:w="1769" w:type="dxa"/>
            <w:vMerge w:val="restart"/>
            <w:shd w:val="clear" w:color="auto" w:fill="auto"/>
            <w:vAlign w:val="center"/>
          </w:tcPr>
          <w:p w14:paraId="1EBCC86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529D2B50" w14:textId="77777777" w:rsidTr="008B03FA">
        <w:trPr>
          <w:trHeight w:val="312"/>
          <w:jc w:val="center"/>
        </w:trPr>
        <w:tc>
          <w:tcPr>
            <w:tcW w:w="0" w:type="auto"/>
            <w:vMerge/>
            <w:vAlign w:val="center"/>
          </w:tcPr>
          <w:p w14:paraId="4E9BB764" w14:textId="77777777" w:rsidR="00A320E6" w:rsidRDefault="00A320E6" w:rsidP="00320C3C">
            <w:pPr>
              <w:jc w:val="center"/>
              <w:rPr>
                <w:rFonts w:ascii="宋体" w:hAnsi="宋体" w:cs="宋体"/>
                <w:kern w:val="0"/>
                <w:szCs w:val="21"/>
              </w:rPr>
            </w:pPr>
          </w:p>
        </w:tc>
        <w:tc>
          <w:tcPr>
            <w:tcW w:w="0" w:type="auto"/>
            <w:vMerge/>
            <w:vAlign w:val="center"/>
          </w:tcPr>
          <w:p w14:paraId="46D7458E" w14:textId="77777777" w:rsidR="00A320E6" w:rsidRDefault="00A320E6" w:rsidP="00320C3C">
            <w:pPr>
              <w:jc w:val="center"/>
              <w:rPr>
                <w:rFonts w:ascii="宋体" w:hAnsi="宋体" w:cs="宋体"/>
                <w:kern w:val="0"/>
                <w:szCs w:val="21"/>
              </w:rPr>
            </w:pPr>
          </w:p>
        </w:tc>
        <w:tc>
          <w:tcPr>
            <w:tcW w:w="1432" w:type="dxa"/>
            <w:vMerge/>
            <w:vAlign w:val="center"/>
          </w:tcPr>
          <w:p w14:paraId="4B942457"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0D42E99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二级：檐高2.8米以上，砖石基础，砖墙为主要承重结构，水泥砂浆砌筑，层层圈梁，钢筋混凝土构造柱，现浇楼梯，铝合金或塑钢门窗，纱窗，外墙面砖或外墙水泥砂浆抹面，内墙面乳胶漆，现浇屋面有防水保温层或现浇屋面上有红瓦起脊屋面，瓷砖或水泥地面，电照设施齐全。</w:t>
            </w:r>
          </w:p>
        </w:tc>
        <w:tc>
          <w:tcPr>
            <w:tcW w:w="1115" w:type="dxa"/>
            <w:vAlign w:val="center"/>
          </w:tcPr>
          <w:p w14:paraId="5B07DA0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650元/㎡</w:t>
            </w:r>
          </w:p>
        </w:tc>
        <w:tc>
          <w:tcPr>
            <w:tcW w:w="1769" w:type="dxa"/>
            <w:vMerge/>
            <w:vAlign w:val="center"/>
          </w:tcPr>
          <w:p w14:paraId="5743799C" w14:textId="77777777" w:rsidR="00A320E6" w:rsidRDefault="00A320E6" w:rsidP="00320C3C">
            <w:pPr>
              <w:jc w:val="center"/>
              <w:rPr>
                <w:rFonts w:ascii="宋体" w:hAnsi="宋体" w:cs="宋体"/>
                <w:kern w:val="0"/>
                <w:szCs w:val="21"/>
              </w:rPr>
            </w:pPr>
          </w:p>
        </w:tc>
      </w:tr>
      <w:tr w:rsidR="00A320E6" w14:paraId="7A3183F9" w14:textId="77777777" w:rsidTr="008B03FA">
        <w:trPr>
          <w:trHeight w:val="312"/>
          <w:jc w:val="center"/>
        </w:trPr>
        <w:tc>
          <w:tcPr>
            <w:tcW w:w="0" w:type="auto"/>
            <w:vMerge/>
            <w:vAlign w:val="center"/>
          </w:tcPr>
          <w:p w14:paraId="72938D80" w14:textId="77777777" w:rsidR="00A320E6" w:rsidRDefault="00A320E6" w:rsidP="00320C3C">
            <w:pPr>
              <w:jc w:val="center"/>
              <w:rPr>
                <w:rFonts w:ascii="宋体" w:hAnsi="宋体" w:cs="宋体"/>
                <w:kern w:val="0"/>
                <w:szCs w:val="21"/>
              </w:rPr>
            </w:pPr>
          </w:p>
        </w:tc>
        <w:tc>
          <w:tcPr>
            <w:tcW w:w="0" w:type="auto"/>
            <w:vMerge/>
            <w:vAlign w:val="center"/>
          </w:tcPr>
          <w:p w14:paraId="21A867DB" w14:textId="77777777" w:rsidR="00A320E6" w:rsidRDefault="00A320E6" w:rsidP="00320C3C">
            <w:pPr>
              <w:jc w:val="center"/>
              <w:rPr>
                <w:rFonts w:ascii="宋体" w:hAnsi="宋体" w:cs="宋体"/>
                <w:kern w:val="0"/>
                <w:szCs w:val="21"/>
              </w:rPr>
            </w:pPr>
          </w:p>
        </w:tc>
        <w:tc>
          <w:tcPr>
            <w:tcW w:w="1432" w:type="dxa"/>
            <w:vMerge/>
            <w:vAlign w:val="center"/>
          </w:tcPr>
          <w:p w14:paraId="54A4F5E1"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577990D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简易结构楼房：檐高2.6米以上，砖石基础，砖墙和砖跺预制过梁承重，水泥砂浆砌筑，有独立楼梯，门窗齐全，外墙水泥砂浆抹面，内墙面普通涂料，预制或现浇屋面，水泥地面，电照设施基本齐全。</w:t>
            </w:r>
          </w:p>
        </w:tc>
        <w:tc>
          <w:tcPr>
            <w:tcW w:w="1115" w:type="dxa"/>
            <w:vAlign w:val="center"/>
          </w:tcPr>
          <w:p w14:paraId="6DB6EC6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600元/㎡</w:t>
            </w:r>
          </w:p>
        </w:tc>
        <w:tc>
          <w:tcPr>
            <w:tcW w:w="1769" w:type="dxa"/>
            <w:vMerge/>
            <w:vAlign w:val="center"/>
          </w:tcPr>
          <w:p w14:paraId="1D986398" w14:textId="77777777" w:rsidR="00A320E6" w:rsidRDefault="00A320E6" w:rsidP="00320C3C">
            <w:pPr>
              <w:jc w:val="center"/>
              <w:rPr>
                <w:rFonts w:ascii="宋体" w:hAnsi="宋体" w:cs="宋体"/>
                <w:kern w:val="0"/>
                <w:szCs w:val="21"/>
              </w:rPr>
            </w:pPr>
          </w:p>
        </w:tc>
      </w:tr>
      <w:tr w:rsidR="00A320E6" w14:paraId="18D1C60F" w14:textId="77777777" w:rsidTr="008B03FA">
        <w:trPr>
          <w:trHeight w:val="312"/>
          <w:jc w:val="center"/>
        </w:trPr>
        <w:tc>
          <w:tcPr>
            <w:tcW w:w="0" w:type="auto"/>
            <w:vMerge w:val="restart"/>
            <w:vAlign w:val="center"/>
          </w:tcPr>
          <w:p w14:paraId="58A0EBC7" w14:textId="77777777" w:rsidR="00A320E6" w:rsidRDefault="00A320E6" w:rsidP="00320C3C">
            <w:pPr>
              <w:jc w:val="center"/>
              <w:rPr>
                <w:rFonts w:ascii="宋体" w:hAnsi="宋体" w:cs="宋体"/>
                <w:kern w:val="0"/>
                <w:szCs w:val="21"/>
              </w:rPr>
            </w:pPr>
          </w:p>
        </w:tc>
        <w:tc>
          <w:tcPr>
            <w:tcW w:w="0" w:type="auto"/>
            <w:vMerge w:val="restart"/>
            <w:vAlign w:val="center"/>
          </w:tcPr>
          <w:p w14:paraId="3082291B" w14:textId="77777777" w:rsidR="00A320E6" w:rsidRDefault="00A320E6" w:rsidP="00320C3C">
            <w:pPr>
              <w:jc w:val="center"/>
              <w:rPr>
                <w:rFonts w:ascii="宋体" w:hAnsi="宋体" w:cs="宋体"/>
                <w:kern w:val="0"/>
                <w:szCs w:val="21"/>
              </w:rPr>
            </w:pPr>
          </w:p>
        </w:tc>
        <w:tc>
          <w:tcPr>
            <w:tcW w:w="1432" w:type="dxa"/>
            <w:vMerge w:val="restart"/>
            <w:shd w:val="clear" w:color="auto" w:fill="auto"/>
            <w:vAlign w:val="center"/>
          </w:tcPr>
          <w:p w14:paraId="0C6FB54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砖混结构（平房）：砖墙承重，现浇或预制板保温防水屋面，水泥或其他硬化地面的平房</w:t>
            </w:r>
          </w:p>
        </w:tc>
        <w:tc>
          <w:tcPr>
            <w:tcW w:w="3686" w:type="dxa"/>
            <w:shd w:val="clear" w:color="auto" w:fill="auto"/>
            <w:vAlign w:val="center"/>
          </w:tcPr>
          <w:p w14:paraId="348AD8D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一级：檐高3.0米以上，毛石基础，砖墙承重，水泥砂浆砌筑，上下圈梁，构造柱，木制双裁口（铝合金或塑钢）门窗，纱门纱窗齐全，外墙面贴瓷砖或高档外墙涂料，内墙面刷乳胶漆，平屋顶，正规预制或现浇楼板屋面，防水保温层，瓷砖或水磨石地面，供水、排水、电照设施齐全，独立卫生间，卫生洁具齐全。</w:t>
            </w:r>
          </w:p>
        </w:tc>
        <w:tc>
          <w:tcPr>
            <w:tcW w:w="1115" w:type="dxa"/>
            <w:vAlign w:val="center"/>
          </w:tcPr>
          <w:p w14:paraId="4DAD545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600元/㎡</w:t>
            </w:r>
          </w:p>
        </w:tc>
        <w:tc>
          <w:tcPr>
            <w:tcW w:w="1769" w:type="dxa"/>
            <w:vMerge/>
            <w:vAlign w:val="center"/>
          </w:tcPr>
          <w:p w14:paraId="0D8A970F" w14:textId="77777777" w:rsidR="00A320E6" w:rsidRDefault="00A320E6" w:rsidP="00320C3C">
            <w:pPr>
              <w:jc w:val="center"/>
              <w:rPr>
                <w:rFonts w:ascii="宋体" w:hAnsi="宋体" w:cs="宋体"/>
                <w:kern w:val="0"/>
                <w:szCs w:val="21"/>
              </w:rPr>
            </w:pPr>
          </w:p>
        </w:tc>
      </w:tr>
      <w:tr w:rsidR="00A320E6" w14:paraId="43C45363" w14:textId="77777777" w:rsidTr="008B03FA">
        <w:trPr>
          <w:trHeight w:val="312"/>
          <w:jc w:val="center"/>
        </w:trPr>
        <w:tc>
          <w:tcPr>
            <w:tcW w:w="0" w:type="auto"/>
            <w:vMerge/>
            <w:vAlign w:val="center"/>
          </w:tcPr>
          <w:p w14:paraId="42A7FC59" w14:textId="77777777" w:rsidR="00A320E6" w:rsidRDefault="00A320E6" w:rsidP="00320C3C">
            <w:pPr>
              <w:jc w:val="center"/>
              <w:rPr>
                <w:rFonts w:ascii="宋体" w:hAnsi="宋体" w:cs="宋体"/>
                <w:kern w:val="0"/>
                <w:szCs w:val="21"/>
              </w:rPr>
            </w:pPr>
          </w:p>
        </w:tc>
        <w:tc>
          <w:tcPr>
            <w:tcW w:w="0" w:type="auto"/>
            <w:vMerge/>
            <w:vAlign w:val="center"/>
          </w:tcPr>
          <w:p w14:paraId="4188C670" w14:textId="77777777" w:rsidR="00A320E6" w:rsidRDefault="00A320E6" w:rsidP="00320C3C">
            <w:pPr>
              <w:jc w:val="center"/>
              <w:rPr>
                <w:rFonts w:ascii="宋体" w:hAnsi="宋体" w:cs="宋体"/>
                <w:kern w:val="0"/>
                <w:szCs w:val="21"/>
              </w:rPr>
            </w:pPr>
          </w:p>
        </w:tc>
        <w:tc>
          <w:tcPr>
            <w:tcW w:w="1432" w:type="dxa"/>
            <w:vMerge/>
            <w:vAlign w:val="center"/>
          </w:tcPr>
          <w:p w14:paraId="373183F0"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019F727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二级：檐高2.8米以上，毛石基础，砖墙承重，水泥砂浆砌筑，木制双裁口（铝合金或塑钢）门窗，外墙面水泥砂浆抹面或清水墙，内墙面仿瓷涂料，平屋顶，预制或现浇楼板屋面，防水保温层，瓷砖或水泥地面，电照设施齐全。</w:t>
            </w:r>
          </w:p>
        </w:tc>
        <w:tc>
          <w:tcPr>
            <w:tcW w:w="1115" w:type="dxa"/>
            <w:vAlign w:val="center"/>
          </w:tcPr>
          <w:p w14:paraId="5CF6343D" w14:textId="77777777" w:rsidR="00A320E6" w:rsidRDefault="00000000" w:rsidP="00320C3C">
            <w:pPr>
              <w:textAlignment w:val="center"/>
              <w:rPr>
                <w:rFonts w:ascii="宋体" w:hAnsi="宋体" w:cs="宋体"/>
                <w:kern w:val="0"/>
                <w:szCs w:val="21"/>
              </w:rPr>
            </w:pPr>
            <w:r>
              <w:rPr>
                <w:rFonts w:ascii="宋体" w:hAnsi="宋体" w:cs="宋体" w:hint="eastAsia"/>
                <w:color w:val="000000"/>
                <w:kern w:val="0"/>
                <w:szCs w:val="21"/>
                <w:lang w:bidi="ar"/>
              </w:rPr>
              <w:t>550元/㎡</w:t>
            </w:r>
          </w:p>
        </w:tc>
        <w:tc>
          <w:tcPr>
            <w:tcW w:w="1769" w:type="dxa"/>
            <w:vMerge/>
            <w:vAlign w:val="center"/>
          </w:tcPr>
          <w:p w14:paraId="6C3EE42C" w14:textId="77777777" w:rsidR="00A320E6" w:rsidRDefault="00A320E6" w:rsidP="00320C3C">
            <w:pPr>
              <w:jc w:val="center"/>
              <w:rPr>
                <w:rFonts w:ascii="宋体" w:hAnsi="宋体" w:cs="宋体"/>
                <w:kern w:val="0"/>
                <w:szCs w:val="21"/>
              </w:rPr>
            </w:pPr>
          </w:p>
        </w:tc>
      </w:tr>
      <w:tr w:rsidR="00A320E6" w14:paraId="412B47F2" w14:textId="77777777" w:rsidTr="008B03FA">
        <w:trPr>
          <w:trHeight w:val="312"/>
          <w:jc w:val="center"/>
        </w:trPr>
        <w:tc>
          <w:tcPr>
            <w:tcW w:w="0" w:type="auto"/>
            <w:vMerge/>
            <w:vAlign w:val="center"/>
          </w:tcPr>
          <w:p w14:paraId="5DBFC9EA" w14:textId="77777777" w:rsidR="00A320E6" w:rsidRDefault="00A320E6" w:rsidP="00320C3C">
            <w:pPr>
              <w:jc w:val="center"/>
              <w:rPr>
                <w:rFonts w:ascii="宋体" w:hAnsi="宋体" w:cs="宋体"/>
                <w:kern w:val="0"/>
                <w:szCs w:val="21"/>
              </w:rPr>
            </w:pPr>
          </w:p>
        </w:tc>
        <w:tc>
          <w:tcPr>
            <w:tcW w:w="0" w:type="auto"/>
            <w:vMerge/>
            <w:vAlign w:val="center"/>
          </w:tcPr>
          <w:p w14:paraId="21B204C1" w14:textId="77777777" w:rsidR="00A320E6" w:rsidRDefault="00A320E6" w:rsidP="00320C3C">
            <w:pPr>
              <w:jc w:val="center"/>
              <w:rPr>
                <w:rFonts w:ascii="宋体" w:hAnsi="宋体" w:cs="宋体"/>
                <w:kern w:val="0"/>
                <w:szCs w:val="21"/>
              </w:rPr>
            </w:pPr>
          </w:p>
        </w:tc>
        <w:tc>
          <w:tcPr>
            <w:tcW w:w="1432" w:type="dxa"/>
            <w:vMerge/>
            <w:vAlign w:val="center"/>
          </w:tcPr>
          <w:p w14:paraId="456D256C"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07417AC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砖混三级：檐高2.5米以上，砖基础，砖墙承重，黄土泥砌筑，门窗齐全，外墙面水泥砂浆抹面或清水墙，平屋顶，预制楼板屋面，无防水保温层，水泥或砖、土地面，电照设施基本齐全。</w:t>
            </w:r>
          </w:p>
        </w:tc>
        <w:tc>
          <w:tcPr>
            <w:tcW w:w="1115" w:type="dxa"/>
            <w:vAlign w:val="center"/>
          </w:tcPr>
          <w:p w14:paraId="760EDB6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450元/㎡</w:t>
            </w:r>
          </w:p>
        </w:tc>
        <w:tc>
          <w:tcPr>
            <w:tcW w:w="1769" w:type="dxa"/>
            <w:vMerge/>
            <w:vAlign w:val="center"/>
          </w:tcPr>
          <w:p w14:paraId="330425CF" w14:textId="77777777" w:rsidR="00A320E6" w:rsidRDefault="00A320E6" w:rsidP="00320C3C">
            <w:pPr>
              <w:jc w:val="center"/>
              <w:rPr>
                <w:rFonts w:ascii="宋体" w:hAnsi="宋体" w:cs="宋体"/>
                <w:kern w:val="0"/>
                <w:szCs w:val="21"/>
              </w:rPr>
            </w:pPr>
          </w:p>
        </w:tc>
      </w:tr>
      <w:tr w:rsidR="00A320E6" w14:paraId="72DD2A4A" w14:textId="77777777" w:rsidTr="008B03FA">
        <w:trPr>
          <w:trHeight w:val="312"/>
          <w:jc w:val="center"/>
        </w:trPr>
        <w:tc>
          <w:tcPr>
            <w:tcW w:w="0" w:type="auto"/>
            <w:vMerge w:val="restart"/>
            <w:shd w:val="clear" w:color="auto" w:fill="auto"/>
            <w:vAlign w:val="center"/>
          </w:tcPr>
          <w:p w14:paraId="3473EF4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w:t>
            </w:r>
          </w:p>
        </w:tc>
        <w:tc>
          <w:tcPr>
            <w:tcW w:w="0" w:type="auto"/>
            <w:vMerge w:val="restart"/>
            <w:shd w:val="clear" w:color="auto" w:fill="auto"/>
            <w:vAlign w:val="center"/>
          </w:tcPr>
          <w:p w14:paraId="5EAF1A8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房屋</w:t>
            </w:r>
          </w:p>
        </w:tc>
        <w:tc>
          <w:tcPr>
            <w:tcW w:w="1432" w:type="dxa"/>
            <w:vMerge w:val="restart"/>
            <w:shd w:val="clear" w:color="auto" w:fill="auto"/>
            <w:vAlign w:val="center"/>
          </w:tcPr>
          <w:p w14:paraId="7E99C5E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砖木结构（平房）：规则的石角，砖墙或石墙承重，符合规格的木屋架，木（预制）檩条，瓦屋面，外墙扦缝（抹灰），檐高不低于2.5米</w:t>
            </w:r>
          </w:p>
        </w:tc>
        <w:tc>
          <w:tcPr>
            <w:tcW w:w="3686" w:type="dxa"/>
            <w:shd w:val="clear" w:color="auto" w:fill="auto"/>
            <w:vAlign w:val="center"/>
          </w:tcPr>
          <w:p w14:paraId="6C49D10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木一级：檐高3.2米以上，毛石基础，砖墙承重，水泥砂浆砌筑，上下圈梁，木制双裁口（铝合金或塑钢）门窗，纱门纱窗齐全，外墙面水泥砂浆抹面，内墙面刷乳胶漆，PVC板材或苇箔板条抹灰吊顶，标准木檩条，红瓦起脊屋面，瓷砖或水磨石地面，电照设施齐全。</w:t>
            </w:r>
          </w:p>
        </w:tc>
        <w:tc>
          <w:tcPr>
            <w:tcW w:w="1115" w:type="dxa"/>
            <w:vAlign w:val="center"/>
          </w:tcPr>
          <w:p w14:paraId="66E42C7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500元/㎡</w:t>
            </w:r>
          </w:p>
        </w:tc>
        <w:tc>
          <w:tcPr>
            <w:tcW w:w="1769" w:type="dxa"/>
            <w:vMerge w:val="restart"/>
            <w:shd w:val="clear" w:color="auto" w:fill="auto"/>
            <w:vAlign w:val="center"/>
          </w:tcPr>
          <w:p w14:paraId="5A89C87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05E55105" w14:textId="77777777" w:rsidTr="008B03FA">
        <w:trPr>
          <w:trHeight w:val="312"/>
          <w:jc w:val="center"/>
        </w:trPr>
        <w:tc>
          <w:tcPr>
            <w:tcW w:w="0" w:type="auto"/>
            <w:vMerge/>
            <w:vAlign w:val="center"/>
          </w:tcPr>
          <w:p w14:paraId="29AC52A5" w14:textId="77777777" w:rsidR="00A320E6" w:rsidRDefault="00A320E6" w:rsidP="00320C3C">
            <w:pPr>
              <w:jc w:val="center"/>
              <w:rPr>
                <w:rFonts w:ascii="宋体" w:hAnsi="宋体" w:cs="宋体"/>
                <w:kern w:val="0"/>
                <w:szCs w:val="21"/>
              </w:rPr>
            </w:pPr>
          </w:p>
        </w:tc>
        <w:tc>
          <w:tcPr>
            <w:tcW w:w="0" w:type="auto"/>
            <w:vMerge/>
            <w:vAlign w:val="center"/>
          </w:tcPr>
          <w:p w14:paraId="52EB3DDC" w14:textId="77777777" w:rsidR="00A320E6" w:rsidRDefault="00A320E6" w:rsidP="00320C3C">
            <w:pPr>
              <w:jc w:val="center"/>
              <w:rPr>
                <w:rFonts w:ascii="宋体" w:hAnsi="宋体" w:cs="宋体"/>
                <w:kern w:val="0"/>
                <w:szCs w:val="21"/>
              </w:rPr>
            </w:pPr>
          </w:p>
        </w:tc>
        <w:tc>
          <w:tcPr>
            <w:tcW w:w="1432" w:type="dxa"/>
            <w:vMerge/>
            <w:vAlign w:val="center"/>
          </w:tcPr>
          <w:p w14:paraId="25B10A6C"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3E9A17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木二级：檐高3.0米以上，乱石基础或砖基础，砖墙承重，水泥砂浆砌筑，木制双裁口（铝合金或塑钢）门窗，外墙面水泥砂浆抹面或清水墙水泥砂浆勾缝，内墙面仿瓷涂料，普通吊顶，木檩条或水泥檩条，红瓦起脊屋面，瓷砖或水泥地面，电照设施齐全。</w:t>
            </w:r>
          </w:p>
        </w:tc>
        <w:tc>
          <w:tcPr>
            <w:tcW w:w="1115" w:type="dxa"/>
            <w:vAlign w:val="center"/>
          </w:tcPr>
          <w:p w14:paraId="04E4DA2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470元/㎡</w:t>
            </w:r>
          </w:p>
        </w:tc>
        <w:tc>
          <w:tcPr>
            <w:tcW w:w="1769" w:type="dxa"/>
            <w:vMerge/>
            <w:vAlign w:val="center"/>
          </w:tcPr>
          <w:p w14:paraId="5A90F3C9" w14:textId="77777777" w:rsidR="00A320E6" w:rsidRDefault="00A320E6" w:rsidP="00320C3C">
            <w:pPr>
              <w:jc w:val="left"/>
              <w:rPr>
                <w:rFonts w:ascii="宋体" w:hAnsi="宋体" w:cs="宋体"/>
                <w:kern w:val="0"/>
                <w:szCs w:val="21"/>
              </w:rPr>
            </w:pPr>
          </w:p>
        </w:tc>
      </w:tr>
      <w:tr w:rsidR="00A320E6" w14:paraId="6378FDD7" w14:textId="77777777" w:rsidTr="008B03FA">
        <w:trPr>
          <w:trHeight w:val="312"/>
          <w:jc w:val="center"/>
        </w:trPr>
        <w:tc>
          <w:tcPr>
            <w:tcW w:w="0" w:type="auto"/>
            <w:vMerge/>
            <w:vAlign w:val="center"/>
          </w:tcPr>
          <w:p w14:paraId="4961EEFA" w14:textId="77777777" w:rsidR="00A320E6" w:rsidRDefault="00A320E6" w:rsidP="00320C3C">
            <w:pPr>
              <w:jc w:val="center"/>
              <w:rPr>
                <w:rFonts w:ascii="宋体" w:hAnsi="宋体" w:cs="宋体"/>
                <w:kern w:val="0"/>
                <w:szCs w:val="21"/>
              </w:rPr>
            </w:pPr>
          </w:p>
        </w:tc>
        <w:tc>
          <w:tcPr>
            <w:tcW w:w="0" w:type="auto"/>
            <w:vMerge/>
            <w:vAlign w:val="center"/>
          </w:tcPr>
          <w:p w14:paraId="4D19D592" w14:textId="77777777" w:rsidR="00A320E6" w:rsidRDefault="00A320E6" w:rsidP="00320C3C">
            <w:pPr>
              <w:jc w:val="center"/>
              <w:rPr>
                <w:rFonts w:ascii="宋体" w:hAnsi="宋体" w:cs="宋体"/>
                <w:kern w:val="0"/>
                <w:szCs w:val="21"/>
              </w:rPr>
            </w:pPr>
          </w:p>
        </w:tc>
        <w:tc>
          <w:tcPr>
            <w:tcW w:w="1432" w:type="dxa"/>
            <w:vMerge/>
            <w:vAlign w:val="center"/>
          </w:tcPr>
          <w:p w14:paraId="73231954"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248F9CC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土木结构：檐高2.5米以上，砖基础，土坯墙承重，木制门窗，简易吊顶或无吊顶，普通内墙面涂料，木檩条，水泥地面或砖地面，红瓦屋面，电照设施齐全。</w:t>
            </w:r>
          </w:p>
        </w:tc>
        <w:tc>
          <w:tcPr>
            <w:tcW w:w="1115" w:type="dxa"/>
            <w:vAlign w:val="center"/>
          </w:tcPr>
          <w:p w14:paraId="347F7D4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450元/㎡</w:t>
            </w:r>
          </w:p>
        </w:tc>
        <w:tc>
          <w:tcPr>
            <w:tcW w:w="1769" w:type="dxa"/>
            <w:vMerge/>
            <w:vAlign w:val="center"/>
          </w:tcPr>
          <w:p w14:paraId="19F4E81A" w14:textId="77777777" w:rsidR="00A320E6" w:rsidRDefault="00A320E6" w:rsidP="00320C3C">
            <w:pPr>
              <w:jc w:val="left"/>
              <w:rPr>
                <w:rFonts w:ascii="宋体" w:hAnsi="宋体" w:cs="宋体"/>
                <w:kern w:val="0"/>
                <w:szCs w:val="21"/>
              </w:rPr>
            </w:pPr>
          </w:p>
        </w:tc>
      </w:tr>
      <w:tr w:rsidR="00A320E6" w14:paraId="3FE63115" w14:textId="77777777" w:rsidTr="008B03FA">
        <w:trPr>
          <w:trHeight w:val="312"/>
          <w:jc w:val="center"/>
        </w:trPr>
        <w:tc>
          <w:tcPr>
            <w:tcW w:w="0" w:type="auto"/>
            <w:vMerge/>
            <w:vAlign w:val="center"/>
          </w:tcPr>
          <w:p w14:paraId="33AF1D7D" w14:textId="77777777" w:rsidR="00A320E6" w:rsidRDefault="00A320E6" w:rsidP="00320C3C">
            <w:pPr>
              <w:jc w:val="center"/>
              <w:rPr>
                <w:rFonts w:ascii="宋体" w:hAnsi="宋体" w:cs="宋体"/>
                <w:kern w:val="0"/>
                <w:szCs w:val="21"/>
              </w:rPr>
            </w:pPr>
          </w:p>
        </w:tc>
        <w:tc>
          <w:tcPr>
            <w:tcW w:w="0" w:type="auto"/>
            <w:vMerge/>
            <w:vAlign w:val="center"/>
          </w:tcPr>
          <w:p w14:paraId="600B0BF7"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2D6EE7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简易结构：承重墙土坯、砖头、条砖混砌、碎石等，不规则木梁檩、瓦屋面，两面借墙或檐高不低于2.5米</w:t>
            </w:r>
          </w:p>
        </w:tc>
        <w:tc>
          <w:tcPr>
            <w:tcW w:w="3686" w:type="dxa"/>
            <w:shd w:val="clear" w:color="auto" w:fill="auto"/>
            <w:vAlign w:val="center"/>
          </w:tcPr>
          <w:p w14:paraId="2A879FC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简易结构：简易砖基础，砖墙、砖跺预制过梁或部分借墙承重，简易水泥地面或砖地面，石棉瓦、保温板、彩钢瓦等简易屋面。</w:t>
            </w:r>
          </w:p>
        </w:tc>
        <w:tc>
          <w:tcPr>
            <w:tcW w:w="1115" w:type="dxa"/>
            <w:vAlign w:val="center"/>
          </w:tcPr>
          <w:p w14:paraId="300A616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w:t>
            </w:r>
          </w:p>
        </w:tc>
        <w:tc>
          <w:tcPr>
            <w:tcW w:w="1769" w:type="dxa"/>
            <w:vMerge/>
            <w:vAlign w:val="center"/>
          </w:tcPr>
          <w:p w14:paraId="19467AEA" w14:textId="77777777" w:rsidR="00A320E6" w:rsidRDefault="00A320E6" w:rsidP="00320C3C">
            <w:pPr>
              <w:jc w:val="left"/>
              <w:rPr>
                <w:rFonts w:ascii="宋体" w:hAnsi="宋体" w:cs="宋体"/>
                <w:kern w:val="0"/>
                <w:szCs w:val="21"/>
              </w:rPr>
            </w:pPr>
          </w:p>
        </w:tc>
      </w:tr>
      <w:tr w:rsidR="00A320E6" w14:paraId="4CC9657B" w14:textId="77777777" w:rsidTr="008B03FA">
        <w:trPr>
          <w:trHeight w:val="312"/>
          <w:jc w:val="center"/>
        </w:trPr>
        <w:tc>
          <w:tcPr>
            <w:tcW w:w="0" w:type="auto"/>
            <w:vMerge/>
            <w:vAlign w:val="center"/>
          </w:tcPr>
          <w:p w14:paraId="7CF5D6CE" w14:textId="77777777" w:rsidR="00A320E6" w:rsidRDefault="00A320E6" w:rsidP="00320C3C">
            <w:pPr>
              <w:jc w:val="center"/>
              <w:rPr>
                <w:rFonts w:ascii="宋体" w:hAnsi="宋体" w:cs="宋体"/>
                <w:kern w:val="0"/>
                <w:szCs w:val="21"/>
              </w:rPr>
            </w:pPr>
          </w:p>
        </w:tc>
        <w:tc>
          <w:tcPr>
            <w:tcW w:w="0" w:type="auto"/>
            <w:vMerge/>
            <w:vAlign w:val="center"/>
          </w:tcPr>
          <w:p w14:paraId="7E3E976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243C40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钢混结构：主体承重结构为钢结构或砼结构，主要指框架结构的大跨度厂房或多层楼房。</w:t>
            </w:r>
          </w:p>
        </w:tc>
        <w:tc>
          <w:tcPr>
            <w:tcW w:w="3686" w:type="dxa"/>
            <w:shd w:val="clear" w:color="auto" w:fill="auto"/>
            <w:vAlign w:val="center"/>
          </w:tcPr>
          <w:p w14:paraId="3CC33600" w14:textId="77777777" w:rsidR="00A320E6" w:rsidRDefault="00000000" w:rsidP="00320C3C">
            <w:pPr>
              <w:textAlignment w:val="center"/>
              <w:rPr>
                <w:rFonts w:ascii="宋体" w:hAnsi="宋体" w:cs="宋体"/>
                <w:kern w:val="0"/>
                <w:szCs w:val="21"/>
              </w:rPr>
            </w:pPr>
            <w:r>
              <w:rPr>
                <w:rFonts w:ascii="宋体" w:hAnsi="宋体" w:cs="宋体" w:hint="eastAsia"/>
                <w:color w:val="000000"/>
                <w:kern w:val="0"/>
                <w:szCs w:val="21"/>
                <w:lang w:bidi="ar"/>
              </w:rPr>
              <w:t>主体承重结构为钢结构或砼结构，层高3.20米以上，跨度10米以上，供水、排水、电设施齐全。</w:t>
            </w:r>
          </w:p>
        </w:tc>
        <w:tc>
          <w:tcPr>
            <w:tcW w:w="1115" w:type="dxa"/>
            <w:vAlign w:val="center"/>
          </w:tcPr>
          <w:p w14:paraId="27FB7D7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450元/㎡</w:t>
            </w:r>
          </w:p>
        </w:tc>
        <w:tc>
          <w:tcPr>
            <w:tcW w:w="1769" w:type="dxa"/>
            <w:vMerge/>
            <w:vAlign w:val="center"/>
          </w:tcPr>
          <w:p w14:paraId="7608DB13" w14:textId="77777777" w:rsidR="00A320E6" w:rsidRDefault="00A320E6" w:rsidP="00320C3C">
            <w:pPr>
              <w:jc w:val="left"/>
              <w:rPr>
                <w:rFonts w:ascii="宋体" w:hAnsi="宋体" w:cs="宋体"/>
                <w:kern w:val="0"/>
                <w:szCs w:val="21"/>
              </w:rPr>
            </w:pPr>
          </w:p>
        </w:tc>
      </w:tr>
      <w:tr w:rsidR="00A320E6" w14:paraId="6E3DB883" w14:textId="77777777" w:rsidTr="008B03FA">
        <w:trPr>
          <w:trHeight w:val="312"/>
          <w:jc w:val="center"/>
        </w:trPr>
        <w:tc>
          <w:tcPr>
            <w:tcW w:w="0" w:type="auto"/>
            <w:vMerge w:val="restart"/>
            <w:shd w:val="clear" w:color="auto" w:fill="auto"/>
            <w:vAlign w:val="center"/>
          </w:tcPr>
          <w:p w14:paraId="65470A0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w:t>
            </w:r>
          </w:p>
        </w:tc>
        <w:tc>
          <w:tcPr>
            <w:tcW w:w="0" w:type="auto"/>
            <w:vMerge w:val="restart"/>
            <w:shd w:val="clear" w:color="auto" w:fill="auto"/>
            <w:vAlign w:val="center"/>
          </w:tcPr>
          <w:p w14:paraId="7157BEE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简易棚厦</w:t>
            </w:r>
          </w:p>
        </w:tc>
        <w:tc>
          <w:tcPr>
            <w:tcW w:w="1432" w:type="dxa"/>
            <w:shd w:val="clear" w:color="auto" w:fill="auto"/>
            <w:vAlign w:val="center"/>
          </w:tcPr>
          <w:p w14:paraId="4E43650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彩钢瓦顶、石棉瓦顶</w:t>
            </w:r>
          </w:p>
        </w:tc>
        <w:tc>
          <w:tcPr>
            <w:tcW w:w="3686" w:type="dxa"/>
            <w:shd w:val="clear" w:color="auto" w:fill="auto"/>
            <w:vAlign w:val="center"/>
          </w:tcPr>
          <w:p w14:paraId="0A87B7E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彩钢瓦顶、石棉瓦顶</w:t>
            </w:r>
          </w:p>
        </w:tc>
        <w:tc>
          <w:tcPr>
            <w:tcW w:w="1115" w:type="dxa"/>
            <w:shd w:val="clear" w:color="auto" w:fill="auto"/>
            <w:vAlign w:val="center"/>
          </w:tcPr>
          <w:p w14:paraId="13A6E426" w14:textId="77777777" w:rsidR="00A320E6" w:rsidRDefault="00000000" w:rsidP="00320C3C">
            <w:pPr>
              <w:jc w:val="center"/>
              <w:textAlignment w:val="center"/>
              <w:rPr>
                <w:rFonts w:ascii="宋体" w:hAnsi="宋体" w:cs="宋体"/>
                <w:szCs w:val="21"/>
              </w:rPr>
            </w:pPr>
            <w:r>
              <w:rPr>
                <w:rFonts w:ascii="宋体" w:hAnsi="宋体" w:cs="宋体" w:hint="eastAsia"/>
                <w:color w:val="000000"/>
                <w:kern w:val="0"/>
                <w:szCs w:val="21"/>
                <w:lang w:bidi="ar"/>
              </w:rPr>
              <w:t>50元/㎡</w:t>
            </w:r>
          </w:p>
        </w:tc>
        <w:tc>
          <w:tcPr>
            <w:tcW w:w="1769" w:type="dxa"/>
            <w:shd w:val="clear" w:color="auto" w:fill="auto"/>
            <w:vAlign w:val="center"/>
          </w:tcPr>
          <w:p w14:paraId="048B475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正在使用，做工精细。</w:t>
            </w:r>
          </w:p>
        </w:tc>
      </w:tr>
      <w:tr w:rsidR="00A320E6" w14:paraId="10958F9B" w14:textId="77777777" w:rsidTr="008B03FA">
        <w:trPr>
          <w:trHeight w:val="312"/>
          <w:jc w:val="center"/>
        </w:trPr>
        <w:tc>
          <w:tcPr>
            <w:tcW w:w="0" w:type="auto"/>
            <w:vMerge/>
            <w:vAlign w:val="center"/>
          </w:tcPr>
          <w:p w14:paraId="50DC71D9" w14:textId="77777777" w:rsidR="00A320E6" w:rsidRDefault="00A320E6" w:rsidP="00320C3C">
            <w:pPr>
              <w:jc w:val="center"/>
              <w:rPr>
                <w:rFonts w:ascii="宋体" w:hAnsi="宋体" w:cs="宋体"/>
                <w:kern w:val="0"/>
                <w:szCs w:val="21"/>
              </w:rPr>
            </w:pPr>
          </w:p>
        </w:tc>
        <w:tc>
          <w:tcPr>
            <w:tcW w:w="0" w:type="auto"/>
            <w:vMerge/>
            <w:vAlign w:val="center"/>
          </w:tcPr>
          <w:p w14:paraId="3408803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52B13B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砖木</w:t>
            </w:r>
          </w:p>
        </w:tc>
        <w:tc>
          <w:tcPr>
            <w:tcW w:w="3686" w:type="dxa"/>
            <w:shd w:val="clear" w:color="auto" w:fill="auto"/>
            <w:vAlign w:val="center"/>
          </w:tcPr>
          <w:p w14:paraId="20A068F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砖木</w:t>
            </w:r>
          </w:p>
        </w:tc>
        <w:tc>
          <w:tcPr>
            <w:tcW w:w="1115" w:type="dxa"/>
            <w:shd w:val="clear" w:color="auto" w:fill="auto"/>
            <w:vAlign w:val="center"/>
          </w:tcPr>
          <w:p w14:paraId="44E78D84" w14:textId="77777777" w:rsidR="00A320E6" w:rsidRDefault="00000000" w:rsidP="00320C3C">
            <w:pPr>
              <w:jc w:val="center"/>
              <w:textAlignment w:val="center"/>
              <w:rPr>
                <w:rFonts w:ascii="宋体" w:hAnsi="宋体" w:cs="宋体"/>
                <w:szCs w:val="21"/>
              </w:rPr>
            </w:pPr>
            <w:r>
              <w:rPr>
                <w:rFonts w:ascii="宋体" w:hAnsi="宋体" w:cs="宋体" w:hint="eastAsia"/>
                <w:color w:val="000000"/>
                <w:kern w:val="0"/>
                <w:szCs w:val="21"/>
                <w:lang w:bidi="ar"/>
              </w:rPr>
              <w:t>100元/㎡</w:t>
            </w:r>
          </w:p>
        </w:tc>
        <w:tc>
          <w:tcPr>
            <w:tcW w:w="1769" w:type="dxa"/>
            <w:vAlign w:val="center"/>
          </w:tcPr>
          <w:p w14:paraId="022CED3B" w14:textId="77777777" w:rsidR="00A320E6" w:rsidRDefault="00A320E6" w:rsidP="00320C3C">
            <w:pPr>
              <w:jc w:val="left"/>
              <w:rPr>
                <w:rFonts w:ascii="宋体" w:hAnsi="宋体" w:cs="宋体"/>
                <w:kern w:val="0"/>
                <w:szCs w:val="21"/>
              </w:rPr>
            </w:pPr>
          </w:p>
        </w:tc>
      </w:tr>
      <w:tr w:rsidR="00A320E6" w14:paraId="5B95366C" w14:textId="77777777" w:rsidTr="008B03FA">
        <w:trPr>
          <w:trHeight w:val="312"/>
          <w:jc w:val="center"/>
        </w:trPr>
        <w:tc>
          <w:tcPr>
            <w:tcW w:w="0" w:type="auto"/>
            <w:vMerge w:val="restart"/>
            <w:vAlign w:val="center"/>
          </w:tcPr>
          <w:p w14:paraId="54B2F65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w:t>
            </w:r>
          </w:p>
        </w:tc>
        <w:tc>
          <w:tcPr>
            <w:tcW w:w="0" w:type="auto"/>
            <w:vMerge w:val="restart"/>
            <w:vAlign w:val="center"/>
          </w:tcPr>
          <w:p w14:paraId="70A2427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围墙</w:t>
            </w:r>
          </w:p>
        </w:tc>
        <w:tc>
          <w:tcPr>
            <w:tcW w:w="1432" w:type="dxa"/>
            <w:shd w:val="clear" w:color="auto" w:fill="auto"/>
            <w:vAlign w:val="center"/>
          </w:tcPr>
          <w:p w14:paraId="1BDC088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乱石基砖墙高2.5m以上</w:t>
            </w:r>
          </w:p>
        </w:tc>
        <w:tc>
          <w:tcPr>
            <w:tcW w:w="4801" w:type="dxa"/>
            <w:gridSpan w:val="2"/>
            <w:shd w:val="clear" w:color="auto" w:fill="auto"/>
            <w:vAlign w:val="center"/>
          </w:tcPr>
          <w:p w14:paraId="633EDE5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100元/m</w:t>
            </w:r>
          </w:p>
        </w:tc>
        <w:tc>
          <w:tcPr>
            <w:tcW w:w="1769" w:type="dxa"/>
            <w:vMerge w:val="restart"/>
            <w:vAlign w:val="center"/>
          </w:tcPr>
          <w:p w14:paraId="7DE52A5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7BFCE64E" w14:textId="77777777" w:rsidTr="008B03FA">
        <w:trPr>
          <w:trHeight w:val="312"/>
          <w:jc w:val="center"/>
        </w:trPr>
        <w:tc>
          <w:tcPr>
            <w:tcW w:w="0" w:type="auto"/>
            <w:vMerge/>
            <w:vAlign w:val="center"/>
          </w:tcPr>
          <w:p w14:paraId="0655B4B7" w14:textId="77777777" w:rsidR="00A320E6" w:rsidRDefault="00A320E6" w:rsidP="00320C3C">
            <w:pPr>
              <w:jc w:val="center"/>
              <w:rPr>
                <w:rFonts w:ascii="宋体" w:hAnsi="宋体" w:cs="宋体"/>
                <w:kern w:val="0"/>
                <w:szCs w:val="21"/>
              </w:rPr>
            </w:pPr>
          </w:p>
        </w:tc>
        <w:tc>
          <w:tcPr>
            <w:tcW w:w="0" w:type="auto"/>
            <w:vMerge/>
            <w:vAlign w:val="center"/>
          </w:tcPr>
          <w:p w14:paraId="21027E0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77AA09E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乱石基砖墙高2-2.5m</w:t>
            </w:r>
          </w:p>
        </w:tc>
        <w:tc>
          <w:tcPr>
            <w:tcW w:w="4801" w:type="dxa"/>
            <w:gridSpan w:val="2"/>
            <w:vAlign w:val="center"/>
          </w:tcPr>
          <w:p w14:paraId="514A5BE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80元/m</w:t>
            </w:r>
          </w:p>
        </w:tc>
        <w:tc>
          <w:tcPr>
            <w:tcW w:w="1769" w:type="dxa"/>
            <w:vMerge/>
            <w:vAlign w:val="center"/>
          </w:tcPr>
          <w:p w14:paraId="2CB37785" w14:textId="77777777" w:rsidR="00A320E6" w:rsidRDefault="00A320E6" w:rsidP="00320C3C">
            <w:pPr>
              <w:jc w:val="left"/>
              <w:rPr>
                <w:rFonts w:ascii="宋体" w:hAnsi="宋体" w:cs="宋体"/>
                <w:kern w:val="0"/>
                <w:szCs w:val="21"/>
              </w:rPr>
            </w:pPr>
          </w:p>
        </w:tc>
      </w:tr>
      <w:tr w:rsidR="00A320E6" w14:paraId="4A4F92ED" w14:textId="77777777" w:rsidTr="008B03FA">
        <w:trPr>
          <w:trHeight w:val="312"/>
          <w:jc w:val="center"/>
        </w:trPr>
        <w:tc>
          <w:tcPr>
            <w:tcW w:w="0" w:type="auto"/>
            <w:vMerge/>
            <w:shd w:val="clear" w:color="auto" w:fill="auto"/>
            <w:vAlign w:val="center"/>
          </w:tcPr>
          <w:p w14:paraId="301C38FF"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45C34F73"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70CBCD2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乱石基砖墙高1-2m</w:t>
            </w:r>
          </w:p>
        </w:tc>
        <w:tc>
          <w:tcPr>
            <w:tcW w:w="4801" w:type="dxa"/>
            <w:gridSpan w:val="2"/>
            <w:vMerge w:val="restart"/>
            <w:shd w:val="clear" w:color="auto" w:fill="auto"/>
            <w:vAlign w:val="center"/>
          </w:tcPr>
          <w:p w14:paraId="558B7F2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70元/m</w:t>
            </w:r>
          </w:p>
        </w:tc>
        <w:tc>
          <w:tcPr>
            <w:tcW w:w="1769" w:type="dxa"/>
            <w:vMerge/>
            <w:shd w:val="clear" w:color="auto" w:fill="auto"/>
            <w:vAlign w:val="center"/>
          </w:tcPr>
          <w:p w14:paraId="639AF255" w14:textId="77777777" w:rsidR="00A320E6" w:rsidRDefault="00A320E6" w:rsidP="00320C3C">
            <w:pPr>
              <w:jc w:val="left"/>
              <w:rPr>
                <w:rFonts w:ascii="宋体" w:hAnsi="宋体" w:cs="宋体"/>
                <w:kern w:val="0"/>
                <w:szCs w:val="21"/>
              </w:rPr>
            </w:pPr>
          </w:p>
        </w:tc>
      </w:tr>
      <w:tr w:rsidR="00A320E6" w14:paraId="5A767FBF" w14:textId="77777777" w:rsidTr="008B03FA">
        <w:trPr>
          <w:trHeight w:val="312"/>
          <w:jc w:val="center"/>
        </w:trPr>
        <w:tc>
          <w:tcPr>
            <w:tcW w:w="0" w:type="auto"/>
            <w:vMerge/>
            <w:vAlign w:val="center"/>
          </w:tcPr>
          <w:p w14:paraId="69C46516" w14:textId="77777777" w:rsidR="00A320E6" w:rsidRDefault="00A320E6" w:rsidP="00320C3C">
            <w:pPr>
              <w:jc w:val="center"/>
              <w:rPr>
                <w:rFonts w:ascii="宋体" w:hAnsi="宋体" w:cs="宋体"/>
                <w:kern w:val="0"/>
                <w:szCs w:val="21"/>
              </w:rPr>
            </w:pPr>
          </w:p>
        </w:tc>
        <w:tc>
          <w:tcPr>
            <w:tcW w:w="0" w:type="auto"/>
            <w:vMerge/>
            <w:vAlign w:val="center"/>
          </w:tcPr>
          <w:p w14:paraId="2E66F8C6"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F62A07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乱石基土坯墙高1.5-2.5m</w:t>
            </w:r>
          </w:p>
        </w:tc>
        <w:tc>
          <w:tcPr>
            <w:tcW w:w="4801" w:type="dxa"/>
            <w:gridSpan w:val="2"/>
            <w:vMerge/>
            <w:shd w:val="clear" w:color="auto" w:fill="auto"/>
            <w:vAlign w:val="center"/>
          </w:tcPr>
          <w:p w14:paraId="45B2DB95" w14:textId="77777777" w:rsidR="00A320E6" w:rsidRDefault="00A320E6" w:rsidP="00320C3C">
            <w:pPr>
              <w:jc w:val="center"/>
              <w:rPr>
                <w:rFonts w:ascii="宋体" w:hAnsi="宋体" w:cs="宋体"/>
                <w:kern w:val="0"/>
                <w:szCs w:val="21"/>
              </w:rPr>
            </w:pPr>
          </w:p>
        </w:tc>
        <w:tc>
          <w:tcPr>
            <w:tcW w:w="1769" w:type="dxa"/>
            <w:vMerge/>
            <w:vAlign w:val="center"/>
          </w:tcPr>
          <w:p w14:paraId="799EC19C" w14:textId="77777777" w:rsidR="00A320E6" w:rsidRDefault="00A320E6" w:rsidP="00320C3C">
            <w:pPr>
              <w:jc w:val="left"/>
              <w:rPr>
                <w:rFonts w:ascii="宋体" w:hAnsi="宋体" w:cs="宋体"/>
                <w:kern w:val="0"/>
                <w:szCs w:val="21"/>
              </w:rPr>
            </w:pPr>
          </w:p>
        </w:tc>
      </w:tr>
      <w:tr w:rsidR="00A320E6" w14:paraId="3212170F" w14:textId="77777777" w:rsidTr="008B03FA">
        <w:trPr>
          <w:trHeight w:val="312"/>
          <w:jc w:val="center"/>
        </w:trPr>
        <w:tc>
          <w:tcPr>
            <w:tcW w:w="0" w:type="auto"/>
            <w:vMerge w:val="restart"/>
            <w:shd w:val="clear" w:color="auto" w:fill="auto"/>
            <w:vAlign w:val="center"/>
          </w:tcPr>
          <w:p w14:paraId="0F0FA8D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w:t>
            </w:r>
          </w:p>
        </w:tc>
        <w:tc>
          <w:tcPr>
            <w:tcW w:w="0" w:type="auto"/>
            <w:vMerge w:val="restart"/>
            <w:shd w:val="clear" w:color="auto" w:fill="auto"/>
            <w:vAlign w:val="center"/>
          </w:tcPr>
          <w:p w14:paraId="66CC190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畜禽舍</w:t>
            </w:r>
          </w:p>
        </w:tc>
        <w:tc>
          <w:tcPr>
            <w:tcW w:w="1432" w:type="dxa"/>
            <w:shd w:val="clear" w:color="auto" w:fill="auto"/>
            <w:vAlign w:val="center"/>
          </w:tcPr>
          <w:p w14:paraId="3EE8860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砖混结构</w:t>
            </w:r>
          </w:p>
        </w:tc>
        <w:tc>
          <w:tcPr>
            <w:tcW w:w="4801" w:type="dxa"/>
            <w:gridSpan w:val="2"/>
            <w:shd w:val="clear" w:color="auto" w:fill="auto"/>
            <w:vAlign w:val="center"/>
          </w:tcPr>
          <w:p w14:paraId="796B3AC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120元/㎡</w:t>
            </w:r>
          </w:p>
        </w:tc>
        <w:tc>
          <w:tcPr>
            <w:tcW w:w="1769" w:type="dxa"/>
            <w:vMerge w:val="restart"/>
            <w:shd w:val="clear" w:color="auto" w:fill="auto"/>
            <w:vAlign w:val="center"/>
          </w:tcPr>
          <w:p w14:paraId="21BB860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75F3ED48" w14:textId="77777777" w:rsidTr="008B03FA">
        <w:trPr>
          <w:trHeight w:val="312"/>
          <w:jc w:val="center"/>
        </w:trPr>
        <w:tc>
          <w:tcPr>
            <w:tcW w:w="0" w:type="auto"/>
            <w:vMerge/>
            <w:shd w:val="clear" w:color="auto" w:fill="auto"/>
            <w:vAlign w:val="center"/>
          </w:tcPr>
          <w:p w14:paraId="7B0B63BA"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7EFDC922"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91A133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简易结构</w:t>
            </w:r>
          </w:p>
        </w:tc>
        <w:tc>
          <w:tcPr>
            <w:tcW w:w="4801" w:type="dxa"/>
            <w:gridSpan w:val="2"/>
            <w:shd w:val="clear" w:color="auto" w:fill="auto"/>
            <w:vAlign w:val="center"/>
          </w:tcPr>
          <w:p w14:paraId="285FF42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砖墙体，石棉瓦顶80元/㎡；两面墙体，简易顶40元/㎡</w:t>
            </w:r>
          </w:p>
        </w:tc>
        <w:tc>
          <w:tcPr>
            <w:tcW w:w="1769" w:type="dxa"/>
            <w:vMerge/>
            <w:shd w:val="clear" w:color="auto" w:fill="auto"/>
            <w:vAlign w:val="center"/>
          </w:tcPr>
          <w:p w14:paraId="04276254" w14:textId="77777777" w:rsidR="00A320E6" w:rsidRDefault="00A320E6" w:rsidP="00320C3C">
            <w:pPr>
              <w:jc w:val="left"/>
              <w:rPr>
                <w:rFonts w:ascii="宋体" w:hAnsi="宋体" w:cs="宋体"/>
                <w:kern w:val="0"/>
                <w:szCs w:val="21"/>
              </w:rPr>
            </w:pPr>
          </w:p>
        </w:tc>
      </w:tr>
      <w:tr w:rsidR="00A320E6" w14:paraId="3CB441DF" w14:textId="77777777" w:rsidTr="008B03FA">
        <w:trPr>
          <w:trHeight w:val="312"/>
          <w:jc w:val="center"/>
        </w:trPr>
        <w:tc>
          <w:tcPr>
            <w:tcW w:w="0" w:type="auto"/>
            <w:vAlign w:val="center"/>
          </w:tcPr>
          <w:p w14:paraId="29E2C8E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w:t>
            </w:r>
          </w:p>
        </w:tc>
        <w:tc>
          <w:tcPr>
            <w:tcW w:w="0" w:type="auto"/>
            <w:vAlign w:val="center"/>
          </w:tcPr>
          <w:p w14:paraId="7C425FE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迁坟</w:t>
            </w:r>
          </w:p>
        </w:tc>
        <w:tc>
          <w:tcPr>
            <w:tcW w:w="1432" w:type="dxa"/>
            <w:shd w:val="clear" w:color="auto" w:fill="auto"/>
            <w:vAlign w:val="center"/>
          </w:tcPr>
          <w:p w14:paraId="1965B873" w14:textId="77777777" w:rsidR="00A320E6" w:rsidRDefault="00000000" w:rsidP="00320C3C">
            <w:pPr>
              <w:jc w:val="left"/>
              <w:rPr>
                <w:rFonts w:ascii="宋体" w:hAnsi="宋体" w:cs="宋体"/>
                <w:kern w:val="0"/>
                <w:szCs w:val="21"/>
              </w:rPr>
            </w:pPr>
            <w:r>
              <w:rPr>
                <w:rFonts w:ascii="宋体" w:hAnsi="宋体" w:cs="宋体" w:hint="eastAsia"/>
                <w:kern w:val="0"/>
                <w:szCs w:val="21"/>
              </w:rPr>
              <w:t>120元/座（迁葬人工费），包括迁葬工料费</w:t>
            </w:r>
          </w:p>
        </w:tc>
        <w:tc>
          <w:tcPr>
            <w:tcW w:w="4801" w:type="dxa"/>
            <w:gridSpan w:val="2"/>
            <w:shd w:val="clear" w:color="auto" w:fill="auto"/>
            <w:vAlign w:val="center"/>
          </w:tcPr>
          <w:p w14:paraId="6E61C8C0" w14:textId="77777777" w:rsidR="00A320E6" w:rsidRDefault="00000000" w:rsidP="00320C3C">
            <w:pPr>
              <w:jc w:val="center"/>
              <w:rPr>
                <w:rFonts w:ascii="宋体" w:hAnsi="宋体" w:cs="宋体"/>
                <w:kern w:val="0"/>
                <w:szCs w:val="21"/>
              </w:rPr>
            </w:pPr>
            <w:r>
              <w:rPr>
                <w:rFonts w:ascii="宋体" w:hAnsi="宋体" w:cs="宋体" w:hint="eastAsia"/>
                <w:kern w:val="0"/>
                <w:szCs w:val="21"/>
              </w:rPr>
              <w:t>1060元/座，包括迁葬人工费120元，（火化费400元、寄存费120元/年、牌位费20元、骨灰盒200元，运输费200元/次）由征地单位和殡仪馆结算。</w:t>
            </w:r>
          </w:p>
        </w:tc>
        <w:tc>
          <w:tcPr>
            <w:tcW w:w="1769" w:type="dxa"/>
            <w:vAlign w:val="center"/>
          </w:tcPr>
          <w:p w14:paraId="385F57B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少数民族按其殡葬习惯和特点补偿标准为1500-2000元/座。</w:t>
            </w:r>
          </w:p>
        </w:tc>
      </w:tr>
      <w:tr w:rsidR="00A320E6" w14:paraId="5BAF4070" w14:textId="77777777" w:rsidTr="008B03FA">
        <w:trPr>
          <w:trHeight w:val="312"/>
          <w:jc w:val="center"/>
        </w:trPr>
        <w:tc>
          <w:tcPr>
            <w:tcW w:w="0" w:type="auto"/>
            <w:vMerge w:val="restart"/>
            <w:vAlign w:val="center"/>
          </w:tcPr>
          <w:p w14:paraId="6A4FEBA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6</w:t>
            </w:r>
          </w:p>
        </w:tc>
        <w:tc>
          <w:tcPr>
            <w:tcW w:w="0" w:type="auto"/>
            <w:vMerge w:val="restart"/>
            <w:vAlign w:val="center"/>
          </w:tcPr>
          <w:p w14:paraId="1710C8E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温室</w:t>
            </w:r>
          </w:p>
        </w:tc>
        <w:tc>
          <w:tcPr>
            <w:tcW w:w="1432" w:type="dxa"/>
            <w:shd w:val="clear" w:color="auto" w:fill="auto"/>
            <w:vAlign w:val="center"/>
          </w:tcPr>
          <w:p w14:paraId="79F902B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钢、砼骨架、玻璃顶</w:t>
            </w:r>
          </w:p>
        </w:tc>
        <w:tc>
          <w:tcPr>
            <w:tcW w:w="4801" w:type="dxa"/>
            <w:gridSpan w:val="2"/>
            <w:shd w:val="clear" w:color="auto" w:fill="auto"/>
            <w:vAlign w:val="center"/>
          </w:tcPr>
          <w:p w14:paraId="60E9FF6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60-80元/㎡</w:t>
            </w:r>
          </w:p>
        </w:tc>
        <w:tc>
          <w:tcPr>
            <w:tcW w:w="1769" w:type="dxa"/>
            <w:vMerge w:val="restart"/>
            <w:vAlign w:val="center"/>
          </w:tcPr>
          <w:p w14:paraId="0BF89D1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70F7793B" w14:textId="77777777" w:rsidTr="008B03FA">
        <w:trPr>
          <w:trHeight w:val="312"/>
          <w:jc w:val="center"/>
        </w:trPr>
        <w:tc>
          <w:tcPr>
            <w:tcW w:w="0" w:type="auto"/>
            <w:vMerge/>
            <w:shd w:val="clear" w:color="auto" w:fill="auto"/>
            <w:vAlign w:val="center"/>
          </w:tcPr>
          <w:p w14:paraId="6D47F4A8"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7C81C76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9CC2D6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钢、砼骨架、塑料薄膜棚顶</w:t>
            </w:r>
          </w:p>
        </w:tc>
        <w:tc>
          <w:tcPr>
            <w:tcW w:w="4801" w:type="dxa"/>
            <w:gridSpan w:val="2"/>
            <w:shd w:val="clear" w:color="auto" w:fill="auto"/>
            <w:vAlign w:val="center"/>
          </w:tcPr>
          <w:p w14:paraId="48F6F16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棚体薄膜完好23元/㎡，棚体完好、薄膜损坏20元/㎡，蔬菜另行估价。</w:t>
            </w:r>
          </w:p>
        </w:tc>
        <w:tc>
          <w:tcPr>
            <w:tcW w:w="1769" w:type="dxa"/>
            <w:vMerge/>
            <w:shd w:val="clear" w:color="auto" w:fill="auto"/>
            <w:vAlign w:val="center"/>
          </w:tcPr>
          <w:p w14:paraId="44970715" w14:textId="77777777" w:rsidR="00A320E6" w:rsidRDefault="00A320E6" w:rsidP="00320C3C">
            <w:pPr>
              <w:jc w:val="left"/>
              <w:rPr>
                <w:rFonts w:ascii="宋体" w:hAnsi="宋体" w:cs="宋体"/>
                <w:kern w:val="0"/>
                <w:szCs w:val="21"/>
              </w:rPr>
            </w:pPr>
          </w:p>
        </w:tc>
      </w:tr>
      <w:tr w:rsidR="00A320E6" w14:paraId="50346A70" w14:textId="77777777" w:rsidTr="008B03FA">
        <w:trPr>
          <w:trHeight w:val="312"/>
          <w:jc w:val="center"/>
        </w:trPr>
        <w:tc>
          <w:tcPr>
            <w:tcW w:w="0" w:type="auto"/>
            <w:vMerge/>
            <w:vAlign w:val="center"/>
          </w:tcPr>
          <w:p w14:paraId="60F2CD02" w14:textId="77777777" w:rsidR="00A320E6" w:rsidRDefault="00A320E6" w:rsidP="00320C3C">
            <w:pPr>
              <w:jc w:val="center"/>
              <w:rPr>
                <w:rFonts w:ascii="宋体" w:hAnsi="宋体" w:cs="宋体"/>
                <w:kern w:val="0"/>
                <w:szCs w:val="21"/>
              </w:rPr>
            </w:pPr>
          </w:p>
        </w:tc>
        <w:tc>
          <w:tcPr>
            <w:tcW w:w="0" w:type="auto"/>
            <w:vMerge/>
            <w:vAlign w:val="center"/>
          </w:tcPr>
          <w:p w14:paraId="5DAFBA3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988A14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简易塑料薄膜棚顶</w:t>
            </w:r>
          </w:p>
        </w:tc>
        <w:tc>
          <w:tcPr>
            <w:tcW w:w="4801" w:type="dxa"/>
            <w:gridSpan w:val="2"/>
            <w:shd w:val="clear" w:color="auto" w:fill="auto"/>
            <w:vAlign w:val="center"/>
          </w:tcPr>
          <w:p w14:paraId="49A123C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大拱棚（宽度3米以上，高度1.5米以上）20元/㎡；小拱棚（宽度3米以下，高度1.5米以下）10元/㎡。</w:t>
            </w:r>
          </w:p>
        </w:tc>
        <w:tc>
          <w:tcPr>
            <w:tcW w:w="1769" w:type="dxa"/>
            <w:vMerge/>
            <w:vAlign w:val="center"/>
          </w:tcPr>
          <w:p w14:paraId="45E7299E" w14:textId="77777777" w:rsidR="00A320E6" w:rsidRDefault="00A320E6" w:rsidP="00320C3C">
            <w:pPr>
              <w:jc w:val="left"/>
              <w:rPr>
                <w:rFonts w:ascii="宋体" w:hAnsi="宋体" w:cs="宋体"/>
                <w:kern w:val="0"/>
                <w:szCs w:val="21"/>
              </w:rPr>
            </w:pPr>
          </w:p>
        </w:tc>
      </w:tr>
      <w:tr w:rsidR="00A320E6" w14:paraId="66A226A5" w14:textId="77777777" w:rsidTr="008B03FA">
        <w:trPr>
          <w:trHeight w:val="312"/>
          <w:jc w:val="center"/>
        </w:trPr>
        <w:tc>
          <w:tcPr>
            <w:tcW w:w="0" w:type="auto"/>
            <w:vMerge w:val="restart"/>
            <w:vAlign w:val="center"/>
          </w:tcPr>
          <w:p w14:paraId="05E434F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7</w:t>
            </w:r>
          </w:p>
        </w:tc>
        <w:tc>
          <w:tcPr>
            <w:tcW w:w="0" w:type="auto"/>
            <w:vMerge w:val="restart"/>
            <w:vAlign w:val="center"/>
          </w:tcPr>
          <w:p w14:paraId="1ECFA46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小桥</w:t>
            </w:r>
          </w:p>
        </w:tc>
        <w:tc>
          <w:tcPr>
            <w:tcW w:w="1432" w:type="dxa"/>
            <w:shd w:val="clear" w:color="auto" w:fill="auto"/>
            <w:vAlign w:val="center"/>
          </w:tcPr>
          <w:p w14:paraId="1EE27BE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钢筋混凝土矩形板桥</w:t>
            </w:r>
          </w:p>
        </w:tc>
        <w:tc>
          <w:tcPr>
            <w:tcW w:w="4801" w:type="dxa"/>
            <w:gridSpan w:val="2"/>
            <w:vAlign w:val="center"/>
          </w:tcPr>
          <w:p w14:paraId="71B906A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跨径1.5-3米250-400元/㎡；跨径3-4米400-500元/㎡。</w:t>
            </w:r>
          </w:p>
        </w:tc>
        <w:tc>
          <w:tcPr>
            <w:tcW w:w="1769" w:type="dxa"/>
            <w:vMerge w:val="restart"/>
            <w:vAlign w:val="center"/>
          </w:tcPr>
          <w:p w14:paraId="6240AFB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按桥面面积计算。</w:t>
            </w:r>
          </w:p>
        </w:tc>
      </w:tr>
      <w:tr w:rsidR="00A320E6" w14:paraId="20C0D0DC" w14:textId="77777777" w:rsidTr="008B03FA">
        <w:trPr>
          <w:trHeight w:val="312"/>
          <w:jc w:val="center"/>
        </w:trPr>
        <w:tc>
          <w:tcPr>
            <w:tcW w:w="0" w:type="auto"/>
            <w:vMerge/>
            <w:vAlign w:val="center"/>
          </w:tcPr>
          <w:p w14:paraId="75B16AFE" w14:textId="77777777" w:rsidR="00A320E6" w:rsidRDefault="00A320E6" w:rsidP="00320C3C">
            <w:pPr>
              <w:jc w:val="center"/>
              <w:rPr>
                <w:rFonts w:ascii="宋体" w:hAnsi="宋体" w:cs="宋体"/>
                <w:kern w:val="0"/>
                <w:szCs w:val="21"/>
              </w:rPr>
            </w:pPr>
          </w:p>
        </w:tc>
        <w:tc>
          <w:tcPr>
            <w:tcW w:w="0" w:type="auto"/>
            <w:vMerge/>
            <w:vAlign w:val="center"/>
          </w:tcPr>
          <w:p w14:paraId="3262976C"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B57DB8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平坦石拱桥</w:t>
            </w:r>
          </w:p>
        </w:tc>
        <w:tc>
          <w:tcPr>
            <w:tcW w:w="4801" w:type="dxa"/>
            <w:gridSpan w:val="2"/>
            <w:vMerge w:val="restart"/>
            <w:shd w:val="clear" w:color="auto" w:fill="auto"/>
            <w:vAlign w:val="center"/>
          </w:tcPr>
          <w:p w14:paraId="448DCD51" w14:textId="77777777" w:rsidR="00A320E6" w:rsidRDefault="00000000" w:rsidP="00320C3C">
            <w:pPr>
              <w:textAlignment w:val="center"/>
              <w:rPr>
                <w:rFonts w:ascii="宋体" w:hAnsi="宋体" w:cs="宋体"/>
                <w:kern w:val="0"/>
                <w:szCs w:val="21"/>
              </w:rPr>
            </w:pPr>
            <w:r>
              <w:rPr>
                <w:rFonts w:ascii="宋体" w:hAnsi="宋体" w:cs="宋体" w:hint="eastAsia"/>
                <w:color w:val="000000"/>
                <w:kern w:val="0"/>
                <w:szCs w:val="21"/>
                <w:lang w:bidi="ar"/>
              </w:rPr>
              <w:t xml:space="preserve">　石拱桥600元/㎡，砖拱桥550元/㎡</w:t>
            </w:r>
          </w:p>
        </w:tc>
        <w:tc>
          <w:tcPr>
            <w:tcW w:w="1769" w:type="dxa"/>
            <w:vMerge/>
            <w:vAlign w:val="center"/>
          </w:tcPr>
          <w:p w14:paraId="0F0A7F42" w14:textId="77777777" w:rsidR="00A320E6" w:rsidRDefault="00A320E6" w:rsidP="00320C3C">
            <w:pPr>
              <w:jc w:val="left"/>
              <w:rPr>
                <w:rFonts w:ascii="宋体" w:hAnsi="宋体" w:cs="宋体"/>
                <w:kern w:val="0"/>
                <w:szCs w:val="21"/>
              </w:rPr>
            </w:pPr>
          </w:p>
        </w:tc>
      </w:tr>
      <w:tr w:rsidR="00A320E6" w14:paraId="05A3EBC3" w14:textId="77777777" w:rsidTr="008B03FA">
        <w:trPr>
          <w:trHeight w:val="312"/>
          <w:jc w:val="center"/>
        </w:trPr>
        <w:tc>
          <w:tcPr>
            <w:tcW w:w="0" w:type="auto"/>
            <w:vMerge/>
            <w:shd w:val="clear" w:color="auto" w:fill="auto"/>
            <w:vAlign w:val="center"/>
          </w:tcPr>
          <w:p w14:paraId="20193F25"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0398434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3592C7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石拱桥</w:t>
            </w:r>
          </w:p>
        </w:tc>
        <w:tc>
          <w:tcPr>
            <w:tcW w:w="4801" w:type="dxa"/>
            <w:gridSpan w:val="2"/>
            <w:vMerge/>
            <w:shd w:val="clear" w:color="auto" w:fill="auto"/>
            <w:vAlign w:val="center"/>
          </w:tcPr>
          <w:p w14:paraId="0F0CBEBC" w14:textId="77777777" w:rsidR="00A320E6" w:rsidRDefault="00A320E6" w:rsidP="00320C3C">
            <w:pPr>
              <w:rPr>
                <w:rFonts w:ascii="宋体" w:hAnsi="宋体" w:cs="宋体"/>
                <w:kern w:val="0"/>
                <w:szCs w:val="21"/>
              </w:rPr>
            </w:pPr>
          </w:p>
        </w:tc>
        <w:tc>
          <w:tcPr>
            <w:tcW w:w="1769" w:type="dxa"/>
            <w:vMerge/>
            <w:shd w:val="clear" w:color="auto" w:fill="auto"/>
            <w:vAlign w:val="center"/>
          </w:tcPr>
          <w:p w14:paraId="76FDE76B" w14:textId="77777777" w:rsidR="00A320E6" w:rsidRDefault="00A320E6" w:rsidP="00320C3C">
            <w:pPr>
              <w:jc w:val="left"/>
              <w:rPr>
                <w:rFonts w:ascii="宋体" w:hAnsi="宋体" w:cs="宋体"/>
                <w:kern w:val="0"/>
                <w:szCs w:val="21"/>
              </w:rPr>
            </w:pPr>
          </w:p>
        </w:tc>
      </w:tr>
      <w:tr w:rsidR="00A320E6" w14:paraId="77E40740" w14:textId="77777777" w:rsidTr="008B03FA">
        <w:trPr>
          <w:trHeight w:val="312"/>
          <w:jc w:val="center"/>
        </w:trPr>
        <w:tc>
          <w:tcPr>
            <w:tcW w:w="0" w:type="auto"/>
            <w:vMerge/>
            <w:vAlign w:val="center"/>
          </w:tcPr>
          <w:p w14:paraId="7C983CED" w14:textId="77777777" w:rsidR="00A320E6" w:rsidRDefault="00A320E6" w:rsidP="00320C3C">
            <w:pPr>
              <w:jc w:val="center"/>
              <w:rPr>
                <w:rFonts w:ascii="宋体" w:hAnsi="宋体" w:cs="宋体"/>
                <w:kern w:val="0"/>
                <w:szCs w:val="21"/>
              </w:rPr>
            </w:pPr>
          </w:p>
        </w:tc>
        <w:tc>
          <w:tcPr>
            <w:tcW w:w="0" w:type="auto"/>
            <w:vMerge/>
            <w:vAlign w:val="center"/>
          </w:tcPr>
          <w:p w14:paraId="77664CE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AA2119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简易小桥</w:t>
            </w:r>
          </w:p>
        </w:tc>
        <w:tc>
          <w:tcPr>
            <w:tcW w:w="4801" w:type="dxa"/>
            <w:gridSpan w:val="2"/>
            <w:vMerge/>
            <w:vAlign w:val="center"/>
          </w:tcPr>
          <w:p w14:paraId="268A9512" w14:textId="77777777" w:rsidR="00A320E6" w:rsidRDefault="00A320E6" w:rsidP="00320C3C">
            <w:pPr>
              <w:rPr>
                <w:rFonts w:ascii="宋体" w:hAnsi="宋体" w:cs="宋体"/>
                <w:kern w:val="0"/>
                <w:szCs w:val="21"/>
              </w:rPr>
            </w:pPr>
          </w:p>
        </w:tc>
        <w:tc>
          <w:tcPr>
            <w:tcW w:w="1769" w:type="dxa"/>
            <w:vMerge/>
            <w:vAlign w:val="center"/>
          </w:tcPr>
          <w:p w14:paraId="2D858FA2" w14:textId="77777777" w:rsidR="00A320E6" w:rsidRDefault="00A320E6" w:rsidP="00320C3C">
            <w:pPr>
              <w:jc w:val="left"/>
              <w:rPr>
                <w:rFonts w:ascii="宋体" w:hAnsi="宋体" w:cs="宋体"/>
                <w:kern w:val="0"/>
                <w:szCs w:val="21"/>
              </w:rPr>
            </w:pPr>
          </w:p>
        </w:tc>
      </w:tr>
      <w:tr w:rsidR="00A320E6" w14:paraId="55509137" w14:textId="77777777" w:rsidTr="008B03FA">
        <w:trPr>
          <w:trHeight w:val="312"/>
          <w:jc w:val="center"/>
        </w:trPr>
        <w:tc>
          <w:tcPr>
            <w:tcW w:w="0" w:type="auto"/>
            <w:vMerge w:val="restart"/>
            <w:vAlign w:val="center"/>
          </w:tcPr>
          <w:p w14:paraId="01F7147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w:t>
            </w:r>
          </w:p>
        </w:tc>
        <w:tc>
          <w:tcPr>
            <w:tcW w:w="0" w:type="auto"/>
            <w:vMerge w:val="restart"/>
            <w:vAlign w:val="center"/>
          </w:tcPr>
          <w:p w14:paraId="7ED805F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涵洞</w:t>
            </w:r>
          </w:p>
        </w:tc>
        <w:tc>
          <w:tcPr>
            <w:tcW w:w="1432" w:type="dxa"/>
            <w:shd w:val="clear" w:color="auto" w:fill="auto"/>
            <w:vAlign w:val="center"/>
          </w:tcPr>
          <w:p w14:paraId="406AE46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石盖板涵跨径1-2米</w:t>
            </w:r>
          </w:p>
        </w:tc>
        <w:tc>
          <w:tcPr>
            <w:tcW w:w="4801" w:type="dxa"/>
            <w:gridSpan w:val="2"/>
            <w:vMerge w:val="restart"/>
            <w:vAlign w:val="center"/>
          </w:tcPr>
          <w:p w14:paraId="5FC9090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标准Ø3040元/m，Ø5060元/m，Ø6080元/m，Ø80120元/m，Ø,100220元/m</w:t>
            </w:r>
          </w:p>
        </w:tc>
        <w:tc>
          <w:tcPr>
            <w:tcW w:w="1769" w:type="dxa"/>
            <w:vMerge w:val="restart"/>
            <w:vAlign w:val="center"/>
          </w:tcPr>
          <w:p w14:paraId="3E6C2191" w14:textId="77777777" w:rsidR="00A320E6" w:rsidRDefault="00A320E6" w:rsidP="00320C3C">
            <w:pPr>
              <w:jc w:val="left"/>
              <w:rPr>
                <w:rFonts w:ascii="宋体" w:hAnsi="宋体" w:cs="宋体"/>
                <w:kern w:val="0"/>
                <w:szCs w:val="21"/>
              </w:rPr>
            </w:pPr>
          </w:p>
        </w:tc>
      </w:tr>
      <w:tr w:rsidR="00A320E6" w14:paraId="542D7D84" w14:textId="77777777" w:rsidTr="008B03FA">
        <w:trPr>
          <w:trHeight w:val="312"/>
          <w:jc w:val="center"/>
        </w:trPr>
        <w:tc>
          <w:tcPr>
            <w:tcW w:w="0" w:type="auto"/>
            <w:vMerge/>
            <w:vAlign w:val="center"/>
          </w:tcPr>
          <w:p w14:paraId="0EDFC725" w14:textId="77777777" w:rsidR="00A320E6" w:rsidRDefault="00A320E6" w:rsidP="00320C3C">
            <w:pPr>
              <w:jc w:val="center"/>
              <w:rPr>
                <w:rFonts w:ascii="宋体" w:hAnsi="宋体" w:cs="宋体"/>
                <w:kern w:val="0"/>
                <w:szCs w:val="21"/>
              </w:rPr>
            </w:pPr>
          </w:p>
        </w:tc>
        <w:tc>
          <w:tcPr>
            <w:tcW w:w="0" w:type="auto"/>
            <w:vMerge/>
            <w:vAlign w:val="center"/>
          </w:tcPr>
          <w:p w14:paraId="39E799F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509F25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石拱涵跨径1-2米</w:t>
            </w:r>
          </w:p>
        </w:tc>
        <w:tc>
          <w:tcPr>
            <w:tcW w:w="4801" w:type="dxa"/>
            <w:gridSpan w:val="2"/>
            <w:vMerge/>
            <w:vAlign w:val="center"/>
          </w:tcPr>
          <w:p w14:paraId="69A3D9FC" w14:textId="77777777" w:rsidR="00A320E6" w:rsidRDefault="00A320E6" w:rsidP="00320C3C">
            <w:pPr>
              <w:jc w:val="center"/>
              <w:rPr>
                <w:rFonts w:ascii="宋体" w:hAnsi="宋体" w:cs="宋体"/>
                <w:kern w:val="0"/>
                <w:szCs w:val="21"/>
              </w:rPr>
            </w:pPr>
          </w:p>
        </w:tc>
        <w:tc>
          <w:tcPr>
            <w:tcW w:w="1769" w:type="dxa"/>
            <w:vMerge/>
            <w:vAlign w:val="center"/>
          </w:tcPr>
          <w:p w14:paraId="4DEE9095" w14:textId="77777777" w:rsidR="00A320E6" w:rsidRDefault="00A320E6" w:rsidP="00320C3C">
            <w:pPr>
              <w:jc w:val="left"/>
              <w:rPr>
                <w:rFonts w:ascii="宋体" w:hAnsi="宋体" w:cs="宋体"/>
                <w:kern w:val="0"/>
                <w:szCs w:val="21"/>
              </w:rPr>
            </w:pPr>
          </w:p>
        </w:tc>
      </w:tr>
      <w:tr w:rsidR="00A320E6" w14:paraId="0D45A4D2" w14:textId="77777777" w:rsidTr="008B03FA">
        <w:trPr>
          <w:trHeight w:val="312"/>
          <w:jc w:val="center"/>
        </w:trPr>
        <w:tc>
          <w:tcPr>
            <w:tcW w:w="0" w:type="auto"/>
            <w:vMerge/>
            <w:vAlign w:val="center"/>
          </w:tcPr>
          <w:p w14:paraId="7035258A" w14:textId="77777777" w:rsidR="00A320E6" w:rsidRDefault="00A320E6" w:rsidP="00320C3C">
            <w:pPr>
              <w:jc w:val="center"/>
              <w:rPr>
                <w:rFonts w:ascii="宋体" w:hAnsi="宋体" w:cs="宋体"/>
                <w:kern w:val="0"/>
                <w:szCs w:val="21"/>
              </w:rPr>
            </w:pPr>
          </w:p>
        </w:tc>
        <w:tc>
          <w:tcPr>
            <w:tcW w:w="0" w:type="auto"/>
            <w:vMerge/>
            <w:vAlign w:val="center"/>
          </w:tcPr>
          <w:p w14:paraId="41EE1140"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518904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石拱涵跨径2-4米</w:t>
            </w:r>
          </w:p>
        </w:tc>
        <w:tc>
          <w:tcPr>
            <w:tcW w:w="4801" w:type="dxa"/>
            <w:gridSpan w:val="2"/>
            <w:vMerge/>
            <w:vAlign w:val="center"/>
          </w:tcPr>
          <w:p w14:paraId="7A64C1D2" w14:textId="77777777" w:rsidR="00A320E6" w:rsidRDefault="00A320E6" w:rsidP="00320C3C">
            <w:pPr>
              <w:jc w:val="center"/>
              <w:rPr>
                <w:rFonts w:ascii="宋体" w:hAnsi="宋体" w:cs="宋体"/>
                <w:kern w:val="0"/>
                <w:szCs w:val="21"/>
              </w:rPr>
            </w:pPr>
          </w:p>
        </w:tc>
        <w:tc>
          <w:tcPr>
            <w:tcW w:w="1769" w:type="dxa"/>
            <w:vMerge/>
            <w:vAlign w:val="center"/>
          </w:tcPr>
          <w:p w14:paraId="066C8C0E" w14:textId="77777777" w:rsidR="00A320E6" w:rsidRDefault="00A320E6" w:rsidP="00320C3C">
            <w:pPr>
              <w:jc w:val="left"/>
              <w:rPr>
                <w:rFonts w:ascii="宋体" w:hAnsi="宋体" w:cs="宋体"/>
                <w:kern w:val="0"/>
                <w:szCs w:val="21"/>
              </w:rPr>
            </w:pPr>
          </w:p>
        </w:tc>
      </w:tr>
      <w:tr w:rsidR="00A320E6" w14:paraId="5957F696" w14:textId="77777777" w:rsidTr="008B03FA">
        <w:trPr>
          <w:trHeight w:val="312"/>
          <w:jc w:val="center"/>
        </w:trPr>
        <w:tc>
          <w:tcPr>
            <w:tcW w:w="0" w:type="auto"/>
            <w:vMerge/>
            <w:vAlign w:val="center"/>
          </w:tcPr>
          <w:p w14:paraId="43D0B473" w14:textId="77777777" w:rsidR="00A320E6" w:rsidRDefault="00A320E6" w:rsidP="00320C3C">
            <w:pPr>
              <w:jc w:val="center"/>
              <w:rPr>
                <w:rFonts w:ascii="宋体" w:hAnsi="宋体" w:cs="宋体"/>
                <w:kern w:val="0"/>
                <w:szCs w:val="21"/>
              </w:rPr>
            </w:pPr>
          </w:p>
        </w:tc>
        <w:tc>
          <w:tcPr>
            <w:tcW w:w="0" w:type="auto"/>
            <w:vMerge/>
            <w:vAlign w:val="center"/>
          </w:tcPr>
          <w:p w14:paraId="38A78767"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E025C4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钢筋混凝土圆管涵跨径1-2米</w:t>
            </w:r>
          </w:p>
        </w:tc>
        <w:tc>
          <w:tcPr>
            <w:tcW w:w="4801" w:type="dxa"/>
            <w:gridSpan w:val="2"/>
            <w:vMerge/>
            <w:vAlign w:val="center"/>
          </w:tcPr>
          <w:p w14:paraId="0B9ACBD0" w14:textId="77777777" w:rsidR="00A320E6" w:rsidRDefault="00A320E6" w:rsidP="00320C3C">
            <w:pPr>
              <w:jc w:val="center"/>
              <w:rPr>
                <w:rFonts w:ascii="宋体" w:hAnsi="宋体" w:cs="宋体"/>
                <w:kern w:val="0"/>
                <w:szCs w:val="21"/>
              </w:rPr>
            </w:pPr>
          </w:p>
        </w:tc>
        <w:tc>
          <w:tcPr>
            <w:tcW w:w="1769" w:type="dxa"/>
            <w:vMerge/>
            <w:vAlign w:val="center"/>
          </w:tcPr>
          <w:p w14:paraId="4C89B0FF" w14:textId="77777777" w:rsidR="00A320E6" w:rsidRDefault="00A320E6" w:rsidP="00320C3C">
            <w:pPr>
              <w:jc w:val="left"/>
              <w:rPr>
                <w:rFonts w:ascii="宋体" w:hAnsi="宋体" w:cs="宋体"/>
                <w:kern w:val="0"/>
                <w:szCs w:val="21"/>
              </w:rPr>
            </w:pPr>
          </w:p>
        </w:tc>
      </w:tr>
      <w:tr w:rsidR="00A320E6" w14:paraId="667D1FC5" w14:textId="77777777" w:rsidTr="008B03FA">
        <w:trPr>
          <w:trHeight w:val="312"/>
          <w:jc w:val="center"/>
        </w:trPr>
        <w:tc>
          <w:tcPr>
            <w:tcW w:w="0" w:type="auto"/>
            <w:vMerge/>
            <w:shd w:val="clear" w:color="auto" w:fill="auto"/>
            <w:vAlign w:val="center"/>
          </w:tcPr>
          <w:p w14:paraId="1E9BAB11"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54FE651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E79333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钢筋混凝土圆管涵跨径1.5-3米</w:t>
            </w:r>
          </w:p>
        </w:tc>
        <w:tc>
          <w:tcPr>
            <w:tcW w:w="4801" w:type="dxa"/>
            <w:gridSpan w:val="2"/>
            <w:vMerge/>
            <w:shd w:val="clear" w:color="auto" w:fill="auto"/>
            <w:vAlign w:val="center"/>
          </w:tcPr>
          <w:p w14:paraId="4AAEBB97" w14:textId="77777777" w:rsidR="00A320E6" w:rsidRDefault="00A320E6" w:rsidP="00320C3C">
            <w:pPr>
              <w:jc w:val="center"/>
              <w:rPr>
                <w:rFonts w:ascii="宋体" w:hAnsi="宋体" w:cs="宋体"/>
                <w:kern w:val="0"/>
                <w:szCs w:val="21"/>
              </w:rPr>
            </w:pPr>
          </w:p>
        </w:tc>
        <w:tc>
          <w:tcPr>
            <w:tcW w:w="1769" w:type="dxa"/>
            <w:vMerge/>
            <w:shd w:val="clear" w:color="auto" w:fill="auto"/>
            <w:vAlign w:val="center"/>
          </w:tcPr>
          <w:p w14:paraId="2C5F7E4D" w14:textId="77777777" w:rsidR="00A320E6" w:rsidRDefault="00A320E6" w:rsidP="00320C3C">
            <w:pPr>
              <w:jc w:val="left"/>
              <w:rPr>
                <w:rFonts w:ascii="宋体" w:hAnsi="宋体" w:cs="宋体"/>
                <w:kern w:val="0"/>
                <w:szCs w:val="21"/>
              </w:rPr>
            </w:pPr>
          </w:p>
        </w:tc>
      </w:tr>
      <w:tr w:rsidR="00A320E6" w14:paraId="6C3888DC" w14:textId="77777777" w:rsidTr="008B03FA">
        <w:trPr>
          <w:trHeight w:val="312"/>
          <w:jc w:val="center"/>
        </w:trPr>
        <w:tc>
          <w:tcPr>
            <w:tcW w:w="0" w:type="auto"/>
            <w:vMerge/>
            <w:shd w:val="clear" w:color="auto" w:fill="auto"/>
            <w:vAlign w:val="center"/>
          </w:tcPr>
          <w:p w14:paraId="6938B390"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3F4D83D6"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BC7917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钢筋混凝土圆管涵跨径3-4米</w:t>
            </w:r>
          </w:p>
        </w:tc>
        <w:tc>
          <w:tcPr>
            <w:tcW w:w="4801" w:type="dxa"/>
            <w:gridSpan w:val="2"/>
            <w:vMerge/>
            <w:shd w:val="clear" w:color="auto" w:fill="auto"/>
            <w:vAlign w:val="center"/>
          </w:tcPr>
          <w:p w14:paraId="52256610" w14:textId="77777777" w:rsidR="00A320E6" w:rsidRDefault="00A320E6" w:rsidP="00320C3C">
            <w:pPr>
              <w:jc w:val="center"/>
              <w:rPr>
                <w:rFonts w:ascii="宋体" w:hAnsi="宋体" w:cs="宋体"/>
                <w:kern w:val="0"/>
                <w:szCs w:val="21"/>
              </w:rPr>
            </w:pPr>
          </w:p>
        </w:tc>
        <w:tc>
          <w:tcPr>
            <w:tcW w:w="1769" w:type="dxa"/>
            <w:vMerge/>
            <w:shd w:val="clear" w:color="auto" w:fill="auto"/>
            <w:vAlign w:val="center"/>
          </w:tcPr>
          <w:p w14:paraId="7FC9651A" w14:textId="77777777" w:rsidR="00A320E6" w:rsidRDefault="00A320E6" w:rsidP="00320C3C">
            <w:pPr>
              <w:jc w:val="left"/>
              <w:rPr>
                <w:rFonts w:ascii="宋体" w:hAnsi="宋体" w:cs="宋体"/>
                <w:kern w:val="0"/>
                <w:szCs w:val="21"/>
              </w:rPr>
            </w:pPr>
          </w:p>
        </w:tc>
      </w:tr>
      <w:tr w:rsidR="00A320E6" w14:paraId="78A87017" w14:textId="77777777" w:rsidTr="008B03FA">
        <w:trPr>
          <w:trHeight w:val="312"/>
          <w:jc w:val="center"/>
        </w:trPr>
        <w:tc>
          <w:tcPr>
            <w:tcW w:w="0" w:type="auto"/>
            <w:vAlign w:val="center"/>
          </w:tcPr>
          <w:p w14:paraId="4FE747D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9</w:t>
            </w:r>
          </w:p>
        </w:tc>
        <w:tc>
          <w:tcPr>
            <w:tcW w:w="0" w:type="auto"/>
            <w:vAlign w:val="center"/>
          </w:tcPr>
          <w:p w14:paraId="76BC274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台田石堰</w:t>
            </w:r>
          </w:p>
        </w:tc>
        <w:tc>
          <w:tcPr>
            <w:tcW w:w="1432" w:type="dxa"/>
            <w:shd w:val="clear" w:color="auto" w:fill="auto"/>
            <w:vAlign w:val="center"/>
          </w:tcPr>
          <w:p w14:paraId="2B3B814C" w14:textId="77777777" w:rsidR="00A320E6" w:rsidRDefault="00A320E6" w:rsidP="00320C3C">
            <w:pPr>
              <w:jc w:val="left"/>
              <w:rPr>
                <w:rFonts w:ascii="宋体" w:hAnsi="宋体" w:cs="宋体"/>
                <w:kern w:val="0"/>
                <w:szCs w:val="21"/>
              </w:rPr>
            </w:pPr>
          </w:p>
        </w:tc>
        <w:tc>
          <w:tcPr>
            <w:tcW w:w="4801" w:type="dxa"/>
            <w:gridSpan w:val="2"/>
            <w:shd w:val="clear" w:color="auto" w:fill="auto"/>
            <w:vAlign w:val="center"/>
          </w:tcPr>
          <w:p w14:paraId="24DC049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30元/㎡</w:t>
            </w:r>
          </w:p>
        </w:tc>
        <w:tc>
          <w:tcPr>
            <w:tcW w:w="1769" w:type="dxa"/>
            <w:vAlign w:val="center"/>
          </w:tcPr>
          <w:p w14:paraId="27A82537" w14:textId="77777777" w:rsidR="00A320E6" w:rsidRDefault="00A320E6" w:rsidP="00320C3C">
            <w:pPr>
              <w:jc w:val="left"/>
              <w:rPr>
                <w:rFonts w:ascii="宋体" w:hAnsi="宋体" w:cs="宋体"/>
                <w:kern w:val="0"/>
                <w:szCs w:val="21"/>
              </w:rPr>
            </w:pPr>
          </w:p>
        </w:tc>
      </w:tr>
      <w:tr w:rsidR="00A320E6" w14:paraId="2B19A1FD" w14:textId="77777777" w:rsidTr="008B03FA">
        <w:trPr>
          <w:trHeight w:val="312"/>
          <w:jc w:val="center"/>
        </w:trPr>
        <w:tc>
          <w:tcPr>
            <w:tcW w:w="0" w:type="auto"/>
            <w:vMerge w:val="restart"/>
            <w:vAlign w:val="center"/>
          </w:tcPr>
          <w:p w14:paraId="70E11CA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w:t>
            </w:r>
          </w:p>
        </w:tc>
        <w:tc>
          <w:tcPr>
            <w:tcW w:w="0" w:type="auto"/>
            <w:vMerge w:val="restart"/>
            <w:vAlign w:val="center"/>
          </w:tcPr>
          <w:p w14:paraId="071483D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水渠水池</w:t>
            </w:r>
          </w:p>
        </w:tc>
        <w:tc>
          <w:tcPr>
            <w:tcW w:w="1432" w:type="dxa"/>
            <w:shd w:val="clear" w:color="auto" w:fill="auto"/>
            <w:vAlign w:val="center"/>
          </w:tcPr>
          <w:p w14:paraId="391294D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土筑水渠、水池</w:t>
            </w:r>
          </w:p>
        </w:tc>
        <w:tc>
          <w:tcPr>
            <w:tcW w:w="4801" w:type="dxa"/>
            <w:gridSpan w:val="2"/>
            <w:vAlign w:val="center"/>
          </w:tcPr>
          <w:p w14:paraId="18E5C03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按挖方体积4元/m</w:t>
            </w:r>
            <w:r>
              <w:rPr>
                <w:rFonts w:ascii="宋体" w:hAnsi="宋体" w:cs="宋体" w:hint="eastAsia"/>
                <w:color w:val="000000"/>
                <w:kern w:val="0"/>
                <w:szCs w:val="21"/>
                <w:vertAlign w:val="superscript"/>
                <w:lang w:bidi="ar"/>
              </w:rPr>
              <w:t>3</w:t>
            </w:r>
            <w:r>
              <w:rPr>
                <w:rFonts w:ascii="宋体" w:hAnsi="宋体" w:cs="宋体" w:hint="eastAsia"/>
                <w:color w:val="000000"/>
                <w:kern w:val="0"/>
                <w:szCs w:val="21"/>
                <w:lang w:bidi="ar"/>
              </w:rPr>
              <w:t>，不包括毛渠</w:t>
            </w:r>
          </w:p>
        </w:tc>
        <w:tc>
          <w:tcPr>
            <w:tcW w:w="1769" w:type="dxa"/>
            <w:vMerge w:val="restart"/>
            <w:vAlign w:val="center"/>
          </w:tcPr>
          <w:p w14:paraId="410D022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1.不包括田间毛渠。2.土方另计。</w:t>
            </w:r>
          </w:p>
        </w:tc>
      </w:tr>
      <w:tr w:rsidR="00A320E6" w14:paraId="70567381" w14:textId="77777777" w:rsidTr="008B03FA">
        <w:trPr>
          <w:trHeight w:val="312"/>
          <w:jc w:val="center"/>
        </w:trPr>
        <w:tc>
          <w:tcPr>
            <w:tcW w:w="0" w:type="auto"/>
            <w:vMerge/>
            <w:shd w:val="clear" w:color="auto" w:fill="auto"/>
            <w:vAlign w:val="center"/>
          </w:tcPr>
          <w:p w14:paraId="11682361"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63220A1E"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BEAFE7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石砌水渠、水池</w:t>
            </w:r>
          </w:p>
        </w:tc>
        <w:tc>
          <w:tcPr>
            <w:tcW w:w="4801" w:type="dxa"/>
            <w:gridSpan w:val="2"/>
            <w:vMerge w:val="restart"/>
            <w:shd w:val="clear" w:color="auto" w:fill="auto"/>
            <w:vAlign w:val="center"/>
          </w:tcPr>
          <w:p w14:paraId="7131AFD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30元/m</w:t>
            </w:r>
            <w:r>
              <w:rPr>
                <w:rFonts w:ascii="宋体" w:hAnsi="宋体" w:cs="宋体" w:hint="eastAsia"/>
                <w:color w:val="000000"/>
                <w:kern w:val="0"/>
                <w:szCs w:val="21"/>
                <w:vertAlign w:val="superscript"/>
                <w:lang w:bidi="ar"/>
              </w:rPr>
              <w:t>3</w:t>
            </w:r>
          </w:p>
        </w:tc>
        <w:tc>
          <w:tcPr>
            <w:tcW w:w="1769" w:type="dxa"/>
            <w:vMerge/>
            <w:shd w:val="clear" w:color="auto" w:fill="auto"/>
            <w:vAlign w:val="center"/>
          </w:tcPr>
          <w:p w14:paraId="1A34A2CE" w14:textId="77777777" w:rsidR="00A320E6" w:rsidRDefault="00A320E6" w:rsidP="00320C3C">
            <w:pPr>
              <w:jc w:val="left"/>
              <w:rPr>
                <w:rFonts w:ascii="宋体" w:hAnsi="宋体" w:cs="宋体"/>
                <w:kern w:val="0"/>
                <w:szCs w:val="21"/>
              </w:rPr>
            </w:pPr>
          </w:p>
        </w:tc>
      </w:tr>
      <w:tr w:rsidR="00A320E6" w14:paraId="16DE59A0" w14:textId="77777777" w:rsidTr="008B03FA">
        <w:trPr>
          <w:trHeight w:val="312"/>
          <w:jc w:val="center"/>
        </w:trPr>
        <w:tc>
          <w:tcPr>
            <w:tcW w:w="0" w:type="auto"/>
            <w:vMerge/>
            <w:vAlign w:val="center"/>
          </w:tcPr>
          <w:p w14:paraId="3F99FE52" w14:textId="77777777" w:rsidR="00A320E6" w:rsidRDefault="00A320E6" w:rsidP="00320C3C">
            <w:pPr>
              <w:jc w:val="center"/>
              <w:rPr>
                <w:rFonts w:ascii="宋体" w:hAnsi="宋体" w:cs="宋体"/>
                <w:kern w:val="0"/>
                <w:szCs w:val="21"/>
              </w:rPr>
            </w:pPr>
          </w:p>
        </w:tc>
        <w:tc>
          <w:tcPr>
            <w:tcW w:w="0" w:type="auto"/>
            <w:vMerge/>
            <w:vAlign w:val="center"/>
          </w:tcPr>
          <w:p w14:paraId="11BE5D5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F0FAC5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砖砌水渠、水池</w:t>
            </w:r>
          </w:p>
        </w:tc>
        <w:tc>
          <w:tcPr>
            <w:tcW w:w="4801" w:type="dxa"/>
            <w:gridSpan w:val="2"/>
            <w:vMerge/>
            <w:shd w:val="clear" w:color="auto" w:fill="auto"/>
            <w:vAlign w:val="center"/>
          </w:tcPr>
          <w:p w14:paraId="27548338" w14:textId="77777777" w:rsidR="00A320E6" w:rsidRDefault="00A320E6" w:rsidP="00320C3C">
            <w:pPr>
              <w:jc w:val="center"/>
              <w:rPr>
                <w:rFonts w:ascii="宋体" w:hAnsi="宋体" w:cs="宋体"/>
                <w:kern w:val="0"/>
                <w:szCs w:val="21"/>
              </w:rPr>
            </w:pPr>
          </w:p>
        </w:tc>
        <w:tc>
          <w:tcPr>
            <w:tcW w:w="1769" w:type="dxa"/>
            <w:vMerge/>
            <w:vAlign w:val="center"/>
          </w:tcPr>
          <w:p w14:paraId="703AB27D" w14:textId="77777777" w:rsidR="00A320E6" w:rsidRDefault="00A320E6" w:rsidP="00320C3C">
            <w:pPr>
              <w:jc w:val="left"/>
              <w:rPr>
                <w:rFonts w:ascii="宋体" w:hAnsi="宋体" w:cs="宋体"/>
                <w:kern w:val="0"/>
                <w:szCs w:val="21"/>
              </w:rPr>
            </w:pPr>
          </w:p>
        </w:tc>
      </w:tr>
      <w:tr w:rsidR="00A320E6" w14:paraId="50F8D012" w14:textId="77777777" w:rsidTr="008B03FA">
        <w:trPr>
          <w:trHeight w:val="312"/>
          <w:jc w:val="center"/>
        </w:trPr>
        <w:tc>
          <w:tcPr>
            <w:tcW w:w="0" w:type="auto"/>
            <w:vMerge w:val="restart"/>
            <w:vAlign w:val="center"/>
          </w:tcPr>
          <w:p w14:paraId="6B211E7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11</w:t>
            </w:r>
          </w:p>
        </w:tc>
        <w:tc>
          <w:tcPr>
            <w:tcW w:w="0" w:type="auto"/>
            <w:vMerge w:val="restart"/>
            <w:vAlign w:val="center"/>
          </w:tcPr>
          <w:p w14:paraId="709AEF8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地面</w:t>
            </w:r>
          </w:p>
        </w:tc>
        <w:tc>
          <w:tcPr>
            <w:tcW w:w="1432" w:type="dxa"/>
            <w:shd w:val="clear" w:color="auto" w:fill="auto"/>
            <w:vAlign w:val="center"/>
          </w:tcPr>
          <w:p w14:paraId="02E3294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水泥地面</w:t>
            </w:r>
          </w:p>
        </w:tc>
        <w:tc>
          <w:tcPr>
            <w:tcW w:w="4801" w:type="dxa"/>
            <w:gridSpan w:val="2"/>
            <w:shd w:val="clear" w:color="auto" w:fill="auto"/>
            <w:vAlign w:val="center"/>
          </w:tcPr>
          <w:p w14:paraId="5FB2E3D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20元/㎡-30元/㎡</w:t>
            </w:r>
          </w:p>
        </w:tc>
        <w:tc>
          <w:tcPr>
            <w:tcW w:w="1769" w:type="dxa"/>
            <w:vMerge w:val="restart"/>
            <w:vAlign w:val="center"/>
          </w:tcPr>
          <w:p w14:paraId="6CDC0D5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1.仅指室外地面。2.旧料归原主。</w:t>
            </w:r>
          </w:p>
        </w:tc>
      </w:tr>
      <w:tr w:rsidR="00A320E6" w14:paraId="7BE2BA34" w14:textId="77777777" w:rsidTr="008B03FA">
        <w:trPr>
          <w:trHeight w:val="312"/>
          <w:jc w:val="center"/>
        </w:trPr>
        <w:tc>
          <w:tcPr>
            <w:tcW w:w="0" w:type="auto"/>
            <w:vMerge/>
            <w:shd w:val="clear" w:color="auto" w:fill="auto"/>
            <w:vAlign w:val="center"/>
          </w:tcPr>
          <w:p w14:paraId="745319FA"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33188B0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F9B35A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花砖地面</w:t>
            </w:r>
          </w:p>
        </w:tc>
        <w:tc>
          <w:tcPr>
            <w:tcW w:w="4801" w:type="dxa"/>
            <w:gridSpan w:val="2"/>
            <w:shd w:val="clear" w:color="auto" w:fill="auto"/>
            <w:vAlign w:val="center"/>
          </w:tcPr>
          <w:p w14:paraId="10674AC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w:t>
            </w:r>
          </w:p>
        </w:tc>
        <w:tc>
          <w:tcPr>
            <w:tcW w:w="1769" w:type="dxa"/>
            <w:vMerge/>
            <w:shd w:val="clear" w:color="auto" w:fill="auto"/>
            <w:vAlign w:val="center"/>
          </w:tcPr>
          <w:p w14:paraId="65AB68DC" w14:textId="77777777" w:rsidR="00A320E6" w:rsidRDefault="00A320E6" w:rsidP="00320C3C">
            <w:pPr>
              <w:jc w:val="left"/>
              <w:rPr>
                <w:rFonts w:ascii="宋体" w:hAnsi="宋体" w:cs="宋体"/>
                <w:kern w:val="0"/>
                <w:szCs w:val="21"/>
              </w:rPr>
            </w:pPr>
          </w:p>
        </w:tc>
      </w:tr>
      <w:tr w:rsidR="00A320E6" w14:paraId="39782A78" w14:textId="77777777" w:rsidTr="008B03FA">
        <w:trPr>
          <w:trHeight w:val="312"/>
          <w:jc w:val="center"/>
        </w:trPr>
        <w:tc>
          <w:tcPr>
            <w:tcW w:w="0" w:type="auto"/>
            <w:vMerge/>
            <w:vAlign w:val="center"/>
          </w:tcPr>
          <w:p w14:paraId="440E4783" w14:textId="77777777" w:rsidR="00A320E6" w:rsidRDefault="00A320E6" w:rsidP="00320C3C">
            <w:pPr>
              <w:jc w:val="center"/>
              <w:rPr>
                <w:rFonts w:ascii="宋体" w:hAnsi="宋体" w:cs="宋体"/>
                <w:kern w:val="0"/>
                <w:szCs w:val="21"/>
              </w:rPr>
            </w:pPr>
          </w:p>
        </w:tc>
        <w:tc>
          <w:tcPr>
            <w:tcW w:w="0" w:type="auto"/>
            <w:vMerge/>
            <w:vAlign w:val="center"/>
          </w:tcPr>
          <w:p w14:paraId="72DA58B5"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D8A1C1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水泥路面</w:t>
            </w:r>
          </w:p>
        </w:tc>
        <w:tc>
          <w:tcPr>
            <w:tcW w:w="4801" w:type="dxa"/>
            <w:gridSpan w:val="2"/>
            <w:shd w:val="clear" w:color="auto" w:fill="auto"/>
            <w:vAlign w:val="center"/>
          </w:tcPr>
          <w:p w14:paraId="7663FCB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水泥路面、沥青路面均为60元/㎡；碎石路面15元/㎡</w:t>
            </w:r>
          </w:p>
        </w:tc>
        <w:tc>
          <w:tcPr>
            <w:tcW w:w="1769" w:type="dxa"/>
            <w:vMerge/>
            <w:vAlign w:val="center"/>
          </w:tcPr>
          <w:p w14:paraId="74E2BCF6" w14:textId="77777777" w:rsidR="00A320E6" w:rsidRDefault="00A320E6" w:rsidP="00320C3C">
            <w:pPr>
              <w:jc w:val="left"/>
              <w:rPr>
                <w:rFonts w:ascii="宋体" w:hAnsi="宋体" w:cs="宋体"/>
                <w:kern w:val="0"/>
                <w:szCs w:val="21"/>
              </w:rPr>
            </w:pPr>
          </w:p>
        </w:tc>
      </w:tr>
      <w:tr w:rsidR="00A320E6" w14:paraId="688EFC43" w14:textId="77777777" w:rsidTr="008B03FA">
        <w:trPr>
          <w:trHeight w:val="312"/>
          <w:jc w:val="center"/>
        </w:trPr>
        <w:tc>
          <w:tcPr>
            <w:tcW w:w="0" w:type="auto"/>
            <w:vMerge w:val="restart"/>
            <w:vAlign w:val="center"/>
          </w:tcPr>
          <w:p w14:paraId="5202163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12</w:t>
            </w:r>
          </w:p>
        </w:tc>
        <w:tc>
          <w:tcPr>
            <w:tcW w:w="0" w:type="auto"/>
            <w:vMerge w:val="restart"/>
            <w:vAlign w:val="center"/>
          </w:tcPr>
          <w:p w14:paraId="351BD11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水井</w:t>
            </w:r>
          </w:p>
        </w:tc>
        <w:tc>
          <w:tcPr>
            <w:tcW w:w="1432" w:type="dxa"/>
            <w:shd w:val="clear" w:color="auto" w:fill="auto"/>
            <w:vAlign w:val="center"/>
          </w:tcPr>
          <w:p w14:paraId="073047C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手压井</w:t>
            </w:r>
          </w:p>
        </w:tc>
        <w:tc>
          <w:tcPr>
            <w:tcW w:w="4801" w:type="dxa"/>
            <w:gridSpan w:val="2"/>
            <w:shd w:val="clear" w:color="auto" w:fill="auto"/>
            <w:vAlign w:val="center"/>
          </w:tcPr>
          <w:p w14:paraId="623E658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80元/眼</w:t>
            </w:r>
          </w:p>
        </w:tc>
        <w:tc>
          <w:tcPr>
            <w:tcW w:w="1769" w:type="dxa"/>
            <w:vMerge w:val="restart"/>
            <w:vAlign w:val="center"/>
          </w:tcPr>
          <w:p w14:paraId="0EC9A36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水井补偿包括开凿工程、用料及用工等费用。</w:t>
            </w:r>
          </w:p>
        </w:tc>
      </w:tr>
      <w:tr w:rsidR="00A320E6" w14:paraId="17636E52" w14:textId="77777777" w:rsidTr="008B03FA">
        <w:trPr>
          <w:trHeight w:val="312"/>
          <w:jc w:val="center"/>
        </w:trPr>
        <w:tc>
          <w:tcPr>
            <w:tcW w:w="0" w:type="auto"/>
            <w:vMerge/>
            <w:vAlign w:val="center"/>
          </w:tcPr>
          <w:p w14:paraId="50707F9D" w14:textId="77777777" w:rsidR="00A320E6" w:rsidRDefault="00A320E6" w:rsidP="00320C3C">
            <w:pPr>
              <w:jc w:val="center"/>
              <w:rPr>
                <w:rFonts w:ascii="宋体" w:hAnsi="宋体" w:cs="宋体"/>
                <w:kern w:val="0"/>
                <w:szCs w:val="21"/>
              </w:rPr>
            </w:pPr>
          </w:p>
        </w:tc>
        <w:tc>
          <w:tcPr>
            <w:tcW w:w="0" w:type="auto"/>
            <w:vMerge/>
            <w:vAlign w:val="center"/>
          </w:tcPr>
          <w:p w14:paraId="06DC8BBF"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5E9CC7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土井：直径1.2m</w:t>
            </w:r>
          </w:p>
        </w:tc>
        <w:tc>
          <w:tcPr>
            <w:tcW w:w="4801" w:type="dxa"/>
            <w:gridSpan w:val="2"/>
            <w:shd w:val="clear" w:color="auto" w:fill="auto"/>
            <w:vAlign w:val="center"/>
          </w:tcPr>
          <w:p w14:paraId="0555E64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80元/m</w:t>
            </w:r>
          </w:p>
        </w:tc>
        <w:tc>
          <w:tcPr>
            <w:tcW w:w="1769" w:type="dxa"/>
            <w:vMerge/>
            <w:vAlign w:val="center"/>
          </w:tcPr>
          <w:p w14:paraId="4B6FB444" w14:textId="77777777" w:rsidR="00A320E6" w:rsidRDefault="00A320E6" w:rsidP="00320C3C">
            <w:pPr>
              <w:jc w:val="left"/>
              <w:rPr>
                <w:rFonts w:ascii="宋体" w:hAnsi="宋体" w:cs="宋体"/>
                <w:kern w:val="0"/>
                <w:szCs w:val="21"/>
              </w:rPr>
            </w:pPr>
          </w:p>
        </w:tc>
      </w:tr>
      <w:tr w:rsidR="00A320E6" w14:paraId="010BBF8C" w14:textId="77777777" w:rsidTr="008B03FA">
        <w:trPr>
          <w:trHeight w:val="312"/>
          <w:jc w:val="center"/>
        </w:trPr>
        <w:tc>
          <w:tcPr>
            <w:tcW w:w="0" w:type="auto"/>
            <w:vMerge/>
            <w:vAlign w:val="center"/>
          </w:tcPr>
          <w:p w14:paraId="5C8BFC8E" w14:textId="77777777" w:rsidR="00A320E6" w:rsidRDefault="00A320E6" w:rsidP="00320C3C">
            <w:pPr>
              <w:jc w:val="center"/>
              <w:rPr>
                <w:rFonts w:ascii="宋体" w:hAnsi="宋体" w:cs="宋体"/>
                <w:kern w:val="0"/>
                <w:szCs w:val="21"/>
              </w:rPr>
            </w:pPr>
          </w:p>
        </w:tc>
        <w:tc>
          <w:tcPr>
            <w:tcW w:w="0" w:type="auto"/>
            <w:vMerge/>
            <w:vAlign w:val="center"/>
          </w:tcPr>
          <w:p w14:paraId="0164B95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0270BB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砖井（包括乱石井）：</w:t>
            </w:r>
          </w:p>
        </w:tc>
        <w:tc>
          <w:tcPr>
            <w:tcW w:w="4801" w:type="dxa"/>
            <w:gridSpan w:val="2"/>
            <w:vMerge w:val="restart"/>
            <w:shd w:val="clear" w:color="auto" w:fill="auto"/>
            <w:vAlign w:val="center"/>
          </w:tcPr>
          <w:p w14:paraId="44F8F51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正在使用2300元/眼；枯井500元/眼</w:t>
            </w:r>
          </w:p>
        </w:tc>
        <w:tc>
          <w:tcPr>
            <w:tcW w:w="1769" w:type="dxa"/>
            <w:vMerge/>
            <w:vAlign w:val="center"/>
          </w:tcPr>
          <w:p w14:paraId="1DDEA279" w14:textId="77777777" w:rsidR="00A320E6" w:rsidRDefault="00A320E6" w:rsidP="00320C3C">
            <w:pPr>
              <w:jc w:val="left"/>
              <w:rPr>
                <w:rFonts w:ascii="宋体" w:hAnsi="宋体" w:cs="宋体"/>
                <w:kern w:val="0"/>
                <w:szCs w:val="21"/>
              </w:rPr>
            </w:pPr>
          </w:p>
        </w:tc>
      </w:tr>
      <w:tr w:rsidR="00A320E6" w14:paraId="3435AA51" w14:textId="77777777" w:rsidTr="008B03FA">
        <w:trPr>
          <w:trHeight w:val="312"/>
          <w:jc w:val="center"/>
        </w:trPr>
        <w:tc>
          <w:tcPr>
            <w:tcW w:w="0" w:type="auto"/>
            <w:vMerge/>
            <w:shd w:val="clear" w:color="auto" w:fill="auto"/>
            <w:vAlign w:val="center"/>
          </w:tcPr>
          <w:p w14:paraId="3AC00B31"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747A2C8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E0AC7D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深5-10m直径1.5m;深10-20m直径2.5m</w:t>
            </w:r>
          </w:p>
        </w:tc>
        <w:tc>
          <w:tcPr>
            <w:tcW w:w="4801" w:type="dxa"/>
            <w:gridSpan w:val="2"/>
            <w:vMerge/>
            <w:shd w:val="clear" w:color="auto" w:fill="auto"/>
            <w:vAlign w:val="center"/>
          </w:tcPr>
          <w:p w14:paraId="4EA0DDDE" w14:textId="77777777" w:rsidR="00A320E6" w:rsidRDefault="00A320E6" w:rsidP="00320C3C">
            <w:pPr>
              <w:jc w:val="center"/>
              <w:rPr>
                <w:rFonts w:ascii="宋体" w:hAnsi="宋体" w:cs="宋体"/>
                <w:kern w:val="0"/>
                <w:szCs w:val="21"/>
              </w:rPr>
            </w:pPr>
          </w:p>
        </w:tc>
        <w:tc>
          <w:tcPr>
            <w:tcW w:w="1769" w:type="dxa"/>
            <w:vMerge/>
            <w:shd w:val="clear" w:color="auto" w:fill="auto"/>
            <w:vAlign w:val="center"/>
          </w:tcPr>
          <w:p w14:paraId="0C6C5CED" w14:textId="77777777" w:rsidR="00A320E6" w:rsidRDefault="00A320E6" w:rsidP="00320C3C">
            <w:pPr>
              <w:jc w:val="left"/>
              <w:rPr>
                <w:rFonts w:ascii="宋体" w:hAnsi="宋体" w:cs="宋体"/>
                <w:kern w:val="0"/>
                <w:szCs w:val="21"/>
              </w:rPr>
            </w:pPr>
          </w:p>
        </w:tc>
      </w:tr>
      <w:tr w:rsidR="00A320E6" w14:paraId="3EA1FF81" w14:textId="77777777" w:rsidTr="008B03FA">
        <w:trPr>
          <w:trHeight w:val="312"/>
          <w:jc w:val="center"/>
        </w:trPr>
        <w:tc>
          <w:tcPr>
            <w:tcW w:w="0" w:type="auto"/>
            <w:vMerge/>
            <w:vAlign w:val="center"/>
          </w:tcPr>
          <w:p w14:paraId="09D3C470" w14:textId="77777777" w:rsidR="00A320E6" w:rsidRDefault="00A320E6" w:rsidP="00320C3C">
            <w:pPr>
              <w:jc w:val="center"/>
              <w:rPr>
                <w:rFonts w:ascii="宋体" w:hAnsi="宋体" w:cs="宋体"/>
                <w:kern w:val="0"/>
                <w:szCs w:val="21"/>
              </w:rPr>
            </w:pPr>
          </w:p>
        </w:tc>
        <w:tc>
          <w:tcPr>
            <w:tcW w:w="0" w:type="auto"/>
            <w:vMerge/>
            <w:vAlign w:val="center"/>
          </w:tcPr>
          <w:p w14:paraId="1C23BC7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20177B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下管井</w:t>
            </w:r>
          </w:p>
        </w:tc>
        <w:tc>
          <w:tcPr>
            <w:tcW w:w="4801" w:type="dxa"/>
            <w:gridSpan w:val="2"/>
            <w:shd w:val="clear" w:color="auto" w:fill="auto"/>
            <w:vAlign w:val="center"/>
          </w:tcPr>
          <w:p w14:paraId="2D5AB5E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标准Ø2030元/m，Ø3040元/m，Ø4050元/m，Ø5060元/m，Ø6090元/m;不足3.5米，按10元/m执行</w:t>
            </w:r>
          </w:p>
        </w:tc>
        <w:tc>
          <w:tcPr>
            <w:tcW w:w="1769" w:type="dxa"/>
            <w:vMerge/>
            <w:vAlign w:val="center"/>
          </w:tcPr>
          <w:p w14:paraId="0C01DDAD" w14:textId="77777777" w:rsidR="00A320E6" w:rsidRDefault="00A320E6" w:rsidP="00320C3C">
            <w:pPr>
              <w:jc w:val="left"/>
              <w:rPr>
                <w:rFonts w:ascii="宋体" w:hAnsi="宋体" w:cs="宋体"/>
                <w:kern w:val="0"/>
                <w:szCs w:val="21"/>
              </w:rPr>
            </w:pPr>
          </w:p>
        </w:tc>
      </w:tr>
      <w:tr w:rsidR="00A320E6" w14:paraId="03536F13" w14:textId="77777777" w:rsidTr="008B03FA">
        <w:trPr>
          <w:trHeight w:val="312"/>
          <w:jc w:val="center"/>
        </w:trPr>
        <w:tc>
          <w:tcPr>
            <w:tcW w:w="0" w:type="auto"/>
            <w:vMerge/>
            <w:vAlign w:val="center"/>
          </w:tcPr>
          <w:p w14:paraId="67D3C08B" w14:textId="77777777" w:rsidR="00A320E6" w:rsidRDefault="00A320E6" w:rsidP="00320C3C">
            <w:pPr>
              <w:jc w:val="center"/>
              <w:rPr>
                <w:rFonts w:ascii="宋体" w:hAnsi="宋体" w:cs="宋体"/>
                <w:kern w:val="0"/>
                <w:szCs w:val="21"/>
              </w:rPr>
            </w:pPr>
          </w:p>
        </w:tc>
        <w:tc>
          <w:tcPr>
            <w:tcW w:w="0" w:type="auto"/>
            <w:vMerge/>
            <w:vAlign w:val="center"/>
          </w:tcPr>
          <w:p w14:paraId="418E75AE"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1455E3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机井</w:t>
            </w:r>
          </w:p>
        </w:tc>
        <w:tc>
          <w:tcPr>
            <w:tcW w:w="4801" w:type="dxa"/>
            <w:gridSpan w:val="2"/>
            <w:shd w:val="clear" w:color="auto" w:fill="auto"/>
            <w:vAlign w:val="center"/>
          </w:tcPr>
          <w:p w14:paraId="2D3D35A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管内径40cm（含）以上，深度20米以上150元/m；枯井500元/眼</w:t>
            </w:r>
          </w:p>
        </w:tc>
        <w:tc>
          <w:tcPr>
            <w:tcW w:w="1769" w:type="dxa"/>
            <w:vMerge/>
            <w:vAlign w:val="center"/>
          </w:tcPr>
          <w:p w14:paraId="20414727" w14:textId="77777777" w:rsidR="00A320E6" w:rsidRDefault="00A320E6" w:rsidP="00320C3C">
            <w:pPr>
              <w:jc w:val="left"/>
              <w:rPr>
                <w:rFonts w:ascii="宋体" w:hAnsi="宋体" w:cs="宋体"/>
                <w:kern w:val="0"/>
                <w:szCs w:val="21"/>
              </w:rPr>
            </w:pPr>
          </w:p>
        </w:tc>
      </w:tr>
      <w:tr w:rsidR="00A320E6" w14:paraId="66066F09" w14:textId="77777777" w:rsidTr="008B03FA">
        <w:trPr>
          <w:trHeight w:val="312"/>
          <w:jc w:val="center"/>
        </w:trPr>
        <w:tc>
          <w:tcPr>
            <w:tcW w:w="0" w:type="auto"/>
            <w:vMerge w:val="restart"/>
            <w:vAlign w:val="center"/>
          </w:tcPr>
          <w:p w14:paraId="32D8DF7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13</w:t>
            </w:r>
          </w:p>
        </w:tc>
        <w:tc>
          <w:tcPr>
            <w:tcW w:w="0" w:type="auto"/>
            <w:vMerge w:val="restart"/>
            <w:vAlign w:val="center"/>
          </w:tcPr>
          <w:p w14:paraId="45013DC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淡水养殖</w:t>
            </w:r>
          </w:p>
        </w:tc>
        <w:tc>
          <w:tcPr>
            <w:tcW w:w="1432" w:type="dxa"/>
            <w:shd w:val="clear" w:color="auto" w:fill="auto"/>
            <w:vAlign w:val="center"/>
          </w:tcPr>
          <w:p w14:paraId="5BAC0DE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鱼塘</w:t>
            </w:r>
          </w:p>
        </w:tc>
        <w:tc>
          <w:tcPr>
            <w:tcW w:w="4801" w:type="dxa"/>
            <w:gridSpan w:val="2"/>
            <w:shd w:val="clear" w:color="auto" w:fill="auto"/>
            <w:vAlign w:val="center"/>
          </w:tcPr>
          <w:p w14:paraId="729F28FE" w14:textId="77777777" w:rsidR="00A320E6" w:rsidRDefault="00000000" w:rsidP="00320C3C">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4800元/亩</w:t>
            </w:r>
          </w:p>
        </w:tc>
        <w:tc>
          <w:tcPr>
            <w:tcW w:w="1769" w:type="dxa"/>
            <w:vMerge w:val="restart"/>
            <w:vAlign w:val="center"/>
          </w:tcPr>
          <w:p w14:paraId="5EF487B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含土石方及损失费，鱼（藕）归原主。</w:t>
            </w:r>
          </w:p>
        </w:tc>
      </w:tr>
      <w:tr w:rsidR="00A320E6" w14:paraId="336BDDCC" w14:textId="77777777" w:rsidTr="008B03FA">
        <w:trPr>
          <w:trHeight w:val="312"/>
          <w:jc w:val="center"/>
        </w:trPr>
        <w:tc>
          <w:tcPr>
            <w:tcW w:w="0" w:type="auto"/>
            <w:vMerge/>
            <w:vAlign w:val="center"/>
          </w:tcPr>
          <w:p w14:paraId="1FDE8F07" w14:textId="77777777" w:rsidR="00A320E6" w:rsidRDefault="00A320E6" w:rsidP="00320C3C">
            <w:pPr>
              <w:jc w:val="center"/>
              <w:rPr>
                <w:rFonts w:ascii="宋体" w:hAnsi="宋体" w:cs="宋体"/>
                <w:kern w:val="0"/>
                <w:szCs w:val="21"/>
              </w:rPr>
            </w:pPr>
          </w:p>
        </w:tc>
        <w:tc>
          <w:tcPr>
            <w:tcW w:w="0" w:type="auto"/>
            <w:vMerge/>
            <w:vAlign w:val="center"/>
          </w:tcPr>
          <w:p w14:paraId="3821C27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22DBDD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藕塘</w:t>
            </w:r>
          </w:p>
        </w:tc>
        <w:tc>
          <w:tcPr>
            <w:tcW w:w="4801" w:type="dxa"/>
            <w:gridSpan w:val="2"/>
            <w:shd w:val="clear" w:color="auto" w:fill="auto"/>
            <w:vAlign w:val="center"/>
          </w:tcPr>
          <w:p w14:paraId="2FD90247" w14:textId="77777777" w:rsidR="00A320E6" w:rsidRDefault="00000000" w:rsidP="00320C3C">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4800元/亩</w:t>
            </w:r>
          </w:p>
        </w:tc>
        <w:tc>
          <w:tcPr>
            <w:tcW w:w="1769" w:type="dxa"/>
            <w:vMerge/>
            <w:vAlign w:val="center"/>
          </w:tcPr>
          <w:p w14:paraId="33392C79" w14:textId="77777777" w:rsidR="00A320E6" w:rsidRDefault="00A320E6" w:rsidP="00320C3C">
            <w:pPr>
              <w:jc w:val="left"/>
              <w:textAlignment w:val="center"/>
              <w:rPr>
                <w:rFonts w:ascii="宋体" w:hAnsi="宋体" w:cs="宋体"/>
                <w:kern w:val="0"/>
                <w:szCs w:val="21"/>
              </w:rPr>
            </w:pPr>
          </w:p>
        </w:tc>
      </w:tr>
      <w:tr w:rsidR="00A320E6" w14:paraId="628F8592" w14:textId="77777777" w:rsidTr="008B03FA">
        <w:trPr>
          <w:trHeight w:val="312"/>
          <w:jc w:val="center"/>
        </w:trPr>
        <w:tc>
          <w:tcPr>
            <w:tcW w:w="0" w:type="auto"/>
            <w:vMerge w:val="restart"/>
            <w:vAlign w:val="center"/>
          </w:tcPr>
          <w:p w14:paraId="4C28ABA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14</w:t>
            </w:r>
          </w:p>
        </w:tc>
        <w:tc>
          <w:tcPr>
            <w:tcW w:w="0" w:type="auto"/>
            <w:vMerge w:val="restart"/>
            <w:vAlign w:val="center"/>
          </w:tcPr>
          <w:p w14:paraId="4F4E2FF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电力通讯设施</w:t>
            </w:r>
          </w:p>
        </w:tc>
        <w:tc>
          <w:tcPr>
            <w:tcW w:w="1432" w:type="dxa"/>
            <w:shd w:val="clear" w:color="auto" w:fill="auto"/>
            <w:vAlign w:val="center"/>
          </w:tcPr>
          <w:p w14:paraId="0593BC3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低压线路</w:t>
            </w:r>
          </w:p>
        </w:tc>
        <w:tc>
          <w:tcPr>
            <w:tcW w:w="4801" w:type="dxa"/>
            <w:gridSpan w:val="2"/>
            <w:shd w:val="clear" w:color="auto" w:fill="auto"/>
            <w:vAlign w:val="center"/>
          </w:tcPr>
          <w:p w14:paraId="0FA8C33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900元/根</w:t>
            </w:r>
          </w:p>
        </w:tc>
        <w:tc>
          <w:tcPr>
            <w:tcW w:w="1769" w:type="dxa"/>
            <w:vMerge w:val="restart"/>
            <w:vAlign w:val="center"/>
          </w:tcPr>
          <w:p w14:paraId="58557C5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无线、废弃线杆300元/根。包括电线等材料、损失及拆建工费。</w:t>
            </w:r>
          </w:p>
        </w:tc>
      </w:tr>
      <w:tr w:rsidR="00A320E6" w14:paraId="231F7022" w14:textId="77777777" w:rsidTr="008B03FA">
        <w:trPr>
          <w:trHeight w:val="312"/>
          <w:jc w:val="center"/>
        </w:trPr>
        <w:tc>
          <w:tcPr>
            <w:tcW w:w="0" w:type="auto"/>
            <w:vMerge/>
            <w:shd w:val="clear" w:color="auto" w:fill="auto"/>
            <w:vAlign w:val="center"/>
          </w:tcPr>
          <w:p w14:paraId="370410D3"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32063FE0"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4CD4A5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通讯广播线路</w:t>
            </w:r>
          </w:p>
        </w:tc>
        <w:tc>
          <w:tcPr>
            <w:tcW w:w="4801" w:type="dxa"/>
            <w:gridSpan w:val="2"/>
            <w:shd w:val="clear" w:color="auto" w:fill="auto"/>
            <w:vAlign w:val="center"/>
          </w:tcPr>
          <w:p w14:paraId="42A8EC6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900元/根</w:t>
            </w:r>
          </w:p>
        </w:tc>
        <w:tc>
          <w:tcPr>
            <w:tcW w:w="1769" w:type="dxa"/>
            <w:vMerge/>
            <w:shd w:val="clear" w:color="auto" w:fill="auto"/>
            <w:vAlign w:val="center"/>
          </w:tcPr>
          <w:p w14:paraId="65810EBE" w14:textId="77777777" w:rsidR="00A320E6" w:rsidRDefault="00A320E6" w:rsidP="00320C3C">
            <w:pPr>
              <w:jc w:val="left"/>
              <w:rPr>
                <w:rFonts w:ascii="宋体" w:hAnsi="宋体" w:cs="宋体"/>
                <w:kern w:val="0"/>
                <w:szCs w:val="21"/>
              </w:rPr>
            </w:pPr>
          </w:p>
        </w:tc>
      </w:tr>
      <w:tr w:rsidR="00A320E6" w14:paraId="470C0EB3" w14:textId="77777777" w:rsidTr="008B03FA">
        <w:trPr>
          <w:trHeight w:val="312"/>
          <w:jc w:val="center"/>
        </w:trPr>
        <w:tc>
          <w:tcPr>
            <w:tcW w:w="0" w:type="auto"/>
            <w:vMerge/>
            <w:vAlign w:val="center"/>
          </w:tcPr>
          <w:p w14:paraId="081D8B6B" w14:textId="77777777" w:rsidR="00A320E6" w:rsidRDefault="00A320E6" w:rsidP="00320C3C">
            <w:pPr>
              <w:jc w:val="center"/>
              <w:rPr>
                <w:rFonts w:ascii="宋体" w:hAnsi="宋体" w:cs="宋体"/>
                <w:kern w:val="0"/>
                <w:szCs w:val="21"/>
              </w:rPr>
            </w:pPr>
          </w:p>
        </w:tc>
        <w:tc>
          <w:tcPr>
            <w:tcW w:w="0" w:type="auto"/>
            <w:vMerge/>
            <w:vAlign w:val="center"/>
          </w:tcPr>
          <w:p w14:paraId="707A2AC9"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9C8539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角钢塔</w:t>
            </w:r>
          </w:p>
        </w:tc>
        <w:tc>
          <w:tcPr>
            <w:tcW w:w="4801" w:type="dxa"/>
            <w:gridSpan w:val="2"/>
            <w:shd w:val="clear" w:color="auto" w:fill="auto"/>
            <w:vAlign w:val="center"/>
          </w:tcPr>
          <w:p w14:paraId="353B70F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2.5-3万元/座</w:t>
            </w:r>
          </w:p>
        </w:tc>
        <w:tc>
          <w:tcPr>
            <w:tcW w:w="1769" w:type="dxa"/>
            <w:vMerge w:val="restart"/>
            <w:vAlign w:val="center"/>
          </w:tcPr>
          <w:p w14:paraId="446A8F6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21FC2CC8" w14:textId="77777777" w:rsidTr="008B03FA">
        <w:trPr>
          <w:trHeight w:val="312"/>
          <w:jc w:val="center"/>
        </w:trPr>
        <w:tc>
          <w:tcPr>
            <w:tcW w:w="0" w:type="auto"/>
            <w:vMerge/>
            <w:shd w:val="clear" w:color="auto" w:fill="auto"/>
            <w:vAlign w:val="center"/>
          </w:tcPr>
          <w:p w14:paraId="349CD048"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7EEF192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5A57D9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单管塔</w:t>
            </w:r>
          </w:p>
        </w:tc>
        <w:tc>
          <w:tcPr>
            <w:tcW w:w="4801" w:type="dxa"/>
            <w:gridSpan w:val="2"/>
            <w:shd w:val="clear" w:color="auto" w:fill="auto"/>
            <w:vAlign w:val="center"/>
          </w:tcPr>
          <w:p w14:paraId="28D08E3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2万元/座</w:t>
            </w:r>
          </w:p>
        </w:tc>
        <w:tc>
          <w:tcPr>
            <w:tcW w:w="1769" w:type="dxa"/>
            <w:vMerge/>
            <w:shd w:val="clear" w:color="auto" w:fill="auto"/>
            <w:vAlign w:val="center"/>
          </w:tcPr>
          <w:p w14:paraId="63ED4EFD" w14:textId="77777777" w:rsidR="00A320E6" w:rsidRDefault="00A320E6" w:rsidP="00320C3C">
            <w:pPr>
              <w:jc w:val="left"/>
              <w:rPr>
                <w:rFonts w:ascii="宋体" w:hAnsi="宋体" w:cs="宋体"/>
                <w:kern w:val="0"/>
                <w:szCs w:val="21"/>
              </w:rPr>
            </w:pPr>
          </w:p>
        </w:tc>
      </w:tr>
      <w:tr w:rsidR="00A320E6" w14:paraId="51B7132C" w14:textId="77777777" w:rsidTr="008B03FA">
        <w:trPr>
          <w:trHeight w:val="312"/>
          <w:jc w:val="center"/>
        </w:trPr>
        <w:tc>
          <w:tcPr>
            <w:tcW w:w="0" w:type="auto"/>
            <w:vMerge/>
            <w:vAlign w:val="center"/>
          </w:tcPr>
          <w:p w14:paraId="624ECB92" w14:textId="77777777" w:rsidR="00A320E6" w:rsidRDefault="00A320E6" w:rsidP="00320C3C">
            <w:pPr>
              <w:jc w:val="center"/>
              <w:rPr>
                <w:rFonts w:ascii="宋体" w:hAnsi="宋体" w:cs="宋体"/>
                <w:kern w:val="0"/>
                <w:szCs w:val="21"/>
              </w:rPr>
            </w:pPr>
          </w:p>
        </w:tc>
        <w:tc>
          <w:tcPr>
            <w:tcW w:w="0" w:type="auto"/>
            <w:vMerge/>
            <w:vAlign w:val="center"/>
          </w:tcPr>
          <w:p w14:paraId="03E494D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732F4FD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变压器（构架）</w:t>
            </w:r>
          </w:p>
        </w:tc>
        <w:tc>
          <w:tcPr>
            <w:tcW w:w="4801" w:type="dxa"/>
            <w:gridSpan w:val="2"/>
            <w:vAlign w:val="center"/>
          </w:tcPr>
          <w:p w14:paraId="7917442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5000元/台（配电室、箱变需第三方评估执行）</w:t>
            </w:r>
          </w:p>
        </w:tc>
        <w:tc>
          <w:tcPr>
            <w:tcW w:w="1769" w:type="dxa"/>
            <w:vMerge w:val="restart"/>
            <w:vAlign w:val="center"/>
          </w:tcPr>
          <w:p w14:paraId="0C9F2E1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包括电线等材料、损失及拆建工费。</w:t>
            </w:r>
          </w:p>
        </w:tc>
      </w:tr>
      <w:tr w:rsidR="00A320E6" w14:paraId="7347C29C" w14:textId="77777777" w:rsidTr="008B03FA">
        <w:trPr>
          <w:trHeight w:val="312"/>
          <w:jc w:val="center"/>
        </w:trPr>
        <w:tc>
          <w:tcPr>
            <w:tcW w:w="0" w:type="auto"/>
            <w:vMerge/>
            <w:vAlign w:val="center"/>
          </w:tcPr>
          <w:p w14:paraId="77676662" w14:textId="77777777" w:rsidR="00A320E6" w:rsidRDefault="00A320E6" w:rsidP="00320C3C">
            <w:pPr>
              <w:jc w:val="center"/>
              <w:rPr>
                <w:rFonts w:ascii="宋体" w:hAnsi="宋体" w:cs="宋体"/>
                <w:kern w:val="0"/>
                <w:szCs w:val="21"/>
              </w:rPr>
            </w:pPr>
          </w:p>
        </w:tc>
        <w:tc>
          <w:tcPr>
            <w:tcW w:w="0" w:type="auto"/>
            <w:vMerge/>
            <w:vAlign w:val="center"/>
          </w:tcPr>
          <w:p w14:paraId="54CFB0E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EC2EFD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电缆</w:t>
            </w:r>
          </w:p>
        </w:tc>
        <w:tc>
          <w:tcPr>
            <w:tcW w:w="4801" w:type="dxa"/>
            <w:gridSpan w:val="2"/>
            <w:vAlign w:val="center"/>
          </w:tcPr>
          <w:p w14:paraId="5777644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5元/米</w:t>
            </w:r>
          </w:p>
        </w:tc>
        <w:tc>
          <w:tcPr>
            <w:tcW w:w="1769" w:type="dxa"/>
            <w:vMerge/>
            <w:vAlign w:val="center"/>
          </w:tcPr>
          <w:p w14:paraId="1A4F67A4" w14:textId="77777777" w:rsidR="00A320E6" w:rsidRDefault="00A320E6" w:rsidP="00320C3C">
            <w:pPr>
              <w:jc w:val="left"/>
              <w:rPr>
                <w:rFonts w:ascii="宋体" w:hAnsi="宋体" w:cs="宋体"/>
                <w:kern w:val="0"/>
                <w:szCs w:val="21"/>
              </w:rPr>
            </w:pPr>
          </w:p>
        </w:tc>
      </w:tr>
      <w:tr w:rsidR="00A320E6" w14:paraId="1F4F851E" w14:textId="77777777" w:rsidTr="008B03FA">
        <w:trPr>
          <w:trHeight w:val="312"/>
          <w:jc w:val="center"/>
        </w:trPr>
        <w:tc>
          <w:tcPr>
            <w:tcW w:w="0" w:type="auto"/>
            <w:vMerge w:val="restart"/>
            <w:shd w:val="clear" w:color="auto" w:fill="auto"/>
            <w:vAlign w:val="center"/>
          </w:tcPr>
          <w:p w14:paraId="2301D82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w:t>
            </w:r>
          </w:p>
        </w:tc>
        <w:tc>
          <w:tcPr>
            <w:tcW w:w="0" w:type="auto"/>
            <w:vMerge w:val="restart"/>
            <w:shd w:val="clear" w:color="auto" w:fill="auto"/>
            <w:vAlign w:val="center"/>
          </w:tcPr>
          <w:p w14:paraId="18CF19C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砖窑</w:t>
            </w:r>
          </w:p>
        </w:tc>
        <w:tc>
          <w:tcPr>
            <w:tcW w:w="1432" w:type="dxa"/>
            <w:shd w:val="clear" w:color="auto" w:fill="auto"/>
            <w:vAlign w:val="center"/>
          </w:tcPr>
          <w:p w14:paraId="5C1CC28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18、20、22、32门轮窑</w:t>
            </w:r>
          </w:p>
        </w:tc>
        <w:tc>
          <w:tcPr>
            <w:tcW w:w="4801" w:type="dxa"/>
            <w:gridSpan w:val="2"/>
            <w:shd w:val="clear" w:color="auto" w:fill="auto"/>
            <w:vAlign w:val="center"/>
          </w:tcPr>
          <w:p w14:paraId="5660A49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7000元/门</w:t>
            </w:r>
          </w:p>
        </w:tc>
        <w:tc>
          <w:tcPr>
            <w:tcW w:w="1769" w:type="dxa"/>
            <w:vMerge w:val="restart"/>
            <w:shd w:val="clear" w:color="auto" w:fill="auto"/>
            <w:vAlign w:val="center"/>
          </w:tcPr>
          <w:p w14:paraId="5496267E" w14:textId="77777777" w:rsidR="00A320E6" w:rsidRDefault="00000000" w:rsidP="00320C3C">
            <w:pPr>
              <w:textAlignment w:val="center"/>
              <w:rPr>
                <w:rFonts w:ascii="宋体" w:hAnsi="宋体" w:cs="宋体"/>
                <w:kern w:val="0"/>
                <w:szCs w:val="21"/>
              </w:rPr>
            </w:pPr>
            <w:r>
              <w:rPr>
                <w:rFonts w:ascii="宋体" w:hAnsi="宋体" w:cs="宋体" w:hint="eastAsia"/>
                <w:color w:val="000000"/>
                <w:kern w:val="0"/>
                <w:szCs w:val="21"/>
                <w:lang w:bidi="ar"/>
              </w:rPr>
              <w:t>报废的按照50%补偿。</w:t>
            </w:r>
          </w:p>
        </w:tc>
      </w:tr>
      <w:tr w:rsidR="00A320E6" w14:paraId="1C1AFF50" w14:textId="77777777" w:rsidTr="008B03FA">
        <w:trPr>
          <w:trHeight w:val="312"/>
          <w:jc w:val="center"/>
        </w:trPr>
        <w:tc>
          <w:tcPr>
            <w:tcW w:w="0" w:type="auto"/>
            <w:vMerge/>
            <w:vAlign w:val="center"/>
          </w:tcPr>
          <w:p w14:paraId="48B2A577" w14:textId="77777777" w:rsidR="00A320E6" w:rsidRDefault="00A320E6" w:rsidP="00320C3C">
            <w:pPr>
              <w:jc w:val="center"/>
              <w:rPr>
                <w:rFonts w:ascii="宋体" w:hAnsi="宋体" w:cs="宋体"/>
                <w:kern w:val="0"/>
                <w:szCs w:val="21"/>
              </w:rPr>
            </w:pPr>
          </w:p>
        </w:tc>
        <w:tc>
          <w:tcPr>
            <w:tcW w:w="0" w:type="auto"/>
            <w:vMerge/>
            <w:vAlign w:val="center"/>
          </w:tcPr>
          <w:p w14:paraId="0882B0B5"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8C1C78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老式土窑</w:t>
            </w:r>
          </w:p>
        </w:tc>
        <w:tc>
          <w:tcPr>
            <w:tcW w:w="4801" w:type="dxa"/>
            <w:gridSpan w:val="2"/>
            <w:vAlign w:val="center"/>
          </w:tcPr>
          <w:p w14:paraId="5D0F58B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8000元/座</w:t>
            </w:r>
          </w:p>
        </w:tc>
        <w:tc>
          <w:tcPr>
            <w:tcW w:w="1769" w:type="dxa"/>
            <w:vMerge/>
            <w:vAlign w:val="center"/>
          </w:tcPr>
          <w:p w14:paraId="30CBF8F8" w14:textId="77777777" w:rsidR="00A320E6" w:rsidRDefault="00A320E6" w:rsidP="00320C3C">
            <w:pPr>
              <w:rPr>
                <w:rFonts w:ascii="宋体" w:hAnsi="宋体" w:cs="宋体"/>
                <w:kern w:val="0"/>
                <w:szCs w:val="21"/>
              </w:rPr>
            </w:pPr>
          </w:p>
        </w:tc>
      </w:tr>
      <w:tr w:rsidR="00A320E6" w14:paraId="3F5F3795" w14:textId="77777777" w:rsidTr="008B03FA">
        <w:trPr>
          <w:trHeight w:val="312"/>
          <w:jc w:val="center"/>
        </w:trPr>
        <w:tc>
          <w:tcPr>
            <w:tcW w:w="0" w:type="auto"/>
            <w:vMerge w:val="restart"/>
            <w:vAlign w:val="center"/>
          </w:tcPr>
          <w:p w14:paraId="52C162E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16</w:t>
            </w:r>
          </w:p>
        </w:tc>
        <w:tc>
          <w:tcPr>
            <w:tcW w:w="0" w:type="auto"/>
            <w:vMerge w:val="restart"/>
            <w:vAlign w:val="center"/>
          </w:tcPr>
          <w:p w14:paraId="5FFBEC4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乔木</w:t>
            </w:r>
          </w:p>
        </w:tc>
        <w:tc>
          <w:tcPr>
            <w:tcW w:w="1432" w:type="dxa"/>
            <w:shd w:val="clear" w:color="auto" w:fill="auto"/>
            <w:vAlign w:val="center"/>
          </w:tcPr>
          <w:p w14:paraId="5EA4D1C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胸径小于5cm（幼树，松柏树小于3cm）</w:t>
            </w:r>
          </w:p>
        </w:tc>
        <w:tc>
          <w:tcPr>
            <w:tcW w:w="4801" w:type="dxa"/>
            <w:gridSpan w:val="2"/>
            <w:vAlign w:val="center"/>
          </w:tcPr>
          <w:p w14:paraId="7411E6D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移栽费6元/株</w:t>
            </w:r>
          </w:p>
        </w:tc>
        <w:tc>
          <w:tcPr>
            <w:tcW w:w="1769" w:type="dxa"/>
            <w:vAlign w:val="center"/>
          </w:tcPr>
          <w:p w14:paraId="6DD27F0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1.特种用途林树木价格另议。</w:t>
            </w:r>
          </w:p>
        </w:tc>
      </w:tr>
      <w:tr w:rsidR="00A320E6" w14:paraId="712E253D" w14:textId="77777777" w:rsidTr="008B03FA">
        <w:trPr>
          <w:trHeight w:val="312"/>
          <w:jc w:val="center"/>
        </w:trPr>
        <w:tc>
          <w:tcPr>
            <w:tcW w:w="0" w:type="auto"/>
            <w:vMerge/>
            <w:shd w:val="clear" w:color="auto" w:fill="auto"/>
            <w:vAlign w:val="center"/>
          </w:tcPr>
          <w:p w14:paraId="42E43076"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4723F6D5"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9C12CA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胸径5-10cm（松柏树3-6cm）</w:t>
            </w:r>
          </w:p>
        </w:tc>
        <w:tc>
          <w:tcPr>
            <w:tcW w:w="4801" w:type="dxa"/>
            <w:gridSpan w:val="2"/>
            <w:shd w:val="clear" w:color="auto" w:fill="auto"/>
            <w:vAlign w:val="center"/>
          </w:tcPr>
          <w:p w14:paraId="12DB1CB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20元/株</w:t>
            </w:r>
          </w:p>
        </w:tc>
        <w:tc>
          <w:tcPr>
            <w:tcW w:w="1769" w:type="dxa"/>
            <w:shd w:val="clear" w:color="auto" w:fill="auto"/>
            <w:vAlign w:val="center"/>
          </w:tcPr>
          <w:p w14:paraId="7AE9AA1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2.树归原主。</w:t>
            </w:r>
          </w:p>
        </w:tc>
      </w:tr>
      <w:tr w:rsidR="00A320E6" w14:paraId="0159C81B" w14:textId="77777777" w:rsidTr="008B03FA">
        <w:trPr>
          <w:trHeight w:val="312"/>
          <w:jc w:val="center"/>
        </w:trPr>
        <w:tc>
          <w:tcPr>
            <w:tcW w:w="0" w:type="auto"/>
            <w:vMerge/>
            <w:vAlign w:val="center"/>
          </w:tcPr>
          <w:p w14:paraId="12579810" w14:textId="77777777" w:rsidR="00A320E6" w:rsidRDefault="00A320E6" w:rsidP="00320C3C">
            <w:pPr>
              <w:jc w:val="center"/>
              <w:rPr>
                <w:rFonts w:ascii="宋体" w:hAnsi="宋体" w:cs="宋体"/>
                <w:kern w:val="0"/>
                <w:szCs w:val="21"/>
              </w:rPr>
            </w:pPr>
          </w:p>
        </w:tc>
        <w:tc>
          <w:tcPr>
            <w:tcW w:w="0" w:type="auto"/>
            <w:vMerge/>
            <w:vAlign w:val="center"/>
          </w:tcPr>
          <w:p w14:paraId="45715DE0"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92B3FD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胸径10-20cm（松柏树6-10cm）</w:t>
            </w:r>
          </w:p>
        </w:tc>
        <w:tc>
          <w:tcPr>
            <w:tcW w:w="4801" w:type="dxa"/>
            <w:gridSpan w:val="2"/>
            <w:shd w:val="clear" w:color="auto" w:fill="auto"/>
            <w:vAlign w:val="center"/>
          </w:tcPr>
          <w:p w14:paraId="7B3C7F9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35元/株</w:t>
            </w:r>
          </w:p>
        </w:tc>
        <w:tc>
          <w:tcPr>
            <w:tcW w:w="1769" w:type="dxa"/>
            <w:vAlign w:val="center"/>
          </w:tcPr>
          <w:p w14:paraId="5AF8441C" w14:textId="77777777" w:rsidR="00A320E6" w:rsidRDefault="00A320E6" w:rsidP="00320C3C">
            <w:pPr>
              <w:jc w:val="center"/>
              <w:rPr>
                <w:rFonts w:ascii="宋体" w:hAnsi="宋体" w:cs="宋体"/>
                <w:kern w:val="0"/>
                <w:szCs w:val="21"/>
              </w:rPr>
            </w:pPr>
          </w:p>
        </w:tc>
      </w:tr>
      <w:tr w:rsidR="00A320E6" w14:paraId="396442B1" w14:textId="77777777" w:rsidTr="008B03FA">
        <w:trPr>
          <w:trHeight w:val="312"/>
          <w:jc w:val="center"/>
        </w:trPr>
        <w:tc>
          <w:tcPr>
            <w:tcW w:w="0" w:type="auto"/>
            <w:vMerge/>
            <w:vAlign w:val="center"/>
          </w:tcPr>
          <w:p w14:paraId="6C5E76CB" w14:textId="77777777" w:rsidR="00A320E6" w:rsidRDefault="00A320E6" w:rsidP="00320C3C">
            <w:pPr>
              <w:jc w:val="center"/>
              <w:rPr>
                <w:rFonts w:ascii="宋体" w:hAnsi="宋体" w:cs="宋体"/>
                <w:kern w:val="0"/>
                <w:szCs w:val="21"/>
              </w:rPr>
            </w:pPr>
          </w:p>
        </w:tc>
        <w:tc>
          <w:tcPr>
            <w:tcW w:w="0" w:type="auto"/>
            <w:vMerge/>
            <w:vAlign w:val="center"/>
          </w:tcPr>
          <w:p w14:paraId="7F00326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59B352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胸径大于20cm（松柏树10cm以上）</w:t>
            </w:r>
          </w:p>
        </w:tc>
        <w:tc>
          <w:tcPr>
            <w:tcW w:w="4801" w:type="dxa"/>
            <w:gridSpan w:val="2"/>
            <w:shd w:val="clear" w:color="auto" w:fill="auto"/>
            <w:vAlign w:val="center"/>
          </w:tcPr>
          <w:p w14:paraId="6E53AE0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45元/株</w:t>
            </w:r>
          </w:p>
        </w:tc>
        <w:tc>
          <w:tcPr>
            <w:tcW w:w="1769" w:type="dxa"/>
            <w:vAlign w:val="center"/>
          </w:tcPr>
          <w:p w14:paraId="1B48229B" w14:textId="77777777" w:rsidR="00A320E6" w:rsidRDefault="00A320E6" w:rsidP="00320C3C">
            <w:pPr>
              <w:rPr>
                <w:rFonts w:ascii="宋体" w:hAnsi="宋体" w:cs="宋体"/>
                <w:kern w:val="0"/>
                <w:szCs w:val="21"/>
              </w:rPr>
            </w:pPr>
          </w:p>
        </w:tc>
      </w:tr>
      <w:tr w:rsidR="00A320E6" w14:paraId="06DB5060" w14:textId="77777777" w:rsidTr="008B03FA">
        <w:trPr>
          <w:trHeight w:val="312"/>
          <w:jc w:val="center"/>
        </w:trPr>
        <w:tc>
          <w:tcPr>
            <w:tcW w:w="0" w:type="auto"/>
            <w:vMerge w:val="restart"/>
            <w:vAlign w:val="center"/>
          </w:tcPr>
          <w:p w14:paraId="565F447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17</w:t>
            </w:r>
          </w:p>
        </w:tc>
        <w:tc>
          <w:tcPr>
            <w:tcW w:w="0" w:type="auto"/>
            <w:vMerge w:val="restart"/>
            <w:vAlign w:val="center"/>
          </w:tcPr>
          <w:p w14:paraId="1FD32E2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灌木</w:t>
            </w:r>
          </w:p>
        </w:tc>
        <w:tc>
          <w:tcPr>
            <w:tcW w:w="1432" w:type="dxa"/>
            <w:shd w:val="clear" w:color="auto" w:fill="auto"/>
            <w:vAlign w:val="center"/>
          </w:tcPr>
          <w:p w14:paraId="039D5CB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一年生以内</w:t>
            </w:r>
          </w:p>
        </w:tc>
        <w:tc>
          <w:tcPr>
            <w:tcW w:w="4801" w:type="dxa"/>
            <w:gridSpan w:val="2"/>
            <w:shd w:val="clear" w:color="auto" w:fill="auto"/>
            <w:vAlign w:val="center"/>
          </w:tcPr>
          <w:p w14:paraId="46FB93B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10元/墩</w:t>
            </w:r>
          </w:p>
        </w:tc>
        <w:tc>
          <w:tcPr>
            <w:tcW w:w="1769" w:type="dxa"/>
            <w:vMerge w:val="restart"/>
            <w:vAlign w:val="center"/>
          </w:tcPr>
          <w:p w14:paraId="3C5E407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每墩出条数按10根计算，观赏经济类可提高40%-60%。</w:t>
            </w:r>
          </w:p>
        </w:tc>
      </w:tr>
      <w:tr w:rsidR="00A320E6" w14:paraId="24C50DCC" w14:textId="77777777" w:rsidTr="008B03FA">
        <w:trPr>
          <w:trHeight w:val="312"/>
          <w:jc w:val="center"/>
        </w:trPr>
        <w:tc>
          <w:tcPr>
            <w:tcW w:w="0" w:type="auto"/>
            <w:vMerge/>
            <w:vAlign w:val="center"/>
          </w:tcPr>
          <w:p w14:paraId="26A72920" w14:textId="77777777" w:rsidR="00A320E6" w:rsidRDefault="00A320E6" w:rsidP="00320C3C">
            <w:pPr>
              <w:jc w:val="center"/>
              <w:rPr>
                <w:rFonts w:ascii="宋体" w:hAnsi="宋体" w:cs="宋体"/>
                <w:kern w:val="0"/>
                <w:szCs w:val="21"/>
              </w:rPr>
            </w:pPr>
          </w:p>
        </w:tc>
        <w:tc>
          <w:tcPr>
            <w:tcW w:w="0" w:type="auto"/>
            <w:vMerge/>
            <w:vAlign w:val="center"/>
          </w:tcPr>
          <w:p w14:paraId="75E1779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5B5697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一年生以上</w:t>
            </w:r>
          </w:p>
        </w:tc>
        <w:tc>
          <w:tcPr>
            <w:tcW w:w="4801" w:type="dxa"/>
            <w:gridSpan w:val="2"/>
            <w:shd w:val="clear" w:color="auto" w:fill="auto"/>
            <w:vAlign w:val="center"/>
          </w:tcPr>
          <w:p w14:paraId="7B9CE30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15元/墩</w:t>
            </w:r>
          </w:p>
        </w:tc>
        <w:tc>
          <w:tcPr>
            <w:tcW w:w="1769" w:type="dxa"/>
            <w:vMerge/>
            <w:vAlign w:val="center"/>
          </w:tcPr>
          <w:p w14:paraId="4CBDB491" w14:textId="77777777" w:rsidR="00A320E6" w:rsidRDefault="00A320E6" w:rsidP="00320C3C">
            <w:pPr>
              <w:jc w:val="left"/>
              <w:rPr>
                <w:rFonts w:ascii="宋体" w:hAnsi="宋体" w:cs="宋体"/>
                <w:kern w:val="0"/>
                <w:szCs w:val="21"/>
              </w:rPr>
            </w:pPr>
          </w:p>
        </w:tc>
      </w:tr>
      <w:tr w:rsidR="00A320E6" w14:paraId="5232E223" w14:textId="77777777" w:rsidTr="008B03FA">
        <w:trPr>
          <w:trHeight w:val="312"/>
          <w:jc w:val="center"/>
        </w:trPr>
        <w:tc>
          <w:tcPr>
            <w:tcW w:w="0" w:type="auto"/>
            <w:vMerge w:val="restart"/>
            <w:shd w:val="clear" w:color="auto" w:fill="auto"/>
            <w:vAlign w:val="center"/>
          </w:tcPr>
          <w:p w14:paraId="36AF0CE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18</w:t>
            </w:r>
          </w:p>
        </w:tc>
        <w:tc>
          <w:tcPr>
            <w:tcW w:w="0" w:type="auto"/>
            <w:vMerge w:val="restart"/>
            <w:shd w:val="clear" w:color="auto" w:fill="auto"/>
            <w:vAlign w:val="center"/>
          </w:tcPr>
          <w:p w14:paraId="748E997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苗圃</w:t>
            </w:r>
          </w:p>
        </w:tc>
        <w:tc>
          <w:tcPr>
            <w:tcW w:w="1432" w:type="dxa"/>
            <w:shd w:val="clear" w:color="auto" w:fill="auto"/>
            <w:vAlign w:val="center"/>
          </w:tcPr>
          <w:p w14:paraId="1DA22FC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3年内下（移栽，下同）</w:t>
            </w:r>
          </w:p>
        </w:tc>
        <w:tc>
          <w:tcPr>
            <w:tcW w:w="4801" w:type="dxa"/>
            <w:gridSpan w:val="2"/>
            <w:vMerge w:val="restart"/>
            <w:shd w:val="clear" w:color="auto" w:fill="auto"/>
            <w:vAlign w:val="center"/>
          </w:tcPr>
          <w:p w14:paraId="720F3B4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4000元/亩（移栽）</w:t>
            </w:r>
          </w:p>
        </w:tc>
        <w:tc>
          <w:tcPr>
            <w:tcW w:w="1769" w:type="dxa"/>
            <w:vMerge w:val="restart"/>
            <w:shd w:val="clear" w:color="auto" w:fill="auto"/>
            <w:vAlign w:val="center"/>
          </w:tcPr>
          <w:p w14:paraId="4D6130A3" w14:textId="77777777" w:rsidR="00A320E6" w:rsidRDefault="00000000" w:rsidP="00320C3C">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1.花卉苗圃上浮30%。</w:t>
            </w:r>
          </w:p>
          <w:p w14:paraId="2493B92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2.对于稀有珍贵苗木可以委托有资质的机构进行评估、认证。</w:t>
            </w:r>
          </w:p>
        </w:tc>
      </w:tr>
      <w:tr w:rsidR="00A320E6" w14:paraId="6A426D66" w14:textId="77777777" w:rsidTr="008B03FA">
        <w:trPr>
          <w:trHeight w:val="312"/>
          <w:jc w:val="center"/>
        </w:trPr>
        <w:tc>
          <w:tcPr>
            <w:tcW w:w="0" w:type="auto"/>
            <w:vMerge/>
            <w:vAlign w:val="center"/>
          </w:tcPr>
          <w:p w14:paraId="051A31CF" w14:textId="77777777" w:rsidR="00A320E6" w:rsidRDefault="00A320E6" w:rsidP="00320C3C">
            <w:pPr>
              <w:jc w:val="center"/>
              <w:rPr>
                <w:rFonts w:ascii="宋体" w:hAnsi="宋体" w:cs="宋体"/>
                <w:kern w:val="0"/>
                <w:szCs w:val="21"/>
              </w:rPr>
            </w:pPr>
          </w:p>
        </w:tc>
        <w:tc>
          <w:tcPr>
            <w:tcW w:w="0" w:type="auto"/>
            <w:vMerge/>
            <w:vAlign w:val="center"/>
          </w:tcPr>
          <w:p w14:paraId="58F5848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DEAF17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3-5年</w:t>
            </w:r>
          </w:p>
        </w:tc>
        <w:tc>
          <w:tcPr>
            <w:tcW w:w="4801" w:type="dxa"/>
            <w:gridSpan w:val="2"/>
            <w:vMerge/>
            <w:vAlign w:val="center"/>
          </w:tcPr>
          <w:p w14:paraId="193E0659" w14:textId="77777777" w:rsidR="00A320E6" w:rsidRDefault="00A320E6" w:rsidP="00320C3C">
            <w:pPr>
              <w:jc w:val="center"/>
              <w:textAlignment w:val="center"/>
              <w:rPr>
                <w:rFonts w:ascii="宋体" w:hAnsi="宋体" w:cs="宋体"/>
                <w:kern w:val="0"/>
                <w:szCs w:val="21"/>
              </w:rPr>
            </w:pPr>
          </w:p>
        </w:tc>
        <w:tc>
          <w:tcPr>
            <w:tcW w:w="1769" w:type="dxa"/>
            <w:vMerge/>
            <w:shd w:val="clear" w:color="auto" w:fill="auto"/>
            <w:vAlign w:val="center"/>
          </w:tcPr>
          <w:p w14:paraId="7B864CEF" w14:textId="77777777" w:rsidR="00A320E6" w:rsidRDefault="00A320E6" w:rsidP="00320C3C">
            <w:pPr>
              <w:jc w:val="left"/>
              <w:textAlignment w:val="center"/>
              <w:rPr>
                <w:rFonts w:ascii="宋体" w:hAnsi="宋体" w:cs="宋体"/>
                <w:kern w:val="0"/>
                <w:szCs w:val="21"/>
              </w:rPr>
            </w:pPr>
          </w:p>
        </w:tc>
      </w:tr>
      <w:tr w:rsidR="00A320E6" w14:paraId="13368898" w14:textId="77777777" w:rsidTr="008B03FA">
        <w:trPr>
          <w:trHeight w:val="312"/>
          <w:jc w:val="center"/>
        </w:trPr>
        <w:tc>
          <w:tcPr>
            <w:tcW w:w="0" w:type="auto"/>
            <w:vMerge/>
            <w:shd w:val="clear" w:color="auto" w:fill="auto"/>
            <w:vAlign w:val="center"/>
          </w:tcPr>
          <w:p w14:paraId="116BD692"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711363D2"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FE965C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5年以上</w:t>
            </w:r>
          </w:p>
        </w:tc>
        <w:tc>
          <w:tcPr>
            <w:tcW w:w="4801" w:type="dxa"/>
            <w:gridSpan w:val="2"/>
            <w:vMerge/>
            <w:shd w:val="clear" w:color="auto" w:fill="auto"/>
            <w:vAlign w:val="center"/>
          </w:tcPr>
          <w:p w14:paraId="07F15756" w14:textId="77777777" w:rsidR="00A320E6" w:rsidRDefault="00A320E6" w:rsidP="00320C3C">
            <w:pPr>
              <w:rPr>
                <w:rFonts w:ascii="宋体" w:hAnsi="宋体" w:cs="宋体"/>
                <w:kern w:val="0"/>
                <w:szCs w:val="21"/>
              </w:rPr>
            </w:pPr>
          </w:p>
        </w:tc>
        <w:tc>
          <w:tcPr>
            <w:tcW w:w="1769" w:type="dxa"/>
            <w:vMerge/>
            <w:shd w:val="clear" w:color="auto" w:fill="auto"/>
            <w:vAlign w:val="center"/>
          </w:tcPr>
          <w:p w14:paraId="50B036E3" w14:textId="77777777" w:rsidR="00A320E6" w:rsidRDefault="00A320E6" w:rsidP="00320C3C">
            <w:pPr>
              <w:rPr>
                <w:rFonts w:ascii="宋体" w:hAnsi="宋体" w:cs="宋体"/>
                <w:kern w:val="0"/>
                <w:szCs w:val="21"/>
              </w:rPr>
            </w:pPr>
          </w:p>
        </w:tc>
      </w:tr>
      <w:tr w:rsidR="00A320E6" w14:paraId="66F5B0BB" w14:textId="77777777" w:rsidTr="008B03FA">
        <w:trPr>
          <w:trHeight w:val="312"/>
          <w:jc w:val="center"/>
        </w:trPr>
        <w:tc>
          <w:tcPr>
            <w:tcW w:w="0" w:type="auto"/>
            <w:vMerge w:val="restart"/>
            <w:vAlign w:val="center"/>
          </w:tcPr>
          <w:p w14:paraId="2E22F8C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19</w:t>
            </w:r>
          </w:p>
        </w:tc>
        <w:tc>
          <w:tcPr>
            <w:tcW w:w="0" w:type="auto"/>
            <w:vMerge w:val="restart"/>
            <w:vAlign w:val="center"/>
          </w:tcPr>
          <w:p w14:paraId="0EAF923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葡萄园</w:t>
            </w:r>
          </w:p>
        </w:tc>
        <w:tc>
          <w:tcPr>
            <w:tcW w:w="1432" w:type="dxa"/>
            <w:shd w:val="clear" w:color="auto" w:fill="auto"/>
            <w:vAlign w:val="center"/>
          </w:tcPr>
          <w:p w14:paraId="0087FA6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幼龄期</w:t>
            </w:r>
          </w:p>
        </w:tc>
        <w:tc>
          <w:tcPr>
            <w:tcW w:w="4801" w:type="dxa"/>
            <w:gridSpan w:val="2"/>
            <w:vMerge w:val="restart"/>
            <w:shd w:val="clear" w:color="auto" w:fill="auto"/>
            <w:vAlign w:val="center"/>
          </w:tcPr>
          <w:p w14:paraId="7B9D24E4"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区分生长期10元-50元/堆</w:t>
            </w:r>
          </w:p>
        </w:tc>
        <w:tc>
          <w:tcPr>
            <w:tcW w:w="1769" w:type="dxa"/>
            <w:vMerge w:val="restart"/>
            <w:vAlign w:val="center"/>
          </w:tcPr>
          <w:p w14:paraId="569D2DD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树归原主。</w:t>
            </w:r>
          </w:p>
        </w:tc>
      </w:tr>
      <w:tr w:rsidR="00A320E6" w14:paraId="300C09A9" w14:textId="77777777" w:rsidTr="008B03FA">
        <w:trPr>
          <w:trHeight w:val="312"/>
          <w:jc w:val="center"/>
        </w:trPr>
        <w:tc>
          <w:tcPr>
            <w:tcW w:w="0" w:type="auto"/>
            <w:vMerge/>
            <w:vAlign w:val="center"/>
          </w:tcPr>
          <w:p w14:paraId="7A89E546" w14:textId="77777777" w:rsidR="00A320E6" w:rsidRDefault="00A320E6" w:rsidP="00320C3C">
            <w:pPr>
              <w:jc w:val="center"/>
              <w:rPr>
                <w:rFonts w:ascii="宋体" w:hAnsi="宋体" w:cs="宋体"/>
                <w:kern w:val="0"/>
                <w:szCs w:val="21"/>
              </w:rPr>
            </w:pPr>
          </w:p>
        </w:tc>
        <w:tc>
          <w:tcPr>
            <w:tcW w:w="0" w:type="auto"/>
            <w:vMerge/>
            <w:vAlign w:val="center"/>
          </w:tcPr>
          <w:p w14:paraId="172DAB7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E18940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初果期</w:t>
            </w:r>
          </w:p>
        </w:tc>
        <w:tc>
          <w:tcPr>
            <w:tcW w:w="4801" w:type="dxa"/>
            <w:gridSpan w:val="2"/>
            <w:vMerge/>
            <w:shd w:val="clear" w:color="auto" w:fill="auto"/>
            <w:vAlign w:val="center"/>
          </w:tcPr>
          <w:p w14:paraId="1FF3C489" w14:textId="77777777" w:rsidR="00A320E6" w:rsidRDefault="00A320E6" w:rsidP="00320C3C">
            <w:pPr>
              <w:jc w:val="center"/>
              <w:rPr>
                <w:rFonts w:ascii="宋体" w:hAnsi="宋体" w:cs="宋体"/>
                <w:kern w:val="0"/>
                <w:szCs w:val="21"/>
              </w:rPr>
            </w:pPr>
          </w:p>
        </w:tc>
        <w:tc>
          <w:tcPr>
            <w:tcW w:w="1769" w:type="dxa"/>
            <w:vMerge/>
            <w:vAlign w:val="center"/>
          </w:tcPr>
          <w:p w14:paraId="65C77623" w14:textId="77777777" w:rsidR="00A320E6" w:rsidRDefault="00A320E6" w:rsidP="00320C3C">
            <w:pPr>
              <w:jc w:val="left"/>
              <w:rPr>
                <w:rFonts w:ascii="宋体" w:hAnsi="宋体" w:cs="宋体"/>
                <w:kern w:val="0"/>
                <w:szCs w:val="21"/>
              </w:rPr>
            </w:pPr>
          </w:p>
        </w:tc>
      </w:tr>
      <w:tr w:rsidR="00A320E6" w14:paraId="5D094D63" w14:textId="77777777" w:rsidTr="008B03FA">
        <w:trPr>
          <w:trHeight w:val="312"/>
          <w:jc w:val="center"/>
        </w:trPr>
        <w:tc>
          <w:tcPr>
            <w:tcW w:w="0" w:type="auto"/>
            <w:vMerge/>
            <w:vAlign w:val="center"/>
          </w:tcPr>
          <w:p w14:paraId="58DB7647" w14:textId="77777777" w:rsidR="00A320E6" w:rsidRDefault="00A320E6" w:rsidP="00320C3C">
            <w:pPr>
              <w:jc w:val="center"/>
              <w:rPr>
                <w:rFonts w:ascii="宋体" w:hAnsi="宋体" w:cs="宋体"/>
                <w:kern w:val="0"/>
                <w:szCs w:val="21"/>
              </w:rPr>
            </w:pPr>
          </w:p>
        </w:tc>
        <w:tc>
          <w:tcPr>
            <w:tcW w:w="0" w:type="auto"/>
            <w:vMerge/>
            <w:vAlign w:val="center"/>
          </w:tcPr>
          <w:p w14:paraId="7655727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715E01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盛果期</w:t>
            </w:r>
          </w:p>
        </w:tc>
        <w:tc>
          <w:tcPr>
            <w:tcW w:w="4801" w:type="dxa"/>
            <w:gridSpan w:val="2"/>
            <w:vMerge/>
            <w:shd w:val="clear" w:color="auto" w:fill="auto"/>
            <w:vAlign w:val="center"/>
          </w:tcPr>
          <w:p w14:paraId="2D4241CC" w14:textId="77777777" w:rsidR="00A320E6" w:rsidRDefault="00A320E6" w:rsidP="00320C3C">
            <w:pPr>
              <w:jc w:val="center"/>
              <w:rPr>
                <w:rFonts w:ascii="宋体" w:hAnsi="宋体" w:cs="宋体"/>
                <w:kern w:val="0"/>
                <w:szCs w:val="21"/>
              </w:rPr>
            </w:pPr>
          </w:p>
        </w:tc>
        <w:tc>
          <w:tcPr>
            <w:tcW w:w="1769" w:type="dxa"/>
            <w:vMerge/>
            <w:vAlign w:val="center"/>
          </w:tcPr>
          <w:p w14:paraId="61E3037A" w14:textId="77777777" w:rsidR="00A320E6" w:rsidRDefault="00A320E6" w:rsidP="00320C3C">
            <w:pPr>
              <w:jc w:val="left"/>
              <w:rPr>
                <w:rFonts w:ascii="宋体" w:hAnsi="宋体" w:cs="宋体"/>
                <w:kern w:val="0"/>
                <w:szCs w:val="21"/>
              </w:rPr>
            </w:pPr>
          </w:p>
        </w:tc>
      </w:tr>
      <w:tr w:rsidR="00A320E6" w14:paraId="4AE76ABC" w14:textId="77777777" w:rsidTr="008B03FA">
        <w:trPr>
          <w:trHeight w:val="312"/>
          <w:jc w:val="center"/>
        </w:trPr>
        <w:tc>
          <w:tcPr>
            <w:tcW w:w="0" w:type="auto"/>
            <w:vMerge w:val="restart"/>
            <w:vAlign w:val="center"/>
          </w:tcPr>
          <w:p w14:paraId="48EAC8A6" w14:textId="77777777" w:rsidR="00A320E6" w:rsidRDefault="00000000" w:rsidP="00320C3C">
            <w:pPr>
              <w:jc w:val="center"/>
              <w:textAlignment w:val="center"/>
              <w:rPr>
                <w:rFonts w:ascii="宋体" w:hAnsi="宋体" w:cs="宋体"/>
                <w:kern w:val="0"/>
                <w:szCs w:val="21"/>
              </w:rPr>
            </w:pPr>
            <w:r>
              <w:rPr>
                <w:rFonts w:ascii="宋体" w:hAnsi="宋体" w:cs="宋体" w:hint="eastAsia"/>
                <w:kern w:val="0"/>
                <w:szCs w:val="21"/>
              </w:rPr>
              <w:t>20</w:t>
            </w:r>
          </w:p>
        </w:tc>
        <w:tc>
          <w:tcPr>
            <w:tcW w:w="0" w:type="auto"/>
            <w:vMerge w:val="restart"/>
            <w:vAlign w:val="center"/>
          </w:tcPr>
          <w:p w14:paraId="7220618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果树</w:t>
            </w:r>
          </w:p>
        </w:tc>
        <w:tc>
          <w:tcPr>
            <w:tcW w:w="1432" w:type="dxa"/>
            <w:shd w:val="clear" w:color="auto" w:fill="auto"/>
            <w:vAlign w:val="center"/>
          </w:tcPr>
          <w:p w14:paraId="5F4AF82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苗木</w:t>
            </w:r>
          </w:p>
        </w:tc>
        <w:tc>
          <w:tcPr>
            <w:tcW w:w="4801" w:type="dxa"/>
            <w:gridSpan w:val="2"/>
            <w:shd w:val="clear" w:color="auto" w:fill="auto"/>
            <w:vAlign w:val="center"/>
          </w:tcPr>
          <w:p w14:paraId="5A1E9DF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移栽费6元/株</w:t>
            </w:r>
          </w:p>
        </w:tc>
        <w:tc>
          <w:tcPr>
            <w:tcW w:w="1769" w:type="dxa"/>
            <w:vMerge w:val="restart"/>
            <w:vAlign w:val="center"/>
          </w:tcPr>
          <w:p w14:paraId="639E4C7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1.果树包括：苹果、梨、桃、杏、核桃、枣等树种。2.根据科学合理栽植的原则，每亩不得超过85棵，超过部分不予补偿。3.树归原主。</w:t>
            </w:r>
          </w:p>
        </w:tc>
      </w:tr>
      <w:tr w:rsidR="00A320E6" w14:paraId="192E8E6F" w14:textId="77777777" w:rsidTr="008B03FA">
        <w:trPr>
          <w:trHeight w:val="312"/>
          <w:jc w:val="center"/>
        </w:trPr>
        <w:tc>
          <w:tcPr>
            <w:tcW w:w="0" w:type="auto"/>
            <w:vMerge/>
            <w:vAlign w:val="center"/>
          </w:tcPr>
          <w:p w14:paraId="2AF6866A" w14:textId="77777777" w:rsidR="00A320E6" w:rsidRDefault="00A320E6" w:rsidP="00320C3C">
            <w:pPr>
              <w:jc w:val="center"/>
              <w:rPr>
                <w:rFonts w:ascii="宋体" w:hAnsi="宋体" w:cs="宋体"/>
                <w:kern w:val="0"/>
                <w:szCs w:val="21"/>
              </w:rPr>
            </w:pPr>
          </w:p>
        </w:tc>
        <w:tc>
          <w:tcPr>
            <w:tcW w:w="0" w:type="auto"/>
            <w:vMerge/>
            <w:vAlign w:val="center"/>
          </w:tcPr>
          <w:p w14:paraId="4E8F5B5C"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CB0C3D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幼龄期（区分树种）</w:t>
            </w:r>
          </w:p>
        </w:tc>
        <w:tc>
          <w:tcPr>
            <w:tcW w:w="4801" w:type="dxa"/>
            <w:gridSpan w:val="2"/>
            <w:shd w:val="clear" w:color="auto" w:fill="auto"/>
            <w:vAlign w:val="center"/>
          </w:tcPr>
          <w:p w14:paraId="5457079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30元/棵</w:t>
            </w:r>
          </w:p>
        </w:tc>
        <w:tc>
          <w:tcPr>
            <w:tcW w:w="1769" w:type="dxa"/>
            <w:vMerge/>
            <w:vAlign w:val="center"/>
          </w:tcPr>
          <w:p w14:paraId="29CC2EDD" w14:textId="77777777" w:rsidR="00A320E6" w:rsidRDefault="00A320E6" w:rsidP="00320C3C">
            <w:pPr>
              <w:jc w:val="left"/>
              <w:rPr>
                <w:rFonts w:ascii="宋体" w:hAnsi="宋体" w:cs="宋体"/>
                <w:kern w:val="0"/>
                <w:szCs w:val="21"/>
                <w:highlight w:val="yellow"/>
              </w:rPr>
            </w:pPr>
          </w:p>
        </w:tc>
      </w:tr>
      <w:tr w:rsidR="00A320E6" w14:paraId="2632880A" w14:textId="77777777" w:rsidTr="008B03FA">
        <w:trPr>
          <w:trHeight w:val="312"/>
          <w:jc w:val="center"/>
        </w:trPr>
        <w:tc>
          <w:tcPr>
            <w:tcW w:w="0" w:type="auto"/>
            <w:vMerge/>
            <w:shd w:val="clear" w:color="auto" w:fill="auto"/>
            <w:vAlign w:val="center"/>
          </w:tcPr>
          <w:p w14:paraId="2A1AEA01"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658FEC3F"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D671C7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初果期（区分树种）</w:t>
            </w:r>
          </w:p>
        </w:tc>
        <w:tc>
          <w:tcPr>
            <w:tcW w:w="4801" w:type="dxa"/>
            <w:gridSpan w:val="2"/>
            <w:shd w:val="clear" w:color="auto" w:fill="auto"/>
            <w:vAlign w:val="center"/>
          </w:tcPr>
          <w:p w14:paraId="57BB79B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125元/棵</w:t>
            </w:r>
          </w:p>
        </w:tc>
        <w:tc>
          <w:tcPr>
            <w:tcW w:w="1769" w:type="dxa"/>
            <w:vMerge/>
            <w:shd w:val="clear" w:color="auto" w:fill="auto"/>
            <w:vAlign w:val="center"/>
          </w:tcPr>
          <w:p w14:paraId="4E3A1B34" w14:textId="77777777" w:rsidR="00A320E6" w:rsidRDefault="00A320E6" w:rsidP="00320C3C">
            <w:pPr>
              <w:jc w:val="left"/>
              <w:rPr>
                <w:rFonts w:ascii="宋体" w:hAnsi="宋体" w:cs="宋体"/>
                <w:kern w:val="0"/>
                <w:szCs w:val="21"/>
              </w:rPr>
            </w:pPr>
          </w:p>
        </w:tc>
      </w:tr>
      <w:tr w:rsidR="00A320E6" w14:paraId="53E6AF70" w14:textId="77777777" w:rsidTr="008B03FA">
        <w:trPr>
          <w:trHeight w:val="312"/>
          <w:jc w:val="center"/>
        </w:trPr>
        <w:tc>
          <w:tcPr>
            <w:tcW w:w="0" w:type="auto"/>
            <w:vMerge/>
            <w:vAlign w:val="center"/>
          </w:tcPr>
          <w:p w14:paraId="7B999B8E" w14:textId="77777777" w:rsidR="00A320E6" w:rsidRDefault="00A320E6" w:rsidP="00320C3C">
            <w:pPr>
              <w:jc w:val="center"/>
              <w:rPr>
                <w:rFonts w:ascii="宋体" w:hAnsi="宋体" w:cs="宋体"/>
                <w:kern w:val="0"/>
                <w:szCs w:val="21"/>
              </w:rPr>
            </w:pPr>
          </w:p>
        </w:tc>
        <w:tc>
          <w:tcPr>
            <w:tcW w:w="0" w:type="auto"/>
            <w:vMerge/>
            <w:vAlign w:val="center"/>
          </w:tcPr>
          <w:p w14:paraId="4EF19211"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47D7D3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盛果期（区分树种）</w:t>
            </w:r>
          </w:p>
        </w:tc>
        <w:tc>
          <w:tcPr>
            <w:tcW w:w="4801" w:type="dxa"/>
            <w:gridSpan w:val="2"/>
            <w:shd w:val="clear" w:color="auto" w:fill="auto"/>
            <w:vAlign w:val="center"/>
          </w:tcPr>
          <w:p w14:paraId="7D39045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250元/棵</w:t>
            </w:r>
          </w:p>
        </w:tc>
        <w:tc>
          <w:tcPr>
            <w:tcW w:w="1769" w:type="dxa"/>
            <w:vMerge/>
            <w:shd w:val="clear" w:color="auto" w:fill="auto"/>
            <w:vAlign w:val="center"/>
          </w:tcPr>
          <w:p w14:paraId="0F6940C6" w14:textId="77777777" w:rsidR="00A320E6" w:rsidRDefault="00A320E6" w:rsidP="00320C3C">
            <w:pPr>
              <w:jc w:val="left"/>
              <w:rPr>
                <w:rFonts w:ascii="宋体" w:hAnsi="宋体" w:cs="宋体"/>
                <w:kern w:val="0"/>
                <w:szCs w:val="21"/>
              </w:rPr>
            </w:pPr>
          </w:p>
        </w:tc>
      </w:tr>
      <w:tr w:rsidR="00A320E6" w14:paraId="533DBA74" w14:textId="77777777" w:rsidTr="008B03FA">
        <w:trPr>
          <w:trHeight w:val="312"/>
          <w:jc w:val="center"/>
        </w:trPr>
        <w:tc>
          <w:tcPr>
            <w:tcW w:w="0" w:type="auto"/>
            <w:vMerge/>
            <w:shd w:val="clear" w:color="auto" w:fill="auto"/>
            <w:vAlign w:val="center"/>
          </w:tcPr>
          <w:p w14:paraId="53E54EC7"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1F0C0222"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ABAA40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衰老期（区分树种）</w:t>
            </w:r>
          </w:p>
        </w:tc>
        <w:tc>
          <w:tcPr>
            <w:tcW w:w="4801" w:type="dxa"/>
            <w:gridSpan w:val="2"/>
            <w:shd w:val="clear" w:color="auto" w:fill="auto"/>
            <w:vAlign w:val="center"/>
          </w:tcPr>
          <w:p w14:paraId="5533539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200元/棵</w:t>
            </w:r>
          </w:p>
        </w:tc>
        <w:tc>
          <w:tcPr>
            <w:tcW w:w="1769" w:type="dxa"/>
            <w:vMerge/>
            <w:shd w:val="clear" w:color="auto" w:fill="auto"/>
            <w:vAlign w:val="center"/>
          </w:tcPr>
          <w:p w14:paraId="2D19D644" w14:textId="77777777" w:rsidR="00A320E6" w:rsidRDefault="00A320E6" w:rsidP="00320C3C">
            <w:pPr>
              <w:jc w:val="left"/>
              <w:rPr>
                <w:rFonts w:ascii="宋体" w:hAnsi="宋体" w:cs="宋体"/>
                <w:kern w:val="0"/>
                <w:szCs w:val="21"/>
              </w:rPr>
            </w:pPr>
          </w:p>
        </w:tc>
      </w:tr>
      <w:tr w:rsidR="00A320E6" w14:paraId="1C689663" w14:textId="77777777" w:rsidTr="008B03FA">
        <w:trPr>
          <w:trHeight w:val="312"/>
          <w:jc w:val="center"/>
        </w:trPr>
        <w:tc>
          <w:tcPr>
            <w:tcW w:w="0" w:type="auto"/>
            <w:vMerge w:val="restart"/>
            <w:vAlign w:val="center"/>
          </w:tcPr>
          <w:p w14:paraId="0226E67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21</w:t>
            </w:r>
          </w:p>
        </w:tc>
        <w:tc>
          <w:tcPr>
            <w:tcW w:w="0" w:type="auto"/>
            <w:vMerge w:val="restart"/>
            <w:vAlign w:val="center"/>
          </w:tcPr>
          <w:p w14:paraId="2964DD9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房屋内设施</w:t>
            </w:r>
          </w:p>
        </w:tc>
        <w:tc>
          <w:tcPr>
            <w:tcW w:w="1432" w:type="dxa"/>
            <w:vMerge w:val="restart"/>
            <w:shd w:val="clear" w:color="auto" w:fill="auto"/>
            <w:vAlign w:val="center"/>
          </w:tcPr>
          <w:p w14:paraId="1D94D83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吊顶</w:t>
            </w:r>
          </w:p>
        </w:tc>
        <w:tc>
          <w:tcPr>
            <w:tcW w:w="3686" w:type="dxa"/>
            <w:shd w:val="clear" w:color="auto" w:fill="auto"/>
            <w:vAlign w:val="center"/>
          </w:tcPr>
          <w:p w14:paraId="7236E2C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编织袋吊顶</w:t>
            </w:r>
          </w:p>
        </w:tc>
        <w:tc>
          <w:tcPr>
            <w:tcW w:w="1115" w:type="dxa"/>
            <w:shd w:val="clear" w:color="auto" w:fill="auto"/>
            <w:vAlign w:val="center"/>
          </w:tcPr>
          <w:p w14:paraId="3EA8079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5元/㎡</w:t>
            </w:r>
          </w:p>
        </w:tc>
        <w:tc>
          <w:tcPr>
            <w:tcW w:w="1769" w:type="dxa"/>
            <w:shd w:val="clear" w:color="auto" w:fill="auto"/>
            <w:vAlign w:val="center"/>
          </w:tcPr>
          <w:p w14:paraId="4F376D4A" w14:textId="77777777" w:rsidR="00A320E6" w:rsidRDefault="00A320E6" w:rsidP="00320C3C">
            <w:pPr>
              <w:jc w:val="left"/>
              <w:rPr>
                <w:rFonts w:ascii="宋体" w:hAnsi="宋体" w:cs="宋体"/>
                <w:kern w:val="0"/>
                <w:szCs w:val="21"/>
              </w:rPr>
            </w:pPr>
          </w:p>
        </w:tc>
      </w:tr>
      <w:tr w:rsidR="00A320E6" w14:paraId="7AB1216A" w14:textId="77777777" w:rsidTr="008B03FA">
        <w:trPr>
          <w:trHeight w:val="312"/>
          <w:jc w:val="center"/>
        </w:trPr>
        <w:tc>
          <w:tcPr>
            <w:tcW w:w="0" w:type="auto"/>
            <w:vMerge/>
            <w:vAlign w:val="center"/>
          </w:tcPr>
          <w:p w14:paraId="735E1A05" w14:textId="77777777" w:rsidR="00A320E6" w:rsidRDefault="00A320E6" w:rsidP="00320C3C">
            <w:pPr>
              <w:jc w:val="center"/>
              <w:rPr>
                <w:rFonts w:ascii="宋体" w:hAnsi="宋体" w:cs="宋体"/>
                <w:kern w:val="0"/>
                <w:szCs w:val="21"/>
              </w:rPr>
            </w:pPr>
          </w:p>
        </w:tc>
        <w:tc>
          <w:tcPr>
            <w:tcW w:w="0" w:type="auto"/>
            <w:vMerge/>
            <w:vAlign w:val="center"/>
          </w:tcPr>
          <w:p w14:paraId="7C192BA5"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6CAC66A1"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2CEA1AE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苇板吊顶</w:t>
            </w:r>
          </w:p>
        </w:tc>
        <w:tc>
          <w:tcPr>
            <w:tcW w:w="1115" w:type="dxa"/>
            <w:shd w:val="clear" w:color="auto" w:fill="auto"/>
            <w:vAlign w:val="center"/>
          </w:tcPr>
          <w:p w14:paraId="2C17303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w:t>
            </w:r>
          </w:p>
        </w:tc>
        <w:tc>
          <w:tcPr>
            <w:tcW w:w="1769" w:type="dxa"/>
            <w:shd w:val="clear" w:color="auto" w:fill="auto"/>
            <w:vAlign w:val="center"/>
          </w:tcPr>
          <w:p w14:paraId="10A08F96" w14:textId="77777777" w:rsidR="00A320E6" w:rsidRDefault="00A320E6" w:rsidP="00320C3C">
            <w:pPr>
              <w:jc w:val="left"/>
              <w:rPr>
                <w:rFonts w:ascii="宋体" w:hAnsi="宋体" w:cs="宋体"/>
                <w:kern w:val="0"/>
                <w:szCs w:val="21"/>
              </w:rPr>
            </w:pPr>
          </w:p>
        </w:tc>
      </w:tr>
      <w:tr w:rsidR="00A320E6" w14:paraId="023608C1" w14:textId="77777777" w:rsidTr="008B03FA">
        <w:trPr>
          <w:trHeight w:val="312"/>
          <w:jc w:val="center"/>
        </w:trPr>
        <w:tc>
          <w:tcPr>
            <w:tcW w:w="0" w:type="auto"/>
            <w:vMerge/>
            <w:vAlign w:val="center"/>
          </w:tcPr>
          <w:p w14:paraId="785BDAFD" w14:textId="77777777" w:rsidR="00A320E6" w:rsidRDefault="00A320E6" w:rsidP="00320C3C">
            <w:pPr>
              <w:jc w:val="center"/>
              <w:rPr>
                <w:rFonts w:ascii="宋体" w:hAnsi="宋体" w:cs="宋体"/>
                <w:kern w:val="0"/>
                <w:szCs w:val="21"/>
              </w:rPr>
            </w:pPr>
          </w:p>
        </w:tc>
        <w:tc>
          <w:tcPr>
            <w:tcW w:w="0" w:type="auto"/>
            <w:vMerge/>
            <w:vAlign w:val="center"/>
          </w:tcPr>
          <w:p w14:paraId="76ED02EF"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7D9681BB"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1FBED5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石膏板吊顶</w:t>
            </w:r>
          </w:p>
        </w:tc>
        <w:tc>
          <w:tcPr>
            <w:tcW w:w="1115" w:type="dxa"/>
            <w:shd w:val="clear" w:color="auto" w:fill="auto"/>
            <w:vAlign w:val="center"/>
          </w:tcPr>
          <w:p w14:paraId="08CC75E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w:t>
            </w:r>
          </w:p>
        </w:tc>
        <w:tc>
          <w:tcPr>
            <w:tcW w:w="1769" w:type="dxa"/>
            <w:shd w:val="clear" w:color="auto" w:fill="auto"/>
            <w:vAlign w:val="center"/>
          </w:tcPr>
          <w:p w14:paraId="26D2DB5B" w14:textId="77777777" w:rsidR="00A320E6" w:rsidRDefault="00A320E6" w:rsidP="00320C3C">
            <w:pPr>
              <w:jc w:val="left"/>
              <w:rPr>
                <w:rFonts w:ascii="宋体" w:hAnsi="宋体" w:cs="宋体"/>
                <w:kern w:val="0"/>
                <w:szCs w:val="21"/>
              </w:rPr>
            </w:pPr>
          </w:p>
        </w:tc>
      </w:tr>
      <w:tr w:rsidR="00A320E6" w14:paraId="215B08F0" w14:textId="77777777" w:rsidTr="008B03FA">
        <w:trPr>
          <w:trHeight w:val="312"/>
          <w:jc w:val="center"/>
        </w:trPr>
        <w:tc>
          <w:tcPr>
            <w:tcW w:w="0" w:type="auto"/>
            <w:vMerge/>
            <w:vAlign w:val="center"/>
          </w:tcPr>
          <w:p w14:paraId="6DFA8DA8" w14:textId="77777777" w:rsidR="00A320E6" w:rsidRDefault="00A320E6" w:rsidP="00320C3C">
            <w:pPr>
              <w:jc w:val="center"/>
              <w:rPr>
                <w:rFonts w:ascii="宋体" w:hAnsi="宋体" w:cs="宋体"/>
                <w:kern w:val="0"/>
                <w:szCs w:val="21"/>
              </w:rPr>
            </w:pPr>
          </w:p>
        </w:tc>
        <w:tc>
          <w:tcPr>
            <w:tcW w:w="0" w:type="auto"/>
            <w:vMerge/>
            <w:vAlign w:val="center"/>
          </w:tcPr>
          <w:p w14:paraId="4019530E"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26941595"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A0CB24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pvc吊顶</w:t>
            </w:r>
          </w:p>
        </w:tc>
        <w:tc>
          <w:tcPr>
            <w:tcW w:w="1115" w:type="dxa"/>
            <w:shd w:val="clear" w:color="auto" w:fill="auto"/>
            <w:vAlign w:val="center"/>
          </w:tcPr>
          <w:p w14:paraId="741FE34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w:t>
            </w:r>
          </w:p>
        </w:tc>
        <w:tc>
          <w:tcPr>
            <w:tcW w:w="1769" w:type="dxa"/>
            <w:shd w:val="clear" w:color="auto" w:fill="auto"/>
            <w:vAlign w:val="center"/>
          </w:tcPr>
          <w:p w14:paraId="065FB979" w14:textId="77777777" w:rsidR="00A320E6" w:rsidRDefault="00A320E6" w:rsidP="00320C3C">
            <w:pPr>
              <w:jc w:val="left"/>
              <w:rPr>
                <w:rFonts w:ascii="宋体" w:hAnsi="宋体" w:cs="宋体"/>
                <w:kern w:val="0"/>
                <w:szCs w:val="21"/>
              </w:rPr>
            </w:pPr>
          </w:p>
        </w:tc>
      </w:tr>
      <w:tr w:rsidR="00A320E6" w14:paraId="4FE6C70C" w14:textId="77777777" w:rsidTr="008B03FA">
        <w:trPr>
          <w:trHeight w:val="312"/>
          <w:jc w:val="center"/>
        </w:trPr>
        <w:tc>
          <w:tcPr>
            <w:tcW w:w="0" w:type="auto"/>
            <w:vMerge/>
            <w:shd w:val="clear" w:color="auto" w:fill="auto"/>
            <w:vAlign w:val="center"/>
          </w:tcPr>
          <w:p w14:paraId="3C729895"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13546B37"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28A1E3B7"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65A9A8F0"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龙骨架</w:t>
            </w:r>
          </w:p>
        </w:tc>
        <w:tc>
          <w:tcPr>
            <w:tcW w:w="1115" w:type="dxa"/>
            <w:shd w:val="clear" w:color="auto" w:fill="auto"/>
            <w:vAlign w:val="center"/>
          </w:tcPr>
          <w:p w14:paraId="38C2E7A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w:t>
            </w:r>
          </w:p>
        </w:tc>
        <w:tc>
          <w:tcPr>
            <w:tcW w:w="1769" w:type="dxa"/>
            <w:shd w:val="clear" w:color="auto" w:fill="auto"/>
            <w:vAlign w:val="center"/>
          </w:tcPr>
          <w:p w14:paraId="283D39FF" w14:textId="77777777" w:rsidR="00A320E6" w:rsidRDefault="00A320E6" w:rsidP="00320C3C">
            <w:pPr>
              <w:jc w:val="left"/>
              <w:rPr>
                <w:rFonts w:ascii="宋体" w:hAnsi="宋体" w:cs="宋体"/>
                <w:kern w:val="0"/>
                <w:szCs w:val="21"/>
              </w:rPr>
            </w:pPr>
          </w:p>
        </w:tc>
      </w:tr>
      <w:tr w:rsidR="00A320E6" w14:paraId="0E1835F4" w14:textId="77777777" w:rsidTr="008B03FA">
        <w:trPr>
          <w:trHeight w:val="312"/>
          <w:jc w:val="center"/>
        </w:trPr>
        <w:tc>
          <w:tcPr>
            <w:tcW w:w="0" w:type="auto"/>
            <w:vMerge/>
            <w:vAlign w:val="center"/>
          </w:tcPr>
          <w:p w14:paraId="636F0846" w14:textId="77777777" w:rsidR="00A320E6" w:rsidRDefault="00A320E6" w:rsidP="00320C3C">
            <w:pPr>
              <w:jc w:val="center"/>
              <w:rPr>
                <w:rFonts w:ascii="宋体" w:hAnsi="宋体" w:cs="宋体"/>
                <w:kern w:val="0"/>
                <w:szCs w:val="21"/>
              </w:rPr>
            </w:pPr>
          </w:p>
        </w:tc>
        <w:tc>
          <w:tcPr>
            <w:tcW w:w="0" w:type="auto"/>
            <w:vMerge/>
            <w:vAlign w:val="center"/>
          </w:tcPr>
          <w:p w14:paraId="359D5B5E" w14:textId="77777777" w:rsidR="00A320E6" w:rsidRDefault="00A320E6" w:rsidP="00320C3C">
            <w:pPr>
              <w:jc w:val="center"/>
              <w:rPr>
                <w:rFonts w:ascii="宋体" w:hAnsi="宋体" w:cs="宋体"/>
                <w:kern w:val="0"/>
                <w:szCs w:val="21"/>
              </w:rPr>
            </w:pPr>
          </w:p>
        </w:tc>
        <w:tc>
          <w:tcPr>
            <w:tcW w:w="1432" w:type="dxa"/>
            <w:vMerge w:val="restart"/>
            <w:shd w:val="clear" w:color="auto" w:fill="auto"/>
            <w:vAlign w:val="center"/>
          </w:tcPr>
          <w:p w14:paraId="70C6FB3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室内地面</w:t>
            </w:r>
          </w:p>
        </w:tc>
        <w:tc>
          <w:tcPr>
            <w:tcW w:w="3686" w:type="dxa"/>
            <w:shd w:val="clear" w:color="auto" w:fill="auto"/>
            <w:vAlign w:val="center"/>
          </w:tcPr>
          <w:p w14:paraId="1CA1480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水泥地面</w:t>
            </w:r>
          </w:p>
        </w:tc>
        <w:tc>
          <w:tcPr>
            <w:tcW w:w="1115" w:type="dxa"/>
            <w:shd w:val="clear" w:color="auto" w:fill="auto"/>
            <w:vAlign w:val="center"/>
          </w:tcPr>
          <w:p w14:paraId="7255DBF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w:t>
            </w:r>
          </w:p>
        </w:tc>
        <w:tc>
          <w:tcPr>
            <w:tcW w:w="1769" w:type="dxa"/>
            <w:shd w:val="clear" w:color="auto" w:fill="auto"/>
            <w:vAlign w:val="center"/>
          </w:tcPr>
          <w:p w14:paraId="62E53467" w14:textId="77777777" w:rsidR="00A320E6" w:rsidRDefault="00A320E6" w:rsidP="00320C3C">
            <w:pPr>
              <w:jc w:val="left"/>
              <w:rPr>
                <w:rFonts w:ascii="宋体" w:hAnsi="宋体" w:cs="宋体"/>
                <w:kern w:val="0"/>
                <w:szCs w:val="21"/>
              </w:rPr>
            </w:pPr>
          </w:p>
        </w:tc>
      </w:tr>
      <w:tr w:rsidR="00A320E6" w14:paraId="2DFD9CFA" w14:textId="77777777" w:rsidTr="008B03FA">
        <w:trPr>
          <w:trHeight w:val="312"/>
          <w:jc w:val="center"/>
        </w:trPr>
        <w:tc>
          <w:tcPr>
            <w:tcW w:w="0" w:type="auto"/>
            <w:vMerge/>
            <w:vAlign w:val="center"/>
          </w:tcPr>
          <w:p w14:paraId="51DA7FA5" w14:textId="77777777" w:rsidR="00A320E6" w:rsidRDefault="00A320E6" w:rsidP="00320C3C">
            <w:pPr>
              <w:jc w:val="center"/>
              <w:rPr>
                <w:rFonts w:ascii="宋体" w:hAnsi="宋体" w:cs="宋体"/>
                <w:kern w:val="0"/>
                <w:szCs w:val="21"/>
              </w:rPr>
            </w:pPr>
          </w:p>
        </w:tc>
        <w:tc>
          <w:tcPr>
            <w:tcW w:w="0" w:type="auto"/>
            <w:vMerge/>
            <w:vAlign w:val="center"/>
          </w:tcPr>
          <w:p w14:paraId="465FCB03"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63FC0569"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5668666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地板砖地面</w:t>
            </w:r>
          </w:p>
        </w:tc>
        <w:tc>
          <w:tcPr>
            <w:tcW w:w="1115" w:type="dxa"/>
            <w:shd w:val="clear" w:color="auto" w:fill="auto"/>
            <w:vAlign w:val="center"/>
          </w:tcPr>
          <w:p w14:paraId="7E2CA44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25元/㎡</w:t>
            </w:r>
          </w:p>
        </w:tc>
        <w:tc>
          <w:tcPr>
            <w:tcW w:w="1769" w:type="dxa"/>
            <w:shd w:val="clear" w:color="auto" w:fill="auto"/>
            <w:vAlign w:val="center"/>
          </w:tcPr>
          <w:p w14:paraId="11A6259C" w14:textId="77777777" w:rsidR="00A320E6" w:rsidRDefault="00A320E6" w:rsidP="00320C3C">
            <w:pPr>
              <w:jc w:val="left"/>
              <w:rPr>
                <w:rFonts w:ascii="宋体" w:hAnsi="宋体" w:cs="宋体"/>
                <w:kern w:val="0"/>
                <w:szCs w:val="21"/>
              </w:rPr>
            </w:pPr>
          </w:p>
        </w:tc>
      </w:tr>
      <w:tr w:rsidR="00A320E6" w14:paraId="25794C39" w14:textId="77777777" w:rsidTr="008B03FA">
        <w:trPr>
          <w:trHeight w:val="312"/>
          <w:jc w:val="center"/>
        </w:trPr>
        <w:tc>
          <w:tcPr>
            <w:tcW w:w="0" w:type="auto"/>
            <w:vMerge/>
            <w:vAlign w:val="center"/>
          </w:tcPr>
          <w:p w14:paraId="757BEB59" w14:textId="77777777" w:rsidR="00A320E6" w:rsidRDefault="00A320E6" w:rsidP="00320C3C">
            <w:pPr>
              <w:jc w:val="center"/>
              <w:rPr>
                <w:rFonts w:ascii="宋体" w:hAnsi="宋体" w:cs="宋体"/>
                <w:kern w:val="0"/>
                <w:szCs w:val="21"/>
              </w:rPr>
            </w:pPr>
          </w:p>
        </w:tc>
        <w:tc>
          <w:tcPr>
            <w:tcW w:w="0" w:type="auto"/>
            <w:vMerge/>
            <w:vAlign w:val="center"/>
          </w:tcPr>
          <w:p w14:paraId="2E00AEF1"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6B4425E5"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306EB3E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砖地面</w:t>
            </w:r>
          </w:p>
        </w:tc>
        <w:tc>
          <w:tcPr>
            <w:tcW w:w="1115" w:type="dxa"/>
            <w:shd w:val="clear" w:color="auto" w:fill="auto"/>
            <w:vAlign w:val="center"/>
          </w:tcPr>
          <w:p w14:paraId="21F9A77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w:t>
            </w:r>
          </w:p>
        </w:tc>
        <w:tc>
          <w:tcPr>
            <w:tcW w:w="1769" w:type="dxa"/>
            <w:shd w:val="clear" w:color="auto" w:fill="auto"/>
            <w:vAlign w:val="center"/>
          </w:tcPr>
          <w:p w14:paraId="019AAA06" w14:textId="77777777" w:rsidR="00A320E6" w:rsidRDefault="00A320E6" w:rsidP="00320C3C">
            <w:pPr>
              <w:jc w:val="left"/>
              <w:rPr>
                <w:rFonts w:ascii="宋体" w:hAnsi="宋体" w:cs="宋体"/>
                <w:kern w:val="0"/>
                <w:szCs w:val="21"/>
              </w:rPr>
            </w:pPr>
          </w:p>
        </w:tc>
      </w:tr>
      <w:tr w:rsidR="00A320E6" w14:paraId="2231EDDA" w14:textId="77777777" w:rsidTr="008B03FA">
        <w:trPr>
          <w:trHeight w:val="312"/>
          <w:jc w:val="center"/>
        </w:trPr>
        <w:tc>
          <w:tcPr>
            <w:tcW w:w="0" w:type="auto"/>
            <w:vMerge/>
            <w:vAlign w:val="center"/>
          </w:tcPr>
          <w:p w14:paraId="396DE859" w14:textId="77777777" w:rsidR="00A320E6" w:rsidRDefault="00A320E6" w:rsidP="00320C3C">
            <w:pPr>
              <w:jc w:val="center"/>
              <w:rPr>
                <w:rFonts w:ascii="宋体" w:hAnsi="宋体" w:cs="宋体"/>
                <w:kern w:val="0"/>
                <w:szCs w:val="21"/>
              </w:rPr>
            </w:pPr>
          </w:p>
        </w:tc>
        <w:tc>
          <w:tcPr>
            <w:tcW w:w="0" w:type="auto"/>
            <w:vMerge/>
            <w:vAlign w:val="center"/>
          </w:tcPr>
          <w:p w14:paraId="487761CE"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26EFF84D"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5F155AF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地板革</w:t>
            </w:r>
          </w:p>
        </w:tc>
        <w:tc>
          <w:tcPr>
            <w:tcW w:w="1115" w:type="dxa"/>
            <w:shd w:val="clear" w:color="auto" w:fill="auto"/>
            <w:vAlign w:val="center"/>
          </w:tcPr>
          <w:p w14:paraId="5150A4E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w:t>
            </w:r>
          </w:p>
        </w:tc>
        <w:tc>
          <w:tcPr>
            <w:tcW w:w="1769" w:type="dxa"/>
            <w:shd w:val="clear" w:color="auto" w:fill="auto"/>
            <w:vAlign w:val="center"/>
          </w:tcPr>
          <w:p w14:paraId="1DD22714" w14:textId="77777777" w:rsidR="00A320E6" w:rsidRDefault="00A320E6" w:rsidP="00320C3C">
            <w:pPr>
              <w:jc w:val="left"/>
              <w:rPr>
                <w:rFonts w:ascii="宋体" w:hAnsi="宋体" w:cs="宋体"/>
                <w:kern w:val="0"/>
                <w:szCs w:val="21"/>
              </w:rPr>
            </w:pPr>
          </w:p>
        </w:tc>
      </w:tr>
      <w:tr w:rsidR="00A320E6" w14:paraId="629F3A75" w14:textId="77777777" w:rsidTr="008B03FA">
        <w:trPr>
          <w:trHeight w:val="312"/>
          <w:jc w:val="center"/>
        </w:trPr>
        <w:tc>
          <w:tcPr>
            <w:tcW w:w="0" w:type="auto"/>
            <w:vMerge/>
            <w:vAlign w:val="center"/>
          </w:tcPr>
          <w:p w14:paraId="707E97E3" w14:textId="77777777" w:rsidR="00A320E6" w:rsidRDefault="00A320E6" w:rsidP="00320C3C">
            <w:pPr>
              <w:jc w:val="center"/>
              <w:rPr>
                <w:rFonts w:ascii="宋体" w:hAnsi="宋体" w:cs="宋体"/>
                <w:kern w:val="0"/>
                <w:szCs w:val="21"/>
              </w:rPr>
            </w:pPr>
          </w:p>
        </w:tc>
        <w:tc>
          <w:tcPr>
            <w:tcW w:w="0" w:type="auto"/>
            <w:vMerge/>
            <w:vAlign w:val="center"/>
          </w:tcPr>
          <w:p w14:paraId="4395DB8C"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67145BE7"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316A92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大理石</w:t>
            </w:r>
          </w:p>
        </w:tc>
        <w:tc>
          <w:tcPr>
            <w:tcW w:w="1115" w:type="dxa"/>
            <w:shd w:val="clear" w:color="auto" w:fill="auto"/>
            <w:vAlign w:val="center"/>
          </w:tcPr>
          <w:p w14:paraId="6763F6C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w:t>
            </w:r>
          </w:p>
        </w:tc>
        <w:tc>
          <w:tcPr>
            <w:tcW w:w="1769" w:type="dxa"/>
            <w:shd w:val="clear" w:color="auto" w:fill="auto"/>
            <w:vAlign w:val="center"/>
          </w:tcPr>
          <w:p w14:paraId="00FF7103" w14:textId="77777777" w:rsidR="00A320E6" w:rsidRDefault="00A320E6" w:rsidP="00320C3C">
            <w:pPr>
              <w:jc w:val="left"/>
              <w:rPr>
                <w:rFonts w:ascii="宋体" w:hAnsi="宋体" w:cs="宋体"/>
                <w:kern w:val="0"/>
                <w:szCs w:val="21"/>
              </w:rPr>
            </w:pPr>
          </w:p>
        </w:tc>
      </w:tr>
      <w:tr w:rsidR="00A320E6" w14:paraId="5229490F" w14:textId="77777777" w:rsidTr="008B03FA">
        <w:trPr>
          <w:trHeight w:val="312"/>
          <w:jc w:val="center"/>
        </w:trPr>
        <w:tc>
          <w:tcPr>
            <w:tcW w:w="0" w:type="auto"/>
            <w:vMerge/>
            <w:vAlign w:val="center"/>
          </w:tcPr>
          <w:p w14:paraId="11928774" w14:textId="77777777" w:rsidR="00A320E6" w:rsidRDefault="00A320E6" w:rsidP="00320C3C">
            <w:pPr>
              <w:jc w:val="center"/>
              <w:rPr>
                <w:rFonts w:ascii="宋体" w:hAnsi="宋体" w:cs="宋体"/>
                <w:kern w:val="0"/>
                <w:szCs w:val="21"/>
              </w:rPr>
            </w:pPr>
          </w:p>
        </w:tc>
        <w:tc>
          <w:tcPr>
            <w:tcW w:w="0" w:type="auto"/>
            <w:vMerge/>
            <w:vAlign w:val="center"/>
          </w:tcPr>
          <w:p w14:paraId="3D633021"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213A244D"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4E8F6E4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木地板</w:t>
            </w:r>
          </w:p>
        </w:tc>
        <w:tc>
          <w:tcPr>
            <w:tcW w:w="1115" w:type="dxa"/>
            <w:shd w:val="clear" w:color="auto" w:fill="auto"/>
            <w:vAlign w:val="center"/>
          </w:tcPr>
          <w:p w14:paraId="6F8728A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w:t>
            </w:r>
          </w:p>
        </w:tc>
        <w:tc>
          <w:tcPr>
            <w:tcW w:w="1769" w:type="dxa"/>
            <w:shd w:val="clear" w:color="auto" w:fill="auto"/>
            <w:vAlign w:val="center"/>
          </w:tcPr>
          <w:p w14:paraId="2F2FA713" w14:textId="77777777" w:rsidR="00A320E6" w:rsidRDefault="00A320E6" w:rsidP="00320C3C">
            <w:pPr>
              <w:jc w:val="left"/>
              <w:rPr>
                <w:rFonts w:ascii="宋体" w:hAnsi="宋体" w:cs="宋体"/>
                <w:kern w:val="0"/>
                <w:szCs w:val="21"/>
              </w:rPr>
            </w:pPr>
          </w:p>
        </w:tc>
      </w:tr>
      <w:tr w:rsidR="00A320E6" w14:paraId="3B5C1137" w14:textId="77777777" w:rsidTr="008B03FA">
        <w:trPr>
          <w:trHeight w:val="312"/>
          <w:jc w:val="center"/>
        </w:trPr>
        <w:tc>
          <w:tcPr>
            <w:tcW w:w="0" w:type="auto"/>
            <w:vMerge/>
            <w:vAlign w:val="center"/>
          </w:tcPr>
          <w:p w14:paraId="14E4B764" w14:textId="77777777" w:rsidR="00A320E6" w:rsidRDefault="00A320E6" w:rsidP="00320C3C">
            <w:pPr>
              <w:jc w:val="center"/>
              <w:rPr>
                <w:rFonts w:ascii="宋体" w:hAnsi="宋体" w:cs="宋体"/>
                <w:kern w:val="0"/>
                <w:szCs w:val="21"/>
              </w:rPr>
            </w:pPr>
          </w:p>
        </w:tc>
        <w:tc>
          <w:tcPr>
            <w:tcW w:w="0" w:type="auto"/>
            <w:vMerge/>
            <w:vAlign w:val="center"/>
          </w:tcPr>
          <w:p w14:paraId="255C433C" w14:textId="77777777" w:rsidR="00A320E6" w:rsidRDefault="00A320E6" w:rsidP="00320C3C">
            <w:pPr>
              <w:jc w:val="center"/>
              <w:rPr>
                <w:rFonts w:ascii="宋体" w:hAnsi="宋体" w:cs="宋体"/>
                <w:kern w:val="0"/>
                <w:szCs w:val="21"/>
              </w:rPr>
            </w:pPr>
          </w:p>
        </w:tc>
        <w:tc>
          <w:tcPr>
            <w:tcW w:w="1432" w:type="dxa"/>
            <w:vMerge w:val="restart"/>
            <w:shd w:val="clear" w:color="auto" w:fill="auto"/>
            <w:vAlign w:val="center"/>
          </w:tcPr>
          <w:p w14:paraId="5F8C085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外墙面</w:t>
            </w:r>
          </w:p>
        </w:tc>
        <w:tc>
          <w:tcPr>
            <w:tcW w:w="3686" w:type="dxa"/>
            <w:shd w:val="clear" w:color="auto" w:fill="auto"/>
            <w:vAlign w:val="center"/>
          </w:tcPr>
          <w:p w14:paraId="1A2916F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水泥抹灰</w:t>
            </w:r>
          </w:p>
        </w:tc>
        <w:tc>
          <w:tcPr>
            <w:tcW w:w="1115" w:type="dxa"/>
            <w:shd w:val="clear" w:color="auto" w:fill="auto"/>
            <w:vAlign w:val="center"/>
          </w:tcPr>
          <w:p w14:paraId="356323B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w:t>
            </w:r>
          </w:p>
        </w:tc>
        <w:tc>
          <w:tcPr>
            <w:tcW w:w="1769" w:type="dxa"/>
            <w:shd w:val="clear" w:color="auto" w:fill="auto"/>
            <w:vAlign w:val="center"/>
          </w:tcPr>
          <w:p w14:paraId="375E652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 xml:space="preserve">　不重复计算。</w:t>
            </w:r>
          </w:p>
        </w:tc>
      </w:tr>
      <w:tr w:rsidR="00A320E6" w14:paraId="745A68C8" w14:textId="77777777" w:rsidTr="008B03FA">
        <w:trPr>
          <w:trHeight w:val="312"/>
          <w:jc w:val="center"/>
        </w:trPr>
        <w:tc>
          <w:tcPr>
            <w:tcW w:w="0" w:type="auto"/>
            <w:vMerge/>
            <w:shd w:val="clear" w:color="auto" w:fill="auto"/>
            <w:vAlign w:val="center"/>
          </w:tcPr>
          <w:p w14:paraId="560D48B7"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56AB773C"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0B0A2213"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EC9EE3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水刷石</w:t>
            </w:r>
          </w:p>
        </w:tc>
        <w:tc>
          <w:tcPr>
            <w:tcW w:w="1115" w:type="dxa"/>
            <w:shd w:val="clear" w:color="auto" w:fill="auto"/>
            <w:vAlign w:val="center"/>
          </w:tcPr>
          <w:p w14:paraId="43C5BB5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w:t>
            </w:r>
          </w:p>
        </w:tc>
        <w:tc>
          <w:tcPr>
            <w:tcW w:w="1769" w:type="dxa"/>
            <w:shd w:val="clear" w:color="auto" w:fill="auto"/>
            <w:vAlign w:val="center"/>
          </w:tcPr>
          <w:p w14:paraId="13B07A8F" w14:textId="77777777" w:rsidR="00A320E6" w:rsidRDefault="00A320E6" w:rsidP="00320C3C">
            <w:pPr>
              <w:jc w:val="left"/>
              <w:rPr>
                <w:rFonts w:ascii="宋体" w:hAnsi="宋体" w:cs="宋体"/>
                <w:kern w:val="0"/>
                <w:szCs w:val="21"/>
              </w:rPr>
            </w:pPr>
          </w:p>
        </w:tc>
      </w:tr>
      <w:tr w:rsidR="00A320E6" w14:paraId="57C85D57" w14:textId="77777777" w:rsidTr="008B03FA">
        <w:trPr>
          <w:trHeight w:val="312"/>
          <w:jc w:val="center"/>
        </w:trPr>
        <w:tc>
          <w:tcPr>
            <w:tcW w:w="0" w:type="auto"/>
            <w:vMerge/>
            <w:vAlign w:val="center"/>
          </w:tcPr>
          <w:p w14:paraId="4B72C0A2" w14:textId="77777777" w:rsidR="00A320E6" w:rsidRDefault="00A320E6" w:rsidP="00320C3C">
            <w:pPr>
              <w:jc w:val="center"/>
              <w:rPr>
                <w:rFonts w:ascii="宋体" w:hAnsi="宋体" w:cs="宋体"/>
                <w:kern w:val="0"/>
                <w:szCs w:val="21"/>
              </w:rPr>
            </w:pPr>
          </w:p>
        </w:tc>
        <w:tc>
          <w:tcPr>
            <w:tcW w:w="0" w:type="auto"/>
            <w:vMerge/>
            <w:vAlign w:val="center"/>
          </w:tcPr>
          <w:p w14:paraId="0C54E9FC"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30A127F0"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3185EF4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外墙涂料</w:t>
            </w:r>
          </w:p>
        </w:tc>
        <w:tc>
          <w:tcPr>
            <w:tcW w:w="1115" w:type="dxa"/>
            <w:shd w:val="clear" w:color="auto" w:fill="auto"/>
            <w:vAlign w:val="center"/>
          </w:tcPr>
          <w:p w14:paraId="7A39C03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w:t>
            </w:r>
          </w:p>
        </w:tc>
        <w:tc>
          <w:tcPr>
            <w:tcW w:w="1769" w:type="dxa"/>
            <w:shd w:val="clear" w:color="auto" w:fill="auto"/>
            <w:vAlign w:val="center"/>
          </w:tcPr>
          <w:p w14:paraId="148F47F6" w14:textId="77777777" w:rsidR="00A320E6" w:rsidRDefault="00A320E6" w:rsidP="00320C3C">
            <w:pPr>
              <w:jc w:val="left"/>
              <w:rPr>
                <w:rFonts w:ascii="宋体" w:hAnsi="宋体" w:cs="宋体"/>
                <w:kern w:val="0"/>
                <w:szCs w:val="21"/>
              </w:rPr>
            </w:pPr>
          </w:p>
        </w:tc>
      </w:tr>
      <w:tr w:rsidR="00A320E6" w14:paraId="42F0E096" w14:textId="77777777" w:rsidTr="008B03FA">
        <w:trPr>
          <w:trHeight w:val="312"/>
          <w:jc w:val="center"/>
        </w:trPr>
        <w:tc>
          <w:tcPr>
            <w:tcW w:w="0" w:type="auto"/>
            <w:vMerge/>
            <w:vAlign w:val="center"/>
          </w:tcPr>
          <w:p w14:paraId="3CB1BC8E" w14:textId="77777777" w:rsidR="00A320E6" w:rsidRDefault="00A320E6" w:rsidP="00320C3C">
            <w:pPr>
              <w:jc w:val="center"/>
              <w:rPr>
                <w:rFonts w:ascii="宋体" w:hAnsi="宋体" w:cs="宋体"/>
                <w:kern w:val="0"/>
                <w:szCs w:val="21"/>
              </w:rPr>
            </w:pPr>
          </w:p>
        </w:tc>
        <w:tc>
          <w:tcPr>
            <w:tcW w:w="0" w:type="auto"/>
            <w:vMerge/>
            <w:vAlign w:val="center"/>
          </w:tcPr>
          <w:p w14:paraId="099B6749"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29D60AE0"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36C056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外墙瓷砖</w:t>
            </w:r>
          </w:p>
        </w:tc>
        <w:tc>
          <w:tcPr>
            <w:tcW w:w="1115" w:type="dxa"/>
            <w:shd w:val="clear" w:color="auto" w:fill="auto"/>
            <w:vAlign w:val="center"/>
          </w:tcPr>
          <w:p w14:paraId="3218D61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25元/㎡</w:t>
            </w:r>
          </w:p>
        </w:tc>
        <w:tc>
          <w:tcPr>
            <w:tcW w:w="1769" w:type="dxa"/>
            <w:shd w:val="clear" w:color="auto" w:fill="auto"/>
            <w:vAlign w:val="center"/>
          </w:tcPr>
          <w:p w14:paraId="7DDA836D" w14:textId="77777777" w:rsidR="00A320E6" w:rsidRDefault="00A320E6" w:rsidP="00320C3C">
            <w:pPr>
              <w:jc w:val="left"/>
              <w:rPr>
                <w:rFonts w:ascii="宋体" w:hAnsi="宋体" w:cs="宋体"/>
                <w:kern w:val="0"/>
                <w:szCs w:val="21"/>
              </w:rPr>
            </w:pPr>
          </w:p>
        </w:tc>
      </w:tr>
      <w:tr w:rsidR="00A320E6" w14:paraId="214BC2C2" w14:textId="77777777" w:rsidTr="008B03FA">
        <w:trPr>
          <w:trHeight w:val="312"/>
          <w:jc w:val="center"/>
        </w:trPr>
        <w:tc>
          <w:tcPr>
            <w:tcW w:w="0" w:type="auto"/>
            <w:vMerge w:val="restart"/>
            <w:vAlign w:val="center"/>
          </w:tcPr>
          <w:p w14:paraId="2DE4BB3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22</w:t>
            </w:r>
          </w:p>
        </w:tc>
        <w:tc>
          <w:tcPr>
            <w:tcW w:w="0" w:type="auto"/>
            <w:vMerge w:val="restart"/>
            <w:vAlign w:val="center"/>
          </w:tcPr>
          <w:p w14:paraId="3AEF66A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迁移</w:t>
            </w:r>
          </w:p>
        </w:tc>
        <w:tc>
          <w:tcPr>
            <w:tcW w:w="1432" w:type="dxa"/>
            <w:shd w:val="clear" w:color="auto" w:fill="auto"/>
            <w:vAlign w:val="center"/>
          </w:tcPr>
          <w:p w14:paraId="0D41F28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天线</w:t>
            </w:r>
          </w:p>
        </w:tc>
        <w:tc>
          <w:tcPr>
            <w:tcW w:w="3686" w:type="dxa"/>
            <w:shd w:val="clear" w:color="auto" w:fill="auto"/>
            <w:vAlign w:val="center"/>
          </w:tcPr>
          <w:p w14:paraId="3602FBE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天线</w:t>
            </w:r>
          </w:p>
        </w:tc>
        <w:tc>
          <w:tcPr>
            <w:tcW w:w="1115" w:type="dxa"/>
            <w:shd w:val="clear" w:color="auto" w:fill="auto"/>
            <w:vAlign w:val="center"/>
          </w:tcPr>
          <w:p w14:paraId="2B87210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50元/套</w:t>
            </w:r>
          </w:p>
        </w:tc>
        <w:tc>
          <w:tcPr>
            <w:tcW w:w="1769" w:type="dxa"/>
            <w:shd w:val="clear" w:color="auto" w:fill="auto"/>
            <w:vAlign w:val="center"/>
          </w:tcPr>
          <w:p w14:paraId="7A0B5F16" w14:textId="77777777" w:rsidR="00A320E6" w:rsidRDefault="00A320E6" w:rsidP="00320C3C">
            <w:pPr>
              <w:jc w:val="left"/>
              <w:rPr>
                <w:rFonts w:ascii="宋体" w:hAnsi="宋体" w:cs="宋体"/>
                <w:kern w:val="0"/>
                <w:szCs w:val="21"/>
              </w:rPr>
            </w:pPr>
          </w:p>
        </w:tc>
      </w:tr>
      <w:tr w:rsidR="00A320E6" w14:paraId="033D2795" w14:textId="77777777" w:rsidTr="008B03FA">
        <w:trPr>
          <w:trHeight w:val="312"/>
          <w:jc w:val="center"/>
        </w:trPr>
        <w:tc>
          <w:tcPr>
            <w:tcW w:w="0" w:type="auto"/>
            <w:vMerge/>
            <w:vAlign w:val="center"/>
          </w:tcPr>
          <w:p w14:paraId="727B5860" w14:textId="77777777" w:rsidR="00A320E6" w:rsidRDefault="00A320E6" w:rsidP="00320C3C">
            <w:pPr>
              <w:jc w:val="center"/>
              <w:rPr>
                <w:rFonts w:ascii="宋体" w:hAnsi="宋体" w:cs="宋体"/>
                <w:kern w:val="0"/>
                <w:szCs w:val="21"/>
              </w:rPr>
            </w:pPr>
          </w:p>
        </w:tc>
        <w:tc>
          <w:tcPr>
            <w:tcW w:w="0" w:type="auto"/>
            <w:vMerge/>
            <w:vAlign w:val="center"/>
          </w:tcPr>
          <w:p w14:paraId="00FA5B2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F87BFC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自来水</w:t>
            </w:r>
          </w:p>
        </w:tc>
        <w:tc>
          <w:tcPr>
            <w:tcW w:w="3686" w:type="dxa"/>
            <w:shd w:val="clear" w:color="auto" w:fill="auto"/>
            <w:vAlign w:val="center"/>
          </w:tcPr>
          <w:p w14:paraId="35D63D7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自来水</w:t>
            </w:r>
          </w:p>
        </w:tc>
        <w:tc>
          <w:tcPr>
            <w:tcW w:w="1115" w:type="dxa"/>
            <w:shd w:val="clear" w:color="auto" w:fill="auto"/>
            <w:vAlign w:val="center"/>
          </w:tcPr>
          <w:p w14:paraId="7700FEB1"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200元/套</w:t>
            </w:r>
          </w:p>
        </w:tc>
        <w:tc>
          <w:tcPr>
            <w:tcW w:w="1769" w:type="dxa"/>
            <w:shd w:val="clear" w:color="auto" w:fill="auto"/>
            <w:vAlign w:val="center"/>
          </w:tcPr>
          <w:p w14:paraId="7C37C994" w14:textId="77777777" w:rsidR="00A320E6" w:rsidRDefault="00A320E6" w:rsidP="00320C3C">
            <w:pPr>
              <w:jc w:val="left"/>
              <w:rPr>
                <w:rFonts w:ascii="宋体" w:hAnsi="宋体" w:cs="宋体"/>
                <w:kern w:val="0"/>
                <w:szCs w:val="21"/>
              </w:rPr>
            </w:pPr>
          </w:p>
        </w:tc>
      </w:tr>
      <w:tr w:rsidR="00A320E6" w14:paraId="11583DE1" w14:textId="77777777" w:rsidTr="008B03FA">
        <w:trPr>
          <w:trHeight w:val="312"/>
          <w:jc w:val="center"/>
        </w:trPr>
        <w:tc>
          <w:tcPr>
            <w:tcW w:w="0" w:type="auto"/>
            <w:vMerge/>
            <w:vAlign w:val="center"/>
          </w:tcPr>
          <w:p w14:paraId="5C24397F" w14:textId="77777777" w:rsidR="00A320E6" w:rsidRDefault="00A320E6" w:rsidP="00320C3C">
            <w:pPr>
              <w:jc w:val="center"/>
              <w:rPr>
                <w:rFonts w:ascii="宋体" w:hAnsi="宋体" w:cs="宋体"/>
                <w:kern w:val="0"/>
                <w:szCs w:val="21"/>
              </w:rPr>
            </w:pPr>
          </w:p>
        </w:tc>
        <w:tc>
          <w:tcPr>
            <w:tcW w:w="0" w:type="auto"/>
            <w:vMerge/>
            <w:vAlign w:val="center"/>
          </w:tcPr>
          <w:p w14:paraId="74BEAA15"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18FDC8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石狮子</w:t>
            </w:r>
          </w:p>
        </w:tc>
        <w:tc>
          <w:tcPr>
            <w:tcW w:w="3686" w:type="dxa"/>
            <w:shd w:val="clear" w:color="auto" w:fill="auto"/>
            <w:vAlign w:val="center"/>
          </w:tcPr>
          <w:p w14:paraId="170B9B9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石狮子</w:t>
            </w:r>
          </w:p>
        </w:tc>
        <w:tc>
          <w:tcPr>
            <w:tcW w:w="1115" w:type="dxa"/>
            <w:shd w:val="clear" w:color="auto" w:fill="auto"/>
            <w:vAlign w:val="center"/>
          </w:tcPr>
          <w:p w14:paraId="335C5EA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50元/个</w:t>
            </w:r>
          </w:p>
        </w:tc>
        <w:tc>
          <w:tcPr>
            <w:tcW w:w="1769" w:type="dxa"/>
            <w:shd w:val="clear" w:color="auto" w:fill="auto"/>
            <w:vAlign w:val="center"/>
          </w:tcPr>
          <w:p w14:paraId="79A6DC24" w14:textId="77777777" w:rsidR="00A320E6" w:rsidRDefault="00A320E6" w:rsidP="00320C3C">
            <w:pPr>
              <w:jc w:val="left"/>
              <w:rPr>
                <w:rFonts w:ascii="宋体" w:hAnsi="宋体" w:cs="宋体"/>
                <w:kern w:val="0"/>
                <w:szCs w:val="21"/>
              </w:rPr>
            </w:pPr>
          </w:p>
        </w:tc>
      </w:tr>
      <w:tr w:rsidR="00A320E6" w14:paraId="7CAA3459" w14:textId="77777777" w:rsidTr="008B03FA">
        <w:trPr>
          <w:trHeight w:val="312"/>
          <w:jc w:val="center"/>
        </w:trPr>
        <w:tc>
          <w:tcPr>
            <w:tcW w:w="0" w:type="auto"/>
            <w:vMerge/>
            <w:vAlign w:val="center"/>
          </w:tcPr>
          <w:p w14:paraId="014A8A54" w14:textId="77777777" w:rsidR="00A320E6" w:rsidRDefault="00A320E6" w:rsidP="00320C3C">
            <w:pPr>
              <w:jc w:val="center"/>
              <w:rPr>
                <w:rFonts w:ascii="宋体" w:hAnsi="宋体" w:cs="宋体"/>
                <w:kern w:val="0"/>
                <w:szCs w:val="21"/>
              </w:rPr>
            </w:pPr>
          </w:p>
        </w:tc>
        <w:tc>
          <w:tcPr>
            <w:tcW w:w="0" w:type="auto"/>
            <w:vMerge/>
            <w:vAlign w:val="center"/>
          </w:tcPr>
          <w:p w14:paraId="23A964B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3489ED7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土暖</w:t>
            </w:r>
          </w:p>
        </w:tc>
        <w:tc>
          <w:tcPr>
            <w:tcW w:w="3686" w:type="dxa"/>
            <w:shd w:val="clear" w:color="auto" w:fill="auto"/>
            <w:vAlign w:val="center"/>
          </w:tcPr>
          <w:p w14:paraId="2A68C96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土暖</w:t>
            </w:r>
          </w:p>
        </w:tc>
        <w:tc>
          <w:tcPr>
            <w:tcW w:w="1115" w:type="dxa"/>
            <w:shd w:val="clear" w:color="auto" w:fill="auto"/>
            <w:vAlign w:val="center"/>
          </w:tcPr>
          <w:p w14:paraId="1103A00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1000元/套</w:t>
            </w:r>
          </w:p>
        </w:tc>
        <w:tc>
          <w:tcPr>
            <w:tcW w:w="1769" w:type="dxa"/>
            <w:shd w:val="clear" w:color="auto" w:fill="auto"/>
            <w:vAlign w:val="center"/>
          </w:tcPr>
          <w:p w14:paraId="531F8E7D" w14:textId="77777777" w:rsidR="00A320E6" w:rsidRDefault="00A320E6" w:rsidP="00320C3C">
            <w:pPr>
              <w:jc w:val="left"/>
              <w:rPr>
                <w:rFonts w:ascii="宋体" w:hAnsi="宋体" w:cs="宋体"/>
                <w:kern w:val="0"/>
                <w:szCs w:val="21"/>
              </w:rPr>
            </w:pPr>
          </w:p>
        </w:tc>
      </w:tr>
      <w:tr w:rsidR="00A320E6" w14:paraId="2585F1B4" w14:textId="77777777" w:rsidTr="008B03FA">
        <w:trPr>
          <w:trHeight w:val="312"/>
          <w:jc w:val="center"/>
        </w:trPr>
        <w:tc>
          <w:tcPr>
            <w:tcW w:w="0" w:type="auto"/>
            <w:vMerge/>
            <w:vAlign w:val="center"/>
          </w:tcPr>
          <w:p w14:paraId="28A7483F" w14:textId="77777777" w:rsidR="00A320E6" w:rsidRDefault="00A320E6" w:rsidP="00320C3C">
            <w:pPr>
              <w:jc w:val="center"/>
              <w:rPr>
                <w:rFonts w:ascii="宋体" w:hAnsi="宋体" w:cs="宋体"/>
                <w:kern w:val="0"/>
                <w:szCs w:val="21"/>
              </w:rPr>
            </w:pPr>
          </w:p>
        </w:tc>
        <w:tc>
          <w:tcPr>
            <w:tcW w:w="0" w:type="auto"/>
            <w:vMerge/>
            <w:vAlign w:val="center"/>
          </w:tcPr>
          <w:p w14:paraId="348B73ED"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4EB192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钢板房（可移动）</w:t>
            </w:r>
          </w:p>
        </w:tc>
        <w:tc>
          <w:tcPr>
            <w:tcW w:w="3686" w:type="dxa"/>
            <w:shd w:val="clear" w:color="auto" w:fill="auto"/>
            <w:vAlign w:val="center"/>
          </w:tcPr>
          <w:p w14:paraId="2A31912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钢板房（可移动）</w:t>
            </w:r>
          </w:p>
        </w:tc>
        <w:tc>
          <w:tcPr>
            <w:tcW w:w="1115" w:type="dxa"/>
            <w:shd w:val="clear" w:color="auto" w:fill="auto"/>
            <w:vAlign w:val="center"/>
          </w:tcPr>
          <w:p w14:paraId="4A9ACC7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120元/㎡</w:t>
            </w:r>
          </w:p>
        </w:tc>
        <w:tc>
          <w:tcPr>
            <w:tcW w:w="1769" w:type="dxa"/>
            <w:shd w:val="clear" w:color="auto" w:fill="auto"/>
            <w:vAlign w:val="center"/>
          </w:tcPr>
          <w:p w14:paraId="2FA34474" w14:textId="77777777" w:rsidR="00A320E6" w:rsidRDefault="00A320E6" w:rsidP="00320C3C">
            <w:pPr>
              <w:jc w:val="left"/>
              <w:rPr>
                <w:rFonts w:ascii="宋体" w:hAnsi="宋体" w:cs="宋体"/>
                <w:kern w:val="0"/>
                <w:szCs w:val="21"/>
              </w:rPr>
            </w:pPr>
          </w:p>
        </w:tc>
      </w:tr>
      <w:tr w:rsidR="00A320E6" w14:paraId="31E3DB3A" w14:textId="77777777" w:rsidTr="008B03FA">
        <w:trPr>
          <w:trHeight w:val="312"/>
          <w:jc w:val="center"/>
        </w:trPr>
        <w:tc>
          <w:tcPr>
            <w:tcW w:w="0" w:type="auto"/>
            <w:vMerge/>
            <w:vAlign w:val="center"/>
          </w:tcPr>
          <w:p w14:paraId="1E965EE2" w14:textId="77777777" w:rsidR="00A320E6" w:rsidRDefault="00A320E6" w:rsidP="00320C3C">
            <w:pPr>
              <w:jc w:val="center"/>
              <w:rPr>
                <w:rFonts w:ascii="宋体" w:hAnsi="宋体" w:cs="宋体"/>
                <w:kern w:val="0"/>
                <w:szCs w:val="21"/>
              </w:rPr>
            </w:pPr>
          </w:p>
        </w:tc>
        <w:tc>
          <w:tcPr>
            <w:tcW w:w="0" w:type="auto"/>
            <w:vMerge/>
            <w:vAlign w:val="center"/>
          </w:tcPr>
          <w:p w14:paraId="09C2CB70"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103382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有线电视</w:t>
            </w:r>
          </w:p>
        </w:tc>
        <w:tc>
          <w:tcPr>
            <w:tcW w:w="3686" w:type="dxa"/>
            <w:shd w:val="clear" w:color="auto" w:fill="auto"/>
            <w:vAlign w:val="center"/>
          </w:tcPr>
          <w:p w14:paraId="438E911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有线电视</w:t>
            </w:r>
          </w:p>
        </w:tc>
        <w:tc>
          <w:tcPr>
            <w:tcW w:w="1115" w:type="dxa"/>
            <w:shd w:val="clear" w:color="auto" w:fill="auto"/>
            <w:vAlign w:val="center"/>
          </w:tcPr>
          <w:p w14:paraId="4F617739"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200元/套</w:t>
            </w:r>
          </w:p>
        </w:tc>
        <w:tc>
          <w:tcPr>
            <w:tcW w:w="1769" w:type="dxa"/>
            <w:shd w:val="clear" w:color="auto" w:fill="auto"/>
            <w:vAlign w:val="center"/>
          </w:tcPr>
          <w:p w14:paraId="6927AB4F" w14:textId="77777777" w:rsidR="00A320E6" w:rsidRDefault="00A320E6" w:rsidP="00320C3C">
            <w:pPr>
              <w:jc w:val="left"/>
              <w:rPr>
                <w:rFonts w:ascii="宋体" w:hAnsi="宋体" w:cs="宋体"/>
                <w:kern w:val="0"/>
                <w:szCs w:val="21"/>
              </w:rPr>
            </w:pPr>
          </w:p>
        </w:tc>
      </w:tr>
      <w:tr w:rsidR="00A320E6" w14:paraId="5B3929BB" w14:textId="77777777" w:rsidTr="008B03FA">
        <w:trPr>
          <w:trHeight w:val="312"/>
          <w:jc w:val="center"/>
        </w:trPr>
        <w:tc>
          <w:tcPr>
            <w:tcW w:w="0" w:type="auto"/>
            <w:vMerge/>
            <w:vAlign w:val="center"/>
          </w:tcPr>
          <w:p w14:paraId="0D5E1EA2" w14:textId="77777777" w:rsidR="00A320E6" w:rsidRDefault="00A320E6" w:rsidP="00320C3C">
            <w:pPr>
              <w:jc w:val="center"/>
              <w:rPr>
                <w:rFonts w:ascii="宋体" w:hAnsi="宋体" w:cs="宋体"/>
                <w:kern w:val="0"/>
                <w:szCs w:val="21"/>
              </w:rPr>
            </w:pPr>
          </w:p>
        </w:tc>
        <w:tc>
          <w:tcPr>
            <w:tcW w:w="0" w:type="auto"/>
            <w:vMerge/>
            <w:vAlign w:val="center"/>
          </w:tcPr>
          <w:p w14:paraId="6EC9E92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302F8E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网线</w:t>
            </w:r>
          </w:p>
        </w:tc>
        <w:tc>
          <w:tcPr>
            <w:tcW w:w="3686" w:type="dxa"/>
            <w:shd w:val="clear" w:color="auto" w:fill="auto"/>
            <w:vAlign w:val="center"/>
          </w:tcPr>
          <w:p w14:paraId="341481E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网线</w:t>
            </w:r>
          </w:p>
        </w:tc>
        <w:tc>
          <w:tcPr>
            <w:tcW w:w="1115" w:type="dxa"/>
            <w:shd w:val="clear" w:color="auto" w:fill="auto"/>
            <w:vAlign w:val="center"/>
          </w:tcPr>
          <w:p w14:paraId="11C9352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100元/套</w:t>
            </w:r>
          </w:p>
        </w:tc>
        <w:tc>
          <w:tcPr>
            <w:tcW w:w="1769" w:type="dxa"/>
            <w:shd w:val="clear" w:color="auto" w:fill="auto"/>
            <w:vAlign w:val="center"/>
          </w:tcPr>
          <w:p w14:paraId="6F0984D1" w14:textId="77777777" w:rsidR="00A320E6" w:rsidRDefault="00A320E6" w:rsidP="00320C3C">
            <w:pPr>
              <w:jc w:val="left"/>
              <w:rPr>
                <w:rFonts w:ascii="宋体" w:hAnsi="宋体" w:cs="宋体"/>
                <w:kern w:val="0"/>
                <w:szCs w:val="21"/>
              </w:rPr>
            </w:pPr>
          </w:p>
        </w:tc>
      </w:tr>
      <w:tr w:rsidR="00A320E6" w14:paraId="3EDE6B76" w14:textId="77777777" w:rsidTr="008B03FA">
        <w:trPr>
          <w:trHeight w:val="312"/>
          <w:jc w:val="center"/>
        </w:trPr>
        <w:tc>
          <w:tcPr>
            <w:tcW w:w="0" w:type="auto"/>
            <w:vMerge/>
            <w:vAlign w:val="center"/>
          </w:tcPr>
          <w:p w14:paraId="3B02C2AD" w14:textId="77777777" w:rsidR="00A320E6" w:rsidRDefault="00A320E6" w:rsidP="00320C3C">
            <w:pPr>
              <w:jc w:val="center"/>
              <w:rPr>
                <w:rFonts w:ascii="宋体" w:hAnsi="宋体" w:cs="宋体"/>
                <w:kern w:val="0"/>
                <w:szCs w:val="21"/>
              </w:rPr>
            </w:pPr>
          </w:p>
        </w:tc>
        <w:tc>
          <w:tcPr>
            <w:tcW w:w="0" w:type="auto"/>
            <w:vMerge/>
            <w:vAlign w:val="center"/>
          </w:tcPr>
          <w:p w14:paraId="73F3353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44DA56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空调</w:t>
            </w:r>
          </w:p>
        </w:tc>
        <w:tc>
          <w:tcPr>
            <w:tcW w:w="3686" w:type="dxa"/>
            <w:shd w:val="clear" w:color="auto" w:fill="auto"/>
            <w:vAlign w:val="center"/>
          </w:tcPr>
          <w:p w14:paraId="41CEFDD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空调</w:t>
            </w:r>
          </w:p>
        </w:tc>
        <w:tc>
          <w:tcPr>
            <w:tcW w:w="1115" w:type="dxa"/>
            <w:shd w:val="clear" w:color="auto" w:fill="auto"/>
            <w:vAlign w:val="center"/>
          </w:tcPr>
          <w:p w14:paraId="3CEDEFE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150元/台</w:t>
            </w:r>
          </w:p>
        </w:tc>
        <w:tc>
          <w:tcPr>
            <w:tcW w:w="1769" w:type="dxa"/>
            <w:shd w:val="clear" w:color="auto" w:fill="auto"/>
            <w:vAlign w:val="center"/>
          </w:tcPr>
          <w:p w14:paraId="0F18A0D3" w14:textId="77777777" w:rsidR="00A320E6" w:rsidRDefault="00A320E6" w:rsidP="00320C3C">
            <w:pPr>
              <w:jc w:val="left"/>
              <w:rPr>
                <w:rFonts w:ascii="宋体" w:hAnsi="宋体" w:cs="宋体"/>
                <w:kern w:val="0"/>
                <w:szCs w:val="21"/>
              </w:rPr>
            </w:pPr>
          </w:p>
        </w:tc>
      </w:tr>
      <w:tr w:rsidR="00A320E6" w14:paraId="68749AF4" w14:textId="77777777" w:rsidTr="008B03FA">
        <w:trPr>
          <w:trHeight w:val="312"/>
          <w:jc w:val="center"/>
        </w:trPr>
        <w:tc>
          <w:tcPr>
            <w:tcW w:w="0" w:type="auto"/>
            <w:vMerge/>
            <w:vAlign w:val="center"/>
          </w:tcPr>
          <w:p w14:paraId="75CD592B" w14:textId="77777777" w:rsidR="00A320E6" w:rsidRDefault="00A320E6" w:rsidP="00320C3C">
            <w:pPr>
              <w:jc w:val="center"/>
              <w:rPr>
                <w:rFonts w:ascii="宋体" w:hAnsi="宋体" w:cs="宋体"/>
                <w:kern w:val="0"/>
                <w:szCs w:val="21"/>
              </w:rPr>
            </w:pPr>
          </w:p>
        </w:tc>
        <w:tc>
          <w:tcPr>
            <w:tcW w:w="0" w:type="auto"/>
            <w:vMerge/>
            <w:vAlign w:val="center"/>
          </w:tcPr>
          <w:p w14:paraId="61E2B583"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515A5C3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太阳能</w:t>
            </w:r>
          </w:p>
        </w:tc>
        <w:tc>
          <w:tcPr>
            <w:tcW w:w="3686" w:type="dxa"/>
            <w:shd w:val="clear" w:color="auto" w:fill="auto"/>
            <w:vAlign w:val="center"/>
          </w:tcPr>
          <w:p w14:paraId="128FE2C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太阳能</w:t>
            </w:r>
          </w:p>
        </w:tc>
        <w:tc>
          <w:tcPr>
            <w:tcW w:w="1115" w:type="dxa"/>
            <w:shd w:val="clear" w:color="auto" w:fill="auto"/>
            <w:vAlign w:val="center"/>
          </w:tcPr>
          <w:p w14:paraId="34FC96E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150元/个</w:t>
            </w:r>
          </w:p>
        </w:tc>
        <w:tc>
          <w:tcPr>
            <w:tcW w:w="1769" w:type="dxa"/>
            <w:shd w:val="clear" w:color="auto" w:fill="auto"/>
            <w:vAlign w:val="center"/>
          </w:tcPr>
          <w:p w14:paraId="59352FB8" w14:textId="77777777" w:rsidR="00A320E6" w:rsidRDefault="00A320E6" w:rsidP="00320C3C">
            <w:pPr>
              <w:jc w:val="left"/>
              <w:rPr>
                <w:rFonts w:ascii="宋体" w:hAnsi="宋体" w:cs="宋体"/>
                <w:kern w:val="0"/>
                <w:szCs w:val="21"/>
              </w:rPr>
            </w:pPr>
          </w:p>
        </w:tc>
      </w:tr>
      <w:tr w:rsidR="00A320E6" w14:paraId="77AF87C5" w14:textId="77777777" w:rsidTr="008B03FA">
        <w:trPr>
          <w:trHeight w:val="312"/>
          <w:jc w:val="center"/>
        </w:trPr>
        <w:tc>
          <w:tcPr>
            <w:tcW w:w="0" w:type="auto"/>
            <w:vMerge/>
            <w:vAlign w:val="center"/>
          </w:tcPr>
          <w:p w14:paraId="5C697F2C" w14:textId="77777777" w:rsidR="00A320E6" w:rsidRDefault="00A320E6" w:rsidP="00320C3C">
            <w:pPr>
              <w:jc w:val="center"/>
              <w:rPr>
                <w:rFonts w:ascii="宋体" w:hAnsi="宋体" w:cs="宋体"/>
                <w:kern w:val="0"/>
                <w:szCs w:val="21"/>
              </w:rPr>
            </w:pPr>
          </w:p>
        </w:tc>
        <w:tc>
          <w:tcPr>
            <w:tcW w:w="0" w:type="auto"/>
            <w:vMerge/>
            <w:vAlign w:val="center"/>
          </w:tcPr>
          <w:p w14:paraId="5640907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5F37BD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卷帘门</w:t>
            </w:r>
          </w:p>
        </w:tc>
        <w:tc>
          <w:tcPr>
            <w:tcW w:w="3686" w:type="dxa"/>
            <w:shd w:val="clear" w:color="auto" w:fill="auto"/>
            <w:vAlign w:val="center"/>
          </w:tcPr>
          <w:p w14:paraId="68E22FE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卷帘门</w:t>
            </w:r>
          </w:p>
        </w:tc>
        <w:tc>
          <w:tcPr>
            <w:tcW w:w="1115" w:type="dxa"/>
            <w:shd w:val="clear" w:color="auto" w:fill="auto"/>
            <w:vAlign w:val="center"/>
          </w:tcPr>
          <w:p w14:paraId="4853CFF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80元/扇</w:t>
            </w:r>
          </w:p>
        </w:tc>
        <w:tc>
          <w:tcPr>
            <w:tcW w:w="1769" w:type="dxa"/>
            <w:shd w:val="clear" w:color="auto" w:fill="auto"/>
            <w:vAlign w:val="center"/>
          </w:tcPr>
          <w:p w14:paraId="525DE88F" w14:textId="77777777" w:rsidR="00A320E6" w:rsidRDefault="00A320E6" w:rsidP="00320C3C">
            <w:pPr>
              <w:jc w:val="left"/>
              <w:rPr>
                <w:rFonts w:ascii="宋体" w:hAnsi="宋体" w:cs="宋体"/>
                <w:kern w:val="0"/>
                <w:szCs w:val="21"/>
              </w:rPr>
            </w:pPr>
          </w:p>
        </w:tc>
      </w:tr>
      <w:tr w:rsidR="00A320E6" w14:paraId="6ED894DF" w14:textId="77777777" w:rsidTr="008B03FA">
        <w:trPr>
          <w:trHeight w:val="312"/>
          <w:jc w:val="center"/>
        </w:trPr>
        <w:tc>
          <w:tcPr>
            <w:tcW w:w="0" w:type="auto"/>
            <w:vMerge/>
            <w:vAlign w:val="center"/>
          </w:tcPr>
          <w:p w14:paraId="23F877E5" w14:textId="77777777" w:rsidR="00A320E6" w:rsidRDefault="00A320E6" w:rsidP="00320C3C">
            <w:pPr>
              <w:jc w:val="center"/>
              <w:rPr>
                <w:rFonts w:ascii="宋体" w:hAnsi="宋体" w:cs="宋体"/>
                <w:kern w:val="0"/>
                <w:szCs w:val="21"/>
              </w:rPr>
            </w:pPr>
          </w:p>
        </w:tc>
        <w:tc>
          <w:tcPr>
            <w:tcW w:w="0" w:type="auto"/>
            <w:vMerge/>
            <w:vAlign w:val="center"/>
          </w:tcPr>
          <w:p w14:paraId="0E1C5241"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F8C34B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卷帘窗</w:t>
            </w:r>
          </w:p>
        </w:tc>
        <w:tc>
          <w:tcPr>
            <w:tcW w:w="3686" w:type="dxa"/>
            <w:shd w:val="clear" w:color="auto" w:fill="auto"/>
            <w:vAlign w:val="center"/>
          </w:tcPr>
          <w:p w14:paraId="70CF5E04"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卷帘窗</w:t>
            </w:r>
          </w:p>
        </w:tc>
        <w:tc>
          <w:tcPr>
            <w:tcW w:w="1115" w:type="dxa"/>
            <w:shd w:val="clear" w:color="auto" w:fill="auto"/>
            <w:vAlign w:val="center"/>
          </w:tcPr>
          <w:p w14:paraId="5E56C44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50元/扇</w:t>
            </w:r>
          </w:p>
        </w:tc>
        <w:tc>
          <w:tcPr>
            <w:tcW w:w="1769" w:type="dxa"/>
            <w:shd w:val="clear" w:color="auto" w:fill="auto"/>
            <w:vAlign w:val="center"/>
          </w:tcPr>
          <w:p w14:paraId="41B599C3" w14:textId="77777777" w:rsidR="00A320E6" w:rsidRDefault="00A320E6" w:rsidP="00320C3C">
            <w:pPr>
              <w:jc w:val="left"/>
              <w:rPr>
                <w:rFonts w:ascii="宋体" w:hAnsi="宋体" w:cs="宋体"/>
                <w:kern w:val="0"/>
                <w:szCs w:val="21"/>
              </w:rPr>
            </w:pPr>
          </w:p>
        </w:tc>
      </w:tr>
      <w:tr w:rsidR="00A320E6" w14:paraId="327C57E3" w14:textId="77777777" w:rsidTr="008B03FA">
        <w:trPr>
          <w:trHeight w:val="312"/>
          <w:jc w:val="center"/>
        </w:trPr>
        <w:tc>
          <w:tcPr>
            <w:tcW w:w="0" w:type="auto"/>
            <w:vMerge/>
            <w:shd w:val="clear" w:color="auto" w:fill="auto"/>
            <w:vAlign w:val="center"/>
          </w:tcPr>
          <w:p w14:paraId="05D41059"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3383D803"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402AEF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供水压力罐</w:t>
            </w:r>
          </w:p>
        </w:tc>
        <w:tc>
          <w:tcPr>
            <w:tcW w:w="3686" w:type="dxa"/>
            <w:shd w:val="clear" w:color="auto" w:fill="auto"/>
            <w:vAlign w:val="center"/>
          </w:tcPr>
          <w:p w14:paraId="55FF760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供水压力罐</w:t>
            </w:r>
          </w:p>
        </w:tc>
        <w:tc>
          <w:tcPr>
            <w:tcW w:w="1115" w:type="dxa"/>
            <w:shd w:val="clear" w:color="auto" w:fill="auto"/>
            <w:vAlign w:val="center"/>
          </w:tcPr>
          <w:p w14:paraId="445FAFC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80元/个</w:t>
            </w:r>
          </w:p>
        </w:tc>
        <w:tc>
          <w:tcPr>
            <w:tcW w:w="1769" w:type="dxa"/>
            <w:shd w:val="clear" w:color="auto" w:fill="auto"/>
            <w:vAlign w:val="center"/>
          </w:tcPr>
          <w:p w14:paraId="25E738D7" w14:textId="77777777" w:rsidR="00A320E6" w:rsidRDefault="00A320E6" w:rsidP="00320C3C">
            <w:pPr>
              <w:jc w:val="left"/>
              <w:rPr>
                <w:rFonts w:ascii="宋体" w:hAnsi="宋体" w:cs="宋体"/>
                <w:kern w:val="0"/>
                <w:szCs w:val="21"/>
              </w:rPr>
            </w:pPr>
          </w:p>
        </w:tc>
      </w:tr>
      <w:tr w:rsidR="00A320E6" w14:paraId="7414C1C9" w14:textId="77777777" w:rsidTr="008B03FA">
        <w:trPr>
          <w:trHeight w:val="312"/>
          <w:jc w:val="center"/>
        </w:trPr>
        <w:tc>
          <w:tcPr>
            <w:tcW w:w="0" w:type="auto"/>
            <w:vMerge/>
            <w:vAlign w:val="center"/>
          </w:tcPr>
          <w:p w14:paraId="674479C0" w14:textId="77777777" w:rsidR="00A320E6" w:rsidRDefault="00A320E6" w:rsidP="00320C3C">
            <w:pPr>
              <w:jc w:val="center"/>
              <w:rPr>
                <w:rFonts w:ascii="宋体" w:hAnsi="宋体" w:cs="宋体"/>
                <w:kern w:val="0"/>
                <w:szCs w:val="21"/>
              </w:rPr>
            </w:pPr>
          </w:p>
        </w:tc>
        <w:tc>
          <w:tcPr>
            <w:tcW w:w="0" w:type="auto"/>
            <w:vMerge/>
            <w:vAlign w:val="center"/>
          </w:tcPr>
          <w:p w14:paraId="48FFB63B"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4FEDC7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监控</w:t>
            </w:r>
          </w:p>
        </w:tc>
        <w:tc>
          <w:tcPr>
            <w:tcW w:w="3686" w:type="dxa"/>
            <w:shd w:val="clear" w:color="auto" w:fill="auto"/>
            <w:vAlign w:val="center"/>
          </w:tcPr>
          <w:p w14:paraId="105C6B5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监控</w:t>
            </w:r>
          </w:p>
        </w:tc>
        <w:tc>
          <w:tcPr>
            <w:tcW w:w="1115" w:type="dxa"/>
            <w:shd w:val="clear" w:color="auto" w:fill="auto"/>
            <w:vAlign w:val="center"/>
          </w:tcPr>
          <w:p w14:paraId="448EC59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200元/套</w:t>
            </w:r>
          </w:p>
        </w:tc>
        <w:tc>
          <w:tcPr>
            <w:tcW w:w="1769" w:type="dxa"/>
            <w:shd w:val="clear" w:color="auto" w:fill="auto"/>
            <w:vAlign w:val="center"/>
          </w:tcPr>
          <w:p w14:paraId="343F1BA8" w14:textId="77777777" w:rsidR="00A320E6" w:rsidRDefault="00A320E6" w:rsidP="00320C3C">
            <w:pPr>
              <w:jc w:val="left"/>
              <w:rPr>
                <w:rFonts w:ascii="宋体" w:hAnsi="宋体" w:cs="宋体"/>
                <w:kern w:val="0"/>
                <w:szCs w:val="21"/>
              </w:rPr>
            </w:pPr>
          </w:p>
        </w:tc>
      </w:tr>
      <w:tr w:rsidR="00A320E6" w14:paraId="7089081E" w14:textId="77777777" w:rsidTr="008B03FA">
        <w:trPr>
          <w:trHeight w:val="312"/>
          <w:jc w:val="center"/>
        </w:trPr>
        <w:tc>
          <w:tcPr>
            <w:tcW w:w="0" w:type="auto"/>
            <w:vMerge/>
            <w:vAlign w:val="center"/>
          </w:tcPr>
          <w:p w14:paraId="5B5B4057" w14:textId="77777777" w:rsidR="00A320E6" w:rsidRDefault="00A320E6" w:rsidP="00320C3C">
            <w:pPr>
              <w:jc w:val="center"/>
              <w:rPr>
                <w:rFonts w:ascii="宋体" w:hAnsi="宋体" w:cs="宋体"/>
                <w:kern w:val="0"/>
                <w:szCs w:val="21"/>
              </w:rPr>
            </w:pPr>
          </w:p>
        </w:tc>
        <w:tc>
          <w:tcPr>
            <w:tcW w:w="0" w:type="auto"/>
            <w:vMerge/>
            <w:vAlign w:val="center"/>
          </w:tcPr>
          <w:p w14:paraId="56C0416A"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89A6A5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固定广告牌匾</w:t>
            </w:r>
          </w:p>
        </w:tc>
        <w:tc>
          <w:tcPr>
            <w:tcW w:w="3686" w:type="dxa"/>
            <w:shd w:val="clear" w:color="auto" w:fill="auto"/>
            <w:vAlign w:val="center"/>
          </w:tcPr>
          <w:p w14:paraId="46EEFFA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固定广告牌匾</w:t>
            </w:r>
          </w:p>
        </w:tc>
        <w:tc>
          <w:tcPr>
            <w:tcW w:w="1115" w:type="dxa"/>
            <w:shd w:val="clear" w:color="auto" w:fill="auto"/>
            <w:vAlign w:val="center"/>
          </w:tcPr>
          <w:p w14:paraId="59D24DE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150元/个</w:t>
            </w:r>
          </w:p>
        </w:tc>
        <w:tc>
          <w:tcPr>
            <w:tcW w:w="1769" w:type="dxa"/>
            <w:shd w:val="clear" w:color="auto" w:fill="auto"/>
            <w:vAlign w:val="center"/>
          </w:tcPr>
          <w:p w14:paraId="7404A05D" w14:textId="77777777" w:rsidR="00A320E6" w:rsidRDefault="00A320E6" w:rsidP="00320C3C">
            <w:pPr>
              <w:jc w:val="left"/>
              <w:rPr>
                <w:rFonts w:ascii="宋体" w:hAnsi="宋体" w:cs="宋体"/>
                <w:kern w:val="0"/>
                <w:szCs w:val="21"/>
              </w:rPr>
            </w:pPr>
          </w:p>
        </w:tc>
      </w:tr>
      <w:tr w:rsidR="00A320E6" w14:paraId="59BF6673" w14:textId="77777777" w:rsidTr="008B03FA">
        <w:trPr>
          <w:trHeight w:val="312"/>
          <w:jc w:val="center"/>
        </w:trPr>
        <w:tc>
          <w:tcPr>
            <w:tcW w:w="0" w:type="auto"/>
            <w:vMerge w:val="restart"/>
            <w:vAlign w:val="center"/>
          </w:tcPr>
          <w:p w14:paraId="54095C4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23</w:t>
            </w:r>
          </w:p>
        </w:tc>
        <w:tc>
          <w:tcPr>
            <w:tcW w:w="0" w:type="auto"/>
            <w:vMerge w:val="restart"/>
            <w:vAlign w:val="center"/>
          </w:tcPr>
          <w:p w14:paraId="062734D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装修</w:t>
            </w:r>
          </w:p>
        </w:tc>
        <w:tc>
          <w:tcPr>
            <w:tcW w:w="1432" w:type="dxa"/>
            <w:vMerge w:val="restart"/>
            <w:shd w:val="clear" w:color="auto" w:fill="auto"/>
            <w:vAlign w:val="center"/>
          </w:tcPr>
          <w:p w14:paraId="292201E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包门</w:t>
            </w:r>
          </w:p>
        </w:tc>
        <w:tc>
          <w:tcPr>
            <w:tcW w:w="3686" w:type="dxa"/>
            <w:shd w:val="clear" w:color="auto" w:fill="auto"/>
            <w:vAlign w:val="center"/>
          </w:tcPr>
          <w:p w14:paraId="18AFDBC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包门（门）</w:t>
            </w:r>
          </w:p>
        </w:tc>
        <w:tc>
          <w:tcPr>
            <w:tcW w:w="1115" w:type="dxa"/>
            <w:shd w:val="clear" w:color="auto" w:fill="auto"/>
            <w:vAlign w:val="center"/>
          </w:tcPr>
          <w:p w14:paraId="2D901BF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300元/个</w:t>
            </w:r>
          </w:p>
        </w:tc>
        <w:tc>
          <w:tcPr>
            <w:tcW w:w="1769" w:type="dxa"/>
            <w:shd w:val="clear" w:color="auto" w:fill="auto"/>
            <w:vAlign w:val="center"/>
          </w:tcPr>
          <w:p w14:paraId="0C8EB4EC" w14:textId="77777777" w:rsidR="00A320E6" w:rsidRDefault="00A320E6" w:rsidP="00320C3C">
            <w:pPr>
              <w:jc w:val="left"/>
              <w:rPr>
                <w:rFonts w:ascii="宋体" w:hAnsi="宋体" w:cs="宋体"/>
                <w:kern w:val="0"/>
                <w:szCs w:val="21"/>
              </w:rPr>
            </w:pPr>
          </w:p>
        </w:tc>
      </w:tr>
      <w:tr w:rsidR="00A320E6" w14:paraId="49C062FC" w14:textId="77777777" w:rsidTr="008B03FA">
        <w:trPr>
          <w:trHeight w:val="312"/>
          <w:jc w:val="center"/>
        </w:trPr>
        <w:tc>
          <w:tcPr>
            <w:tcW w:w="0" w:type="auto"/>
            <w:vMerge/>
            <w:vAlign w:val="center"/>
          </w:tcPr>
          <w:p w14:paraId="1ECA23C5" w14:textId="77777777" w:rsidR="00A320E6" w:rsidRDefault="00A320E6" w:rsidP="00320C3C">
            <w:pPr>
              <w:jc w:val="center"/>
              <w:rPr>
                <w:rFonts w:ascii="宋体" w:hAnsi="宋体" w:cs="宋体"/>
                <w:kern w:val="0"/>
                <w:szCs w:val="21"/>
              </w:rPr>
            </w:pPr>
          </w:p>
        </w:tc>
        <w:tc>
          <w:tcPr>
            <w:tcW w:w="0" w:type="auto"/>
            <w:vMerge/>
            <w:vAlign w:val="center"/>
          </w:tcPr>
          <w:p w14:paraId="4BCAF5D0"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4444FDB6"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25C5FE1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包门（窗）</w:t>
            </w:r>
          </w:p>
        </w:tc>
        <w:tc>
          <w:tcPr>
            <w:tcW w:w="1115" w:type="dxa"/>
            <w:shd w:val="clear" w:color="auto" w:fill="auto"/>
            <w:vAlign w:val="center"/>
          </w:tcPr>
          <w:p w14:paraId="37B1A36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200元/个</w:t>
            </w:r>
          </w:p>
        </w:tc>
        <w:tc>
          <w:tcPr>
            <w:tcW w:w="1769" w:type="dxa"/>
            <w:shd w:val="clear" w:color="auto" w:fill="auto"/>
            <w:vAlign w:val="center"/>
          </w:tcPr>
          <w:p w14:paraId="34D77C18" w14:textId="77777777" w:rsidR="00A320E6" w:rsidRDefault="00A320E6" w:rsidP="00320C3C">
            <w:pPr>
              <w:jc w:val="left"/>
              <w:rPr>
                <w:rFonts w:ascii="宋体" w:hAnsi="宋体" w:cs="宋体"/>
                <w:kern w:val="0"/>
                <w:szCs w:val="21"/>
              </w:rPr>
            </w:pPr>
          </w:p>
        </w:tc>
      </w:tr>
      <w:tr w:rsidR="00A320E6" w14:paraId="1C60F3CE" w14:textId="77777777" w:rsidTr="008B03FA">
        <w:trPr>
          <w:trHeight w:val="312"/>
          <w:jc w:val="center"/>
        </w:trPr>
        <w:tc>
          <w:tcPr>
            <w:tcW w:w="0" w:type="auto"/>
            <w:vMerge/>
            <w:vAlign w:val="center"/>
          </w:tcPr>
          <w:p w14:paraId="74A23536" w14:textId="77777777" w:rsidR="00A320E6" w:rsidRDefault="00A320E6" w:rsidP="00320C3C">
            <w:pPr>
              <w:jc w:val="center"/>
              <w:rPr>
                <w:rFonts w:ascii="宋体" w:hAnsi="宋体" w:cs="宋体"/>
                <w:kern w:val="0"/>
                <w:szCs w:val="21"/>
              </w:rPr>
            </w:pPr>
          </w:p>
        </w:tc>
        <w:tc>
          <w:tcPr>
            <w:tcW w:w="0" w:type="auto"/>
            <w:vMerge/>
            <w:vAlign w:val="center"/>
          </w:tcPr>
          <w:p w14:paraId="0DE04664"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6FF921D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楼梯扶手</w:t>
            </w:r>
          </w:p>
        </w:tc>
        <w:tc>
          <w:tcPr>
            <w:tcW w:w="3686" w:type="dxa"/>
            <w:shd w:val="clear" w:color="auto" w:fill="auto"/>
            <w:vAlign w:val="center"/>
          </w:tcPr>
          <w:p w14:paraId="4394728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铁制、不锈钢、木制</w:t>
            </w:r>
          </w:p>
        </w:tc>
        <w:tc>
          <w:tcPr>
            <w:tcW w:w="1115" w:type="dxa"/>
            <w:shd w:val="clear" w:color="auto" w:fill="auto"/>
            <w:vAlign w:val="center"/>
          </w:tcPr>
          <w:p w14:paraId="30FA5FB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30元/m</w:t>
            </w:r>
          </w:p>
        </w:tc>
        <w:tc>
          <w:tcPr>
            <w:tcW w:w="1769" w:type="dxa"/>
            <w:shd w:val="clear" w:color="auto" w:fill="auto"/>
            <w:vAlign w:val="center"/>
          </w:tcPr>
          <w:p w14:paraId="1036AB94" w14:textId="77777777" w:rsidR="00A320E6" w:rsidRDefault="00A320E6" w:rsidP="00320C3C">
            <w:pPr>
              <w:jc w:val="left"/>
              <w:rPr>
                <w:rFonts w:ascii="宋体" w:hAnsi="宋体" w:cs="宋体"/>
                <w:kern w:val="0"/>
                <w:szCs w:val="21"/>
              </w:rPr>
            </w:pPr>
          </w:p>
        </w:tc>
      </w:tr>
      <w:tr w:rsidR="00A320E6" w14:paraId="7DCE3341" w14:textId="77777777" w:rsidTr="008B03FA">
        <w:trPr>
          <w:trHeight w:val="312"/>
          <w:jc w:val="center"/>
        </w:trPr>
        <w:tc>
          <w:tcPr>
            <w:tcW w:w="0" w:type="auto"/>
            <w:vMerge/>
            <w:shd w:val="clear" w:color="auto" w:fill="auto"/>
            <w:vAlign w:val="center"/>
          </w:tcPr>
          <w:p w14:paraId="4E75F1AA"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1DC4D9B5"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3E0AB2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影视墙</w:t>
            </w:r>
          </w:p>
        </w:tc>
        <w:tc>
          <w:tcPr>
            <w:tcW w:w="3686" w:type="dxa"/>
            <w:shd w:val="clear" w:color="auto" w:fill="auto"/>
            <w:vAlign w:val="center"/>
          </w:tcPr>
          <w:p w14:paraId="7D12CC0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影视墙</w:t>
            </w:r>
          </w:p>
        </w:tc>
        <w:tc>
          <w:tcPr>
            <w:tcW w:w="1115" w:type="dxa"/>
            <w:shd w:val="clear" w:color="auto" w:fill="auto"/>
            <w:vAlign w:val="center"/>
          </w:tcPr>
          <w:p w14:paraId="552B53EF"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30元/㎡</w:t>
            </w:r>
          </w:p>
        </w:tc>
        <w:tc>
          <w:tcPr>
            <w:tcW w:w="1769" w:type="dxa"/>
            <w:shd w:val="clear" w:color="auto" w:fill="auto"/>
            <w:vAlign w:val="center"/>
          </w:tcPr>
          <w:p w14:paraId="7A3FD4A8" w14:textId="77777777" w:rsidR="00A320E6" w:rsidRDefault="00A320E6" w:rsidP="00320C3C">
            <w:pPr>
              <w:jc w:val="left"/>
              <w:rPr>
                <w:rFonts w:ascii="宋体" w:hAnsi="宋体" w:cs="宋体"/>
                <w:kern w:val="0"/>
                <w:szCs w:val="21"/>
              </w:rPr>
            </w:pPr>
          </w:p>
        </w:tc>
      </w:tr>
      <w:tr w:rsidR="00A320E6" w14:paraId="1E89255C" w14:textId="77777777" w:rsidTr="008B03FA">
        <w:trPr>
          <w:trHeight w:val="312"/>
          <w:jc w:val="center"/>
        </w:trPr>
        <w:tc>
          <w:tcPr>
            <w:tcW w:w="0" w:type="auto"/>
            <w:vMerge/>
            <w:vAlign w:val="center"/>
          </w:tcPr>
          <w:p w14:paraId="6A913920" w14:textId="77777777" w:rsidR="00A320E6" w:rsidRDefault="00A320E6" w:rsidP="00320C3C">
            <w:pPr>
              <w:jc w:val="center"/>
              <w:rPr>
                <w:rFonts w:ascii="宋体" w:hAnsi="宋体" w:cs="宋体"/>
                <w:kern w:val="0"/>
                <w:szCs w:val="21"/>
              </w:rPr>
            </w:pPr>
          </w:p>
        </w:tc>
        <w:tc>
          <w:tcPr>
            <w:tcW w:w="0" w:type="auto"/>
            <w:vMerge/>
            <w:vAlign w:val="center"/>
          </w:tcPr>
          <w:p w14:paraId="60496BD9"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7BBB3AE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博物架</w:t>
            </w:r>
          </w:p>
        </w:tc>
        <w:tc>
          <w:tcPr>
            <w:tcW w:w="3686" w:type="dxa"/>
            <w:shd w:val="clear" w:color="auto" w:fill="auto"/>
            <w:vAlign w:val="center"/>
          </w:tcPr>
          <w:p w14:paraId="58CF65F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博物架</w:t>
            </w:r>
          </w:p>
        </w:tc>
        <w:tc>
          <w:tcPr>
            <w:tcW w:w="1115" w:type="dxa"/>
            <w:shd w:val="clear" w:color="auto" w:fill="auto"/>
            <w:vAlign w:val="center"/>
          </w:tcPr>
          <w:p w14:paraId="2786A70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w:t>
            </w:r>
          </w:p>
        </w:tc>
        <w:tc>
          <w:tcPr>
            <w:tcW w:w="1769" w:type="dxa"/>
            <w:shd w:val="clear" w:color="auto" w:fill="auto"/>
            <w:vAlign w:val="center"/>
          </w:tcPr>
          <w:p w14:paraId="73C31853" w14:textId="77777777" w:rsidR="00A320E6" w:rsidRDefault="00A320E6" w:rsidP="00320C3C">
            <w:pPr>
              <w:jc w:val="left"/>
              <w:rPr>
                <w:rFonts w:ascii="宋体" w:hAnsi="宋体" w:cs="宋体"/>
                <w:kern w:val="0"/>
                <w:szCs w:val="21"/>
              </w:rPr>
            </w:pPr>
          </w:p>
        </w:tc>
      </w:tr>
      <w:tr w:rsidR="00A320E6" w14:paraId="2FC92CF9" w14:textId="77777777" w:rsidTr="008B03FA">
        <w:trPr>
          <w:trHeight w:val="312"/>
          <w:jc w:val="center"/>
        </w:trPr>
        <w:tc>
          <w:tcPr>
            <w:tcW w:w="0" w:type="auto"/>
            <w:vMerge/>
            <w:vAlign w:val="center"/>
          </w:tcPr>
          <w:p w14:paraId="0E6B01FB" w14:textId="77777777" w:rsidR="00A320E6" w:rsidRDefault="00A320E6" w:rsidP="00320C3C">
            <w:pPr>
              <w:jc w:val="center"/>
              <w:rPr>
                <w:rFonts w:ascii="宋体" w:hAnsi="宋体" w:cs="宋体"/>
                <w:kern w:val="0"/>
                <w:szCs w:val="21"/>
              </w:rPr>
            </w:pPr>
          </w:p>
        </w:tc>
        <w:tc>
          <w:tcPr>
            <w:tcW w:w="0" w:type="auto"/>
            <w:vMerge/>
            <w:vAlign w:val="center"/>
          </w:tcPr>
          <w:p w14:paraId="3A37BF91"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7BCFF2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壁橱、吊柜、橱柜</w:t>
            </w:r>
          </w:p>
        </w:tc>
        <w:tc>
          <w:tcPr>
            <w:tcW w:w="3686" w:type="dxa"/>
            <w:shd w:val="clear" w:color="auto" w:fill="auto"/>
            <w:vAlign w:val="center"/>
          </w:tcPr>
          <w:p w14:paraId="7895876E"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壁橱、吊柜、橱柜</w:t>
            </w:r>
          </w:p>
        </w:tc>
        <w:tc>
          <w:tcPr>
            <w:tcW w:w="1115" w:type="dxa"/>
            <w:shd w:val="clear" w:color="auto" w:fill="auto"/>
            <w:vAlign w:val="center"/>
          </w:tcPr>
          <w:p w14:paraId="1B79885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w:t>
            </w:r>
          </w:p>
        </w:tc>
        <w:tc>
          <w:tcPr>
            <w:tcW w:w="1769" w:type="dxa"/>
            <w:shd w:val="clear" w:color="auto" w:fill="auto"/>
            <w:vAlign w:val="center"/>
          </w:tcPr>
          <w:p w14:paraId="207125F0" w14:textId="77777777" w:rsidR="00A320E6" w:rsidRDefault="00A320E6" w:rsidP="00320C3C">
            <w:pPr>
              <w:jc w:val="left"/>
              <w:rPr>
                <w:rFonts w:ascii="宋体" w:hAnsi="宋体" w:cs="宋体"/>
                <w:kern w:val="0"/>
                <w:szCs w:val="21"/>
              </w:rPr>
            </w:pPr>
          </w:p>
        </w:tc>
      </w:tr>
      <w:tr w:rsidR="00A320E6" w14:paraId="1F1DF197" w14:textId="77777777" w:rsidTr="008B03FA">
        <w:trPr>
          <w:trHeight w:val="312"/>
          <w:jc w:val="center"/>
        </w:trPr>
        <w:tc>
          <w:tcPr>
            <w:tcW w:w="0" w:type="auto"/>
            <w:vMerge w:val="restart"/>
            <w:shd w:val="clear" w:color="auto" w:fill="auto"/>
            <w:vAlign w:val="center"/>
          </w:tcPr>
          <w:p w14:paraId="53CF1C8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24</w:t>
            </w:r>
          </w:p>
        </w:tc>
        <w:tc>
          <w:tcPr>
            <w:tcW w:w="0" w:type="auto"/>
            <w:vMerge w:val="restart"/>
            <w:shd w:val="clear" w:color="auto" w:fill="auto"/>
            <w:vAlign w:val="center"/>
          </w:tcPr>
          <w:p w14:paraId="4B875418"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养殖</w:t>
            </w:r>
          </w:p>
        </w:tc>
        <w:tc>
          <w:tcPr>
            <w:tcW w:w="1432" w:type="dxa"/>
            <w:shd w:val="clear" w:color="auto" w:fill="auto"/>
            <w:vAlign w:val="center"/>
          </w:tcPr>
          <w:p w14:paraId="21B1F4C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家禽</w:t>
            </w:r>
          </w:p>
        </w:tc>
        <w:tc>
          <w:tcPr>
            <w:tcW w:w="3686" w:type="dxa"/>
            <w:shd w:val="clear" w:color="auto" w:fill="auto"/>
            <w:vAlign w:val="center"/>
          </w:tcPr>
          <w:p w14:paraId="4307A0BA"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鸡、鸭、鹅、鸽、兔等</w:t>
            </w:r>
          </w:p>
        </w:tc>
        <w:tc>
          <w:tcPr>
            <w:tcW w:w="1115" w:type="dxa"/>
            <w:shd w:val="clear" w:color="auto" w:fill="auto"/>
            <w:vAlign w:val="center"/>
          </w:tcPr>
          <w:p w14:paraId="16ADC8C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3元/只</w:t>
            </w:r>
          </w:p>
        </w:tc>
        <w:tc>
          <w:tcPr>
            <w:tcW w:w="1769" w:type="dxa"/>
            <w:shd w:val="clear" w:color="auto" w:fill="auto"/>
            <w:vAlign w:val="center"/>
          </w:tcPr>
          <w:p w14:paraId="23FC3F8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大规模养殖500只以上，设施齐全。</w:t>
            </w:r>
          </w:p>
        </w:tc>
      </w:tr>
      <w:tr w:rsidR="00A320E6" w14:paraId="28BF8368" w14:textId="77777777" w:rsidTr="008B03FA">
        <w:trPr>
          <w:trHeight w:val="312"/>
          <w:jc w:val="center"/>
        </w:trPr>
        <w:tc>
          <w:tcPr>
            <w:tcW w:w="0" w:type="auto"/>
            <w:vMerge/>
            <w:vAlign w:val="center"/>
          </w:tcPr>
          <w:p w14:paraId="5AC9F5A3" w14:textId="77777777" w:rsidR="00A320E6" w:rsidRDefault="00A320E6" w:rsidP="00320C3C">
            <w:pPr>
              <w:jc w:val="center"/>
              <w:rPr>
                <w:rFonts w:ascii="宋体" w:hAnsi="宋体" w:cs="宋体"/>
                <w:kern w:val="0"/>
                <w:szCs w:val="21"/>
              </w:rPr>
            </w:pPr>
          </w:p>
        </w:tc>
        <w:tc>
          <w:tcPr>
            <w:tcW w:w="0" w:type="auto"/>
            <w:vMerge/>
            <w:vAlign w:val="center"/>
          </w:tcPr>
          <w:p w14:paraId="10E14882"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2DA751F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牲畜</w:t>
            </w:r>
          </w:p>
        </w:tc>
        <w:tc>
          <w:tcPr>
            <w:tcW w:w="3686" w:type="dxa"/>
            <w:shd w:val="clear" w:color="auto" w:fill="auto"/>
            <w:vAlign w:val="center"/>
          </w:tcPr>
          <w:p w14:paraId="0700F13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牛、马、驴、骡</w:t>
            </w:r>
          </w:p>
        </w:tc>
        <w:tc>
          <w:tcPr>
            <w:tcW w:w="1115" w:type="dxa"/>
            <w:shd w:val="clear" w:color="auto" w:fill="auto"/>
            <w:vAlign w:val="center"/>
          </w:tcPr>
          <w:p w14:paraId="4A32751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150元/头</w:t>
            </w:r>
          </w:p>
        </w:tc>
        <w:tc>
          <w:tcPr>
            <w:tcW w:w="1769" w:type="dxa"/>
            <w:shd w:val="clear" w:color="auto" w:fill="auto"/>
            <w:vAlign w:val="center"/>
          </w:tcPr>
          <w:p w14:paraId="0CC2D05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设施齐全。</w:t>
            </w:r>
          </w:p>
        </w:tc>
      </w:tr>
      <w:tr w:rsidR="00A320E6" w14:paraId="354FB461" w14:textId="77777777" w:rsidTr="008B03FA">
        <w:trPr>
          <w:trHeight w:val="312"/>
          <w:jc w:val="center"/>
        </w:trPr>
        <w:tc>
          <w:tcPr>
            <w:tcW w:w="0" w:type="auto"/>
            <w:vMerge/>
            <w:shd w:val="clear" w:color="auto" w:fill="auto"/>
            <w:vAlign w:val="center"/>
          </w:tcPr>
          <w:p w14:paraId="5620F28A" w14:textId="77777777" w:rsidR="00A320E6" w:rsidRDefault="00A320E6" w:rsidP="00320C3C">
            <w:pPr>
              <w:jc w:val="center"/>
              <w:rPr>
                <w:rFonts w:ascii="宋体" w:hAnsi="宋体" w:cs="宋体"/>
                <w:kern w:val="0"/>
                <w:szCs w:val="21"/>
              </w:rPr>
            </w:pPr>
          </w:p>
        </w:tc>
        <w:tc>
          <w:tcPr>
            <w:tcW w:w="0" w:type="auto"/>
            <w:vMerge/>
            <w:shd w:val="clear" w:color="auto" w:fill="auto"/>
            <w:vAlign w:val="center"/>
          </w:tcPr>
          <w:p w14:paraId="4905761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7190480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牲畜</w:t>
            </w:r>
          </w:p>
        </w:tc>
        <w:tc>
          <w:tcPr>
            <w:tcW w:w="3686" w:type="dxa"/>
            <w:shd w:val="clear" w:color="auto" w:fill="auto"/>
            <w:vAlign w:val="center"/>
          </w:tcPr>
          <w:p w14:paraId="47279E5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猪、羊</w:t>
            </w:r>
          </w:p>
        </w:tc>
        <w:tc>
          <w:tcPr>
            <w:tcW w:w="1115" w:type="dxa"/>
            <w:shd w:val="clear" w:color="auto" w:fill="auto"/>
            <w:vAlign w:val="center"/>
          </w:tcPr>
          <w:p w14:paraId="55F3389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100元/头、只</w:t>
            </w:r>
          </w:p>
        </w:tc>
        <w:tc>
          <w:tcPr>
            <w:tcW w:w="1769" w:type="dxa"/>
            <w:shd w:val="clear" w:color="auto" w:fill="auto"/>
            <w:vAlign w:val="center"/>
          </w:tcPr>
          <w:p w14:paraId="6ECFCF46"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猪、牛、羊等牲畜养殖，设施齐全。</w:t>
            </w:r>
          </w:p>
        </w:tc>
      </w:tr>
      <w:tr w:rsidR="00A320E6" w14:paraId="38202F01" w14:textId="77777777" w:rsidTr="008B03FA">
        <w:trPr>
          <w:trHeight w:val="312"/>
          <w:jc w:val="center"/>
        </w:trPr>
        <w:tc>
          <w:tcPr>
            <w:tcW w:w="0" w:type="auto"/>
            <w:vMerge w:val="restart"/>
            <w:vAlign w:val="center"/>
          </w:tcPr>
          <w:p w14:paraId="4DC7C222"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25</w:t>
            </w:r>
          </w:p>
        </w:tc>
        <w:tc>
          <w:tcPr>
            <w:tcW w:w="0" w:type="auto"/>
            <w:vMerge w:val="restart"/>
            <w:vAlign w:val="center"/>
          </w:tcPr>
          <w:p w14:paraId="036F647A"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其他附着物</w:t>
            </w:r>
          </w:p>
        </w:tc>
        <w:tc>
          <w:tcPr>
            <w:tcW w:w="1432" w:type="dxa"/>
            <w:vMerge w:val="restart"/>
            <w:shd w:val="clear" w:color="auto" w:fill="auto"/>
            <w:vAlign w:val="center"/>
          </w:tcPr>
          <w:p w14:paraId="636E52C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护坡</w:t>
            </w:r>
          </w:p>
        </w:tc>
        <w:tc>
          <w:tcPr>
            <w:tcW w:w="3686" w:type="dxa"/>
            <w:shd w:val="clear" w:color="auto" w:fill="auto"/>
            <w:vAlign w:val="center"/>
          </w:tcPr>
          <w:p w14:paraId="1A6B119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水泥护坡</w:t>
            </w:r>
          </w:p>
        </w:tc>
        <w:tc>
          <w:tcPr>
            <w:tcW w:w="1115" w:type="dxa"/>
            <w:shd w:val="clear" w:color="auto" w:fill="auto"/>
            <w:vAlign w:val="center"/>
          </w:tcPr>
          <w:p w14:paraId="188F5BA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w:t>
            </w:r>
          </w:p>
        </w:tc>
        <w:tc>
          <w:tcPr>
            <w:tcW w:w="1769" w:type="dxa"/>
            <w:shd w:val="clear" w:color="auto" w:fill="auto"/>
            <w:vAlign w:val="center"/>
          </w:tcPr>
          <w:p w14:paraId="4EBCB2B2" w14:textId="77777777" w:rsidR="00A320E6" w:rsidRDefault="00A320E6" w:rsidP="00320C3C">
            <w:pPr>
              <w:jc w:val="left"/>
              <w:rPr>
                <w:rFonts w:ascii="宋体" w:hAnsi="宋体" w:cs="宋体"/>
                <w:kern w:val="0"/>
                <w:szCs w:val="21"/>
              </w:rPr>
            </w:pPr>
          </w:p>
        </w:tc>
      </w:tr>
      <w:tr w:rsidR="00A320E6" w14:paraId="6FD27486" w14:textId="77777777" w:rsidTr="008B03FA">
        <w:trPr>
          <w:trHeight w:val="312"/>
          <w:jc w:val="center"/>
        </w:trPr>
        <w:tc>
          <w:tcPr>
            <w:tcW w:w="0" w:type="auto"/>
            <w:vMerge/>
            <w:vAlign w:val="center"/>
          </w:tcPr>
          <w:p w14:paraId="45B8191F" w14:textId="77777777" w:rsidR="00A320E6" w:rsidRDefault="00A320E6" w:rsidP="00320C3C">
            <w:pPr>
              <w:jc w:val="center"/>
              <w:rPr>
                <w:rFonts w:ascii="宋体" w:hAnsi="宋体" w:cs="宋体"/>
                <w:kern w:val="0"/>
                <w:szCs w:val="21"/>
              </w:rPr>
            </w:pPr>
          </w:p>
        </w:tc>
        <w:tc>
          <w:tcPr>
            <w:tcW w:w="0" w:type="auto"/>
            <w:vMerge/>
            <w:vAlign w:val="center"/>
          </w:tcPr>
          <w:p w14:paraId="42A89959"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590FB210"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4A2EFBA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砖护坡</w:t>
            </w:r>
          </w:p>
        </w:tc>
        <w:tc>
          <w:tcPr>
            <w:tcW w:w="1115" w:type="dxa"/>
            <w:shd w:val="clear" w:color="auto" w:fill="auto"/>
            <w:vAlign w:val="center"/>
          </w:tcPr>
          <w:p w14:paraId="07785E4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5元/㎡</w:t>
            </w:r>
          </w:p>
        </w:tc>
        <w:tc>
          <w:tcPr>
            <w:tcW w:w="1769" w:type="dxa"/>
            <w:shd w:val="clear" w:color="auto" w:fill="auto"/>
            <w:vAlign w:val="center"/>
          </w:tcPr>
          <w:p w14:paraId="2FC691C1" w14:textId="77777777" w:rsidR="00A320E6" w:rsidRDefault="00A320E6" w:rsidP="00320C3C">
            <w:pPr>
              <w:jc w:val="left"/>
              <w:rPr>
                <w:rFonts w:ascii="宋体" w:hAnsi="宋体" w:cs="宋体"/>
                <w:kern w:val="0"/>
                <w:szCs w:val="21"/>
              </w:rPr>
            </w:pPr>
          </w:p>
        </w:tc>
      </w:tr>
      <w:tr w:rsidR="00A320E6" w14:paraId="7CFD3114" w14:textId="77777777" w:rsidTr="008B03FA">
        <w:trPr>
          <w:trHeight w:val="312"/>
          <w:jc w:val="center"/>
        </w:trPr>
        <w:tc>
          <w:tcPr>
            <w:tcW w:w="0" w:type="auto"/>
            <w:vMerge/>
            <w:vAlign w:val="center"/>
          </w:tcPr>
          <w:p w14:paraId="77CD2998" w14:textId="77777777" w:rsidR="00A320E6" w:rsidRDefault="00A320E6" w:rsidP="00320C3C">
            <w:pPr>
              <w:jc w:val="center"/>
              <w:rPr>
                <w:rFonts w:ascii="宋体" w:hAnsi="宋体" w:cs="宋体"/>
                <w:kern w:val="0"/>
                <w:szCs w:val="21"/>
              </w:rPr>
            </w:pPr>
          </w:p>
        </w:tc>
        <w:tc>
          <w:tcPr>
            <w:tcW w:w="0" w:type="auto"/>
            <w:vMerge/>
            <w:vAlign w:val="center"/>
          </w:tcPr>
          <w:p w14:paraId="14C1A23C"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63798E91"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495F486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砂石护坡</w:t>
            </w:r>
          </w:p>
        </w:tc>
        <w:tc>
          <w:tcPr>
            <w:tcW w:w="1115" w:type="dxa"/>
            <w:shd w:val="clear" w:color="auto" w:fill="auto"/>
            <w:vAlign w:val="center"/>
          </w:tcPr>
          <w:p w14:paraId="6769C806"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3元/㎡</w:t>
            </w:r>
          </w:p>
        </w:tc>
        <w:tc>
          <w:tcPr>
            <w:tcW w:w="1769" w:type="dxa"/>
            <w:shd w:val="clear" w:color="auto" w:fill="auto"/>
            <w:vAlign w:val="center"/>
          </w:tcPr>
          <w:p w14:paraId="602B6CE3" w14:textId="77777777" w:rsidR="00A320E6" w:rsidRDefault="00A320E6" w:rsidP="00320C3C">
            <w:pPr>
              <w:jc w:val="left"/>
              <w:rPr>
                <w:rFonts w:ascii="宋体" w:hAnsi="宋体" w:cs="宋体"/>
                <w:kern w:val="0"/>
                <w:szCs w:val="21"/>
              </w:rPr>
            </w:pPr>
          </w:p>
        </w:tc>
      </w:tr>
      <w:tr w:rsidR="00A320E6" w14:paraId="14D9A664" w14:textId="77777777" w:rsidTr="008B03FA">
        <w:trPr>
          <w:trHeight w:val="312"/>
          <w:jc w:val="center"/>
        </w:trPr>
        <w:tc>
          <w:tcPr>
            <w:tcW w:w="0" w:type="auto"/>
            <w:vMerge/>
            <w:vAlign w:val="center"/>
          </w:tcPr>
          <w:p w14:paraId="1850CCB2" w14:textId="77777777" w:rsidR="00A320E6" w:rsidRDefault="00A320E6" w:rsidP="00320C3C">
            <w:pPr>
              <w:jc w:val="center"/>
              <w:rPr>
                <w:rFonts w:ascii="宋体" w:hAnsi="宋体" w:cs="宋体"/>
                <w:kern w:val="0"/>
                <w:szCs w:val="21"/>
              </w:rPr>
            </w:pPr>
          </w:p>
        </w:tc>
        <w:tc>
          <w:tcPr>
            <w:tcW w:w="0" w:type="auto"/>
            <w:vMerge/>
            <w:vAlign w:val="center"/>
          </w:tcPr>
          <w:p w14:paraId="6EC98906" w14:textId="77777777" w:rsidR="00A320E6" w:rsidRDefault="00A320E6" w:rsidP="00320C3C">
            <w:pPr>
              <w:jc w:val="center"/>
              <w:rPr>
                <w:rFonts w:ascii="宋体" w:hAnsi="宋体" w:cs="宋体"/>
                <w:kern w:val="0"/>
                <w:szCs w:val="21"/>
              </w:rPr>
            </w:pPr>
          </w:p>
        </w:tc>
        <w:tc>
          <w:tcPr>
            <w:tcW w:w="1432" w:type="dxa"/>
            <w:vMerge w:val="restart"/>
            <w:shd w:val="clear" w:color="auto" w:fill="auto"/>
            <w:vAlign w:val="center"/>
          </w:tcPr>
          <w:p w14:paraId="449AAC8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厕所</w:t>
            </w:r>
          </w:p>
        </w:tc>
        <w:tc>
          <w:tcPr>
            <w:tcW w:w="3686" w:type="dxa"/>
            <w:shd w:val="clear" w:color="auto" w:fill="auto"/>
            <w:vAlign w:val="center"/>
          </w:tcPr>
          <w:p w14:paraId="7CD8BE7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带顶</w:t>
            </w:r>
          </w:p>
        </w:tc>
        <w:tc>
          <w:tcPr>
            <w:tcW w:w="1115" w:type="dxa"/>
            <w:shd w:val="clear" w:color="auto" w:fill="auto"/>
            <w:vAlign w:val="center"/>
          </w:tcPr>
          <w:p w14:paraId="22106AEC"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150元/座</w:t>
            </w:r>
          </w:p>
        </w:tc>
        <w:tc>
          <w:tcPr>
            <w:tcW w:w="1769" w:type="dxa"/>
            <w:shd w:val="clear" w:color="auto" w:fill="auto"/>
            <w:vAlign w:val="center"/>
          </w:tcPr>
          <w:p w14:paraId="6AE2AB7C" w14:textId="77777777" w:rsidR="00A320E6" w:rsidRDefault="00A320E6" w:rsidP="00320C3C">
            <w:pPr>
              <w:jc w:val="left"/>
              <w:rPr>
                <w:rFonts w:ascii="宋体" w:hAnsi="宋体" w:cs="宋体"/>
                <w:kern w:val="0"/>
                <w:szCs w:val="21"/>
              </w:rPr>
            </w:pPr>
          </w:p>
        </w:tc>
      </w:tr>
      <w:tr w:rsidR="00A320E6" w14:paraId="66CF3F21" w14:textId="77777777" w:rsidTr="008B03FA">
        <w:trPr>
          <w:trHeight w:val="312"/>
          <w:jc w:val="center"/>
        </w:trPr>
        <w:tc>
          <w:tcPr>
            <w:tcW w:w="0" w:type="auto"/>
            <w:vMerge/>
            <w:vAlign w:val="center"/>
          </w:tcPr>
          <w:p w14:paraId="7CD104FE" w14:textId="77777777" w:rsidR="00A320E6" w:rsidRDefault="00A320E6" w:rsidP="00320C3C">
            <w:pPr>
              <w:jc w:val="center"/>
              <w:rPr>
                <w:rFonts w:ascii="宋体" w:hAnsi="宋体" w:cs="宋体"/>
                <w:kern w:val="0"/>
                <w:szCs w:val="21"/>
              </w:rPr>
            </w:pPr>
          </w:p>
        </w:tc>
        <w:tc>
          <w:tcPr>
            <w:tcW w:w="0" w:type="auto"/>
            <w:vMerge/>
            <w:vAlign w:val="center"/>
          </w:tcPr>
          <w:p w14:paraId="79B98D17"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5E669F45"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21F8F3E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不带顶</w:t>
            </w:r>
          </w:p>
        </w:tc>
        <w:tc>
          <w:tcPr>
            <w:tcW w:w="1115" w:type="dxa"/>
            <w:shd w:val="clear" w:color="auto" w:fill="auto"/>
            <w:vAlign w:val="center"/>
          </w:tcPr>
          <w:p w14:paraId="66B1DCF3"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100元/座</w:t>
            </w:r>
          </w:p>
        </w:tc>
        <w:tc>
          <w:tcPr>
            <w:tcW w:w="1769" w:type="dxa"/>
            <w:shd w:val="clear" w:color="auto" w:fill="auto"/>
            <w:vAlign w:val="center"/>
          </w:tcPr>
          <w:p w14:paraId="50765608" w14:textId="77777777" w:rsidR="00A320E6" w:rsidRDefault="00A320E6" w:rsidP="00320C3C">
            <w:pPr>
              <w:jc w:val="left"/>
              <w:rPr>
                <w:rFonts w:ascii="宋体" w:hAnsi="宋体" w:cs="宋体"/>
                <w:kern w:val="0"/>
                <w:szCs w:val="21"/>
              </w:rPr>
            </w:pPr>
          </w:p>
        </w:tc>
      </w:tr>
      <w:tr w:rsidR="00A320E6" w14:paraId="45048CFE" w14:textId="77777777" w:rsidTr="008B03FA">
        <w:trPr>
          <w:trHeight w:val="312"/>
          <w:jc w:val="center"/>
        </w:trPr>
        <w:tc>
          <w:tcPr>
            <w:tcW w:w="0" w:type="auto"/>
            <w:vMerge/>
            <w:vAlign w:val="center"/>
          </w:tcPr>
          <w:p w14:paraId="37B5C71B" w14:textId="77777777" w:rsidR="00A320E6" w:rsidRDefault="00A320E6" w:rsidP="00320C3C">
            <w:pPr>
              <w:jc w:val="center"/>
              <w:rPr>
                <w:rFonts w:ascii="宋体" w:hAnsi="宋体" w:cs="宋体"/>
                <w:kern w:val="0"/>
                <w:szCs w:val="21"/>
              </w:rPr>
            </w:pPr>
          </w:p>
        </w:tc>
        <w:tc>
          <w:tcPr>
            <w:tcW w:w="0" w:type="auto"/>
            <w:vMerge/>
            <w:vAlign w:val="center"/>
          </w:tcPr>
          <w:p w14:paraId="53A422C9" w14:textId="77777777" w:rsidR="00A320E6" w:rsidRDefault="00A320E6" w:rsidP="00320C3C">
            <w:pPr>
              <w:jc w:val="center"/>
              <w:rPr>
                <w:rFonts w:ascii="宋体" w:hAnsi="宋体" w:cs="宋体"/>
                <w:kern w:val="0"/>
                <w:szCs w:val="21"/>
              </w:rPr>
            </w:pPr>
          </w:p>
        </w:tc>
        <w:tc>
          <w:tcPr>
            <w:tcW w:w="1432" w:type="dxa"/>
            <w:vMerge w:val="restart"/>
            <w:shd w:val="clear" w:color="auto" w:fill="auto"/>
            <w:vAlign w:val="center"/>
          </w:tcPr>
          <w:p w14:paraId="5AD759E7"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下水道</w:t>
            </w:r>
          </w:p>
        </w:tc>
        <w:tc>
          <w:tcPr>
            <w:tcW w:w="3686" w:type="dxa"/>
            <w:shd w:val="clear" w:color="auto" w:fill="auto"/>
            <w:vAlign w:val="center"/>
          </w:tcPr>
          <w:p w14:paraId="12A0C771"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砖砌</w:t>
            </w:r>
          </w:p>
        </w:tc>
        <w:tc>
          <w:tcPr>
            <w:tcW w:w="1115" w:type="dxa"/>
            <w:shd w:val="clear" w:color="auto" w:fill="auto"/>
            <w:vAlign w:val="center"/>
          </w:tcPr>
          <w:p w14:paraId="3D0FE95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10元/m</w:t>
            </w:r>
          </w:p>
        </w:tc>
        <w:tc>
          <w:tcPr>
            <w:tcW w:w="1769" w:type="dxa"/>
            <w:shd w:val="clear" w:color="auto" w:fill="auto"/>
            <w:vAlign w:val="center"/>
          </w:tcPr>
          <w:p w14:paraId="26772CF5" w14:textId="77777777" w:rsidR="00A320E6" w:rsidRDefault="00A320E6" w:rsidP="00320C3C">
            <w:pPr>
              <w:jc w:val="left"/>
              <w:rPr>
                <w:rFonts w:ascii="宋体" w:hAnsi="宋体" w:cs="宋体"/>
                <w:kern w:val="0"/>
                <w:szCs w:val="21"/>
              </w:rPr>
            </w:pPr>
          </w:p>
        </w:tc>
      </w:tr>
      <w:tr w:rsidR="00A320E6" w14:paraId="732C26DC" w14:textId="77777777" w:rsidTr="008B03FA">
        <w:trPr>
          <w:trHeight w:val="312"/>
          <w:jc w:val="center"/>
        </w:trPr>
        <w:tc>
          <w:tcPr>
            <w:tcW w:w="0" w:type="auto"/>
            <w:vMerge/>
            <w:vAlign w:val="center"/>
          </w:tcPr>
          <w:p w14:paraId="5AA1CBE1" w14:textId="77777777" w:rsidR="00A320E6" w:rsidRDefault="00A320E6" w:rsidP="00320C3C">
            <w:pPr>
              <w:jc w:val="center"/>
              <w:rPr>
                <w:rFonts w:ascii="宋体" w:hAnsi="宋体" w:cs="宋体"/>
                <w:kern w:val="0"/>
                <w:szCs w:val="21"/>
              </w:rPr>
            </w:pPr>
          </w:p>
        </w:tc>
        <w:tc>
          <w:tcPr>
            <w:tcW w:w="0" w:type="auto"/>
            <w:vMerge/>
            <w:vAlign w:val="center"/>
          </w:tcPr>
          <w:p w14:paraId="0C176E41"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79ED5C39"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21F7E1C8"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陶瓷管</w:t>
            </w:r>
          </w:p>
        </w:tc>
        <w:tc>
          <w:tcPr>
            <w:tcW w:w="1115" w:type="dxa"/>
            <w:shd w:val="clear" w:color="auto" w:fill="auto"/>
            <w:vAlign w:val="center"/>
          </w:tcPr>
          <w:p w14:paraId="3D9D7ED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15元/m</w:t>
            </w:r>
          </w:p>
        </w:tc>
        <w:tc>
          <w:tcPr>
            <w:tcW w:w="1769" w:type="dxa"/>
            <w:shd w:val="clear" w:color="auto" w:fill="auto"/>
            <w:vAlign w:val="center"/>
          </w:tcPr>
          <w:p w14:paraId="5E18A984" w14:textId="77777777" w:rsidR="00A320E6" w:rsidRDefault="00A320E6" w:rsidP="00320C3C">
            <w:pPr>
              <w:jc w:val="left"/>
              <w:rPr>
                <w:rFonts w:ascii="宋体" w:hAnsi="宋体" w:cs="宋体"/>
                <w:kern w:val="0"/>
                <w:szCs w:val="21"/>
              </w:rPr>
            </w:pPr>
          </w:p>
        </w:tc>
      </w:tr>
      <w:tr w:rsidR="00A320E6" w14:paraId="60C7D954" w14:textId="77777777" w:rsidTr="008B03FA">
        <w:trPr>
          <w:trHeight w:val="312"/>
          <w:jc w:val="center"/>
        </w:trPr>
        <w:tc>
          <w:tcPr>
            <w:tcW w:w="0" w:type="auto"/>
            <w:vMerge/>
            <w:vAlign w:val="center"/>
          </w:tcPr>
          <w:p w14:paraId="7FDBB410" w14:textId="77777777" w:rsidR="00A320E6" w:rsidRDefault="00A320E6" w:rsidP="00320C3C">
            <w:pPr>
              <w:jc w:val="center"/>
              <w:rPr>
                <w:rFonts w:ascii="宋体" w:hAnsi="宋体" w:cs="宋体"/>
                <w:kern w:val="0"/>
                <w:szCs w:val="21"/>
              </w:rPr>
            </w:pPr>
          </w:p>
        </w:tc>
        <w:tc>
          <w:tcPr>
            <w:tcW w:w="0" w:type="auto"/>
            <w:vMerge/>
            <w:vAlign w:val="center"/>
          </w:tcPr>
          <w:p w14:paraId="2A97CA9E"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1C44CC2B"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16594D0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盖板</w:t>
            </w:r>
          </w:p>
        </w:tc>
        <w:tc>
          <w:tcPr>
            <w:tcW w:w="1115" w:type="dxa"/>
            <w:shd w:val="clear" w:color="auto" w:fill="auto"/>
            <w:vAlign w:val="center"/>
          </w:tcPr>
          <w:p w14:paraId="7AEC3930"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15元/m</w:t>
            </w:r>
          </w:p>
        </w:tc>
        <w:tc>
          <w:tcPr>
            <w:tcW w:w="1769" w:type="dxa"/>
            <w:shd w:val="clear" w:color="auto" w:fill="auto"/>
            <w:vAlign w:val="center"/>
          </w:tcPr>
          <w:p w14:paraId="535AE31E" w14:textId="77777777" w:rsidR="00A320E6" w:rsidRDefault="00A320E6" w:rsidP="00320C3C">
            <w:pPr>
              <w:jc w:val="left"/>
              <w:rPr>
                <w:rFonts w:ascii="宋体" w:hAnsi="宋体" w:cs="宋体"/>
                <w:kern w:val="0"/>
                <w:szCs w:val="21"/>
              </w:rPr>
            </w:pPr>
          </w:p>
        </w:tc>
      </w:tr>
      <w:tr w:rsidR="00A320E6" w14:paraId="2566D870" w14:textId="77777777" w:rsidTr="008B03FA">
        <w:trPr>
          <w:trHeight w:val="312"/>
          <w:jc w:val="center"/>
        </w:trPr>
        <w:tc>
          <w:tcPr>
            <w:tcW w:w="0" w:type="auto"/>
            <w:vMerge/>
            <w:vAlign w:val="center"/>
          </w:tcPr>
          <w:p w14:paraId="6DE946C7" w14:textId="77777777" w:rsidR="00A320E6" w:rsidRDefault="00A320E6" w:rsidP="00320C3C">
            <w:pPr>
              <w:jc w:val="center"/>
              <w:rPr>
                <w:rFonts w:ascii="宋体" w:hAnsi="宋体" w:cs="宋体"/>
                <w:kern w:val="0"/>
                <w:szCs w:val="21"/>
              </w:rPr>
            </w:pPr>
          </w:p>
        </w:tc>
        <w:tc>
          <w:tcPr>
            <w:tcW w:w="0" w:type="auto"/>
            <w:vMerge/>
            <w:vAlign w:val="center"/>
          </w:tcPr>
          <w:p w14:paraId="294D2346" w14:textId="77777777" w:rsidR="00A320E6" w:rsidRDefault="00A320E6" w:rsidP="00320C3C">
            <w:pPr>
              <w:jc w:val="center"/>
              <w:rPr>
                <w:rFonts w:ascii="宋体" w:hAnsi="宋体" w:cs="宋体"/>
                <w:kern w:val="0"/>
                <w:szCs w:val="21"/>
              </w:rPr>
            </w:pPr>
          </w:p>
        </w:tc>
        <w:tc>
          <w:tcPr>
            <w:tcW w:w="1432" w:type="dxa"/>
            <w:vMerge/>
            <w:shd w:val="clear" w:color="auto" w:fill="auto"/>
            <w:vAlign w:val="center"/>
          </w:tcPr>
          <w:p w14:paraId="0F4F0C53" w14:textId="77777777" w:rsidR="00A320E6" w:rsidRDefault="00A320E6" w:rsidP="00320C3C">
            <w:pPr>
              <w:jc w:val="left"/>
              <w:rPr>
                <w:rFonts w:ascii="宋体" w:hAnsi="宋体" w:cs="宋体"/>
                <w:kern w:val="0"/>
                <w:szCs w:val="21"/>
              </w:rPr>
            </w:pPr>
          </w:p>
        </w:tc>
        <w:tc>
          <w:tcPr>
            <w:tcW w:w="3686" w:type="dxa"/>
            <w:shd w:val="clear" w:color="auto" w:fill="auto"/>
            <w:vAlign w:val="center"/>
          </w:tcPr>
          <w:p w14:paraId="66988219"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pvc</w:t>
            </w:r>
          </w:p>
        </w:tc>
        <w:tc>
          <w:tcPr>
            <w:tcW w:w="1115" w:type="dxa"/>
            <w:shd w:val="clear" w:color="auto" w:fill="auto"/>
            <w:vAlign w:val="center"/>
          </w:tcPr>
          <w:p w14:paraId="03C3F0E5"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10元/m</w:t>
            </w:r>
          </w:p>
        </w:tc>
        <w:tc>
          <w:tcPr>
            <w:tcW w:w="1769" w:type="dxa"/>
            <w:shd w:val="clear" w:color="auto" w:fill="auto"/>
            <w:vAlign w:val="center"/>
          </w:tcPr>
          <w:p w14:paraId="0EFD45AE" w14:textId="77777777" w:rsidR="00A320E6" w:rsidRDefault="00A320E6" w:rsidP="00320C3C">
            <w:pPr>
              <w:jc w:val="left"/>
              <w:rPr>
                <w:rFonts w:ascii="宋体" w:hAnsi="宋体" w:cs="宋体"/>
                <w:kern w:val="0"/>
                <w:szCs w:val="21"/>
              </w:rPr>
            </w:pPr>
          </w:p>
        </w:tc>
      </w:tr>
      <w:tr w:rsidR="00A320E6" w14:paraId="252CC772" w14:textId="77777777" w:rsidTr="008B03FA">
        <w:trPr>
          <w:trHeight w:val="312"/>
          <w:jc w:val="center"/>
        </w:trPr>
        <w:tc>
          <w:tcPr>
            <w:tcW w:w="0" w:type="auto"/>
            <w:vMerge/>
            <w:vAlign w:val="center"/>
          </w:tcPr>
          <w:p w14:paraId="758A0B50" w14:textId="77777777" w:rsidR="00A320E6" w:rsidRDefault="00A320E6" w:rsidP="00320C3C">
            <w:pPr>
              <w:jc w:val="center"/>
              <w:rPr>
                <w:rFonts w:ascii="宋体" w:hAnsi="宋体" w:cs="宋体"/>
                <w:kern w:val="0"/>
                <w:szCs w:val="21"/>
              </w:rPr>
            </w:pPr>
          </w:p>
        </w:tc>
        <w:tc>
          <w:tcPr>
            <w:tcW w:w="0" w:type="auto"/>
            <w:vMerge/>
            <w:vAlign w:val="center"/>
          </w:tcPr>
          <w:p w14:paraId="4BE0F8F8"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10BC1425"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小型禽舍</w:t>
            </w:r>
          </w:p>
        </w:tc>
        <w:tc>
          <w:tcPr>
            <w:tcW w:w="3686" w:type="dxa"/>
            <w:shd w:val="clear" w:color="auto" w:fill="auto"/>
            <w:vAlign w:val="center"/>
          </w:tcPr>
          <w:p w14:paraId="1A5D7EF3"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小型禽舍</w:t>
            </w:r>
          </w:p>
        </w:tc>
        <w:tc>
          <w:tcPr>
            <w:tcW w:w="1115" w:type="dxa"/>
            <w:shd w:val="clear" w:color="auto" w:fill="auto"/>
            <w:vAlign w:val="center"/>
          </w:tcPr>
          <w:p w14:paraId="0FDBE9E7"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50元/个</w:t>
            </w:r>
          </w:p>
        </w:tc>
        <w:tc>
          <w:tcPr>
            <w:tcW w:w="1769" w:type="dxa"/>
            <w:shd w:val="clear" w:color="auto" w:fill="auto"/>
            <w:vAlign w:val="center"/>
          </w:tcPr>
          <w:p w14:paraId="02A8EA2F" w14:textId="77777777" w:rsidR="00A320E6" w:rsidRDefault="00A320E6" w:rsidP="00320C3C">
            <w:pPr>
              <w:jc w:val="left"/>
              <w:rPr>
                <w:rFonts w:ascii="宋体" w:hAnsi="宋体" w:cs="宋体"/>
                <w:kern w:val="0"/>
                <w:szCs w:val="21"/>
              </w:rPr>
            </w:pPr>
          </w:p>
        </w:tc>
      </w:tr>
      <w:tr w:rsidR="00A320E6" w14:paraId="5DCBDD2C" w14:textId="77777777" w:rsidTr="008B03FA">
        <w:trPr>
          <w:trHeight w:val="312"/>
          <w:jc w:val="center"/>
        </w:trPr>
        <w:tc>
          <w:tcPr>
            <w:tcW w:w="0" w:type="auto"/>
            <w:vMerge/>
            <w:vAlign w:val="center"/>
          </w:tcPr>
          <w:p w14:paraId="41EC2700" w14:textId="77777777" w:rsidR="00A320E6" w:rsidRDefault="00A320E6" w:rsidP="00320C3C">
            <w:pPr>
              <w:jc w:val="center"/>
              <w:rPr>
                <w:rFonts w:ascii="宋体" w:hAnsi="宋体" w:cs="宋体"/>
                <w:kern w:val="0"/>
                <w:szCs w:val="21"/>
              </w:rPr>
            </w:pPr>
          </w:p>
        </w:tc>
        <w:tc>
          <w:tcPr>
            <w:tcW w:w="0" w:type="auto"/>
            <w:vMerge/>
            <w:vAlign w:val="center"/>
          </w:tcPr>
          <w:p w14:paraId="1BA0F987"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991714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圈坑</w:t>
            </w:r>
          </w:p>
        </w:tc>
        <w:tc>
          <w:tcPr>
            <w:tcW w:w="3686" w:type="dxa"/>
            <w:shd w:val="clear" w:color="auto" w:fill="auto"/>
            <w:vAlign w:val="center"/>
          </w:tcPr>
          <w:p w14:paraId="2BB49F3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圈坑</w:t>
            </w:r>
          </w:p>
        </w:tc>
        <w:tc>
          <w:tcPr>
            <w:tcW w:w="1115" w:type="dxa"/>
            <w:shd w:val="clear" w:color="auto" w:fill="auto"/>
            <w:vAlign w:val="center"/>
          </w:tcPr>
          <w:p w14:paraId="4B4BFD2E"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200元/个</w:t>
            </w:r>
          </w:p>
        </w:tc>
        <w:tc>
          <w:tcPr>
            <w:tcW w:w="1769" w:type="dxa"/>
            <w:shd w:val="clear" w:color="auto" w:fill="auto"/>
            <w:vAlign w:val="center"/>
          </w:tcPr>
          <w:p w14:paraId="3D3CBA82" w14:textId="77777777" w:rsidR="00A320E6" w:rsidRDefault="00A320E6" w:rsidP="00320C3C">
            <w:pPr>
              <w:jc w:val="left"/>
              <w:rPr>
                <w:rFonts w:ascii="宋体" w:hAnsi="宋体" w:cs="宋体"/>
                <w:kern w:val="0"/>
                <w:szCs w:val="21"/>
              </w:rPr>
            </w:pPr>
          </w:p>
        </w:tc>
      </w:tr>
      <w:tr w:rsidR="00A320E6" w14:paraId="0C040E53" w14:textId="77777777" w:rsidTr="008B03FA">
        <w:trPr>
          <w:trHeight w:val="312"/>
          <w:jc w:val="center"/>
        </w:trPr>
        <w:tc>
          <w:tcPr>
            <w:tcW w:w="0" w:type="auto"/>
            <w:vMerge/>
            <w:vAlign w:val="center"/>
          </w:tcPr>
          <w:p w14:paraId="70F0D9EA" w14:textId="77777777" w:rsidR="00A320E6" w:rsidRDefault="00A320E6" w:rsidP="00320C3C">
            <w:pPr>
              <w:jc w:val="center"/>
              <w:rPr>
                <w:rFonts w:ascii="宋体" w:hAnsi="宋体" w:cs="宋体"/>
                <w:kern w:val="0"/>
                <w:szCs w:val="21"/>
              </w:rPr>
            </w:pPr>
          </w:p>
        </w:tc>
        <w:tc>
          <w:tcPr>
            <w:tcW w:w="0" w:type="auto"/>
            <w:vMerge/>
            <w:vAlign w:val="center"/>
          </w:tcPr>
          <w:p w14:paraId="62E4ECA7"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0357AC3F"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女儿墙</w:t>
            </w:r>
          </w:p>
        </w:tc>
        <w:tc>
          <w:tcPr>
            <w:tcW w:w="3686" w:type="dxa"/>
            <w:shd w:val="clear" w:color="auto" w:fill="auto"/>
            <w:vAlign w:val="center"/>
          </w:tcPr>
          <w:p w14:paraId="55779DBD"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女儿墙</w:t>
            </w:r>
          </w:p>
        </w:tc>
        <w:tc>
          <w:tcPr>
            <w:tcW w:w="1115" w:type="dxa"/>
            <w:shd w:val="clear" w:color="auto" w:fill="auto"/>
            <w:vAlign w:val="center"/>
          </w:tcPr>
          <w:p w14:paraId="68EB45FB"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20元/m</w:t>
            </w:r>
          </w:p>
        </w:tc>
        <w:tc>
          <w:tcPr>
            <w:tcW w:w="1769" w:type="dxa"/>
            <w:shd w:val="clear" w:color="auto" w:fill="auto"/>
            <w:vAlign w:val="center"/>
          </w:tcPr>
          <w:p w14:paraId="24E8A4B9" w14:textId="77777777" w:rsidR="00A320E6" w:rsidRDefault="00A320E6" w:rsidP="00320C3C">
            <w:pPr>
              <w:jc w:val="left"/>
              <w:rPr>
                <w:rFonts w:ascii="宋体" w:hAnsi="宋体" w:cs="宋体"/>
                <w:kern w:val="0"/>
                <w:szCs w:val="21"/>
              </w:rPr>
            </w:pPr>
          </w:p>
        </w:tc>
      </w:tr>
      <w:tr w:rsidR="00A320E6" w14:paraId="4E1F2CC4" w14:textId="77777777" w:rsidTr="008B03FA">
        <w:trPr>
          <w:trHeight w:val="312"/>
          <w:jc w:val="center"/>
        </w:trPr>
        <w:tc>
          <w:tcPr>
            <w:tcW w:w="0" w:type="auto"/>
            <w:vMerge/>
            <w:vAlign w:val="center"/>
          </w:tcPr>
          <w:p w14:paraId="12A633B6" w14:textId="77777777" w:rsidR="00A320E6" w:rsidRDefault="00A320E6" w:rsidP="00320C3C">
            <w:pPr>
              <w:jc w:val="center"/>
              <w:rPr>
                <w:rFonts w:ascii="宋体" w:hAnsi="宋体" w:cs="宋体"/>
                <w:kern w:val="0"/>
                <w:szCs w:val="21"/>
              </w:rPr>
            </w:pPr>
          </w:p>
        </w:tc>
        <w:tc>
          <w:tcPr>
            <w:tcW w:w="0" w:type="auto"/>
            <w:vMerge/>
            <w:vAlign w:val="center"/>
          </w:tcPr>
          <w:p w14:paraId="0D1A9161" w14:textId="77777777" w:rsidR="00A320E6" w:rsidRDefault="00A320E6" w:rsidP="00320C3C">
            <w:pPr>
              <w:jc w:val="center"/>
              <w:rPr>
                <w:rFonts w:ascii="宋体" w:hAnsi="宋体" w:cs="宋体"/>
                <w:kern w:val="0"/>
                <w:szCs w:val="21"/>
              </w:rPr>
            </w:pPr>
          </w:p>
        </w:tc>
        <w:tc>
          <w:tcPr>
            <w:tcW w:w="1432" w:type="dxa"/>
            <w:shd w:val="clear" w:color="auto" w:fill="auto"/>
            <w:vAlign w:val="center"/>
          </w:tcPr>
          <w:p w14:paraId="4F47FBEC"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花池</w:t>
            </w:r>
          </w:p>
        </w:tc>
        <w:tc>
          <w:tcPr>
            <w:tcW w:w="3686" w:type="dxa"/>
            <w:shd w:val="clear" w:color="auto" w:fill="auto"/>
            <w:vAlign w:val="center"/>
          </w:tcPr>
          <w:p w14:paraId="179863BB"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花池</w:t>
            </w:r>
          </w:p>
        </w:tc>
        <w:tc>
          <w:tcPr>
            <w:tcW w:w="1115" w:type="dxa"/>
            <w:shd w:val="clear" w:color="auto" w:fill="auto"/>
            <w:vAlign w:val="center"/>
          </w:tcPr>
          <w:p w14:paraId="4C36ABFD" w14:textId="77777777" w:rsidR="00A320E6" w:rsidRDefault="00000000" w:rsidP="00320C3C">
            <w:pPr>
              <w:jc w:val="center"/>
              <w:textAlignment w:val="center"/>
              <w:rPr>
                <w:rFonts w:ascii="宋体" w:hAnsi="宋体" w:cs="宋体"/>
                <w:kern w:val="0"/>
                <w:szCs w:val="21"/>
              </w:rPr>
            </w:pPr>
            <w:r>
              <w:rPr>
                <w:rFonts w:ascii="宋体" w:hAnsi="宋体" w:cs="宋体" w:hint="eastAsia"/>
                <w:color w:val="000000"/>
                <w:kern w:val="0"/>
                <w:szCs w:val="21"/>
                <w:lang w:bidi="ar"/>
              </w:rPr>
              <w:t>100元/个</w:t>
            </w:r>
          </w:p>
        </w:tc>
        <w:tc>
          <w:tcPr>
            <w:tcW w:w="1769" w:type="dxa"/>
            <w:shd w:val="clear" w:color="auto" w:fill="auto"/>
            <w:vAlign w:val="center"/>
          </w:tcPr>
          <w:p w14:paraId="6870E572" w14:textId="77777777" w:rsidR="00A320E6" w:rsidRDefault="00000000" w:rsidP="00320C3C">
            <w:pPr>
              <w:jc w:val="left"/>
              <w:textAlignment w:val="center"/>
              <w:rPr>
                <w:rFonts w:ascii="宋体" w:hAnsi="宋体" w:cs="宋体"/>
                <w:kern w:val="0"/>
                <w:szCs w:val="21"/>
              </w:rPr>
            </w:pPr>
            <w:r>
              <w:rPr>
                <w:rFonts w:ascii="宋体" w:hAnsi="宋体" w:cs="宋体" w:hint="eastAsia"/>
                <w:color w:val="000000"/>
                <w:kern w:val="0"/>
                <w:szCs w:val="21"/>
                <w:lang w:bidi="ar"/>
              </w:rPr>
              <w:t>砌墙30cm以上，做工精细。</w:t>
            </w:r>
          </w:p>
        </w:tc>
      </w:tr>
    </w:tbl>
    <w:p w14:paraId="1D0539B1" w14:textId="77777777" w:rsidR="00A320E6" w:rsidRDefault="00A320E6" w:rsidP="00AE0286">
      <w:pPr>
        <w:adjustRightInd w:val="0"/>
        <w:snapToGrid w:val="0"/>
        <w:spacing w:line="360" w:lineRule="auto"/>
        <w:ind w:firstLineChars="200" w:firstLine="480"/>
        <w:jc w:val="left"/>
        <w:rPr>
          <w:rFonts w:ascii="宋体" w:hAnsi="宋体" w:cs="宋体"/>
          <w:kern w:val="0"/>
          <w:sz w:val="24"/>
          <w:szCs w:val="24"/>
        </w:rPr>
      </w:pPr>
    </w:p>
    <w:p w14:paraId="6C82F0A6"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7656F6BB"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1.其他未列出的地上附着物参照本标准中相近情况给予适当补偿。对难以参照的或被补偿人不接受本补偿标准的地上附着物，可委托有资质的机构进行评估或认证，按照评估或认证结果进行补偿。</w:t>
      </w:r>
    </w:p>
    <w:p w14:paraId="01444977"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2.露天蔬菜、其他经济作物按作物产值补偿一季，作物产值根据市场价格进行协商或评估认证。</w:t>
      </w:r>
    </w:p>
    <w:p w14:paraId="33C31281"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3.大田中地上附着物及青苗不足4000元/亩的按照4000元/亩补偿。</w:t>
      </w:r>
    </w:p>
    <w:p w14:paraId="5DA9A226"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4.大型机械迁移费按照300-500元/组补偿。</w:t>
      </w:r>
    </w:p>
    <w:p w14:paraId="4FBE757E"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5.国家和省确定的铁路、公路、机场、航道港口、水利工程、能源工程等重大基础设施项目征收土地地上附着物和青苗补偿等标准另有规定的，从其规定。</w:t>
      </w:r>
    </w:p>
    <w:p w14:paraId="58AE314C"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6.过渡安置费按照被拆迁户主房面积每月10元/㎡的标准执行。</w:t>
      </w:r>
    </w:p>
    <w:p w14:paraId="2DA6183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7.经营补偿费按照经营面积30元/㎡一次性补偿，经营户需持有营业执照并正在经营使用。</w:t>
      </w:r>
    </w:p>
    <w:p w14:paraId="57FC97A7"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8.闲散地、林权地及村庄房屋周围，水沟、池塘边的树木按照：乔木株距2米、行距2米，果树株距2米，行距3米进行计算。</w:t>
      </w:r>
    </w:p>
    <w:p w14:paraId="1052C40D" w14:textId="77777777" w:rsidR="00A320E6" w:rsidRDefault="00000000" w:rsidP="00AE0286">
      <w:pPr>
        <w:rPr>
          <w:rFonts w:ascii="宋体" w:hAnsi="宋体" w:cs="宋体"/>
          <w:kern w:val="0"/>
          <w:sz w:val="24"/>
          <w:szCs w:val="24"/>
        </w:rPr>
      </w:pPr>
      <w:r>
        <w:rPr>
          <w:rFonts w:ascii="宋体" w:hAnsi="宋体" w:cs="宋体" w:hint="eastAsia"/>
          <w:kern w:val="0"/>
          <w:sz w:val="24"/>
          <w:szCs w:val="24"/>
        </w:rPr>
        <w:t>9.自征收土地预公告发布之日起，抢种、抢栽的青苗和其他地上附着物，以及抢建的房屋等建（构）筑物不予补偿。</w:t>
      </w:r>
    </w:p>
    <w:p w14:paraId="5237ED28" w14:textId="77777777" w:rsidR="00A320E6" w:rsidRDefault="00A320E6" w:rsidP="00AE0286">
      <w:pPr>
        <w:pStyle w:val="2"/>
      </w:pPr>
    </w:p>
    <w:p w14:paraId="4691E77B"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济南市征地地上附着物和青苗补偿标准</w:t>
      </w:r>
    </w:p>
    <w:p w14:paraId="666A2C41"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（莱芜区、钢城区）</w:t>
      </w:r>
    </w:p>
    <w:tbl>
      <w:tblPr>
        <w:tblW w:w="8437" w:type="dxa"/>
        <w:tblInd w:w="93" w:type="dxa"/>
        <w:tblLook w:val="04A0" w:firstRow="1" w:lastRow="0" w:firstColumn="1" w:lastColumn="0" w:noHBand="0" w:noVBand="1"/>
      </w:tblPr>
      <w:tblGrid>
        <w:gridCol w:w="649"/>
        <w:gridCol w:w="766"/>
        <w:gridCol w:w="3117"/>
        <w:gridCol w:w="1998"/>
        <w:gridCol w:w="1907"/>
      </w:tblGrid>
      <w:tr w:rsidR="00A320E6" w14:paraId="4E168B3D" w14:textId="77777777" w:rsidTr="008B03FA">
        <w:trPr>
          <w:trHeight w:val="312"/>
          <w:tblHeader/>
        </w:trPr>
        <w:tc>
          <w:tcPr>
            <w:tcW w:w="649" w:type="dxa"/>
            <w:tcBorders>
              <w:top w:val="single" w:sz="4" w:space="0" w:color="auto"/>
              <w:left w:val="single" w:sz="4" w:space="0" w:color="auto"/>
              <w:bottom w:val="single" w:sz="4" w:space="0" w:color="auto"/>
              <w:right w:val="single" w:sz="4" w:space="0" w:color="auto"/>
            </w:tcBorders>
            <w:vAlign w:val="center"/>
          </w:tcPr>
          <w:p w14:paraId="123099E6"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序号</w:t>
            </w:r>
          </w:p>
        </w:tc>
        <w:tc>
          <w:tcPr>
            <w:tcW w:w="766" w:type="dxa"/>
            <w:tcBorders>
              <w:top w:val="single" w:sz="4" w:space="0" w:color="auto"/>
              <w:left w:val="single" w:sz="4" w:space="0" w:color="auto"/>
              <w:bottom w:val="single" w:sz="4" w:space="0" w:color="auto"/>
              <w:right w:val="single" w:sz="4" w:space="0" w:color="auto"/>
            </w:tcBorders>
            <w:vAlign w:val="center"/>
          </w:tcPr>
          <w:p w14:paraId="6D8CCFB0"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名称</w:t>
            </w:r>
          </w:p>
        </w:tc>
        <w:tc>
          <w:tcPr>
            <w:tcW w:w="3117" w:type="dxa"/>
            <w:tcBorders>
              <w:top w:val="single" w:sz="4" w:space="0" w:color="auto"/>
              <w:left w:val="single" w:sz="4" w:space="0" w:color="auto"/>
              <w:bottom w:val="single" w:sz="4" w:space="0" w:color="auto"/>
              <w:right w:val="single" w:sz="4" w:space="0" w:color="auto"/>
            </w:tcBorders>
            <w:vAlign w:val="center"/>
          </w:tcPr>
          <w:p w14:paraId="4E08898C"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类别规格</w:t>
            </w:r>
          </w:p>
        </w:tc>
        <w:tc>
          <w:tcPr>
            <w:tcW w:w="1998" w:type="dxa"/>
            <w:tcBorders>
              <w:top w:val="single" w:sz="4" w:space="0" w:color="auto"/>
              <w:left w:val="single" w:sz="4" w:space="0" w:color="auto"/>
              <w:bottom w:val="single" w:sz="4" w:space="0" w:color="auto"/>
              <w:right w:val="single" w:sz="4" w:space="0" w:color="auto"/>
            </w:tcBorders>
            <w:vAlign w:val="center"/>
          </w:tcPr>
          <w:p w14:paraId="3891AE61" w14:textId="77777777" w:rsidR="00A320E6" w:rsidRDefault="00000000" w:rsidP="00AE0286">
            <w:pPr>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补偿标准</w:t>
            </w:r>
          </w:p>
        </w:tc>
        <w:tc>
          <w:tcPr>
            <w:tcW w:w="1907" w:type="dxa"/>
            <w:tcBorders>
              <w:top w:val="single" w:sz="4" w:space="0" w:color="auto"/>
              <w:left w:val="single" w:sz="4" w:space="0" w:color="auto"/>
              <w:bottom w:val="single" w:sz="4" w:space="0" w:color="auto"/>
              <w:right w:val="single" w:sz="4" w:space="0" w:color="auto"/>
            </w:tcBorders>
            <w:vAlign w:val="center"/>
          </w:tcPr>
          <w:p w14:paraId="47DB9601" w14:textId="77777777" w:rsidR="00A320E6" w:rsidRDefault="00000000" w:rsidP="00AE0286">
            <w:pPr>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备注</w:t>
            </w:r>
          </w:p>
        </w:tc>
      </w:tr>
      <w:tr w:rsidR="00A320E6" w14:paraId="3BAE3633"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51E88C0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615200A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房屋</w:t>
            </w:r>
          </w:p>
        </w:tc>
        <w:tc>
          <w:tcPr>
            <w:tcW w:w="3117" w:type="dxa"/>
            <w:tcBorders>
              <w:top w:val="single" w:sz="4" w:space="0" w:color="auto"/>
              <w:left w:val="single" w:sz="4" w:space="0" w:color="auto"/>
              <w:bottom w:val="single" w:sz="4" w:space="0" w:color="auto"/>
              <w:right w:val="single" w:sz="4" w:space="0" w:color="auto"/>
            </w:tcBorders>
            <w:vAlign w:val="center"/>
          </w:tcPr>
          <w:p w14:paraId="21F0D5E6"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钢混结构：主体承重为钢结构或砼结构，主要指框架结构的多层楼房</w:t>
            </w:r>
          </w:p>
        </w:tc>
        <w:tc>
          <w:tcPr>
            <w:tcW w:w="1998" w:type="dxa"/>
            <w:tcBorders>
              <w:top w:val="single" w:sz="4" w:space="0" w:color="auto"/>
              <w:left w:val="single" w:sz="4" w:space="0" w:color="auto"/>
              <w:bottom w:val="single" w:sz="4" w:space="0" w:color="auto"/>
              <w:right w:val="single" w:sz="4" w:space="0" w:color="auto"/>
            </w:tcBorders>
            <w:vAlign w:val="center"/>
          </w:tcPr>
          <w:p w14:paraId="2F4AA55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900-1100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val="restart"/>
            <w:tcBorders>
              <w:top w:val="single" w:sz="4" w:space="0" w:color="auto"/>
              <w:left w:val="single" w:sz="4" w:space="0" w:color="auto"/>
              <w:bottom w:val="single" w:sz="4" w:space="0" w:color="auto"/>
              <w:right w:val="single" w:sz="4" w:space="0" w:color="auto"/>
            </w:tcBorders>
          </w:tcPr>
          <w:p w14:paraId="5DB674DD"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1．仅限承包地内看护用房和临时建筑；2.房屋补偿费用系指旧料损失、建筑物拆除人工费用；3.同类别的补偿标准按房屋新旧程度及维修使用情况在本表规定的幅度内确定；4.旧料归原主。</w:t>
            </w:r>
          </w:p>
        </w:tc>
      </w:tr>
      <w:tr w:rsidR="00A320E6" w14:paraId="6382FD45"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5621C4B"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FE433F3"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0A9CEC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乱石基、砖石墙、钢筋混凝土预制或现浇平屋顶</w:t>
            </w:r>
          </w:p>
        </w:tc>
        <w:tc>
          <w:tcPr>
            <w:tcW w:w="1998" w:type="dxa"/>
            <w:tcBorders>
              <w:top w:val="single" w:sz="4" w:space="0" w:color="auto"/>
              <w:left w:val="single" w:sz="4" w:space="0" w:color="auto"/>
              <w:bottom w:val="single" w:sz="4" w:space="0" w:color="auto"/>
              <w:right w:val="single" w:sz="4" w:space="0" w:color="auto"/>
            </w:tcBorders>
            <w:vAlign w:val="center"/>
          </w:tcPr>
          <w:p w14:paraId="7D6EE93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750-1000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22F67213" w14:textId="77777777" w:rsidR="00A320E6" w:rsidRDefault="00A320E6" w:rsidP="00AE0286">
            <w:pPr>
              <w:rPr>
                <w:rFonts w:ascii="宋体" w:hAnsi="宋体" w:cs="宋体"/>
                <w:color w:val="000000"/>
                <w:szCs w:val="21"/>
              </w:rPr>
            </w:pPr>
          </w:p>
        </w:tc>
      </w:tr>
      <w:tr w:rsidR="00A320E6" w14:paraId="55CDDD1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33B2D03"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03AA9FB"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597A62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乱石基、砖石墙、木结构斜坡瓦屋顶</w:t>
            </w:r>
          </w:p>
        </w:tc>
        <w:tc>
          <w:tcPr>
            <w:tcW w:w="1998" w:type="dxa"/>
            <w:tcBorders>
              <w:top w:val="single" w:sz="4" w:space="0" w:color="auto"/>
              <w:left w:val="single" w:sz="4" w:space="0" w:color="auto"/>
              <w:bottom w:val="single" w:sz="4" w:space="0" w:color="auto"/>
              <w:right w:val="single" w:sz="4" w:space="0" w:color="auto"/>
            </w:tcBorders>
            <w:vAlign w:val="center"/>
          </w:tcPr>
          <w:p w14:paraId="05CDE0D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550-800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46376296" w14:textId="77777777" w:rsidR="00A320E6" w:rsidRDefault="00A320E6" w:rsidP="00AE0286">
            <w:pPr>
              <w:rPr>
                <w:rFonts w:ascii="宋体" w:hAnsi="宋体" w:cs="宋体"/>
                <w:color w:val="000000"/>
                <w:szCs w:val="21"/>
              </w:rPr>
            </w:pPr>
          </w:p>
        </w:tc>
      </w:tr>
      <w:tr w:rsidR="00A320E6" w14:paraId="5818BB05"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5A7E24B"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4A14BC3"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AE43C9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乱石基、砖垛、土坯墙、木结构斜坡瓦屋顶</w:t>
            </w:r>
          </w:p>
        </w:tc>
        <w:tc>
          <w:tcPr>
            <w:tcW w:w="1998" w:type="dxa"/>
            <w:tcBorders>
              <w:top w:val="single" w:sz="4" w:space="0" w:color="auto"/>
              <w:left w:val="single" w:sz="4" w:space="0" w:color="auto"/>
              <w:bottom w:val="single" w:sz="4" w:space="0" w:color="auto"/>
              <w:right w:val="single" w:sz="4" w:space="0" w:color="auto"/>
            </w:tcBorders>
            <w:vAlign w:val="center"/>
          </w:tcPr>
          <w:p w14:paraId="00F6963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450-700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0EEDE938" w14:textId="77777777" w:rsidR="00A320E6" w:rsidRDefault="00A320E6" w:rsidP="00AE0286">
            <w:pPr>
              <w:rPr>
                <w:rFonts w:ascii="宋体" w:hAnsi="宋体" w:cs="宋体"/>
                <w:color w:val="000000"/>
                <w:szCs w:val="21"/>
              </w:rPr>
            </w:pPr>
          </w:p>
        </w:tc>
      </w:tr>
      <w:tr w:rsidR="00A320E6" w14:paraId="2CD0C781"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7CBA49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A75267D"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B52851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砖垛、苇箔或彩钢瓦顶简易平房</w:t>
            </w:r>
          </w:p>
        </w:tc>
        <w:tc>
          <w:tcPr>
            <w:tcW w:w="1998" w:type="dxa"/>
            <w:tcBorders>
              <w:top w:val="single" w:sz="4" w:space="0" w:color="auto"/>
              <w:left w:val="single" w:sz="4" w:space="0" w:color="auto"/>
              <w:bottom w:val="single" w:sz="4" w:space="0" w:color="auto"/>
              <w:right w:val="single" w:sz="4" w:space="0" w:color="auto"/>
            </w:tcBorders>
            <w:vAlign w:val="center"/>
          </w:tcPr>
          <w:p w14:paraId="17C9A57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200-400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2DDDB0B4" w14:textId="77777777" w:rsidR="00A320E6" w:rsidRDefault="00A320E6" w:rsidP="00AE0286">
            <w:pPr>
              <w:rPr>
                <w:rFonts w:ascii="宋体" w:hAnsi="宋体" w:cs="宋体"/>
                <w:color w:val="000000"/>
                <w:szCs w:val="21"/>
              </w:rPr>
            </w:pPr>
          </w:p>
        </w:tc>
      </w:tr>
      <w:tr w:rsidR="00A320E6" w14:paraId="041BD1D1"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608258B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0392F8F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厂房</w:t>
            </w:r>
          </w:p>
        </w:tc>
        <w:tc>
          <w:tcPr>
            <w:tcW w:w="3117" w:type="dxa"/>
            <w:tcBorders>
              <w:top w:val="single" w:sz="4" w:space="0" w:color="auto"/>
              <w:left w:val="single" w:sz="4" w:space="0" w:color="auto"/>
              <w:bottom w:val="single" w:sz="4" w:space="0" w:color="auto"/>
              <w:right w:val="single" w:sz="4" w:space="0" w:color="auto"/>
            </w:tcBorders>
            <w:vAlign w:val="center"/>
          </w:tcPr>
          <w:p w14:paraId="3865FF5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混合结构：主体承重为砖混结构，砖排架（带壁柱），有檩或无檩体系，檐高小于6米，大于4米。</w:t>
            </w:r>
          </w:p>
        </w:tc>
        <w:tc>
          <w:tcPr>
            <w:tcW w:w="1998" w:type="dxa"/>
            <w:tcBorders>
              <w:top w:val="single" w:sz="4" w:space="0" w:color="auto"/>
              <w:left w:val="single" w:sz="4" w:space="0" w:color="auto"/>
              <w:bottom w:val="single" w:sz="4" w:space="0" w:color="auto"/>
              <w:right w:val="single" w:sz="4" w:space="0" w:color="auto"/>
            </w:tcBorders>
            <w:vAlign w:val="center"/>
          </w:tcPr>
          <w:p w14:paraId="3C0062E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500-700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75DEEC4A"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旧料归原主</w:t>
            </w:r>
            <w:r>
              <w:rPr>
                <w:rStyle w:val="font01"/>
                <w:rFonts w:ascii="宋体" w:hAnsi="宋体" w:cs="宋体" w:hint="eastAsia"/>
                <w:sz w:val="21"/>
                <w:szCs w:val="21"/>
                <w:lang w:bidi="ar"/>
              </w:rPr>
              <w:t>。</w:t>
            </w:r>
          </w:p>
        </w:tc>
      </w:tr>
      <w:tr w:rsidR="00A320E6" w14:paraId="44E64895"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A4CE703"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3473EC0"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4F3F0B5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钢筋混凝土结构：主体承重为框架结构，钢筋混凝土排架，有檩或无檩体系（网架屋面），檐高6-9米，吊车吨位大于5吨。</w:t>
            </w:r>
          </w:p>
        </w:tc>
        <w:tc>
          <w:tcPr>
            <w:tcW w:w="1998" w:type="dxa"/>
            <w:tcBorders>
              <w:top w:val="single" w:sz="4" w:space="0" w:color="auto"/>
              <w:left w:val="single" w:sz="4" w:space="0" w:color="auto"/>
              <w:bottom w:val="single" w:sz="4" w:space="0" w:color="auto"/>
              <w:right w:val="single" w:sz="4" w:space="0" w:color="auto"/>
            </w:tcBorders>
            <w:vAlign w:val="center"/>
          </w:tcPr>
          <w:p w14:paraId="40A3D0C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700-900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vAlign w:val="center"/>
          </w:tcPr>
          <w:p w14:paraId="678DC5B3" w14:textId="77777777" w:rsidR="00A320E6" w:rsidRDefault="00A320E6" w:rsidP="00AE0286">
            <w:pPr>
              <w:rPr>
                <w:rFonts w:ascii="宋体" w:hAnsi="宋体" w:cs="宋体"/>
                <w:color w:val="000000"/>
                <w:szCs w:val="21"/>
              </w:rPr>
            </w:pPr>
          </w:p>
        </w:tc>
      </w:tr>
      <w:tr w:rsidR="00A320E6" w14:paraId="48F3414F"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17B4CD3"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23F2C8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4C9CADE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钢筋混凝土结构：主体承重为框架结构，钢筋混凝土排架，有檩或无檩体系（网架屋面），檐高大于9米，吊车吨位大于5吨。</w:t>
            </w:r>
          </w:p>
        </w:tc>
        <w:tc>
          <w:tcPr>
            <w:tcW w:w="1998" w:type="dxa"/>
            <w:tcBorders>
              <w:top w:val="single" w:sz="4" w:space="0" w:color="auto"/>
              <w:left w:val="single" w:sz="4" w:space="0" w:color="auto"/>
              <w:bottom w:val="single" w:sz="4" w:space="0" w:color="auto"/>
              <w:right w:val="single" w:sz="4" w:space="0" w:color="auto"/>
            </w:tcBorders>
            <w:vAlign w:val="center"/>
          </w:tcPr>
          <w:p w14:paraId="31C970B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900-1100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vAlign w:val="center"/>
          </w:tcPr>
          <w:p w14:paraId="17F5BA28" w14:textId="77777777" w:rsidR="00A320E6" w:rsidRDefault="00A320E6" w:rsidP="00AE0286">
            <w:pPr>
              <w:rPr>
                <w:rFonts w:ascii="宋体" w:hAnsi="宋体" w:cs="宋体"/>
                <w:color w:val="000000"/>
                <w:szCs w:val="21"/>
              </w:rPr>
            </w:pPr>
          </w:p>
        </w:tc>
      </w:tr>
      <w:tr w:rsidR="00A320E6" w14:paraId="10F826C1"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71D570E"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BA18860"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EF9D85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钢结构：主体承重为钢结构，网架车间，彩钢板屋面。</w:t>
            </w:r>
          </w:p>
        </w:tc>
        <w:tc>
          <w:tcPr>
            <w:tcW w:w="1998" w:type="dxa"/>
            <w:tcBorders>
              <w:top w:val="single" w:sz="4" w:space="0" w:color="auto"/>
              <w:left w:val="single" w:sz="4" w:space="0" w:color="auto"/>
              <w:bottom w:val="single" w:sz="4" w:space="0" w:color="auto"/>
              <w:right w:val="single" w:sz="4" w:space="0" w:color="auto"/>
            </w:tcBorders>
            <w:vAlign w:val="center"/>
          </w:tcPr>
          <w:p w14:paraId="51ED590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500-700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vAlign w:val="center"/>
          </w:tcPr>
          <w:p w14:paraId="197DFA4D" w14:textId="77777777" w:rsidR="00A320E6" w:rsidRDefault="00A320E6" w:rsidP="00AE0286">
            <w:pPr>
              <w:rPr>
                <w:rFonts w:ascii="宋体" w:hAnsi="宋体" w:cs="宋体"/>
                <w:color w:val="000000"/>
                <w:szCs w:val="21"/>
              </w:rPr>
            </w:pPr>
          </w:p>
        </w:tc>
      </w:tr>
      <w:tr w:rsidR="00A320E6" w14:paraId="118E6A84"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1AF3783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766" w:type="dxa"/>
            <w:tcBorders>
              <w:top w:val="single" w:sz="4" w:space="0" w:color="auto"/>
              <w:left w:val="single" w:sz="4" w:space="0" w:color="auto"/>
              <w:bottom w:val="single" w:sz="4" w:space="0" w:color="auto"/>
              <w:right w:val="single" w:sz="4" w:space="0" w:color="auto"/>
            </w:tcBorders>
            <w:vAlign w:val="center"/>
          </w:tcPr>
          <w:p w14:paraId="0958392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简易敞棚</w:t>
            </w:r>
          </w:p>
        </w:tc>
        <w:tc>
          <w:tcPr>
            <w:tcW w:w="3117" w:type="dxa"/>
            <w:tcBorders>
              <w:top w:val="single" w:sz="4" w:space="0" w:color="auto"/>
              <w:left w:val="single" w:sz="4" w:space="0" w:color="auto"/>
              <w:bottom w:val="single" w:sz="4" w:space="0" w:color="auto"/>
              <w:right w:val="single" w:sz="4" w:space="0" w:color="auto"/>
            </w:tcBorders>
            <w:vAlign w:val="center"/>
          </w:tcPr>
          <w:p w14:paraId="1895CFE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前柱后墙、砖砌、檩条苇箔斜坡顶</w:t>
            </w:r>
          </w:p>
        </w:tc>
        <w:tc>
          <w:tcPr>
            <w:tcW w:w="1998" w:type="dxa"/>
            <w:tcBorders>
              <w:top w:val="single" w:sz="4" w:space="0" w:color="auto"/>
              <w:left w:val="single" w:sz="4" w:space="0" w:color="auto"/>
              <w:bottom w:val="single" w:sz="4" w:space="0" w:color="auto"/>
              <w:right w:val="single" w:sz="4" w:space="0" w:color="auto"/>
            </w:tcBorders>
            <w:vAlign w:val="center"/>
          </w:tcPr>
          <w:p w14:paraId="4655D45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70-120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65BFFE5F"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旧料归原主</w:t>
            </w:r>
            <w:r>
              <w:rPr>
                <w:rStyle w:val="font01"/>
                <w:rFonts w:ascii="宋体" w:hAnsi="宋体" w:cs="宋体" w:hint="eastAsia"/>
                <w:sz w:val="21"/>
                <w:szCs w:val="21"/>
                <w:lang w:bidi="ar"/>
              </w:rPr>
              <w:t>。</w:t>
            </w:r>
          </w:p>
        </w:tc>
      </w:tr>
      <w:tr w:rsidR="00A320E6" w14:paraId="1ED70A3B"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1F9901E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4BEBAED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围墙</w:t>
            </w:r>
          </w:p>
        </w:tc>
        <w:tc>
          <w:tcPr>
            <w:tcW w:w="3117" w:type="dxa"/>
            <w:tcBorders>
              <w:top w:val="single" w:sz="4" w:space="0" w:color="auto"/>
              <w:left w:val="single" w:sz="4" w:space="0" w:color="auto"/>
              <w:bottom w:val="single" w:sz="4" w:space="0" w:color="auto"/>
              <w:right w:val="single" w:sz="4" w:space="0" w:color="auto"/>
            </w:tcBorders>
            <w:vAlign w:val="center"/>
          </w:tcPr>
          <w:p w14:paraId="2BA08FA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乱石基砖墙高1.5-2m</w:t>
            </w:r>
          </w:p>
        </w:tc>
        <w:tc>
          <w:tcPr>
            <w:tcW w:w="1998" w:type="dxa"/>
            <w:tcBorders>
              <w:top w:val="single" w:sz="4" w:space="0" w:color="auto"/>
              <w:left w:val="single" w:sz="4" w:space="0" w:color="auto"/>
              <w:bottom w:val="single" w:sz="4" w:space="0" w:color="auto"/>
              <w:right w:val="single" w:sz="4" w:space="0" w:color="auto"/>
            </w:tcBorders>
            <w:vAlign w:val="center"/>
          </w:tcPr>
          <w:p w14:paraId="49B4EAE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90-180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3CA4F1A5"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旧料归原主</w:t>
            </w:r>
            <w:r>
              <w:rPr>
                <w:rStyle w:val="font01"/>
                <w:rFonts w:ascii="宋体" w:hAnsi="宋体" w:cs="宋体" w:hint="eastAsia"/>
                <w:sz w:val="21"/>
                <w:szCs w:val="21"/>
                <w:lang w:bidi="ar"/>
              </w:rPr>
              <w:t>。</w:t>
            </w:r>
          </w:p>
        </w:tc>
      </w:tr>
      <w:tr w:rsidR="00A320E6" w14:paraId="29F9CD4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AB0314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145E70D2"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61AD27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乱石基砖墙高2-2.5m</w:t>
            </w:r>
          </w:p>
        </w:tc>
        <w:tc>
          <w:tcPr>
            <w:tcW w:w="1998" w:type="dxa"/>
            <w:tcBorders>
              <w:top w:val="single" w:sz="4" w:space="0" w:color="auto"/>
              <w:left w:val="single" w:sz="4" w:space="0" w:color="auto"/>
              <w:bottom w:val="single" w:sz="4" w:space="0" w:color="auto"/>
              <w:right w:val="single" w:sz="4" w:space="0" w:color="auto"/>
            </w:tcBorders>
            <w:vAlign w:val="center"/>
          </w:tcPr>
          <w:p w14:paraId="4E094FE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120-240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top w:val="single" w:sz="4" w:space="0" w:color="auto"/>
              <w:left w:val="single" w:sz="4" w:space="0" w:color="auto"/>
              <w:bottom w:val="single" w:sz="4" w:space="0" w:color="auto"/>
              <w:right w:val="single" w:sz="4" w:space="0" w:color="auto"/>
            </w:tcBorders>
            <w:vAlign w:val="center"/>
          </w:tcPr>
          <w:p w14:paraId="564B8352" w14:textId="77777777" w:rsidR="00A320E6" w:rsidRDefault="00A320E6" w:rsidP="00AE0286">
            <w:pPr>
              <w:rPr>
                <w:rFonts w:ascii="宋体" w:hAnsi="宋体" w:cs="宋体"/>
                <w:color w:val="000000"/>
                <w:szCs w:val="21"/>
              </w:rPr>
            </w:pPr>
          </w:p>
        </w:tc>
      </w:tr>
      <w:tr w:rsidR="00A320E6" w14:paraId="2C4598D6"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6F4543F5"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F4CF10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5C8AB6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乱石基砖墙高2.5m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0E63ADC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140-280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top w:val="single" w:sz="4" w:space="0" w:color="auto"/>
              <w:left w:val="single" w:sz="4" w:space="0" w:color="auto"/>
              <w:bottom w:val="single" w:sz="4" w:space="0" w:color="auto"/>
              <w:right w:val="single" w:sz="4" w:space="0" w:color="auto"/>
            </w:tcBorders>
            <w:vAlign w:val="center"/>
          </w:tcPr>
          <w:p w14:paraId="210DDF8B" w14:textId="77777777" w:rsidR="00A320E6" w:rsidRDefault="00A320E6" w:rsidP="00AE0286">
            <w:pPr>
              <w:rPr>
                <w:rFonts w:ascii="宋体" w:hAnsi="宋体" w:cs="宋体"/>
                <w:color w:val="000000"/>
                <w:szCs w:val="21"/>
              </w:rPr>
            </w:pPr>
          </w:p>
        </w:tc>
      </w:tr>
      <w:tr w:rsidR="00A320E6" w14:paraId="10E3C72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5050C35"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DB20527"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17C6FF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乱石基土坯墙高1.5m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3DE0963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70-140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top w:val="single" w:sz="4" w:space="0" w:color="auto"/>
              <w:left w:val="single" w:sz="4" w:space="0" w:color="auto"/>
              <w:bottom w:val="single" w:sz="4" w:space="0" w:color="auto"/>
              <w:right w:val="single" w:sz="4" w:space="0" w:color="auto"/>
            </w:tcBorders>
            <w:vAlign w:val="center"/>
          </w:tcPr>
          <w:p w14:paraId="6BF0D337" w14:textId="77777777" w:rsidR="00A320E6" w:rsidRDefault="00A320E6" w:rsidP="00AE0286">
            <w:pPr>
              <w:rPr>
                <w:rFonts w:ascii="宋体" w:hAnsi="宋体" w:cs="宋体"/>
                <w:color w:val="000000"/>
                <w:szCs w:val="21"/>
              </w:rPr>
            </w:pPr>
          </w:p>
        </w:tc>
      </w:tr>
      <w:tr w:rsidR="00A320E6" w14:paraId="47012D2D"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0D5B61C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05C2135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畜禽舍</w:t>
            </w:r>
          </w:p>
        </w:tc>
        <w:tc>
          <w:tcPr>
            <w:tcW w:w="3117" w:type="dxa"/>
            <w:tcBorders>
              <w:top w:val="single" w:sz="4" w:space="0" w:color="auto"/>
              <w:left w:val="single" w:sz="4" w:space="0" w:color="auto"/>
              <w:bottom w:val="single" w:sz="4" w:space="0" w:color="auto"/>
              <w:right w:val="single" w:sz="4" w:space="0" w:color="auto"/>
            </w:tcBorders>
            <w:vAlign w:val="center"/>
          </w:tcPr>
          <w:p w14:paraId="016D9FF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p>
        </w:tc>
        <w:tc>
          <w:tcPr>
            <w:tcW w:w="1998" w:type="dxa"/>
            <w:tcBorders>
              <w:top w:val="single" w:sz="4" w:space="0" w:color="auto"/>
              <w:left w:val="single" w:sz="4" w:space="0" w:color="auto"/>
              <w:bottom w:val="single" w:sz="4" w:space="0" w:color="auto"/>
              <w:right w:val="single" w:sz="4" w:space="0" w:color="auto"/>
            </w:tcBorders>
            <w:vAlign w:val="center"/>
          </w:tcPr>
          <w:p w14:paraId="659F988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170-300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36AA86C6"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旧料归原主</w:t>
            </w:r>
            <w:r>
              <w:rPr>
                <w:rStyle w:val="font01"/>
                <w:rFonts w:ascii="宋体" w:hAnsi="宋体" w:cs="宋体" w:hint="eastAsia"/>
                <w:sz w:val="21"/>
                <w:szCs w:val="21"/>
                <w:lang w:bidi="ar"/>
              </w:rPr>
              <w:t>。</w:t>
            </w:r>
          </w:p>
        </w:tc>
      </w:tr>
      <w:tr w:rsidR="00A320E6" w14:paraId="273AF8C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32EE99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9C53D2D"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EC8949A"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简易结构</w:t>
            </w:r>
          </w:p>
        </w:tc>
        <w:tc>
          <w:tcPr>
            <w:tcW w:w="1998" w:type="dxa"/>
            <w:tcBorders>
              <w:top w:val="single" w:sz="4" w:space="0" w:color="auto"/>
              <w:left w:val="single" w:sz="4" w:space="0" w:color="auto"/>
              <w:bottom w:val="single" w:sz="4" w:space="0" w:color="auto"/>
              <w:right w:val="single" w:sz="4" w:space="0" w:color="auto"/>
            </w:tcBorders>
            <w:vAlign w:val="center"/>
          </w:tcPr>
          <w:p w14:paraId="1FF9CD0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4D3C8EB1" w14:textId="77777777" w:rsidR="00A320E6" w:rsidRDefault="00A320E6" w:rsidP="00AE0286">
            <w:pPr>
              <w:rPr>
                <w:rFonts w:ascii="宋体" w:hAnsi="宋体" w:cs="宋体"/>
                <w:color w:val="000000"/>
                <w:szCs w:val="21"/>
              </w:rPr>
            </w:pPr>
          </w:p>
        </w:tc>
      </w:tr>
      <w:tr w:rsidR="00A320E6" w14:paraId="4D1C973E"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1C66303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766" w:type="dxa"/>
            <w:tcBorders>
              <w:top w:val="single" w:sz="4" w:space="0" w:color="auto"/>
              <w:left w:val="single" w:sz="4" w:space="0" w:color="auto"/>
              <w:bottom w:val="single" w:sz="4" w:space="0" w:color="auto"/>
              <w:right w:val="single" w:sz="4" w:space="0" w:color="auto"/>
            </w:tcBorders>
            <w:vAlign w:val="center"/>
          </w:tcPr>
          <w:p w14:paraId="1754DD5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迁坟</w:t>
            </w:r>
          </w:p>
        </w:tc>
        <w:tc>
          <w:tcPr>
            <w:tcW w:w="3117" w:type="dxa"/>
            <w:tcBorders>
              <w:top w:val="single" w:sz="4" w:space="0" w:color="auto"/>
              <w:left w:val="single" w:sz="4" w:space="0" w:color="auto"/>
              <w:bottom w:val="single" w:sz="4" w:space="0" w:color="auto"/>
              <w:right w:val="single" w:sz="4" w:space="0" w:color="auto"/>
            </w:tcBorders>
            <w:vAlign w:val="center"/>
          </w:tcPr>
          <w:p w14:paraId="2DBB2167" w14:textId="77777777" w:rsidR="00A320E6" w:rsidRDefault="00A320E6" w:rsidP="00AE0286">
            <w:pPr>
              <w:jc w:val="left"/>
              <w:rPr>
                <w:rFonts w:ascii="宋体" w:hAnsi="宋体" w:cs="宋体"/>
                <w:color w:val="000000"/>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7EFD300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座</w:t>
            </w:r>
          </w:p>
        </w:tc>
        <w:tc>
          <w:tcPr>
            <w:tcW w:w="1907" w:type="dxa"/>
            <w:tcBorders>
              <w:top w:val="single" w:sz="4" w:space="0" w:color="auto"/>
              <w:left w:val="single" w:sz="4" w:space="0" w:color="auto"/>
              <w:bottom w:val="single" w:sz="4" w:space="0" w:color="auto"/>
              <w:right w:val="single" w:sz="4" w:space="0" w:color="auto"/>
            </w:tcBorders>
            <w:vAlign w:val="center"/>
          </w:tcPr>
          <w:p w14:paraId="52276A0F"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指三代之内坟头，包括迁葬工料费，双棺及以上加500</w:t>
            </w:r>
            <w:r>
              <w:rPr>
                <w:rStyle w:val="font01"/>
                <w:rFonts w:ascii="宋体" w:hAnsi="宋体" w:cs="宋体" w:hint="eastAsia"/>
                <w:sz w:val="21"/>
                <w:szCs w:val="21"/>
                <w:lang w:bidi="ar"/>
              </w:rPr>
              <w:t>元。</w:t>
            </w:r>
          </w:p>
        </w:tc>
      </w:tr>
      <w:tr w:rsidR="00A320E6" w14:paraId="20DEAA01"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5CE2FE8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0B4BC5E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温室大棚</w:t>
            </w:r>
          </w:p>
        </w:tc>
        <w:tc>
          <w:tcPr>
            <w:tcW w:w="3117" w:type="dxa"/>
            <w:tcBorders>
              <w:top w:val="single" w:sz="4" w:space="0" w:color="auto"/>
              <w:left w:val="single" w:sz="4" w:space="0" w:color="auto"/>
              <w:bottom w:val="single" w:sz="4" w:space="0" w:color="auto"/>
              <w:right w:val="single" w:sz="4" w:space="0" w:color="auto"/>
            </w:tcBorders>
            <w:vAlign w:val="center"/>
          </w:tcPr>
          <w:p w14:paraId="74F3291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砖墙、钢砼骨架玻璃顶</w:t>
            </w:r>
          </w:p>
        </w:tc>
        <w:tc>
          <w:tcPr>
            <w:tcW w:w="1998" w:type="dxa"/>
            <w:tcBorders>
              <w:top w:val="single" w:sz="4" w:space="0" w:color="auto"/>
              <w:left w:val="single" w:sz="4" w:space="0" w:color="auto"/>
              <w:bottom w:val="single" w:sz="4" w:space="0" w:color="auto"/>
              <w:right w:val="single" w:sz="4" w:space="0" w:color="auto"/>
            </w:tcBorders>
            <w:vAlign w:val="center"/>
          </w:tcPr>
          <w:p w14:paraId="2F7C6E3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120-240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539BF3A4"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旧料归原主</w:t>
            </w:r>
            <w:r>
              <w:rPr>
                <w:rStyle w:val="font01"/>
                <w:rFonts w:ascii="宋体" w:hAnsi="宋体" w:cs="宋体" w:hint="eastAsia"/>
                <w:sz w:val="21"/>
                <w:szCs w:val="21"/>
                <w:lang w:bidi="ar"/>
              </w:rPr>
              <w:t>。</w:t>
            </w:r>
          </w:p>
        </w:tc>
      </w:tr>
      <w:tr w:rsidR="00A320E6" w14:paraId="7F7C413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92CB086"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27CB51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53BCD81"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砖墙、钢砼骨架塑料薄膜顶</w:t>
            </w:r>
          </w:p>
        </w:tc>
        <w:tc>
          <w:tcPr>
            <w:tcW w:w="1998" w:type="dxa"/>
            <w:tcBorders>
              <w:top w:val="single" w:sz="4" w:space="0" w:color="auto"/>
              <w:left w:val="single" w:sz="4" w:space="0" w:color="auto"/>
              <w:bottom w:val="single" w:sz="4" w:space="0" w:color="auto"/>
              <w:right w:val="single" w:sz="4" w:space="0" w:color="auto"/>
            </w:tcBorders>
            <w:vAlign w:val="center"/>
          </w:tcPr>
          <w:p w14:paraId="4247B6C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90-140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543B3C11" w14:textId="77777777" w:rsidR="00A320E6" w:rsidRDefault="00A320E6" w:rsidP="00AE0286">
            <w:pPr>
              <w:rPr>
                <w:rFonts w:ascii="宋体" w:hAnsi="宋体" w:cs="宋体"/>
                <w:color w:val="000000"/>
                <w:szCs w:val="21"/>
              </w:rPr>
            </w:pPr>
          </w:p>
        </w:tc>
      </w:tr>
      <w:tr w:rsidR="00A320E6" w14:paraId="53C06182"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CDF1AD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616BDE4"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17FCEB5"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简易塑料薄膜顶</w:t>
            </w:r>
          </w:p>
        </w:tc>
        <w:tc>
          <w:tcPr>
            <w:tcW w:w="1998" w:type="dxa"/>
            <w:tcBorders>
              <w:top w:val="single" w:sz="4" w:space="0" w:color="auto"/>
              <w:left w:val="single" w:sz="4" w:space="0" w:color="auto"/>
              <w:bottom w:val="single" w:sz="4" w:space="0" w:color="auto"/>
              <w:right w:val="single" w:sz="4" w:space="0" w:color="auto"/>
            </w:tcBorders>
            <w:vAlign w:val="center"/>
          </w:tcPr>
          <w:p w14:paraId="7F29F1C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30-70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vMerge/>
            <w:tcBorders>
              <w:top w:val="single" w:sz="4" w:space="0" w:color="auto"/>
              <w:left w:val="single" w:sz="4" w:space="0" w:color="auto"/>
              <w:bottom w:val="single" w:sz="4" w:space="0" w:color="auto"/>
              <w:right w:val="single" w:sz="4" w:space="0" w:color="auto"/>
            </w:tcBorders>
          </w:tcPr>
          <w:p w14:paraId="072C90EC" w14:textId="77777777" w:rsidR="00A320E6" w:rsidRDefault="00A320E6" w:rsidP="00AE0286">
            <w:pPr>
              <w:rPr>
                <w:rFonts w:ascii="宋体" w:hAnsi="宋体" w:cs="宋体"/>
                <w:color w:val="000000"/>
                <w:szCs w:val="21"/>
              </w:rPr>
            </w:pPr>
          </w:p>
        </w:tc>
      </w:tr>
      <w:tr w:rsidR="00A320E6" w14:paraId="1DFC4703"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1669A5C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6E0965D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小桥</w:t>
            </w:r>
          </w:p>
        </w:tc>
        <w:tc>
          <w:tcPr>
            <w:tcW w:w="3117" w:type="dxa"/>
            <w:tcBorders>
              <w:top w:val="single" w:sz="4" w:space="0" w:color="auto"/>
              <w:left w:val="single" w:sz="4" w:space="0" w:color="auto"/>
              <w:bottom w:val="single" w:sz="4" w:space="0" w:color="auto"/>
              <w:right w:val="single" w:sz="4" w:space="0" w:color="auto"/>
            </w:tcBorders>
            <w:vAlign w:val="center"/>
          </w:tcPr>
          <w:p w14:paraId="79949276"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钢筋混凝土矩形板桥</w:t>
            </w:r>
          </w:p>
        </w:tc>
        <w:tc>
          <w:tcPr>
            <w:tcW w:w="1998" w:type="dxa"/>
            <w:tcBorders>
              <w:top w:val="single" w:sz="4" w:space="0" w:color="auto"/>
              <w:left w:val="single" w:sz="4" w:space="0" w:color="auto"/>
              <w:bottom w:val="single" w:sz="4" w:space="0" w:color="auto"/>
              <w:right w:val="single" w:sz="4" w:space="0" w:color="auto"/>
            </w:tcBorders>
            <w:vAlign w:val="center"/>
          </w:tcPr>
          <w:p w14:paraId="53C3C34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1300-1700元/㎡</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1826A7B3"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按桥面面积计算</w:t>
            </w:r>
            <w:r>
              <w:rPr>
                <w:rStyle w:val="font01"/>
                <w:rFonts w:ascii="宋体" w:hAnsi="宋体" w:cs="宋体" w:hint="eastAsia"/>
                <w:sz w:val="21"/>
                <w:szCs w:val="21"/>
                <w:lang w:bidi="ar"/>
              </w:rPr>
              <w:t>。</w:t>
            </w:r>
          </w:p>
        </w:tc>
      </w:tr>
      <w:tr w:rsidR="00A320E6" w14:paraId="01FAD9EB"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723CEE6A"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6935EC8"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EA7E54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平坦石拱桥</w:t>
            </w:r>
          </w:p>
        </w:tc>
        <w:tc>
          <w:tcPr>
            <w:tcW w:w="1998" w:type="dxa"/>
            <w:tcBorders>
              <w:top w:val="single" w:sz="4" w:space="0" w:color="auto"/>
              <w:left w:val="single" w:sz="4" w:space="0" w:color="auto"/>
              <w:bottom w:val="single" w:sz="4" w:space="0" w:color="auto"/>
              <w:right w:val="single" w:sz="4" w:space="0" w:color="auto"/>
            </w:tcBorders>
            <w:vAlign w:val="center"/>
          </w:tcPr>
          <w:p w14:paraId="0A1512E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1100-1400元/㎡</w:t>
            </w:r>
          </w:p>
        </w:tc>
        <w:tc>
          <w:tcPr>
            <w:tcW w:w="1907" w:type="dxa"/>
            <w:vMerge/>
            <w:tcBorders>
              <w:top w:val="single" w:sz="4" w:space="0" w:color="auto"/>
              <w:left w:val="single" w:sz="4" w:space="0" w:color="auto"/>
              <w:bottom w:val="single" w:sz="4" w:space="0" w:color="auto"/>
              <w:right w:val="single" w:sz="4" w:space="0" w:color="auto"/>
            </w:tcBorders>
            <w:vAlign w:val="center"/>
          </w:tcPr>
          <w:p w14:paraId="658387BA" w14:textId="77777777" w:rsidR="00A320E6" w:rsidRDefault="00A320E6" w:rsidP="00AE0286">
            <w:pPr>
              <w:rPr>
                <w:rFonts w:ascii="宋体" w:hAnsi="宋体" w:cs="宋体"/>
                <w:color w:val="000000"/>
                <w:szCs w:val="21"/>
              </w:rPr>
            </w:pPr>
          </w:p>
        </w:tc>
      </w:tr>
      <w:tr w:rsidR="00A320E6" w14:paraId="443A211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F86BCB4"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F01FEF0"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4A9E1AD9"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石拱桥</w:t>
            </w:r>
          </w:p>
        </w:tc>
        <w:tc>
          <w:tcPr>
            <w:tcW w:w="1998" w:type="dxa"/>
            <w:tcBorders>
              <w:top w:val="single" w:sz="4" w:space="0" w:color="auto"/>
              <w:left w:val="single" w:sz="4" w:space="0" w:color="auto"/>
              <w:bottom w:val="single" w:sz="4" w:space="0" w:color="auto"/>
              <w:right w:val="single" w:sz="4" w:space="0" w:color="auto"/>
            </w:tcBorders>
            <w:vAlign w:val="center"/>
          </w:tcPr>
          <w:p w14:paraId="2E78D29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1900-2300元/㎡</w:t>
            </w:r>
          </w:p>
        </w:tc>
        <w:tc>
          <w:tcPr>
            <w:tcW w:w="1907" w:type="dxa"/>
            <w:vMerge/>
            <w:tcBorders>
              <w:top w:val="single" w:sz="4" w:space="0" w:color="auto"/>
              <w:left w:val="single" w:sz="4" w:space="0" w:color="auto"/>
              <w:bottom w:val="single" w:sz="4" w:space="0" w:color="auto"/>
              <w:right w:val="single" w:sz="4" w:space="0" w:color="auto"/>
            </w:tcBorders>
            <w:vAlign w:val="center"/>
          </w:tcPr>
          <w:p w14:paraId="6C34E4CB" w14:textId="77777777" w:rsidR="00A320E6" w:rsidRDefault="00A320E6" w:rsidP="00AE0286">
            <w:pPr>
              <w:rPr>
                <w:rFonts w:ascii="宋体" w:hAnsi="宋体" w:cs="宋体"/>
                <w:color w:val="000000"/>
                <w:szCs w:val="21"/>
              </w:rPr>
            </w:pPr>
          </w:p>
        </w:tc>
      </w:tr>
      <w:tr w:rsidR="00A320E6" w14:paraId="39B8BA3F"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0513D44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64C49E9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涵洞</w:t>
            </w:r>
          </w:p>
        </w:tc>
        <w:tc>
          <w:tcPr>
            <w:tcW w:w="3117" w:type="dxa"/>
            <w:tcBorders>
              <w:top w:val="single" w:sz="4" w:space="0" w:color="auto"/>
              <w:left w:val="single" w:sz="4" w:space="0" w:color="auto"/>
              <w:bottom w:val="single" w:sz="4" w:space="0" w:color="auto"/>
              <w:right w:val="single" w:sz="4" w:space="0" w:color="auto"/>
            </w:tcBorders>
            <w:vAlign w:val="center"/>
          </w:tcPr>
          <w:p w14:paraId="6604A9B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石盖板涵跨径1-2m</w:t>
            </w:r>
          </w:p>
        </w:tc>
        <w:tc>
          <w:tcPr>
            <w:tcW w:w="1998" w:type="dxa"/>
            <w:tcBorders>
              <w:top w:val="single" w:sz="4" w:space="0" w:color="auto"/>
              <w:left w:val="single" w:sz="4" w:space="0" w:color="auto"/>
              <w:bottom w:val="single" w:sz="4" w:space="0" w:color="auto"/>
              <w:right w:val="single" w:sz="4" w:space="0" w:color="auto"/>
            </w:tcBorders>
            <w:vAlign w:val="center"/>
          </w:tcPr>
          <w:p w14:paraId="5BEEFD4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800-1000元/m</w:t>
            </w:r>
          </w:p>
        </w:tc>
        <w:tc>
          <w:tcPr>
            <w:tcW w:w="1907" w:type="dxa"/>
            <w:tcBorders>
              <w:top w:val="single" w:sz="4" w:space="0" w:color="auto"/>
              <w:left w:val="single" w:sz="4" w:space="0" w:color="auto"/>
              <w:bottom w:val="single" w:sz="4" w:space="0" w:color="auto"/>
              <w:right w:val="single" w:sz="4" w:space="0" w:color="auto"/>
            </w:tcBorders>
            <w:vAlign w:val="center"/>
          </w:tcPr>
          <w:p w14:paraId="7A76C6E2" w14:textId="77777777" w:rsidR="00A320E6" w:rsidRDefault="00A320E6" w:rsidP="00AE0286">
            <w:pPr>
              <w:rPr>
                <w:rFonts w:ascii="宋体" w:hAnsi="宋体" w:cs="宋体"/>
                <w:color w:val="000000"/>
                <w:szCs w:val="21"/>
              </w:rPr>
            </w:pPr>
          </w:p>
        </w:tc>
      </w:tr>
      <w:tr w:rsidR="00A320E6" w14:paraId="7A409CDB"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7ECDDD52"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AB09C3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4657C3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石拱涵跨径1-4m</w:t>
            </w:r>
          </w:p>
        </w:tc>
        <w:tc>
          <w:tcPr>
            <w:tcW w:w="1998" w:type="dxa"/>
            <w:tcBorders>
              <w:top w:val="single" w:sz="4" w:space="0" w:color="auto"/>
              <w:left w:val="single" w:sz="4" w:space="0" w:color="auto"/>
              <w:bottom w:val="single" w:sz="4" w:space="0" w:color="auto"/>
              <w:right w:val="single" w:sz="4" w:space="0" w:color="auto"/>
            </w:tcBorders>
            <w:vAlign w:val="center"/>
          </w:tcPr>
          <w:p w14:paraId="645A1C9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2000-2500元/m</w:t>
            </w:r>
          </w:p>
        </w:tc>
        <w:tc>
          <w:tcPr>
            <w:tcW w:w="1907" w:type="dxa"/>
            <w:tcBorders>
              <w:top w:val="single" w:sz="4" w:space="0" w:color="auto"/>
              <w:left w:val="single" w:sz="4" w:space="0" w:color="auto"/>
              <w:bottom w:val="single" w:sz="4" w:space="0" w:color="auto"/>
              <w:right w:val="single" w:sz="4" w:space="0" w:color="auto"/>
            </w:tcBorders>
            <w:vAlign w:val="center"/>
          </w:tcPr>
          <w:p w14:paraId="7007E748" w14:textId="77777777" w:rsidR="00A320E6" w:rsidRDefault="00A320E6" w:rsidP="00AE0286">
            <w:pPr>
              <w:rPr>
                <w:rFonts w:ascii="宋体" w:hAnsi="宋体" w:cs="宋体"/>
                <w:color w:val="000000"/>
                <w:szCs w:val="21"/>
              </w:rPr>
            </w:pPr>
          </w:p>
        </w:tc>
      </w:tr>
      <w:tr w:rsidR="00A320E6" w14:paraId="076AE318"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BCE6663"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583A9BE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B7D13F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钢筋混凝土圆管涵跨径1-2m</w:t>
            </w:r>
          </w:p>
        </w:tc>
        <w:tc>
          <w:tcPr>
            <w:tcW w:w="1998" w:type="dxa"/>
            <w:tcBorders>
              <w:top w:val="single" w:sz="4" w:space="0" w:color="auto"/>
              <w:left w:val="single" w:sz="4" w:space="0" w:color="auto"/>
              <w:bottom w:val="single" w:sz="4" w:space="0" w:color="auto"/>
              <w:right w:val="single" w:sz="4" w:space="0" w:color="auto"/>
            </w:tcBorders>
            <w:vAlign w:val="center"/>
          </w:tcPr>
          <w:p w14:paraId="6873B30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1300-2100元/m</w:t>
            </w:r>
          </w:p>
        </w:tc>
        <w:tc>
          <w:tcPr>
            <w:tcW w:w="1907" w:type="dxa"/>
            <w:tcBorders>
              <w:top w:val="single" w:sz="4" w:space="0" w:color="auto"/>
              <w:left w:val="single" w:sz="4" w:space="0" w:color="auto"/>
              <w:bottom w:val="single" w:sz="4" w:space="0" w:color="auto"/>
              <w:right w:val="single" w:sz="4" w:space="0" w:color="auto"/>
            </w:tcBorders>
            <w:vAlign w:val="center"/>
          </w:tcPr>
          <w:p w14:paraId="39A844F9" w14:textId="77777777" w:rsidR="00A320E6" w:rsidRDefault="00A320E6" w:rsidP="00AE0286">
            <w:pPr>
              <w:rPr>
                <w:rFonts w:ascii="宋体" w:hAnsi="宋体" w:cs="宋体"/>
                <w:color w:val="000000"/>
                <w:szCs w:val="21"/>
              </w:rPr>
            </w:pPr>
          </w:p>
        </w:tc>
      </w:tr>
      <w:tr w:rsidR="00A320E6" w14:paraId="0C8C878E"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A96D302"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noWrap/>
            <w:vAlign w:val="center"/>
          </w:tcPr>
          <w:p w14:paraId="7729AB8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4A7001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钢筋混凝土盖板涵跨径1.5-4m</w:t>
            </w:r>
          </w:p>
        </w:tc>
        <w:tc>
          <w:tcPr>
            <w:tcW w:w="1998" w:type="dxa"/>
            <w:tcBorders>
              <w:top w:val="single" w:sz="4" w:space="0" w:color="auto"/>
              <w:left w:val="single" w:sz="4" w:space="0" w:color="auto"/>
              <w:bottom w:val="single" w:sz="4" w:space="0" w:color="auto"/>
              <w:right w:val="single" w:sz="4" w:space="0" w:color="auto"/>
            </w:tcBorders>
            <w:vAlign w:val="center"/>
          </w:tcPr>
          <w:p w14:paraId="65BA365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1800-3200元/m</w:t>
            </w:r>
          </w:p>
        </w:tc>
        <w:tc>
          <w:tcPr>
            <w:tcW w:w="1907" w:type="dxa"/>
            <w:tcBorders>
              <w:top w:val="single" w:sz="4" w:space="0" w:color="auto"/>
              <w:left w:val="single" w:sz="4" w:space="0" w:color="auto"/>
              <w:bottom w:val="single" w:sz="4" w:space="0" w:color="auto"/>
              <w:right w:val="single" w:sz="4" w:space="0" w:color="auto"/>
            </w:tcBorders>
            <w:vAlign w:val="center"/>
          </w:tcPr>
          <w:p w14:paraId="33C44B61" w14:textId="77777777" w:rsidR="00A320E6" w:rsidRDefault="00A320E6" w:rsidP="00AE0286">
            <w:pPr>
              <w:rPr>
                <w:rFonts w:ascii="宋体" w:hAnsi="宋体" w:cs="宋体"/>
                <w:color w:val="000000"/>
                <w:szCs w:val="21"/>
              </w:rPr>
            </w:pPr>
          </w:p>
        </w:tc>
      </w:tr>
      <w:tr w:rsidR="00A320E6" w14:paraId="1AF16586"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063918B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766" w:type="dxa"/>
            <w:tcBorders>
              <w:top w:val="single" w:sz="4" w:space="0" w:color="auto"/>
              <w:left w:val="single" w:sz="4" w:space="0" w:color="auto"/>
              <w:bottom w:val="single" w:sz="4" w:space="0" w:color="auto"/>
              <w:right w:val="single" w:sz="4" w:space="0" w:color="auto"/>
            </w:tcBorders>
            <w:vAlign w:val="center"/>
          </w:tcPr>
          <w:p w14:paraId="5776254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台田石堰</w:t>
            </w:r>
          </w:p>
        </w:tc>
        <w:tc>
          <w:tcPr>
            <w:tcW w:w="3117" w:type="dxa"/>
            <w:tcBorders>
              <w:top w:val="single" w:sz="4" w:space="0" w:color="auto"/>
              <w:left w:val="single" w:sz="4" w:space="0" w:color="auto"/>
              <w:bottom w:val="single" w:sz="4" w:space="0" w:color="auto"/>
              <w:right w:val="single" w:sz="4" w:space="0" w:color="auto"/>
            </w:tcBorders>
            <w:vAlign w:val="center"/>
          </w:tcPr>
          <w:p w14:paraId="6A811E36" w14:textId="77777777" w:rsidR="00A320E6" w:rsidRDefault="00A320E6" w:rsidP="00AE0286">
            <w:pPr>
              <w:jc w:val="left"/>
              <w:rPr>
                <w:rFonts w:ascii="宋体" w:hAnsi="宋体" w:cs="宋体"/>
                <w:color w:val="000000"/>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7670DC6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80-120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62C42CA3"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按砌体侧面积计算</w:t>
            </w:r>
            <w:r>
              <w:rPr>
                <w:rStyle w:val="font01"/>
                <w:rFonts w:ascii="宋体" w:hAnsi="宋体" w:cs="宋体" w:hint="eastAsia"/>
                <w:sz w:val="21"/>
                <w:szCs w:val="21"/>
                <w:lang w:bidi="ar"/>
              </w:rPr>
              <w:t>。</w:t>
            </w:r>
          </w:p>
        </w:tc>
      </w:tr>
      <w:tr w:rsidR="00A320E6" w14:paraId="2896B82F"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39D0864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766" w:type="dxa"/>
            <w:tcBorders>
              <w:top w:val="single" w:sz="4" w:space="0" w:color="auto"/>
              <w:left w:val="single" w:sz="4" w:space="0" w:color="auto"/>
              <w:bottom w:val="single" w:sz="4" w:space="0" w:color="auto"/>
              <w:right w:val="single" w:sz="4" w:space="0" w:color="auto"/>
            </w:tcBorders>
            <w:vAlign w:val="center"/>
          </w:tcPr>
          <w:p w14:paraId="0FBBCE9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水渠</w:t>
            </w:r>
          </w:p>
        </w:tc>
        <w:tc>
          <w:tcPr>
            <w:tcW w:w="3117" w:type="dxa"/>
            <w:tcBorders>
              <w:top w:val="single" w:sz="4" w:space="0" w:color="auto"/>
              <w:left w:val="single" w:sz="4" w:space="0" w:color="auto"/>
              <w:bottom w:val="single" w:sz="4" w:space="0" w:color="auto"/>
              <w:right w:val="single" w:sz="4" w:space="0" w:color="auto"/>
            </w:tcBorders>
            <w:vAlign w:val="center"/>
          </w:tcPr>
          <w:p w14:paraId="32F0982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土筑水渠、水池</w:t>
            </w:r>
          </w:p>
        </w:tc>
        <w:tc>
          <w:tcPr>
            <w:tcW w:w="1998" w:type="dxa"/>
            <w:tcBorders>
              <w:top w:val="single" w:sz="4" w:space="0" w:color="auto"/>
              <w:left w:val="single" w:sz="4" w:space="0" w:color="auto"/>
              <w:bottom w:val="single" w:sz="4" w:space="0" w:color="auto"/>
              <w:right w:val="single" w:sz="4" w:space="0" w:color="auto"/>
            </w:tcBorders>
            <w:vAlign w:val="center"/>
          </w:tcPr>
          <w:p w14:paraId="5309ACD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25-30</w:t>
            </w:r>
            <w:r>
              <w:rPr>
                <w:rStyle w:val="font01"/>
                <w:rFonts w:ascii="宋体" w:hAnsi="宋体" w:cs="宋体" w:hint="eastAsia"/>
                <w:sz w:val="21"/>
                <w:szCs w:val="21"/>
                <w:lang w:bidi="ar"/>
              </w:rPr>
              <w:t>元</w:t>
            </w:r>
            <w:r>
              <w:rPr>
                <w:rFonts w:ascii="宋体" w:hAnsi="宋体" w:cs="宋体" w:hint="eastAsia"/>
                <w:color w:val="000000"/>
                <w:kern w:val="0"/>
                <w:szCs w:val="21"/>
                <w:lang w:bidi="ar"/>
              </w:rPr>
              <w:t>/m³</w:t>
            </w:r>
          </w:p>
        </w:tc>
        <w:tc>
          <w:tcPr>
            <w:tcW w:w="1907" w:type="dxa"/>
            <w:vMerge w:val="restart"/>
            <w:tcBorders>
              <w:top w:val="single" w:sz="4" w:space="0" w:color="auto"/>
              <w:left w:val="single" w:sz="4" w:space="0" w:color="auto"/>
              <w:right w:val="single" w:sz="4" w:space="0" w:color="auto"/>
            </w:tcBorders>
            <w:vAlign w:val="center"/>
          </w:tcPr>
          <w:p w14:paraId="353989EE"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不含田间毛渠。</w:t>
            </w:r>
          </w:p>
          <w:p w14:paraId="7B6D3BA9"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按用料体积计算，挖方按简易结构另计。</w:t>
            </w:r>
          </w:p>
        </w:tc>
      </w:tr>
      <w:tr w:rsidR="00A320E6" w14:paraId="51E103B7"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924AB3B" w14:textId="77777777" w:rsidR="00A320E6" w:rsidRDefault="00A320E6" w:rsidP="00AE0286">
            <w:pPr>
              <w:jc w:val="center"/>
              <w:rPr>
                <w:rFonts w:ascii="宋体" w:hAnsi="宋体" w:cs="宋体"/>
                <w:color w:val="000000"/>
                <w:szCs w:val="21"/>
              </w:rPr>
            </w:pPr>
          </w:p>
        </w:tc>
        <w:tc>
          <w:tcPr>
            <w:tcW w:w="766" w:type="dxa"/>
            <w:tcBorders>
              <w:top w:val="single" w:sz="4" w:space="0" w:color="auto"/>
              <w:left w:val="single" w:sz="4" w:space="0" w:color="auto"/>
              <w:bottom w:val="single" w:sz="4" w:space="0" w:color="auto"/>
              <w:right w:val="single" w:sz="4" w:space="0" w:color="auto"/>
            </w:tcBorders>
            <w:vAlign w:val="center"/>
          </w:tcPr>
          <w:p w14:paraId="4EC9CD3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水池</w:t>
            </w:r>
          </w:p>
        </w:tc>
        <w:tc>
          <w:tcPr>
            <w:tcW w:w="3117" w:type="dxa"/>
            <w:tcBorders>
              <w:top w:val="single" w:sz="4" w:space="0" w:color="auto"/>
              <w:left w:val="single" w:sz="4" w:space="0" w:color="auto"/>
              <w:bottom w:val="single" w:sz="4" w:space="0" w:color="auto"/>
              <w:right w:val="single" w:sz="4" w:space="0" w:color="auto"/>
            </w:tcBorders>
            <w:vAlign w:val="center"/>
          </w:tcPr>
          <w:p w14:paraId="2ED2046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砖（石）砌水渠、水池</w:t>
            </w:r>
          </w:p>
        </w:tc>
        <w:tc>
          <w:tcPr>
            <w:tcW w:w="1998" w:type="dxa"/>
            <w:tcBorders>
              <w:top w:val="single" w:sz="4" w:space="0" w:color="auto"/>
              <w:left w:val="single" w:sz="4" w:space="0" w:color="auto"/>
              <w:bottom w:val="single" w:sz="4" w:space="0" w:color="auto"/>
              <w:right w:val="single" w:sz="4" w:space="0" w:color="auto"/>
            </w:tcBorders>
            <w:vAlign w:val="center"/>
          </w:tcPr>
          <w:p w14:paraId="49FFCC5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120-150</w:t>
            </w:r>
            <w:r>
              <w:rPr>
                <w:rStyle w:val="font01"/>
                <w:rFonts w:ascii="宋体" w:hAnsi="宋体" w:cs="宋体" w:hint="eastAsia"/>
                <w:sz w:val="21"/>
                <w:szCs w:val="21"/>
                <w:lang w:bidi="ar"/>
              </w:rPr>
              <w:t>元</w:t>
            </w:r>
            <w:r>
              <w:rPr>
                <w:rFonts w:ascii="宋体" w:hAnsi="宋体" w:cs="宋体" w:hint="eastAsia"/>
                <w:color w:val="000000"/>
                <w:kern w:val="0"/>
                <w:szCs w:val="21"/>
                <w:lang w:bidi="ar"/>
              </w:rPr>
              <w:t>/m³</w:t>
            </w:r>
          </w:p>
        </w:tc>
        <w:tc>
          <w:tcPr>
            <w:tcW w:w="1907" w:type="dxa"/>
            <w:vMerge/>
            <w:tcBorders>
              <w:left w:val="single" w:sz="4" w:space="0" w:color="auto"/>
              <w:bottom w:val="single" w:sz="4" w:space="0" w:color="auto"/>
              <w:right w:val="single" w:sz="4" w:space="0" w:color="auto"/>
            </w:tcBorders>
            <w:vAlign w:val="center"/>
          </w:tcPr>
          <w:p w14:paraId="754E24A7" w14:textId="77777777" w:rsidR="00A320E6" w:rsidRDefault="00A320E6" w:rsidP="00AE0286">
            <w:pPr>
              <w:textAlignment w:val="center"/>
              <w:rPr>
                <w:rFonts w:ascii="宋体" w:hAnsi="宋体" w:cs="宋体"/>
                <w:color w:val="000000"/>
                <w:szCs w:val="21"/>
              </w:rPr>
            </w:pPr>
          </w:p>
        </w:tc>
      </w:tr>
      <w:tr w:rsidR="00A320E6" w14:paraId="3B3F6E1C"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405876C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1CD2387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地面</w:t>
            </w:r>
          </w:p>
        </w:tc>
        <w:tc>
          <w:tcPr>
            <w:tcW w:w="3117" w:type="dxa"/>
            <w:tcBorders>
              <w:top w:val="single" w:sz="4" w:space="0" w:color="auto"/>
              <w:left w:val="single" w:sz="4" w:space="0" w:color="auto"/>
              <w:bottom w:val="single" w:sz="4" w:space="0" w:color="auto"/>
              <w:right w:val="single" w:sz="4" w:space="0" w:color="auto"/>
            </w:tcBorders>
            <w:vAlign w:val="center"/>
          </w:tcPr>
          <w:p w14:paraId="47CDFF1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水泥地面</w:t>
            </w:r>
          </w:p>
        </w:tc>
        <w:tc>
          <w:tcPr>
            <w:tcW w:w="1998" w:type="dxa"/>
            <w:tcBorders>
              <w:top w:val="single" w:sz="4" w:space="0" w:color="auto"/>
              <w:left w:val="single" w:sz="4" w:space="0" w:color="auto"/>
              <w:bottom w:val="single" w:sz="4" w:space="0" w:color="auto"/>
              <w:right w:val="single" w:sz="4" w:space="0" w:color="auto"/>
            </w:tcBorders>
            <w:vAlign w:val="center"/>
          </w:tcPr>
          <w:p w14:paraId="44BFA32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06E2861B" w14:textId="77777777" w:rsidR="00A320E6" w:rsidRDefault="00A320E6" w:rsidP="00AE0286">
            <w:pPr>
              <w:rPr>
                <w:rFonts w:ascii="宋体" w:hAnsi="宋体" w:cs="宋体"/>
                <w:color w:val="000000"/>
                <w:szCs w:val="21"/>
              </w:rPr>
            </w:pPr>
          </w:p>
        </w:tc>
      </w:tr>
      <w:tr w:rsidR="00A320E6" w14:paraId="3AA14626"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B6FF9C6"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1CDCCF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F3DD84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花砖</w:t>
            </w:r>
          </w:p>
        </w:tc>
        <w:tc>
          <w:tcPr>
            <w:tcW w:w="1998" w:type="dxa"/>
            <w:tcBorders>
              <w:top w:val="single" w:sz="4" w:space="0" w:color="auto"/>
              <w:left w:val="single" w:sz="4" w:space="0" w:color="auto"/>
              <w:bottom w:val="single" w:sz="4" w:space="0" w:color="auto"/>
              <w:right w:val="single" w:sz="4" w:space="0" w:color="auto"/>
            </w:tcBorders>
            <w:vAlign w:val="center"/>
          </w:tcPr>
          <w:p w14:paraId="729E275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25-35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38589D8F" w14:textId="77777777" w:rsidR="00A320E6" w:rsidRDefault="00A320E6" w:rsidP="00AE0286">
            <w:pPr>
              <w:rPr>
                <w:rFonts w:ascii="宋体" w:hAnsi="宋体" w:cs="宋体"/>
                <w:color w:val="000000"/>
                <w:szCs w:val="21"/>
              </w:rPr>
            </w:pPr>
          </w:p>
        </w:tc>
      </w:tr>
      <w:tr w:rsidR="00A320E6" w14:paraId="22A7760B"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580CF96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04C9610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道路</w:t>
            </w:r>
          </w:p>
        </w:tc>
        <w:tc>
          <w:tcPr>
            <w:tcW w:w="3117" w:type="dxa"/>
            <w:tcBorders>
              <w:top w:val="single" w:sz="4" w:space="0" w:color="auto"/>
              <w:left w:val="single" w:sz="4" w:space="0" w:color="auto"/>
              <w:bottom w:val="single" w:sz="4" w:space="0" w:color="auto"/>
              <w:right w:val="single" w:sz="4" w:space="0" w:color="auto"/>
            </w:tcBorders>
            <w:vAlign w:val="center"/>
          </w:tcPr>
          <w:p w14:paraId="3C9B22C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沥青硬化</w:t>
            </w:r>
          </w:p>
        </w:tc>
        <w:tc>
          <w:tcPr>
            <w:tcW w:w="1998" w:type="dxa"/>
            <w:tcBorders>
              <w:top w:val="single" w:sz="4" w:space="0" w:color="auto"/>
              <w:left w:val="single" w:sz="4" w:space="0" w:color="auto"/>
              <w:bottom w:val="single" w:sz="4" w:space="0" w:color="auto"/>
              <w:right w:val="single" w:sz="4" w:space="0" w:color="auto"/>
            </w:tcBorders>
            <w:vAlign w:val="center"/>
          </w:tcPr>
          <w:p w14:paraId="2691133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100-150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269AFB4D" w14:textId="77777777" w:rsidR="00A320E6" w:rsidRDefault="00A320E6" w:rsidP="00AE0286">
            <w:pPr>
              <w:rPr>
                <w:rFonts w:ascii="宋体" w:hAnsi="宋体" w:cs="宋体"/>
                <w:color w:val="000000"/>
                <w:szCs w:val="21"/>
              </w:rPr>
            </w:pPr>
          </w:p>
        </w:tc>
      </w:tr>
      <w:tr w:rsidR="00A320E6" w14:paraId="1C692340"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D6838E6"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25B8C2B"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D1D4BC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水泥硬化</w:t>
            </w:r>
          </w:p>
        </w:tc>
        <w:tc>
          <w:tcPr>
            <w:tcW w:w="1998" w:type="dxa"/>
            <w:tcBorders>
              <w:top w:val="single" w:sz="4" w:space="0" w:color="auto"/>
              <w:left w:val="single" w:sz="4" w:space="0" w:color="auto"/>
              <w:bottom w:val="single" w:sz="4" w:space="0" w:color="auto"/>
              <w:right w:val="single" w:sz="4" w:space="0" w:color="auto"/>
            </w:tcBorders>
            <w:vAlign w:val="center"/>
          </w:tcPr>
          <w:p w14:paraId="27F1CCD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90-120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024B437F" w14:textId="77777777" w:rsidR="00A320E6" w:rsidRDefault="00A320E6" w:rsidP="00AE0286">
            <w:pPr>
              <w:rPr>
                <w:rFonts w:ascii="宋体" w:hAnsi="宋体" w:cs="宋体"/>
                <w:color w:val="000000"/>
                <w:szCs w:val="21"/>
              </w:rPr>
            </w:pPr>
          </w:p>
        </w:tc>
      </w:tr>
      <w:tr w:rsidR="00A320E6" w14:paraId="47A7523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87A060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C44FDE0"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DCC45F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碎石路</w:t>
            </w:r>
          </w:p>
        </w:tc>
        <w:tc>
          <w:tcPr>
            <w:tcW w:w="1998" w:type="dxa"/>
            <w:tcBorders>
              <w:top w:val="single" w:sz="4" w:space="0" w:color="auto"/>
              <w:left w:val="single" w:sz="4" w:space="0" w:color="auto"/>
              <w:bottom w:val="single" w:sz="4" w:space="0" w:color="auto"/>
              <w:right w:val="single" w:sz="4" w:space="0" w:color="auto"/>
            </w:tcBorders>
            <w:vAlign w:val="center"/>
          </w:tcPr>
          <w:p w14:paraId="70A56C3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30-60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w:t>
            </w:r>
          </w:p>
        </w:tc>
        <w:tc>
          <w:tcPr>
            <w:tcW w:w="1907" w:type="dxa"/>
            <w:tcBorders>
              <w:top w:val="single" w:sz="4" w:space="0" w:color="auto"/>
              <w:left w:val="single" w:sz="4" w:space="0" w:color="auto"/>
              <w:bottom w:val="single" w:sz="4" w:space="0" w:color="auto"/>
              <w:right w:val="single" w:sz="4" w:space="0" w:color="auto"/>
            </w:tcBorders>
            <w:vAlign w:val="center"/>
          </w:tcPr>
          <w:p w14:paraId="1535AFD6" w14:textId="77777777" w:rsidR="00A320E6" w:rsidRDefault="00A320E6" w:rsidP="00AE0286">
            <w:pPr>
              <w:rPr>
                <w:rFonts w:ascii="宋体" w:hAnsi="宋体" w:cs="宋体"/>
                <w:color w:val="000000"/>
                <w:szCs w:val="21"/>
              </w:rPr>
            </w:pPr>
          </w:p>
        </w:tc>
      </w:tr>
      <w:tr w:rsidR="00A320E6" w14:paraId="049E7F86"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790A385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1821119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水井</w:t>
            </w:r>
          </w:p>
        </w:tc>
        <w:tc>
          <w:tcPr>
            <w:tcW w:w="3117" w:type="dxa"/>
            <w:tcBorders>
              <w:top w:val="single" w:sz="4" w:space="0" w:color="auto"/>
              <w:left w:val="single" w:sz="4" w:space="0" w:color="auto"/>
              <w:bottom w:val="single" w:sz="4" w:space="0" w:color="auto"/>
              <w:right w:val="single" w:sz="4" w:space="0" w:color="auto"/>
            </w:tcBorders>
            <w:vAlign w:val="center"/>
          </w:tcPr>
          <w:p w14:paraId="47ACA48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手压井</w:t>
            </w:r>
          </w:p>
        </w:tc>
        <w:tc>
          <w:tcPr>
            <w:tcW w:w="1998" w:type="dxa"/>
            <w:tcBorders>
              <w:top w:val="single" w:sz="4" w:space="0" w:color="auto"/>
              <w:left w:val="single" w:sz="4" w:space="0" w:color="auto"/>
              <w:bottom w:val="single" w:sz="4" w:space="0" w:color="auto"/>
              <w:right w:val="single" w:sz="4" w:space="0" w:color="auto"/>
            </w:tcBorders>
            <w:vAlign w:val="center"/>
          </w:tcPr>
          <w:p w14:paraId="45316EC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眼</w:t>
            </w:r>
          </w:p>
        </w:tc>
        <w:tc>
          <w:tcPr>
            <w:tcW w:w="1907" w:type="dxa"/>
            <w:vMerge w:val="restart"/>
            <w:tcBorders>
              <w:top w:val="single" w:sz="4" w:space="0" w:color="auto"/>
              <w:left w:val="single" w:sz="4" w:space="0" w:color="auto"/>
              <w:right w:val="single" w:sz="4" w:space="0" w:color="auto"/>
            </w:tcBorders>
            <w:vAlign w:val="center"/>
          </w:tcPr>
          <w:p w14:paraId="1473423A"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废、枯井按同类井补偿标准</w:t>
            </w:r>
            <w:r>
              <w:rPr>
                <w:rFonts w:ascii="宋体" w:hAnsi="宋体" w:cs="宋体" w:hint="eastAsia"/>
                <w:color w:val="000000"/>
                <w:kern w:val="0"/>
                <w:szCs w:val="21"/>
                <w:lang w:bidi="ar"/>
              </w:rPr>
              <w:t>30-50</w:t>
            </w:r>
            <w:r>
              <w:rPr>
                <w:rStyle w:val="font01"/>
                <w:rFonts w:ascii="宋体" w:hAnsi="宋体" w:cs="宋体" w:hint="eastAsia"/>
                <w:sz w:val="21"/>
                <w:szCs w:val="21"/>
                <w:lang w:bidi="ar"/>
              </w:rPr>
              <w:t>％补偿。</w:t>
            </w:r>
          </w:p>
          <w:p w14:paraId="24C06990"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2.机井按井深分段计算补偿。</w:t>
            </w:r>
          </w:p>
        </w:tc>
      </w:tr>
      <w:tr w:rsidR="00A320E6" w14:paraId="06E56E97"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F8EF2B9"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A028224"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D477E3E"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土井：直径1.2m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0AC2B7D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130-200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6B145A9F" w14:textId="77777777" w:rsidR="00A320E6" w:rsidRDefault="00A320E6" w:rsidP="00AE0286">
            <w:pPr>
              <w:textAlignment w:val="center"/>
              <w:rPr>
                <w:rFonts w:ascii="宋体" w:hAnsi="宋体" w:cs="宋体"/>
                <w:color w:val="000000"/>
                <w:szCs w:val="21"/>
              </w:rPr>
            </w:pPr>
          </w:p>
        </w:tc>
      </w:tr>
      <w:tr w:rsidR="00A320E6" w14:paraId="0984E02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AD04ED4"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146CE8CB"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12B7C0E"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砖井（包括乱石井）</w:t>
            </w:r>
            <w:r>
              <w:rPr>
                <w:rStyle w:val="font01"/>
                <w:rFonts w:ascii="宋体" w:hAnsi="宋体" w:cs="宋体" w:hint="eastAsia"/>
                <w:sz w:val="21"/>
                <w:szCs w:val="21"/>
                <w:lang w:bidi="ar"/>
              </w:rPr>
              <w:t>：深</w:t>
            </w:r>
            <w:r>
              <w:rPr>
                <w:rFonts w:ascii="宋体" w:hAnsi="宋体" w:cs="宋体" w:hint="eastAsia"/>
                <w:color w:val="000000"/>
                <w:kern w:val="0"/>
                <w:szCs w:val="21"/>
                <w:lang w:bidi="ar"/>
              </w:rPr>
              <w:t>5-10m</w:t>
            </w:r>
            <w:r>
              <w:rPr>
                <w:rStyle w:val="font01"/>
                <w:rFonts w:ascii="宋体" w:hAnsi="宋体" w:cs="宋体" w:hint="eastAsia"/>
                <w:sz w:val="21"/>
                <w:szCs w:val="21"/>
                <w:lang w:bidi="ar"/>
              </w:rPr>
              <w:t>，直径</w:t>
            </w:r>
            <w:r>
              <w:rPr>
                <w:rFonts w:ascii="宋体" w:hAnsi="宋体" w:cs="宋体" w:hint="eastAsia"/>
                <w:color w:val="000000"/>
                <w:kern w:val="0"/>
                <w:szCs w:val="21"/>
                <w:lang w:bidi="ar"/>
              </w:rPr>
              <w:t>1.5m</w:t>
            </w:r>
          </w:p>
        </w:tc>
        <w:tc>
          <w:tcPr>
            <w:tcW w:w="1998" w:type="dxa"/>
            <w:tcBorders>
              <w:top w:val="single" w:sz="4" w:space="0" w:color="auto"/>
              <w:left w:val="single" w:sz="4" w:space="0" w:color="auto"/>
              <w:bottom w:val="single" w:sz="4" w:space="0" w:color="auto"/>
              <w:right w:val="single" w:sz="4" w:space="0" w:color="auto"/>
            </w:tcBorders>
            <w:vAlign w:val="center"/>
          </w:tcPr>
          <w:p w14:paraId="6C42E36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3000-5000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口</w:t>
            </w:r>
          </w:p>
        </w:tc>
        <w:tc>
          <w:tcPr>
            <w:tcW w:w="1907" w:type="dxa"/>
            <w:vMerge/>
            <w:tcBorders>
              <w:left w:val="single" w:sz="4" w:space="0" w:color="auto"/>
              <w:right w:val="single" w:sz="4" w:space="0" w:color="auto"/>
            </w:tcBorders>
            <w:vAlign w:val="center"/>
          </w:tcPr>
          <w:p w14:paraId="5D1BAB3B" w14:textId="77777777" w:rsidR="00A320E6" w:rsidRDefault="00A320E6" w:rsidP="00AE0286">
            <w:pPr>
              <w:rPr>
                <w:rFonts w:ascii="宋体" w:hAnsi="宋体" w:cs="宋体"/>
                <w:color w:val="000000"/>
                <w:szCs w:val="21"/>
              </w:rPr>
            </w:pPr>
          </w:p>
        </w:tc>
      </w:tr>
      <w:tr w:rsidR="00A320E6" w14:paraId="6C943FB2"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99843A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16972A7"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56067F3"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砖井（包括乱石井）</w:t>
            </w:r>
            <w:r>
              <w:rPr>
                <w:rStyle w:val="font01"/>
                <w:rFonts w:ascii="宋体" w:hAnsi="宋体" w:cs="宋体" w:hint="eastAsia"/>
                <w:sz w:val="21"/>
                <w:szCs w:val="21"/>
                <w:lang w:bidi="ar"/>
              </w:rPr>
              <w:t>：深</w:t>
            </w:r>
            <w:r>
              <w:rPr>
                <w:rFonts w:ascii="宋体" w:hAnsi="宋体" w:cs="宋体" w:hint="eastAsia"/>
                <w:color w:val="000000"/>
                <w:kern w:val="0"/>
                <w:szCs w:val="21"/>
                <w:lang w:bidi="ar"/>
              </w:rPr>
              <w:t>10-20m</w:t>
            </w:r>
            <w:r>
              <w:rPr>
                <w:rStyle w:val="font01"/>
                <w:rFonts w:ascii="宋体" w:hAnsi="宋体" w:cs="宋体" w:hint="eastAsia"/>
                <w:sz w:val="21"/>
                <w:szCs w:val="21"/>
                <w:lang w:bidi="ar"/>
              </w:rPr>
              <w:t>，直径</w:t>
            </w:r>
            <w:r>
              <w:rPr>
                <w:rFonts w:ascii="宋体" w:hAnsi="宋体" w:cs="宋体" w:hint="eastAsia"/>
                <w:color w:val="000000"/>
                <w:kern w:val="0"/>
                <w:szCs w:val="21"/>
                <w:lang w:bidi="ar"/>
              </w:rPr>
              <w:t>2.5m</w:t>
            </w:r>
          </w:p>
        </w:tc>
        <w:tc>
          <w:tcPr>
            <w:tcW w:w="1998" w:type="dxa"/>
            <w:tcBorders>
              <w:top w:val="single" w:sz="4" w:space="0" w:color="auto"/>
              <w:left w:val="single" w:sz="4" w:space="0" w:color="auto"/>
              <w:bottom w:val="single" w:sz="4" w:space="0" w:color="auto"/>
              <w:right w:val="single" w:sz="4" w:space="0" w:color="auto"/>
            </w:tcBorders>
            <w:vAlign w:val="center"/>
          </w:tcPr>
          <w:p w14:paraId="0E80DC1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5000-6000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口</w:t>
            </w:r>
          </w:p>
        </w:tc>
        <w:tc>
          <w:tcPr>
            <w:tcW w:w="1907" w:type="dxa"/>
            <w:vMerge/>
            <w:tcBorders>
              <w:left w:val="single" w:sz="4" w:space="0" w:color="auto"/>
              <w:right w:val="single" w:sz="4" w:space="0" w:color="auto"/>
            </w:tcBorders>
            <w:vAlign w:val="center"/>
          </w:tcPr>
          <w:p w14:paraId="0087960E" w14:textId="77777777" w:rsidR="00A320E6" w:rsidRDefault="00A320E6" w:rsidP="00AE0286">
            <w:pPr>
              <w:rPr>
                <w:rFonts w:ascii="宋体" w:hAnsi="宋体" w:cs="宋体"/>
                <w:color w:val="000000"/>
                <w:szCs w:val="21"/>
              </w:rPr>
            </w:pPr>
          </w:p>
        </w:tc>
      </w:tr>
      <w:tr w:rsidR="00A320E6" w14:paraId="0C54E01C"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E5C7ABE"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CDD7968"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7874EF8"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下管井</w:t>
            </w:r>
          </w:p>
        </w:tc>
        <w:tc>
          <w:tcPr>
            <w:tcW w:w="1998" w:type="dxa"/>
            <w:tcBorders>
              <w:top w:val="single" w:sz="4" w:space="0" w:color="auto"/>
              <w:left w:val="single" w:sz="4" w:space="0" w:color="auto"/>
              <w:bottom w:val="single" w:sz="4" w:space="0" w:color="auto"/>
              <w:right w:val="single" w:sz="4" w:space="0" w:color="auto"/>
            </w:tcBorders>
            <w:vAlign w:val="center"/>
          </w:tcPr>
          <w:p w14:paraId="0CED3ED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150-200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noWrap/>
            <w:vAlign w:val="center"/>
          </w:tcPr>
          <w:p w14:paraId="048F6651" w14:textId="77777777" w:rsidR="00A320E6" w:rsidRDefault="00A320E6" w:rsidP="00AE0286">
            <w:pPr>
              <w:rPr>
                <w:rFonts w:ascii="宋体" w:hAnsi="宋体" w:cs="宋体"/>
                <w:color w:val="000000"/>
                <w:szCs w:val="21"/>
              </w:rPr>
            </w:pPr>
          </w:p>
        </w:tc>
      </w:tr>
      <w:tr w:rsidR="00A320E6" w14:paraId="14EC08EC"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F264BDE"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B39583D"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1FB1F23"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机井：深20-50m</w:t>
            </w:r>
          </w:p>
        </w:tc>
        <w:tc>
          <w:tcPr>
            <w:tcW w:w="1998" w:type="dxa"/>
            <w:tcBorders>
              <w:top w:val="single" w:sz="4" w:space="0" w:color="auto"/>
              <w:left w:val="single" w:sz="4" w:space="0" w:color="auto"/>
              <w:bottom w:val="single" w:sz="4" w:space="0" w:color="auto"/>
              <w:right w:val="single" w:sz="4" w:space="0" w:color="auto"/>
            </w:tcBorders>
            <w:vAlign w:val="center"/>
          </w:tcPr>
          <w:p w14:paraId="69E648A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200-250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noWrap/>
            <w:vAlign w:val="center"/>
          </w:tcPr>
          <w:p w14:paraId="427EC8D9" w14:textId="77777777" w:rsidR="00A320E6" w:rsidRDefault="00A320E6" w:rsidP="00AE0286">
            <w:pPr>
              <w:rPr>
                <w:rFonts w:ascii="宋体" w:hAnsi="宋体" w:cs="宋体"/>
                <w:color w:val="000000"/>
                <w:szCs w:val="21"/>
              </w:rPr>
            </w:pPr>
          </w:p>
        </w:tc>
      </w:tr>
      <w:tr w:rsidR="00A320E6" w14:paraId="7015F3AC"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E1F0247"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6A72EA4"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6B5230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w:t>
            </w:r>
            <w:r>
              <w:rPr>
                <w:rStyle w:val="font01"/>
                <w:rFonts w:ascii="宋体" w:hAnsi="宋体" w:cs="宋体" w:hint="eastAsia"/>
                <w:sz w:val="21"/>
                <w:szCs w:val="21"/>
                <w:lang w:bidi="ar"/>
              </w:rPr>
              <w:t>深</w:t>
            </w:r>
            <w:r>
              <w:rPr>
                <w:rFonts w:ascii="宋体" w:hAnsi="宋体" w:cs="宋体" w:hint="eastAsia"/>
                <w:color w:val="000000"/>
                <w:kern w:val="0"/>
                <w:szCs w:val="21"/>
                <w:lang w:bidi="ar"/>
              </w:rPr>
              <w:t>50-100m</w:t>
            </w:r>
          </w:p>
        </w:tc>
        <w:tc>
          <w:tcPr>
            <w:tcW w:w="1998" w:type="dxa"/>
            <w:tcBorders>
              <w:top w:val="single" w:sz="4" w:space="0" w:color="auto"/>
              <w:left w:val="single" w:sz="4" w:space="0" w:color="auto"/>
              <w:bottom w:val="single" w:sz="4" w:space="0" w:color="auto"/>
              <w:right w:val="single" w:sz="4" w:space="0" w:color="auto"/>
            </w:tcBorders>
            <w:vAlign w:val="center"/>
          </w:tcPr>
          <w:p w14:paraId="3E0E323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250-320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41A8496F" w14:textId="77777777" w:rsidR="00A320E6" w:rsidRDefault="00A320E6" w:rsidP="00AE0286">
            <w:pPr>
              <w:rPr>
                <w:rFonts w:ascii="宋体" w:hAnsi="宋体" w:cs="宋体"/>
                <w:color w:val="000000"/>
                <w:szCs w:val="21"/>
              </w:rPr>
            </w:pPr>
          </w:p>
        </w:tc>
      </w:tr>
      <w:tr w:rsidR="00A320E6" w14:paraId="1467D84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5321136"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CCB04AE"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37F6CA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w:t>
            </w:r>
            <w:r>
              <w:rPr>
                <w:rStyle w:val="font01"/>
                <w:rFonts w:ascii="宋体" w:hAnsi="宋体" w:cs="宋体" w:hint="eastAsia"/>
                <w:sz w:val="21"/>
                <w:szCs w:val="21"/>
                <w:lang w:bidi="ar"/>
              </w:rPr>
              <w:t>深</w:t>
            </w:r>
            <w:r>
              <w:rPr>
                <w:rFonts w:ascii="宋体" w:hAnsi="宋体" w:cs="宋体" w:hint="eastAsia"/>
                <w:color w:val="000000"/>
                <w:kern w:val="0"/>
                <w:szCs w:val="21"/>
                <w:lang w:bidi="ar"/>
              </w:rPr>
              <w:t>100-250m</w:t>
            </w:r>
          </w:p>
        </w:tc>
        <w:tc>
          <w:tcPr>
            <w:tcW w:w="1998" w:type="dxa"/>
            <w:tcBorders>
              <w:top w:val="single" w:sz="4" w:space="0" w:color="auto"/>
              <w:left w:val="single" w:sz="4" w:space="0" w:color="auto"/>
              <w:bottom w:val="single" w:sz="4" w:space="0" w:color="auto"/>
              <w:right w:val="single" w:sz="4" w:space="0" w:color="auto"/>
            </w:tcBorders>
            <w:vAlign w:val="center"/>
          </w:tcPr>
          <w:p w14:paraId="5A788D5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320-400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5DD37622" w14:textId="77777777" w:rsidR="00A320E6" w:rsidRDefault="00A320E6" w:rsidP="00AE0286">
            <w:pPr>
              <w:rPr>
                <w:rFonts w:ascii="宋体" w:hAnsi="宋体" w:cs="宋体"/>
                <w:color w:val="000000"/>
                <w:szCs w:val="21"/>
              </w:rPr>
            </w:pPr>
          </w:p>
        </w:tc>
      </w:tr>
      <w:tr w:rsidR="00A320E6" w14:paraId="28A08DEB"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6EE12B8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F4EDC8A"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F6F6A8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w:t>
            </w:r>
            <w:r>
              <w:rPr>
                <w:rStyle w:val="font01"/>
                <w:rFonts w:ascii="宋体" w:hAnsi="宋体" w:cs="宋体" w:hint="eastAsia"/>
                <w:sz w:val="21"/>
                <w:szCs w:val="21"/>
                <w:lang w:bidi="ar"/>
              </w:rPr>
              <w:t>深</w:t>
            </w:r>
            <w:r>
              <w:rPr>
                <w:rFonts w:ascii="宋体" w:hAnsi="宋体" w:cs="宋体" w:hint="eastAsia"/>
                <w:color w:val="000000"/>
                <w:kern w:val="0"/>
                <w:szCs w:val="21"/>
                <w:lang w:bidi="ar"/>
              </w:rPr>
              <w:t>250m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1056B96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400-550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6A145227" w14:textId="77777777" w:rsidR="00A320E6" w:rsidRDefault="00A320E6" w:rsidP="00AE0286">
            <w:pPr>
              <w:rPr>
                <w:rFonts w:ascii="宋体" w:hAnsi="宋体" w:cs="宋体"/>
                <w:color w:val="000000"/>
                <w:szCs w:val="21"/>
              </w:rPr>
            </w:pPr>
          </w:p>
        </w:tc>
      </w:tr>
      <w:tr w:rsidR="00A320E6" w14:paraId="75AA295A"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2712B7E"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A9E4050"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416181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大口井：土井</w:t>
            </w:r>
          </w:p>
        </w:tc>
        <w:tc>
          <w:tcPr>
            <w:tcW w:w="1998" w:type="dxa"/>
            <w:tcBorders>
              <w:top w:val="single" w:sz="4" w:space="0" w:color="auto"/>
              <w:left w:val="single" w:sz="4" w:space="0" w:color="auto"/>
              <w:bottom w:val="single" w:sz="4" w:space="0" w:color="auto"/>
              <w:right w:val="single" w:sz="4" w:space="0" w:color="auto"/>
            </w:tcBorders>
            <w:vAlign w:val="center"/>
          </w:tcPr>
          <w:p w14:paraId="3EA76B8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300-350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37D4B17F" w14:textId="77777777" w:rsidR="00A320E6" w:rsidRDefault="00A320E6" w:rsidP="00AE0286">
            <w:pPr>
              <w:rPr>
                <w:rFonts w:ascii="宋体" w:hAnsi="宋体" w:cs="宋体"/>
                <w:color w:val="000000"/>
                <w:szCs w:val="21"/>
              </w:rPr>
            </w:pPr>
          </w:p>
        </w:tc>
      </w:tr>
      <w:tr w:rsidR="00A320E6" w14:paraId="63981E60"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C016832"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D06FB6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FE8D72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大口井：石砌</w:t>
            </w:r>
          </w:p>
        </w:tc>
        <w:tc>
          <w:tcPr>
            <w:tcW w:w="1998" w:type="dxa"/>
            <w:tcBorders>
              <w:top w:val="single" w:sz="4" w:space="0" w:color="auto"/>
              <w:left w:val="single" w:sz="4" w:space="0" w:color="auto"/>
              <w:bottom w:val="single" w:sz="4" w:space="0" w:color="auto"/>
              <w:right w:val="single" w:sz="4" w:space="0" w:color="auto"/>
            </w:tcBorders>
            <w:vAlign w:val="center"/>
          </w:tcPr>
          <w:p w14:paraId="7292902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350-400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right w:val="single" w:sz="4" w:space="0" w:color="auto"/>
            </w:tcBorders>
            <w:vAlign w:val="center"/>
          </w:tcPr>
          <w:p w14:paraId="7BB18068" w14:textId="77777777" w:rsidR="00A320E6" w:rsidRDefault="00A320E6" w:rsidP="00AE0286">
            <w:pPr>
              <w:rPr>
                <w:rFonts w:ascii="宋体" w:hAnsi="宋体" w:cs="宋体"/>
                <w:color w:val="000000"/>
                <w:szCs w:val="21"/>
              </w:rPr>
            </w:pPr>
          </w:p>
        </w:tc>
      </w:tr>
      <w:tr w:rsidR="00A320E6" w14:paraId="54F0420F"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DD227C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24E0F5B"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7B00A1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自吸泵抽水井</w:t>
            </w:r>
          </w:p>
        </w:tc>
        <w:tc>
          <w:tcPr>
            <w:tcW w:w="1998" w:type="dxa"/>
            <w:tcBorders>
              <w:top w:val="single" w:sz="4" w:space="0" w:color="auto"/>
              <w:left w:val="single" w:sz="4" w:space="0" w:color="auto"/>
              <w:bottom w:val="single" w:sz="4" w:space="0" w:color="auto"/>
              <w:right w:val="single" w:sz="4" w:space="0" w:color="auto"/>
            </w:tcBorders>
            <w:vAlign w:val="center"/>
          </w:tcPr>
          <w:p w14:paraId="67812EF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150-300</w:t>
            </w:r>
            <w:r>
              <w:rPr>
                <w:rStyle w:val="font01"/>
                <w:rFonts w:ascii="宋体" w:hAnsi="宋体" w:cs="宋体" w:hint="eastAsia"/>
                <w:sz w:val="21"/>
                <w:szCs w:val="21"/>
                <w:lang w:bidi="ar"/>
              </w:rPr>
              <w:t>元</w:t>
            </w:r>
            <w:r>
              <w:rPr>
                <w:rFonts w:ascii="宋体" w:hAnsi="宋体" w:cs="宋体" w:hint="eastAsia"/>
                <w:color w:val="000000"/>
                <w:kern w:val="0"/>
                <w:szCs w:val="21"/>
                <w:lang w:bidi="ar"/>
              </w:rPr>
              <w:t>/m</w:t>
            </w:r>
          </w:p>
        </w:tc>
        <w:tc>
          <w:tcPr>
            <w:tcW w:w="1907" w:type="dxa"/>
            <w:vMerge/>
            <w:tcBorders>
              <w:left w:val="single" w:sz="4" w:space="0" w:color="auto"/>
              <w:bottom w:val="single" w:sz="4" w:space="0" w:color="auto"/>
              <w:right w:val="single" w:sz="4" w:space="0" w:color="auto"/>
            </w:tcBorders>
            <w:vAlign w:val="center"/>
          </w:tcPr>
          <w:p w14:paraId="61F37C31" w14:textId="77777777" w:rsidR="00A320E6" w:rsidRDefault="00A320E6" w:rsidP="00AE0286">
            <w:pPr>
              <w:rPr>
                <w:rFonts w:ascii="宋体" w:hAnsi="宋体" w:cs="宋体"/>
                <w:color w:val="000000"/>
                <w:szCs w:val="21"/>
              </w:rPr>
            </w:pPr>
          </w:p>
        </w:tc>
      </w:tr>
      <w:tr w:rsidR="00A320E6" w14:paraId="2BA3E023"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2023269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7F8D6E2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淡水养殖</w:t>
            </w:r>
          </w:p>
        </w:tc>
        <w:tc>
          <w:tcPr>
            <w:tcW w:w="3117" w:type="dxa"/>
            <w:tcBorders>
              <w:top w:val="single" w:sz="4" w:space="0" w:color="auto"/>
              <w:left w:val="single" w:sz="4" w:space="0" w:color="auto"/>
              <w:bottom w:val="single" w:sz="4" w:space="0" w:color="auto"/>
              <w:right w:val="single" w:sz="4" w:space="0" w:color="auto"/>
            </w:tcBorders>
            <w:vAlign w:val="center"/>
          </w:tcPr>
          <w:p w14:paraId="6FC90BC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鱼塘</w:t>
            </w:r>
          </w:p>
        </w:tc>
        <w:tc>
          <w:tcPr>
            <w:tcW w:w="1998" w:type="dxa"/>
            <w:tcBorders>
              <w:top w:val="single" w:sz="4" w:space="0" w:color="auto"/>
              <w:left w:val="single" w:sz="4" w:space="0" w:color="auto"/>
              <w:bottom w:val="single" w:sz="4" w:space="0" w:color="auto"/>
              <w:right w:val="single" w:sz="4" w:space="0" w:color="auto"/>
            </w:tcBorders>
            <w:vAlign w:val="center"/>
          </w:tcPr>
          <w:p w14:paraId="0ED5407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12000-15000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2615C143"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含土石方工程及鱼苗</w:t>
            </w:r>
            <w:r>
              <w:rPr>
                <w:rStyle w:val="font01"/>
                <w:rFonts w:ascii="宋体" w:hAnsi="宋体" w:cs="宋体" w:hint="eastAsia"/>
                <w:sz w:val="21"/>
                <w:szCs w:val="21"/>
                <w:lang w:bidi="ar"/>
              </w:rPr>
              <w:t>（藕秧）损失。</w:t>
            </w:r>
          </w:p>
        </w:tc>
      </w:tr>
      <w:tr w:rsidR="00A320E6" w14:paraId="5C39EB83"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8DA6C6A"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E7E063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43C1081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藕塘</w:t>
            </w:r>
          </w:p>
        </w:tc>
        <w:tc>
          <w:tcPr>
            <w:tcW w:w="1998" w:type="dxa"/>
            <w:tcBorders>
              <w:top w:val="single" w:sz="4" w:space="0" w:color="auto"/>
              <w:left w:val="single" w:sz="4" w:space="0" w:color="auto"/>
              <w:bottom w:val="single" w:sz="4" w:space="0" w:color="auto"/>
              <w:right w:val="single" w:sz="4" w:space="0" w:color="auto"/>
            </w:tcBorders>
            <w:vAlign w:val="center"/>
          </w:tcPr>
          <w:p w14:paraId="5F5FC59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7000-10000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tcBorders>
              <w:top w:val="single" w:sz="4" w:space="0" w:color="auto"/>
              <w:left w:val="single" w:sz="4" w:space="0" w:color="auto"/>
              <w:bottom w:val="single" w:sz="4" w:space="0" w:color="auto"/>
              <w:right w:val="single" w:sz="4" w:space="0" w:color="auto"/>
            </w:tcBorders>
            <w:vAlign w:val="center"/>
          </w:tcPr>
          <w:p w14:paraId="782C72B8" w14:textId="77777777" w:rsidR="00A320E6" w:rsidRDefault="00A320E6" w:rsidP="00AE0286">
            <w:pPr>
              <w:rPr>
                <w:rFonts w:ascii="宋体" w:hAnsi="宋体" w:cs="宋体"/>
                <w:color w:val="000000"/>
                <w:szCs w:val="21"/>
              </w:rPr>
            </w:pPr>
          </w:p>
        </w:tc>
      </w:tr>
      <w:tr w:rsidR="00A320E6" w14:paraId="7D190730"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350CE55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4AC82CC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电杆</w:t>
            </w:r>
          </w:p>
        </w:tc>
        <w:tc>
          <w:tcPr>
            <w:tcW w:w="3117" w:type="dxa"/>
            <w:tcBorders>
              <w:top w:val="single" w:sz="4" w:space="0" w:color="auto"/>
              <w:left w:val="single" w:sz="4" w:space="0" w:color="auto"/>
              <w:bottom w:val="single" w:sz="4" w:space="0" w:color="auto"/>
              <w:right w:val="single" w:sz="4" w:space="0" w:color="auto"/>
            </w:tcBorders>
            <w:vAlign w:val="center"/>
          </w:tcPr>
          <w:p w14:paraId="7C69A74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低压、通讯广播线路水泥杆（含线路）</w:t>
            </w:r>
          </w:p>
        </w:tc>
        <w:tc>
          <w:tcPr>
            <w:tcW w:w="1998" w:type="dxa"/>
            <w:tcBorders>
              <w:top w:val="single" w:sz="4" w:space="0" w:color="auto"/>
              <w:left w:val="single" w:sz="4" w:space="0" w:color="auto"/>
              <w:bottom w:val="single" w:sz="4" w:space="0" w:color="auto"/>
              <w:right w:val="single" w:sz="4" w:space="0" w:color="auto"/>
            </w:tcBorders>
            <w:vAlign w:val="center"/>
          </w:tcPr>
          <w:p w14:paraId="7C432D5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1500-1800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根</w:t>
            </w:r>
          </w:p>
        </w:tc>
        <w:tc>
          <w:tcPr>
            <w:tcW w:w="1907" w:type="dxa"/>
            <w:vMerge w:val="restart"/>
            <w:tcBorders>
              <w:top w:val="single" w:sz="4" w:space="0" w:color="auto"/>
              <w:left w:val="single" w:sz="4" w:space="0" w:color="auto"/>
              <w:right w:val="single" w:sz="4" w:space="0" w:color="auto"/>
            </w:tcBorders>
            <w:vAlign w:val="center"/>
          </w:tcPr>
          <w:p w14:paraId="382FB887"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不需迁移的适用本标准，需迁移的，按评估结果补偿。</w:t>
            </w:r>
          </w:p>
          <w:p w14:paraId="19C6DD00"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包括电线等材料损失及拆建工费。</w:t>
            </w:r>
          </w:p>
        </w:tc>
      </w:tr>
      <w:tr w:rsidR="00A320E6" w14:paraId="5B03DD7C"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435B380"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5B34011A"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51B26D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简易电杆（含线路）</w:t>
            </w:r>
          </w:p>
        </w:tc>
        <w:tc>
          <w:tcPr>
            <w:tcW w:w="1998" w:type="dxa"/>
            <w:tcBorders>
              <w:top w:val="single" w:sz="4" w:space="0" w:color="auto"/>
              <w:left w:val="single" w:sz="4" w:space="0" w:color="auto"/>
              <w:bottom w:val="single" w:sz="4" w:space="0" w:color="auto"/>
              <w:right w:val="single" w:sz="4" w:space="0" w:color="auto"/>
            </w:tcBorders>
            <w:vAlign w:val="center"/>
          </w:tcPr>
          <w:p w14:paraId="2DAE3BF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根</w:t>
            </w:r>
          </w:p>
        </w:tc>
        <w:tc>
          <w:tcPr>
            <w:tcW w:w="1907" w:type="dxa"/>
            <w:vMerge/>
            <w:tcBorders>
              <w:left w:val="single" w:sz="4" w:space="0" w:color="auto"/>
              <w:bottom w:val="single" w:sz="4" w:space="0" w:color="auto"/>
              <w:right w:val="single" w:sz="4" w:space="0" w:color="auto"/>
            </w:tcBorders>
            <w:vAlign w:val="center"/>
          </w:tcPr>
          <w:p w14:paraId="103EF9DA" w14:textId="77777777" w:rsidR="00A320E6" w:rsidRDefault="00A320E6" w:rsidP="00AE0286">
            <w:pPr>
              <w:textAlignment w:val="center"/>
              <w:rPr>
                <w:rFonts w:ascii="宋体" w:hAnsi="宋体" w:cs="宋体"/>
                <w:color w:val="000000"/>
                <w:szCs w:val="21"/>
              </w:rPr>
            </w:pPr>
          </w:p>
        </w:tc>
      </w:tr>
      <w:tr w:rsidR="00A320E6" w14:paraId="2F28C847"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3E54CE3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5677EA9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地下暗管</w:t>
            </w:r>
          </w:p>
        </w:tc>
        <w:tc>
          <w:tcPr>
            <w:tcW w:w="3117" w:type="dxa"/>
            <w:tcBorders>
              <w:top w:val="single" w:sz="4" w:space="0" w:color="auto"/>
              <w:left w:val="single" w:sz="4" w:space="0" w:color="auto"/>
              <w:bottom w:val="single" w:sz="4" w:space="0" w:color="auto"/>
              <w:right w:val="single" w:sz="4" w:space="0" w:color="auto"/>
            </w:tcBorders>
            <w:vAlign w:val="center"/>
          </w:tcPr>
          <w:p w14:paraId="516FC88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户用自来水管</w:t>
            </w:r>
          </w:p>
        </w:tc>
        <w:tc>
          <w:tcPr>
            <w:tcW w:w="1998" w:type="dxa"/>
            <w:tcBorders>
              <w:top w:val="single" w:sz="4" w:space="0" w:color="auto"/>
              <w:left w:val="single" w:sz="4" w:space="0" w:color="auto"/>
              <w:bottom w:val="single" w:sz="4" w:space="0" w:color="auto"/>
              <w:right w:val="single" w:sz="4" w:space="0" w:color="auto"/>
            </w:tcBorders>
            <w:vAlign w:val="center"/>
          </w:tcPr>
          <w:p w14:paraId="486C877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12-40元/m</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069577FD"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含人工材料费</w:t>
            </w:r>
            <w:r>
              <w:rPr>
                <w:rStyle w:val="font01"/>
                <w:rFonts w:ascii="宋体" w:hAnsi="宋体" w:cs="宋体" w:hint="eastAsia"/>
                <w:sz w:val="21"/>
                <w:szCs w:val="21"/>
                <w:lang w:bidi="ar"/>
              </w:rPr>
              <w:t>。</w:t>
            </w:r>
          </w:p>
        </w:tc>
      </w:tr>
      <w:tr w:rsidR="00A320E6" w14:paraId="67A238B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A981B7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8619B1D"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38871F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直径20-40cm</w:t>
            </w:r>
            <w:r>
              <w:rPr>
                <w:rStyle w:val="font01"/>
                <w:rFonts w:ascii="宋体" w:hAnsi="宋体" w:cs="宋体" w:hint="eastAsia"/>
                <w:sz w:val="21"/>
                <w:szCs w:val="21"/>
                <w:lang w:bidi="ar"/>
              </w:rPr>
              <w:t>管道</w:t>
            </w:r>
          </w:p>
        </w:tc>
        <w:tc>
          <w:tcPr>
            <w:tcW w:w="1998" w:type="dxa"/>
            <w:tcBorders>
              <w:top w:val="single" w:sz="4" w:space="0" w:color="auto"/>
              <w:left w:val="single" w:sz="4" w:space="0" w:color="auto"/>
              <w:bottom w:val="single" w:sz="4" w:space="0" w:color="auto"/>
              <w:right w:val="single" w:sz="4" w:space="0" w:color="auto"/>
            </w:tcBorders>
            <w:vAlign w:val="center"/>
          </w:tcPr>
          <w:p w14:paraId="0487EC3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65-75元/m</w:t>
            </w:r>
          </w:p>
        </w:tc>
        <w:tc>
          <w:tcPr>
            <w:tcW w:w="1907" w:type="dxa"/>
            <w:vMerge/>
            <w:tcBorders>
              <w:top w:val="single" w:sz="4" w:space="0" w:color="auto"/>
              <w:left w:val="single" w:sz="4" w:space="0" w:color="auto"/>
              <w:bottom w:val="single" w:sz="4" w:space="0" w:color="auto"/>
              <w:right w:val="single" w:sz="4" w:space="0" w:color="auto"/>
            </w:tcBorders>
            <w:vAlign w:val="center"/>
          </w:tcPr>
          <w:p w14:paraId="6D7CCBC5" w14:textId="77777777" w:rsidR="00A320E6" w:rsidRDefault="00A320E6" w:rsidP="00AE0286">
            <w:pPr>
              <w:rPr>
                <w:rFonts w:ascii="宋体" w:hAnsi="宋体" w:cs="宋体"/>
                <w:color w:val="000000"/>
                <w:szCs w:val="21"/>
              </w:rPr>
            </w:pPr>
          </w:p>
        </w:tc>
      </w:tr>
      <w:tr w:rsidR="00A320E6" w14:paraId="01A47C6F"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5664035"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EBA23E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5FFDE9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直径40-60cm</w:t>
            </w:r>
            <w:r>
              <w:rPr>
                <w:rStyle w:val="font01"/>
                <w:rFonts w:ascii="宋体" w:hAnsi="宋体" w:cs="宋体" w:hint="eastAsia"/>
                <w:sz w:val="21"/>
                <w:szCs w:val="21"/>
                <w:lang w:bidi="ar"/>
              </w:rPr>
              <w:t>管道</w:t>
            </w:r>
          </w:p>
        </w:tc>
        <w:tc>
          <w:tcPr>
            <w:tcW w:w="1998" w:type="dxa"/>
            <w:tcBorders>
              <w:top w:val="single" w:sz="4" w:space="0" w:color="auto"/>
              <w:left w:val="single" w:sz="4" w:space="0" w:color="auto"/>
              <w:bottom w:val="single" w:sz="4" w:space="0" w:color="auto"/>
              <w:right w:val="single" w:sz="4" w:space="0" w:color="auto"/>
            </w:tcBorders>
            <w:vAlign w:val="center"/>
          </w:tcPr>
          <w:p w14:paraId="540AE48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75-110元/m</w:t>
            </w:r>
          </w:p>
        </w:tc>
        <w:tc>
          <w:tcPr>
            <w:tcW w:w="1907" w:type="dxa"/>
            <w:vMerge/>
            <w:tcBorders>
              <w:top w:val="single" w:sz="4" w:space="0" w:color="auto"/>
              <w:left w:val="single" w:sz="4" w:space="0" w:color="auto"/>
              <w:bottom w:val="single" w:sz="4" w:space="0" w:color="auto"/>
              <w:right w:val="single" w:sz="4" w:space="0" w:color="auto"/>
            </w:tcBorders>
            <w:vAlign w:val="center"/>
          </w:tcPr>
          <w:p w14:paraId="40EDE62F" w14:textId="77777777" w:rsidR="00A320E6" w:rsidRDefault="00A320E6" w:rsidP="00AE0286">
            <w:pPr>
              <w:rPr>
                <w:rFonts w:ascii="宋体" w:hAnsi="宋体" w:cs="宋体"/>
                <w:color w:val="000000"/>
                <w:szCs w:val="21"/>
              </w:rPr>
            </w:pPr>
          </w:p>
        </w:tc>
      </w:tr>
      <w:tr w:rsidR="00A320E6" w14:paraId="675FCBD6"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E465C42"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C4E10B8"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9E41F6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直径60cm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2F9659C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110-160元/m</w:t>
            </w:r>
          </w:p>
        </w:tc>
        <w:tc>
          <w:tcPr>
            <w:tcW w:w="1907" w:type="dxa"/>
            <w:vMerge/>
            <w:tcBorders>
              <w:top w:val="single" w:sz="4" w:space="0" w:color="auto"/>
              <w:left w:val="single" w:sz="4" w:space="0" w:color="auto"/>
              <w:bottom w:val="single" w:sz="4" w:space="0" w:color="auto"/>
              <w:right w:val="single" w:sz="4" w:space="0" w:color="auto"/>
            </w:tcBorders>
            <w:vAlign w:val="center"/>
          </w:tcPr>
          <w:p w14:paraId="35FDDEF9" w14:textId="77777777" w:rsidR="00A320E6" w:rsidRDefault="00A320E6" w:rsidP="00AE0286">
            <w:pPr>
              <w:rPr>
                <w:rFonts w:ascii="宋体" w:hAnsi="宋体" w:cs="宋体"/>
                <w:color w:val="000000"/>
                <w:szCs w:val="21"/>
              </w:rPr>
            </w:pPr>
          </w:p>
        </w:tc>
      </w:tr>
      <w:tr w:rsidR="00A320E6" w14:paraId="278A3C32"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611BBCF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766" w:type="dxa"/>
            <w:tcBorders>
              <w:top w:val="single" w:sz="4" w:space="0" w:color="auto"/>
              <w:left w:val="single" w:sz="4" w:space="0" w:color="auto"/>
              <w:bottom w:val="single" w:sz="4" w:space="0" w:color="auto"/>
              <w:right w:val="single" w:sz="4" w:space="0" w:color="auto"/>
            </w:tcBorders>
            <w:vAlign w:val="center"/>
          </w:tcPr>
          <w:p w14:paraId="002C281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姜井</w:t>
            </w:r>
            <w:r>
              <w:rPr>
                <w:rStyle w:val="font01"/>
                <w:rFonts w:ascii="宋体" w:hAnsi="宋体" w:cs="宋体" w:hint="eastAsia"/>
                <w:sz w:val="21"/>
                <w:szCs w:val="21"/>
                <w:lang w:bidi="ar"/>
              </w:rPr>
              <w:t>、地窖</w:t>
            </w:r>
          </w:p>
        </w:tc>
        <w:tc>
          <w:tcPr>
            <w:tcW w:w="3117" w:type="dxa"/>
            <w:tcBorders>
              <w:top w:val="single" w:sz="4" w:space="0" w:color="auto"/>
              <w:left w:val="single" w:sz="4" w:space="0" w:color="auto"/>
              <w:bottom w:val="single" w:sz="4" w:space="0" w:color="auto"/>
              <w:right w:val="single" w:sz="4" w:space="0" w:color="auto"/>
            </w:tcBorders>
            <w:vAlign w:val="center"/>
          </w:tcPr>
          <w:p w14:paraId="390BD413" w14:textId="77777777" w:rsidR="00A320E6" w:rsidRDefault="00A320E6" w:rsidP="00AE0286">
            <w:pPr>
              <w:jc w:val="left"/>
              <w:rPr>
                <w:rFonts w:ascii="宋体" w:hAnsi="宋体" w:cs="宋体"/>
                <w:color w:val="000000"/>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15D3BA3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5000-7000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眼（个）</w:t>
            </w:r>
          </w:p>
        </w:tc>
        <w:tc>
          <w:tcPr>
            <w:tcW w:w="1907" w:type="dxa"/>
            <w:tcBorders>
              <w:top w:val="single" w:sz="4" w:space="0" w:color="auto"/>
              <w:left w:val="single" w:sz="4" w:space="0" w:color="auto"/>
              <w:bottom w:val="single" w:sz="4" w:space="0" w:color="auto"/>
              <w:right w:val="single" w:sz="4" w:space="0" w:color="auto"/>
            </w:tcBorders>
            <w:vAlign w:val="center"/>
          </w:tcPr>
          <w:p w14:paraId="769AB121" w14:textId="77777777" w:rsidR="00A320E6" w:rsidRDefault="00A320E6" w:rsidP="00AE0286">
            <w:pPr>
              <w:rPr>
                <w:rFonts w:ascii="宋体" w:hAnsi="宋体" w:cs="宋体"/>
                <w:color w:val="000000"/>
                <w:szCs w:val="21"/>
              </w:rPr>
            </w:pPr>
          </w:p>
        </w:tc>
      </w:tr>
      <w:tr w:rsidR="00A320E6" w14:paraId="0B2DBAB2"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7D3411B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5198AB9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乔木</w:t>
            </w:r>
          </w:p>
        </w:tc>
        <w:tc>
          <w:tcPr>
            <w:tcW w:w="3117" w:type="dxa"/>
            <w:tcBorders>
              <w:top w:val="single" w:sz="4" w:space="0" w:color="auto"/>
              <w:left w:val="single" w:sz="4" w:space="0" w:color="auto"/>
              <w:bottom w:val="single" w:sz="4" w:space="0" w:color="auto"/>
              <w:right w:val="single" w:sz="4" w:space="0" w:color="auto"/>
            </w:tcBorders>
            <w:vAlign w:val="center"/>
          </w:tcPr>
          <w:p w14:paraId="68FBA17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胸径小于2</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186F05E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5-6</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val="restart"/>
            <w:tcBorders>
              <w:top w:val="single" w:sz="4" w:space="0" w:color="auto"/>
              <w:left w:val="single" w:sz="4" w:space="0" w:color="auto"/>
              <w:right w:val="single" w:sz="4" w:space="0" w:color="auto"/>
            </w:tcBorders>
          </w:tcPr>
          <w:p w14:paraId="7641A842" w14:textId="77777777" w:rsidR="00A320E6" w:rsidRDefault="00000000" w:rsidP="00AE0286">
            <w:pPr>
              <w:textAlignment w:val="top"/>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乔木胸径小于</w:t>
            </w:r>
            <w:r>
              <w:rPr>
                <w:rFonts w:ascii="宋体" w:hAnsi="宋体" w:cs="宋体" w:hint="eastAsia"/>
                <w:color w:val="000000"/>
                <w:kern w:val="0"/>
                <w:szCs w:val="21"/>
                <w:lang w:bidi="ar"/>
              </w:rPr>
              <w:t>5</w:t>
            </w:r>
            <w:r>
              <w:rPr>
                <w:rStyle w:val="font01"/>
                <w:rFonts w:ascii="宋体" w:hAnsi="宋体" w:cs="宋体" w:hint="eastAsia"/>
                <w:sz w:val="21"/>
                <w:szCs w:val="21"/>
                <w:lang w:bidi="ar"/>
              </w:rPr>
              <w:t>㎝的一般栽植密度为</w:t>
            </w:r>
            <w:r>
              <w:rPr>
                <w:rFonts w:ascii="宋体" w:hAnsi="宋体" w:cs="宋体" w:hint="eastAsia"/>
                <w:color w:val="000000"/>
                <w:kern w:val="0"/>
                <w:szCs w:val="21"/>
                <w:lang w:bidi="ar"/>
              </w:rPr>
              <w:t>150-330</w:t>
            </w:r>
            <w:r>
              <w:rPr>
                <w:rStyle w:val="font01"/>
                <w:rFonts w:ascii="宋体" w:hAnsi="宋体" w:cs="宋体" w:hint="eastAsia"/>
                <w:sz w:val="21"/>
                <w:szCs w:val="21"/>
                <w:lang w:bidi="ar"/>
              </w:rPr>
              <w:t>棵</w:t>
            </w:r>
            <w:r>
              <w:rPr>
                <w:rFonts w:ascii="宋体" w:hAnsi="宋体" w:cs="宋体" w:hint="eastAsia"/>
                <w:color w:val="000000"/>
                <w:kern w:val="0"/>
                <w:szCs w:val="21"/>
                <w:lang w:bidi="ar"/>
              </w:rPr>
              <w:t>/</w:t>
            </w:r>
            <w:r>
              <w:rPr>
                <w:rStyle w:val="font01"/>
                <w:rFonts w:ascii="宋体" w:hAnsi="宋体" w:cs="宋体" w:hint="eastAsia"/>
                <w:sz w:val="21"/>
                <w:szCs w:val="21"/>
                <w:lang w:bidi="ar"/>
              </w:rPr>
              <w:t>亩，胸径大于</w:t>
            </w:r>
            <w:r>
              <w:rPr>
                <w:rFonts w:ascii="宋体" w:hAnsi="宋体" w:cs="宋体" w:hint="eastAsia"/>
                <w:color w:val="000000"/>
                <w:kern w:val="0"/>
                <w:szCs w:val="21"/>
                <w:lang w:bidi="ar"/>
              </w:rPr>
              <w:t>5</w:t>
            </w:r>
            <w:r>
              <w:rPr>
                <w:rStyle w:val="font01"/>
                <w:rFonts w:ascii="宋体" w:hAnsi="宋体" w:cs="宋体" w:hint="eastAsia"/>
                <w:sz w:val="21"/>
                <w:szCs w:val="21"/>
                <w:lang w:bidi="ar"/>
              </w:rPr>
              <w:t>㎝的一般栽植密度为</w:t>
            </w:r>
            <w:r>
              <w:rPr>
                <w:rFonts w:ascii="宋体" w:hAnsi="宋体" w:cs="宋体" w:hint="eastAsia"/>
                <w:color w:val="000000"/>
                <w:kern w:val="0"/>
                <w:szCs w:val="21"/>
                <w:lang w:bidi="ar"/>
              </w:rPr>
              <w:t>60-130</w:t>
            </w:r>
            <w:r>
              <w:rPr>
                <w:rStyle w:val="font01"/>
                <w:rFonts w:ascii="宋体" w:hAnsi="宋体" w:cs="宋体" w:hint="eastAsia"/>
                <w:sz w:val="21"/>
                <w:szCs w:val="21"/>
                <w:lang w:bidi="ar"/>
              </w:rPr>
              <w:t>棵</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p w14:paraId="4FE0E12A" w14:textId="77777777" w:rsidR="00A320E6" w:rsidRDefault="00000000" w:rsidP="00AE0286">
            <w:pPr>
              <w:jc w:val="left"/>
              <w:textAlignment w:val="top"/>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防护林补偿标准可提高</w:t>
            </w:r>
            <w:r>
              <w:rPr>
                <w:rFonts w:ascii="宋体" w:hAnsi="宋体" w:cs="宋体" w:hint="eastAsia"/>
                <w:color w:val="000000"/>
                <w:kern w:val="0"/>
                <w:szCs w:val="21"/>
                <w:lang w:bidi="ar"/>
              </w:rPr>
              <w:t>40-60</w:t>
            </w:r>
            <w:r>
              <w:rPr>
                <w:rStyle w:val="font01"/>
                <w:rFonts w:ascii="宋体" w:hAnsi="宋体" w:cs="宋体" w:hint="eastAsia"/>
                <w:sz w:val="21"/>
                <w:szCs w:val="21"/>
                <w:lang w:bidi="ar"/>
              </w:rPr>
              <w:t>％。</w:t>
            </w:r>
          </w:p>
          <w:p w14:paraId="012AE566"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3.</w:t>
            </w:r>
            <w:r>
              <w:rPr>
                <w:rStyle w:val="font01"/>
                <w:rFonts w:ascii="宋体" w:hAnsi="宋体" w:cs="宋体" w:hint="eastAsia"/>
                <w:sz w:val="21"/>
                <w:szCs w:val="21"/>
                <w:lang w:bidi="ar"/>
              </w:rPr>
              <w:t>特种用途树木补偿标准按市场价格补偿。</w:t>
            </w:r>
          </w:p>
          <w:p w14:paraId="65AF2510" w14:textId="77777777" w:rsidR="00A320E6" w:rsidRDefault="00000000" w:rsidP="00AE0286">
            <w:pPr>
              <w:textAlignment w:val="top"/>
              <w:rPr>
                <w:rFonts w:ascii="宋体" w:hAnsi="宋体" w:cs="宋体"/>
                <w:color w:val="000000"/>
                <w:szCs w:val="21"/>
              </w:rPr>
            </w:pPr>
            <w:r>
              <w:rPr>
                <w:rFonts w:ascii="宋体" w:hAnsi="宋体" w:cs="宋体" w:hint="eastAsia"/>
                <w:color w:val="000000"/>
                <w:kern w:val="0"/>
                <w:szCs w:val="21"/>
                <w:lang w:bidi="ar"/>
              </w:rPr>
              <w:t>4.</w:t>
            </w:r>
            <w:r>
              <w:rPr>
                <w:rStyle w:val="font01"/>
                <w:rFonts w:ascii="宋体" w:hAnsi="宋体" w:cs="宋体" w:hint="eastAsia"/>
                <w:sz w:val="21"/>
                <w:szCs w:val="21"/>
                <w:lang w:bidi="ar"/>
              </w:rPr>
              <w:t>树归原主。</w:t>
            </w:r>
          </w:p>
        </w:tc>
      </w:tr>
      <w:tr w:rsidR="00A320E6" w14:paraId="6F8E89EF"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74600279"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24BC48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4FC06B4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胸径2-5㎝（不含5cm）（松柏树小于3cm）</w:t>
            </w:r>
          </w:p>
        </w:tc>
        <w:tc>
          <w:tcPr>
            <w:tcW w:w="1998" w:type="dxa"/>
            <w:tcBorders>
              <w:top w:val="single" w:sz="4" w:space="0" w:color="auto"/>
              <w:left w:val="single" w:sz="4" w:space="0" w:color="auto"/>
              <w:bottom w:val="single" w:sz="4" w:space="0" w:color="auto"/>
              <w:right w:val="single" w:sz="4" w:space="0" w:color="auto"/>
            </w:tcBorders>
            <w:vAlign w:val="center"/>
          </w:tcPr>
          <w:p w14:paraId="23E1628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15-25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tcPr>
          <w:p w14:paraId="188CE088" w14:textId="77777777" w:rsidR="00A320E6" w:rsidRDefault="00A320E6" w:rsidP="00AE0286">
            <w:pPr>
              <w:jc w:val="left"/>
              <w:textAlignment w:val="top"/>
              <w:rPr>
                <w:rFonts w:ascii="宋体" w:hAnsi="宋体" w:cs="宋体"/>
                <w:color w:val="000000"/>
                <w:szCs w:val="21"/>
              </w:rPr>
            </w:pPr>
          </w:p>
        </w:tc>
      </w:tr>
      <w:tr w:rsidR="00A320E6" w14:paraId="4185D516"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A4E8F6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2E167A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C52FCD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胸径5-10㎝（不含10cm）（松柏树3-6cm）</w:t>
            </w:r>
          </w:p>
        </w:tc>
        <w:tc>
          <w:tcPr>
            <w:tcW w:w="1998" w:type="dxa"/>
            <w:tcBorders>
              <w:top w:val="single" w:sz="4" w:space="0" w:color="auto"/>
              <w:left w:val="single" w:sz="4" w:space="0" w:color="auto"/>
              <w:bottom w:val="single" w:sz="4" w:space="0" w:color="auto"/>
              <w:right w:val="single" w:sz="4" w:space="0" w:color="auto"/>
            </w:tcBorders>
            <w:vAlign w:val="center"/>
          </w:tcPr>
          <w:p w14:paraId="76BB79C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25-55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tcPr>
          <w:p w14:paraId="113BE326" w14:textId="77777777" w:rsidR="00A320E6" w:rsidRDefault="00A320E6" w:rsidP="00AE0286">
            <w:pPr>
              <w:textAlignment w:val="top"/>
              <w:rPr>
                <w:rFonts w:ascii="宋体" w:hAnsi="宋体" w:cs="宋体"/>
                <w:color w:val="000000"/>
                <w:szCs w:val="21"/>
              </w:rPr>
            </w:pPr>
          </w:p>
        </w:tc>
      </w:tr>
      <w:tr w:rsidR="00A320E6" w14:paraId="01F274D3"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64C943E"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2DFF3E8"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49CB58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胸径10-15㎝（不含15cm）（松柏树6-8cm）</w:t>
            </w:r>
          </w:p>
        </w:tc>
        <w:tc>
          <w:tcPr>
            <w:tcW w:w="1998" w:type="dxa"/>
            <w:tcBorders>
              <w:top w:val="single" w:sz="4" w:space="0" w:color="auto"/>
              <w:left w:val="single" w:sz="4" w:space="0" w:color="auto"/>
              <w:bottom w:val="single" w:sz="4" w:space="0" w:color="auto"/>
              <w:right w:val="single" w:sz="4" w:space="0" w:color="auto"/>
            </w:tcBorders>
            <w:vAlign w:val="center"/>
          </w:tcPr>
          <w:p w14:paraId="6AED5A0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55-70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tcPr>
          <w:p w14:paraId="2EA4C3A6" w14:textId="77777777" w:rsidR="00A320E6" w:rsidRDefault="00A320E6" w:rsidP="00AE0286">
            <w:pPr>
              <w:textAlignment w:val="top"/>
              <w:rPr>
                <w:rFonts w:ascii="宋体" w:hAnsi="宋体" w:cs="宋体"/>
                <w:color w:val="000000"/>
                <w:szCs w:val="21"/>
              </w:rPr>
            </w:pPr>
          </w:p>
        </w:tc>
      </w:tr>
      <w:tr w:rsidR="00A320E6" w14:paraId="0E8AB8BA"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D787AFF"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2137942"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01FA3A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胸径15-20㎝（不含20cm）（松柏树8-10cm）</w:t>
            </w:r>
          </w:p>
        </w:tc>
        <w:tc>
          <w:tcPr>
            <w:tcW w:w="1998" w:type="dxa"/>
            <w:tcBorders>
              <w:top w:val="single" w:sz="4" w:space="0" w:color="auto"/>
              <w:left w:val="single" w:sz="4" w:space="0" w:color="auto"/>
              <w:bottom w:val="single" w:sz="4" w:space="0" w:color="auto"/>
              <w:right w:val="single" w:sz="4" w:space="0" w:color="auto"/>
            </w:tcBorders>
            <w:vAlign w:val="center"/>
          </w:tcPr>
          <w:p w14:paraId="38D727B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70-75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311BB20F" w14:textId="77777777" w:rsidR="00A320E6" w:rsidRDefault="00A320E6" w:rsidP="00AE0286">
            <w:pPr>
              <w:rPr>
                <w:rFonts w:ascii="宋体" w:hAnsi="宋体" w:cs="宋体"/>
                <w:color w:val="000000"/>
                <w:szCs w:val="21"/>
              </w:rPr>
            </w:pPr>
          </w:p>
        </w:tc>
      </w:tr>
      <w:tr w:rsidR="00A320E6" w14:paraId="791064B1"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7ADD71C9"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1C63316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46AAF7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胸径20㎝（松柏树10cm）以上成材料</w:t>
            </w:r>
          </w:p>
        </w:tc>
        <w:tc>
          <w:tcPr>
            <w:tcW w:w="1998" w:type="dxa"/>
            <w:tcBorders>
              <w:top w:val="single" w:sz="4" w:space="0" w:color="auto"/>
              <w:left w:val="single" w:sz="4" w:space="0" w:color="auto"/>
              <w:bottom w:val="single" w:sz="4" w:space="0" w:color="auto"/>
              <w:right w:val="single" w:sz="4" w:space="0" w:color="auto"/>
            </w:tcBorders>
            <w:vAlign w:val="center"/>
          </w:tcPr>
          <w:p w14:paraId="2BD9E51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75-150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bottom w:val="single" w:sz="4" w:space="0" w:color="auto"/>
              <w:right w:val="single" w:sz="4" w:space="0" w:color="auto"/>
            </w:tcBorders>
            <w:vAlign w:val="center"/>
          </w:tcPr>
          <w:p w14:paraId="61363EB4" w14:textId="77777777" w:rsidR="00A320E6" w:rsidRDefault="00A320E6" w:rsidP="00AE0286">
            <w:pPr>
              <w:rPr>
                <w:rFonts w:ascii="宋体" w:hAnsi="宋体" w:cs="宋体"/>
                <w:color w:val="000000"/>
                <w:szCs w:val="21"/>
              </w:rPr>
            </w:pPr>
          </w:p>
        </w:tc>
      </w:tr>
      <w:tr w:rsidR="00A320E6" w14:paraId="09155064"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04F3CA5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17A5748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果树</w:t>
            </w:r>
          </w:p>
        </w:tc>
        <w:tc>
          <w:tcPr>
            <w:tcW w:w="3117" w:type="dxa"/>
            <w:tcBorders>
              <w:top w:val="single" w:sz="4" w:space="0" w:color="auto"/>
              <w:left w:val="single" w:sz="4" w:space="0" w:color="auto"/>
              <w:bottom w:val="single" w:sz="4" w:space="0" w:color="auto"/>
              <w:right w:val="single" w:sz="4" w:space="0" w:color="auto"/>
            </w:tcBorders>
            <w:vAlign w:val="center"/>
          </w:tcPr>
          <w:p w14:paraId="4174E0A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苗木（当年栽植）</w:t>
            </w:r>
          </w:p>
        </w:tc>
        <w:tc>
          <w:tcPr>
            <w:tcW w:w="1998" w:type="dxa"/>
            <w:tcBorders>
              <w:top w:val="single" w:sz="4" w:space="0" w:color="auto"/>
              <w:left w:val="single" w:sz="4" w:space="0" w:color="auto"/>
              <w:bottom w:val="single" w:sz="4" w:space="0" w:color="auto"/>
              <w:right w:val="single" w:sz="4" w:space="0" w:color="auto"/>
            </w:tcBorders>
            <w:vAlign w:val="center"/>
          </w:tcPr>
          <w:p w14:paraId="3BDB063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5-6</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val="restart"/>
            <w:tcBorders>
              <w:top w:val="single" w:sz="4" w:space="0" w:color="auto"/>
              <w:left w:val="single" w:sz="4" w:space="0" w:color="auto"/>
              <w:right w:val="single" w:sz="4" w:space="0" w:color="auto"/>
            </w:tcBorders>
            <w:vAlign w:val="center"/>
          </w:tcPr>
          <w:p w14:paraId="5C8A3183"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包括：苹果、桃、梨、杏、核桃、樱桃、柿、枣等经济树种。</w:t>
            </w:r>
          </w:p>
          <w:p w14:paraId="3C9A5E02"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树归原主。</w:t>
            </w:r>
          </w:p>
        </w:tc>
      </w:tr>
      <w:tr w:rsidR="00A320E6" w14:paraId="35949A49"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1B9C1C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1E4AD026"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71FFCC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幼龄期（2-3</w:t>
            </w:r>
            <w:r>
              <w:rPr>
                <w:rStyle w:val="font01"/>
                <w:rFonts w:ascii="宋体" w:hAnsi="宋体" w:cs="宋体" w:hint="eastAsia"/>
                <w:sz w:val="21"/>
                <w:szCs w:val="21"/>
                <w:lang w:bidi="ar"/>
              </w:rPr>
              <w:t>年）</w:t>
            </w:r>
          </w:p>
        </w:tc>
        <w:tc>
          <w:tcPr>
            <w:tcW w:w="1998" w:type="dxa"/>
            <w:tcBorders>
              <w:top w:val="single" w:sz="4" w:space="0" w:color="auto"/>
              <w:left w:val="single" w:sz="4" w:space="0" w:color="auto"/>
              <w:bottom w:val="single" w:sz="4" w:space="0" w:color="auto"/>
              <w:right w:val="single" w:sz="4" w:space="0" w:color="auto"/>
            </w:tcBorders>
            <w:vAlign w:val="center"/>
          </w:tcPr>
          <w:p w14:paraId="61310FE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50-60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棵（每亩不超过</w:t>
            </w:r>
            <w:r>
              <w:rPr>
                <w:rFonts w:ascii="宋体" w:hAnsi="宋体" w:cs="宋体" w:hint="eastAsia"/>
                <w:color w:val="000000"/>
                <w:kern w:val="0"/>
                <w:szCs w:val="21"/>
                <w:lang w:bidi="ar"/>
              </w:rPr>
              <w:t>220</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323BA779" w14:textId="77777777" w:rsidR="00A320E6" w:rsidRDefault="00A320E6" w:rsidP="00AE0286">
            <w:pPr>
              <w:textAlignment w:val="center"/>
              <w:rPr>
                <w:rFonts w:ascii="宋体" w:hAnsi="宋体" w:cs="宋体"/>
                <w:color w:val="000000"/>
                <w:szCs w:val="21"/>
              </w:rPr>
            </w:pPr>
          </w:p>
        </w:tc>
      </w:tr>
      <w:tr w:rsidR="00A320E6" w14:paraId="1C4FB860"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0EFA76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4F50B4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7BF8BB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初果期（4-8</w:t>
            </w:r>
            <w:r>
              <w:rPr>
                <w:rStyle w:val="font01"/>
                <w:rFonts w:ascii="宋体" w:hAnsi="宋体" w:cs="宋体" w:hint="eastAsia"/>
                <w:sz w:val="21"/>
                <w:szCs w:val="21"/>
                <w:lang w:bidi="ar"/>
              </w:rPr>
              <w:t>年）</w:t>
            </w:r>
          </w:p>
        </w:tc>
        <w:tc>
          <w:tcPr>
            <w:tcW w:w="1998" w:type="dxa"/>
            <w:tcBorders>
              <w:top w:val="single" w:sz="4" w:space="0" w:color="auto"/>
              <w:left w:val="single" w:sz="4" w:space="0" w:color="auto"/>
              <w:bottom w:val="single" w:sz="4" w:space="0" w:color="auto"/>
              <w:right w:val="single" w:sz="4" w:space="0" w:color="auto"/>
            </w:tcBorders>
            <w:vAlign w:val="center"/>
          </w:tcPr>
          <w:p w14:paraId="3A6010A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300-400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棵（每亩不超过</w:t>
            </w:r>
            <w:r>
              <w:rPr>
                <w:rFonts w:ascii="宋体" w:hAnsi="宋体" w:cs="宋体" w:hint="eastAsia"/>
                <w:color w:val="000000"/>
                <w:kern w:val="0"/>
                <w:szCs w:val="21"/>
                <w:lang w:bidi="ar"/>
              </w:rPr>
              <w:t>120</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126A8A7E" w14:textId="77777777" w:rsidR="00A320E6" w:rsidRDefault="00A320E6" w:rsidP="00AE0286">
            <w:pPr>
              <w:rPr>
                <w:rFonts w:ascii="宋体" w:hAnsi="宋体" w:cs="宋体"/>
                <w:color w:val="000000"/>
                <w:kern w:val="0"/>
                <w:szCs w:val="21"/>
                <w:lang w:bidi="ar"/>
              </w:rPr>
            </w:pPr>
          </w:p>
        </w:tc>
      </w:tr>
      <w:tr w:rsidR="00A320E6" w14:paraId="1EF72FD1"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396101FC"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5995E27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661E82E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盛果期（8</w:t>
            </w:r>
            <w:r>
              <w:rPr>
                <w:rStyle w:val="font01"/>
                <w:rFonts w:ascii="宋体" w:hAnsi="宋体" w:cs="宋体" w:hint="eastAsia"/>
                <w:sz w:val="21"/>
                <w:szCs w:val="21"/>
                <w:lang w:bidi="ar"/>
              </w:rPr>
              <w:t>年以上）</w:t>
            </w:r>
          </w:p>
        </w:tc>
        <w:tc>
          <w:tcPr>
            <w:tcW w:w="1998" w:type="dxa"/>
            <w:tcBorders>
              <w:top w:val="single" w:sz="4" w:space="0" w:color="auto"/>
              <w:left w:val="single" w:sz="4" w:space="0" w:color="auto"/>
              <w:bottom w:val="single" w:sz="4" w:space="0" w:color="auto"/>
              <w:right w:val="single" w:sz="4" w:space="0" w:color="auto"/>
            </w:tcBorders>
            <w:vAlign w:val="center"/>
          </w:tcPr>
          <w:p w14:paraId="3B90487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400-650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棵（每亩不超过</w:t>
            </w:r>
            <w:r>
              <w:rPr>
                <w:rFonts w:ascii="宋体" w:hAnsi="宋体" w:cs="宋体" w:hint="eastAsia"/>
                <w:color w:val="000000"/>
                <w:kern w:val="0"/>
                <w:szCs w:val="21"/>
                <w:lang w:bidi="ar"/>
              </w:rPr>
              <w:t>80</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293986DA" w14:textId="77777777" w:rsidR="00A320E6" w:rsidRDefault="00A320E6" w:rsidP="00AE0286">
            <w:pPr>
              <w:rPr>
                <w:rFonts w:ascii="宋体" w:hAnsi="宋体" w:cs="宋体"/>
                <w:color w:val="000000"/>
                <w:kern w:val="0"/>
                <w:szCs w:val="21"/>
                <w:lang w:bidi="ar"/>
              </w:rPr>
            </w:pPr>
          </w:p>
        </w:tc>
      </w:tr>
      <w:tr w:rsidR="00A320E6" w14:paraId="0E9F0D90"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BF21782"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17C7AA4"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F79CA0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衰老期</w:t>
            </w:r>
          </w:p>
        </w:tc>
        <w:tc>
          <w:tcPr>
            <w:tcW w:w="1998" w:type="dxa"/>
            <w:tcBorders>
              <w:top w:val="single" w:sz="4" w:space="0" w:color="auto"/>
              <w:left w:val="single" w:sz="4" w:space="0" w:color="auto"/>
              <w:bottom w:val="single" w:sz="4" w:space="0" w:color="auto"/>
              <w:right w:val="single" w:sz="4" w:space="0" w:color="auto"/>
            </w:tcBorders>
            <w:vAlign w:val="center"/>
          </w:tcPr>
          <w:p w14:paraId="7E496B2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180-300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棵（每亩不超过</w:t>
            </w:r>
            <w:r>
              <w:rPr>
                <w:rFonts w:ascii="宋体" w:hAnsi="宋体" w:cs="宋体" w:hint="eastAsia"/>
                <w:color w:val="000000"/>
                <w:kern w:val="0"/>
                <w:szCs w:val="21"/>
                <w:lang w:bidi="ar"/>
              </w:rPr>
              <w:t>80</w:t>
            </w:r>
            <w:r>
              <w:rPr>
                <w:rStyle w:val="font01"/>
                <w:rFonts w:ascii="宋体" w:hAnsi="宋体" w:cs="宋体" w:hint="eastAsia"/>
                <w:sz w:val="21"/>
                <w:szCs w:val="21"/>
                <w:lang w:bidi="ar"/>
              </w:rPr>
              <w:t>棵）</w:t>
            </w:r>
          </w:p>
        </w:tc>
        <w:tc>
          <w:tcPr>
            <w:tcW w:w="1907" w:type="dxa"/>
            <w:vMerge/>
            <w:tcBorders>
              <w:left w:val="single" w:sz="4" w:space="0" w:color="auto"/>
              <w:bottom w:val="single" w:sz="4" w:space="0" w:color="auto"/>
              <w:right w:val="single" w:sz="4" w:space="0" w:color="auto"/>
            </w:tcBorders>
            <w:vAlign w:val="center"/>
          </w:tcPr>
          <w:p w14:paraId="61A1935C" w14:textId="77777777" w:rsidR="00A320E6" w:rsidRDefault="00A320E6" w:rsidP="00AE0286">
            <w:pPr>
              <w:rPr>
                <w:rFonts w:ascii="宋体" w:hAnsi="宋体" w:cs="宋体"/>
                <w:color w:val="000000"/>
                <w:kern w:val="0"/>
                <w:szCs w:val="21"/>
                <w:lang w:bidi="ar"/>
              </w:rPr>
            </w:pPr>
          </w:p>
        </w:tc>
      </w:tr>
      <w:tr w:rsidR="00A320E6" w14:paraId="64586A84"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06D7F85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265E45A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花椒树</w:t>
            </w:r>
          </w:p>
        </w:tc>
        <w:tc>
          <w:tcPr>
            <w:tcW w:w="3117" w:type="dxa"/>
            <w:tcBorders>
              <w:top w:val="single" w:sz="4" w:space="0" w:color="auto"/>
              <w:left w:val="single" w:sz="4" w:space="0" w:color="auto"/>
              <w:bottom w:val="single" w:sz="4" w:space="0" w:color="auto"/>
              <w:right w:val="single" w:sz="4" w:space="0" w:color="auto"/>
            </w:tcBorders>
            <w:vAlign w:val="center"/>
          </w:tcPr>
          <w:p w14:paraId="09A38FD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树苗(</w:t>
            </w:r>
            <w:r>
              <w:rPr>
                <w:rStyle w:val="font01"/>
                <w:rFonts w:ascii="宋体" w:hAnsi="宋体" w:cs="宋体" w:hint="eastAsia"/>
                <w:sz w:val="21"/>
                <w:szCs w:val="21"/>
                <w:lang w:bidi="ar"/>
              </w:rPr>
              <w:t>地径小于</w:t>
            </w:r>
            <w:r>
              <w:rPr>
                <w:rFonts w:ascii="宋体" w:hAnsi="宋体" w:cs="宋体" w:hint="eastAsia"/>
                <w:color w:val="000000"/>
                <w:kern w:val="0"/>
                <w:szCs w:val="21"/>
                <w:lang w:bidi="ar"/>
              </w:rPr>
              <w:t>1cm)</w:t>
            </w:r>
          </w:p>
        </w:tc>
        <w:tc>
          <w:tcPr>
            <w:tcW w:w="1998" w:type="dxa"/>
            <w:tcBorders>
              <w:top w:val="single" w:sz="4" w:space="0" w:color="auto"/>
              <w:left w:val="single" w:sz="4" w:space="0" w:color="auto"/>
              <w:bottom w:val="single" w:sz="4" w:space="0" w:color="auto"/>
              <w:right w:val="single" w:sz="4" w:space="0" w:color="auto"/>
            </w:tcBorders>
            <w:vAlign w:val="center"/>
          </w:tcPr>
          <w:p w14:paraId="62D1A8A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3-4</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val="restart"/>
            <w:tcBorders>
              <w:top w:val="single" w:sz="4" w:space="0" w:color="auto"/>
              <w:left w:val="single" w:sz="4" w:space="0" w:color="auto"/>
              <w:right w:val="single" w:sz="4" w:space="0" w:color="auto"/>
            </w:tcBorders>
            <w:vAlign w:val="center"/>
          </w:tcPr>
          <w:p w14:paraId="203F28EB"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1.树苗最高补偿标准不得超过7200元/亩。</w:t>
            </w:r>
          </w:p>
          <w:p w14:paraId="32117F96"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2.树归原主。</w:t>
            </w:r>
          </w:p>
        </w:tc>
      </w:tr>
      <w:tr w:rsidR="00A320E6" w14:paraId="4BFECF06"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EFB3FAB"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7C6444E"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C37659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地径1-2cm</w:t>
            </w:r>
            <w:r>
              <w:rPr>
                <w:rStyle w:val="font01"/>
                <w:rFonts w:ascii="宋体" w:hAnsi="宋体" w:cs="宋体" w:hint="eastAsia"/>
                <w:sz w:val="21"/>
                <w:szCs w:val="21"/>
                <w:lang w:bidi="ar"/>
              </w:rPr>
              <w:t>（不含</w:t>
            </w:r>
            <w:r>
              <w:rPr>
                <w:rFonts w:ascii="宋体" w:hAnsi="宋体" w:cs="宋体" w:hint="eastAsia"/>
                <w:color w:val="000000"/>
                <w:kern w:val="0"/>
                <w:szCs w:val="21"/>
                <w:lang w:bidi="ar"/>
              </w:rPr>
              <w:t>2cm</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44411212"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25-35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0F5F0992" w14:textId="77777777" w:rsidR="00A320E6" w:rsidRDefault="00A320E6" w:rsidP="00AE0286">
            <w:pPr>
              <w:textAlignment w:val="center"/>
              <w:rPr>
                <w:rFonts w:ascii="宋体" w:hAnsi="宋体" w:cs="宋体"/>
                <w:color w:val="000000"/>
                <w:szCs w:val="21"/>
              </w:rPr>
            </w:pPr>
          </w:p>
        </w:tc>
      </w:tr>
      <w:tr w:rsidR="00A320E6" w14:paraId="0AAC708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95900BC"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67DE0D3"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626BECB"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地径2-5</w:t>
            </w:r>
            <w:r>
              <w:rPr>
                <w:rStyle w:val="font01"/>
                <w:rFonts w:ascii="宋体" w:hAnsi="宋体" w:cs="宋体" w:hint="eastAsia"/>
                <w:sz w:val="21"/>
                <w:szCs w:val="21"/>
                <w:lang w:bidi="ar"/>
              </w:rPr>
              <w:t>㎝（不含</w:t>
            </w:r>
            <w:r>
              <w:rPr>
                <w:rFonts w:ascii="宋体" w:hAnsi="宋体" w:cs="宋体" w:hint="eastAsia"/>
                <w:color w:val="000000"/>
                <w:kern w:val="0"/>
                <w:szCs w:val="21"/>
                <w:lang w:bidi="ar"/>
              </w:rPr>
              <w:t>5cm</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677237C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35-65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23D3AD4F" w14:textId="77777777" w:rsidR="00A320E6" w:rsidRDefault="00A320E6" w:rsidP="00AE0286">
            <w:pPr>
              <w:rPr>
                <w:rFonts w:ascii="宋体" w:hAnsi="宋体" w:cs="宋体"/>
                <w:color w:val="000000"/>
                <w:szCs w:val="21"/>
              </w:rPr>
            </w:pPr>
          </w:p>
        </w:tc>
      </w:tr>
      <w:tr w:rsidR="00A320E6" w14:paraId="3E0BE323"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4653001"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8EF44B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5E2D179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地径5-10</w:t>
            </w:r>
            <w:r>
              <w:rPr>
                <w:rStyle w:val="font01"/>
                <w:rFonts w:ascii="宋体" w:hAnsi="宋体" w:cs="宋体" w:hint="eastAsia"/>
                <w:sz w:val="21"/>
                <w:szCs w:val="21"/>
                <w:lang w:bidi="ar"/>
              </w:rPr>
              <w:t>㎝（不含</w:t>
            </w:r>
            <w:r>
              <w:rPr>
                <w:rFonts w:ascii="宋体" w:hAnsi="宋体" w:cs="宋体" w:hint="eastAsia"/>
                <w:color w:val="000000"/>
                <w:kern w:val="0"/>
                <w:szCs w:val="21"/>
                <w:lang w:bidi="ar"/>
              </w:rPr>
              <w:t>10cm</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02EE211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65-180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04795704" w14:textId="77777777" w:rsidR="00A320E6" w:rsidRDefault="00A320E6" w:rsidP="00AE0286">
            <w:pPr>
              <w:rPr>
                <w:rFonts w:ascii="宋体" w:hAnsi="宋体" w:cs="宋体"/>
                <w:color w:val="000000"/>
                <w:szCs w:val="21"/>
              </w:rPr>
            </w:pPr>
          </w:p>
        </w:tc>
      </w:tr>
      <w:tr w:rsidR="00A320E6" w14:paraId="3E4391A5"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69158667"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79D20005"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857C18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地径10</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29A7CEF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180-360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bottom w:val="single" w:sz="4" w:space="0" w:color="auto"/>
              <w:right w:val="single" w:sz="4" w:space="0" w:color="auto"/>
            </w:tcBorders>
            <w:vAlign w:val="center"/>
          </w:tcPr>
          <w:p w14:paraId="25BC277C" w14:textId="77777777" w:rsidR="00A320E6" w:rsidRDefault="00A320E6" w:rsidP="00AE0286">
            <w:pPr>
              <w:rPr>
                <w:rFonts w:ascii="宋体" w:hAnsi="宋体" w:cs="宋体"/>
                <w:color w:val="000000"/>
                <w:szCs w:val="21"/>
              </w:rPr>
            </w:pPr>
          </w:p>
        </w:tc>
      </w:tr>
      <w:tr w:rsidR="00A320E6" w14:paraId="7E09A212"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4137395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22</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7EA0772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香椿树</w:t>
            </w:r>
          </w:p>
        </w:tc>
        <w:tc>
          <w:tcPr>
            <w:tcW w:w="3117" w:type="dxa"/>
            <w:tcBorders>
              <w:top w:val="single" w:sz="4" w:space="0" w:color="auto"/>
              <w:left w:val="single" w:sz="4" w:space="0" w:color="auto"/>
              <w:bottom w:val="single" w:sz="4" w:space="0" w:color="auto"/>
              <w:right w:val="single" w:sz="4" w:space="0" w:color="auto"/>
            </w:tcBorders>
            <w:vAlign w:val="center"/>
          </w:tcPr>
          <w:p w14:paraId="6D071EB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树苗(</w:t>
            </w:r>
            <w:r>
              <w:rPr>
                <w:rStyle w:val="font01"/>
                <w:rFonts w:ascii="宋体" w:hAnsi="宋体" w:cs="宋体" w:hint="eastAsia"/>
                <w:sz w:val="21"/>
                <w:szCs w:val="21"/>
                <w:lang w:bidi="ar"/>
              </w:rPr>
              <w:t>胸径小于</w:t>
            </w:r>
            <w:r>
              <w:rPr>
                <w:rFonts w:ascii="宋体" w:hAnsi="宋体" w:cs="宋体" w:hint="eastAsia"/>
                <w:color w:val="000000"/>
                <w:kern w:val="0"/>
                <w:szCs w:val="21"/>
                <w:lang w:bidi="ar"/>
              </w:rPr>
              <w:t>2cm)</w:t>
            </w:r>
          </w:p>
        </w:tc>
        <w:tc>
          <w:tcPr>
            <w:tcW w:w="1998" w:type="dxa"/>
            <w:tcBorders>
              <w:top w:val="single" w:sz="4" w:space="0" w:color="auto"/>
              <w:left w:val="single" w:sz="4" w:space="0" w:color="auto"/>
              <w:bottom w:val="single" w:sz="4" w:space="0" w:color="auto"/>
              <w:right w:val="single" w:sz="4" w:space="0" w:color="auto"/>
            </w:tcBorders>
            <w:vAlign w:val="center"/>
          </w:tcPr>
          <w:p w14:paraId="4532BB9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46532044"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树归原主</w:t>
            </w:r>
            <w:r>
              <w:rPr>
                <w:rStyle w:val="font01"/>
                <w:rFonts w:ascii="宋体" w:hAnsi="宋体" w:cs="宋体" w:hint="eastAsia"/>
                <w:sz w:val="21"/>
                <w:szCs w:val="21"/>
                <w:lang w:bidi="ar"/>
              </w:rPr>
              <w:t>。</w:t>
            </w:r>
          </w:p>
        </w:tc>
      </w:tr>
      <w:tr w:rsidR="00A320E6" w14:paraId="6607859B"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529B96C8"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5F45571"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797EA14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胸径2-5cm</w:t>
            </w:r>
            <w:r>
              <w:rPr>
                <w:rStyle w:val="font01"/>
                <w:rFonts w:ascii="宋体" w:hAnsi="宋体" w:cs="宋体" w:hint="eastAsia"/>
                <w:sz w:val="21"/>
                <w:szCs w:val="21"/>
                <w:lang w:bidi="ar"/>
              </w:rPr>
              <w:t>（不含</w:t>
            </w:r>
            <w:r>
              <w:rPr>
                <w:rFonts w:ascii="宋体" w:hAnsi="宋体" w:cs="宋体" w:hint="eastAsia"/>
                <w:color w:val="000000"/>
                <w:kern w:val="0"/>
                <w:szCs w:val="21"/>
                <w:lang w:bidi="ar"/>
              </w:rPr>
              <w:t>5cm</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09FDD06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25-45</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top w:val="single" w:sz="4" w:space="0" w:color="auto"/>
              <w:left w:val="single" w:sz="4" w:space="0" w:color="auto"/>
              <w:bottom w:val="single" w:sz="4" w:space="0" w:color="auto"/>
              <w:right w:val="single" w:sz="4" w:space="0" w:color="auto"/>
            </w:tcBorders>
            <w:vAlign w:val="center"/>
          </w:tcPr>
          <w:p w14:paraId="692FB389" w14:textId="77777777" w:rsidR="00A320E6" w:rsidRDefault="00A320E6" w:rsidP="00AE0286">
            <w:pPr>
              <w:rPr>
                <w:rFonts w:ascii="宋体" w:hAnsi="宋体" w:cs="宋体"/>
                <w:color w:val="000000"/>
                <w:szCs w:val="21"/>
              </w:rPr>
            </w:pPr>
          </w:p>
        </w:tc>
      </w:tr>
      <w:tr w:rsidR="00A320E6" w14:paraId="60F57B5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99D684B"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6B6EF0C"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2FD651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胸径5-10cm</w:t>
            </w:r>
            <w:r>
              <w:rPr>
                <w:rStyle w:val="font01"/>
                <w:rFonts w:ascii="宋体" w:hAnsi="宋体" w:cs="宋体" w:hint="eastAsia"/>
                <w:sz w:val="21"/>
                <w:szCs w:val="21"/>
                <w:lang w:bidi="ar"/>
              </w:rPr>
              <w:t>（不含</w:t>
            </w:r>
            <w:r>
              <w:rPr>
                <w:rFonts w:ascii="宋体" w:hAnsi="宋体" w:cs="宋体" w:hint="eastAsia"/>
                <w:color w:val="000000"/>
                <w:kern w:val="0"/>
                <w:szCs w:val="21"/>
                <w:lang w:bidi="ar"/>
              </w:rPr>
              <w:t>10cm</w:t>
            </w:r>
            <w:r>
              <w:rPr>
                <w:rStyle w:val="font01"/>
                <w:rFonts w:ascii="宋体" w:hAnsi="宋体" w:cs="宋体" w:hint="eastAsia"/>
                <w:sz w:val="21"/>
                <w:szCs w:val="21"/>
                <w:lang w:bidi="ar"/>
              </w:rPr>
              <w:t>）</w:t>
            </w:r>
          </w:p>
        </w:tc>
        <w:tc>
          <w:tcPr>
            <w:tcW w:w="1998" w:type="dxa"/>
            <w:tcBorders>
              <w:top w:val="single" w:sz="4" w:space="0" w:color="auto"/>
              <w:left w:val="single" w:sz="4" w:space="0" w:color="auto"/>
              <w:bottom w:val="single" w:sz="4" w:space="0" w:color="auto"/>
              <w:right w:val="single" w:sz="4" w:space="0" w:color="auto"/>
            </w:tcBorders>
            <w:vAlign w:val="center"/>
          </w:tcPr>
          <w:p w14:paraId="6E1D0DD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45-80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top w:val="single" w:sz="4" w:space="0" w:color="auto"/>
              <w:left w:val="single" w:sz="4" w:space="0" w:color="auto"/>
              <w:bottom w:val="single" w:sz="4" w:space="0" w:color="auto"/>
              <w:right w:val="single" w:sz="4" w:space="0" w:color="auto"/>
            </w:tcBorders>
            <w:vAlign w:val="center"/>
          </w:tcPr>
          <w:p w14:paraId="6BA98237" w14:textId="77777777" w:rsidR="00A320E6" w:rsidRDefault="00A320E6" w:rsidP="00AE0286">
            <w:pPr>
              <w:rPr>
                <w:rFonts w:ascii="宋体" w:hAnsi="宋体" w:cs="宋体"/>
                <w:color w:val="000000"/>
                <w:szCs w:val="21"/>
              </w:rPr>
            </w:pPr>
          </w:p>
        </w:tc>
      </w:tr>
      <w:tr w:rsidR="00A320E6" w14:paraId="73AABE3A"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44892F64"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5DEBDC0E"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C65DEE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胸径10cm</w:t>
            </w:r>
            <w:r>
              <w:rPr>
                <w:rStyle w:val="font01"/>
                <w:rFonts w:ascii="宋体" w:hAnsi="宋体" w:cs="宋体" w:hint="eastAsia"/>
                <w:sz w:val="21"/>
                <w:szCs w:val="21"/>
                <w:lang w:bidi="ar"/>
              </w:rPr>
              <w:t>以上</w:t>
            </w:r>
          </w:p>
        </w:tc>
        <w:tc>
          <w:tcPr>
            <w:tcW w:w="1998" w:type="dxa"/>
            <w:tcBorders>
              <w:top w:val="single" w:sz="4" w:space="0" w:color="auto"/>
              <w:left w:val="single" w:sz="4" w:space="0" w:color="auto"/>
              <w:bottom w:val="single" w:sz="4" w:space="0" w:color="auto"/>
              <w:right w:val="single" w:sz="4" w:space="0" w:color="auto"/>
            </w:tcBorders>
            <w:vAlign w:val="center"/>
          </w:tcPr>
          <w:p w14:paraId="2B25FBC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85-180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top w:val="single" w:sz="4" w:space="0" w:color="auto"/>
              <w:left w:val="single" w:sz="4" w:space="0" w:color="auto"/>
              <w:bottom w:val="single" w:sz="4" w:space="0" w:color="auto"/>
              <w:right w:val="single" w:sz="4" w:space="0" w:color="auto"/>
            </w:tcBorders>
            <w:vAlign w:val="center"/>
          </w:tcPr>
          <w:p w14:paraId="6B388DF4" w14:textId="77777777" w:rsidR="00A320E6" w:rsidRDefault="00A320E6" w:rsidP="00AE0286">
            <w:pPr>
              <w:rPr>
                <w:rFonts w:ascii="宋体" w:hAnsi="宋体" w:cs="宋体"/>
                <w:color w:val="000000"/>
                <w:szCs w:val="21"/>
              </w:rPr>
            </w:pPr>
          </w:p>
        </w:tc>
      </w:tr>
      <w:tr w:rsidR="00A320E6" w14:paraId="6BC5CB52"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7850A92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4977627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灌木</w:t>
            </w:r>
          </w:p>
        </w:tc>
        <w:tc>
          <w:tcPr>
            <w:tcW w:w="3117" w:type="dxa"/>
            <w:tcBorders>
              <w:top w:val="single" w:sz="4" w:space="0" w:color="auto"/>
              <w:left w:val="single" w:sz="4" w:space="0" w:color="auto"/>
              <w:bottom w:val="single" w:sz="4" w:space="0" w:color="auto"/>
              <w:right w:val="single" w:sz="4" w:space="0" w:color="auto"/>
            </w:tcBorders>
            <w:vAlign w:val="center"/>
          </w:tcPr>
          <w:p w14:paraId="040A3D5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一年生以内</w:t>
            </w:r>
          </w:p>
        </w:tc>
        <w:tc>
          <w:tcPr>
            <w:tcW w:w="1998" w:type="dxa"/>
            <w:tcBorders>
              <w:top w:val="single" w:sz="4" w:space="0" w:color="auto"/>
              <w:left w:val="single" w:sz="4" w:space="0" w:color="auto"/>
              <w:bottom w:val="single" w:sz="4" w:space="0" w:color="auto"/>
              <w:right w:val="single" w:sz="4" w:space="0" w:color="auto"/>
            </w:tcBorders>
            <w:vAlign w:val="center"/>
          </w:tcPr>
          <w:p w14:paraId="17DFE39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5-8</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墩</w:t>
            </w:r>
          </w:p>
        </w:tc>
        <w:tc>
          <w:tcPr>
            <w:tcW w:w="1907" w:type="dxa"/>
            <w:vMerge w:val="restart"/>
            <w:tcBorders>
              <w:top w:val="single" w:sz="4" w:space="0" w:color="auto"/>
              <w:left w:val="single" w:sz="4" w:space="0" w:color="auto"/>
              <w:right w:val="single" w:sz="4" w:space="0" w:color="auto"/>
            </w:tcBorders>
            <w:vAlign w:val="center"/>
          </w:tcPr>
          <w:p w14:paraId="032BA993"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每墩出条数按</w:t>
            </w:r>
            <w:r>
              <w:rPr>
                <w:rFonts w:ascii="宋体" w:hAnsi="宋体" w:cs="宋体" w:hint="eastAsia"/>
                <w:color w:val="000000"/>
                <w:kern w:val="0"/>
                <w:szCs w:val="21"/>
                <w:lang w:bidi="ar"/>
              </w:rPr>
              <w:t>10-20</w:t>
            </w:r>
            <w:r>
              <w:rPr>
                <w:rStyle w:val="font01"/>
                <w:rFonts w:ascii="宋体" w:hAnsi="宋体" w:cs="宋体" w:hint="eastAsia"/>
                <w:sz w:val="21"/>
                <w:szCs w:val="21"/>
                <w:lang w:bidi="ar"/>
              </w:rPr>
              <w:t>根计算。</w:t>
            </w:r>
          </w:p>
          <w:p w14:paraId="3D150DF9"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树归原主。</w:t>
            </w:r>
          </w:p>
        </w:tc>
      </w:tr>
      <w:tr w:rsidR="00A320E6" w14:paraId="20A2DCE4"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E15ECAC"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4A253AE8"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151A78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一年生以上</w:t>
            </w:r>
          </w:p>
        </w:tc>
        <w:tc>
          <w:tcPr>
            <w:tcW w:w="1998" w:type="dxa"/>
            <w:tcBorders>
              <w:top w:val="single" w:sz="4" w:space="0" w:color="auto"/>
              <w:left w:val="single" w:sz="4" w:space="0" w:color="auto"/>
              <w:bottom w:val="single" w:sz="4" w:space="0" w:color="auto"/>
              <w:right w:val="single" w:sz="4" w:space="0" w:color="auto"/>
            </w:tcBorders>
            <w:vAlign w:val="center"/>
          </w:tcPr>
          <w:p w14:paraId="0493D5C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6-10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墩</w:t>
            </w:r>
          </w:p>
        </w:tc>
        <w:tc>
          <w:tcPr>
            <w:tcW w:w="1907" w:type="dxa"/>
            <w:vMerge/>
            <w:tcBorders>
              <w:left w:val="single" w:sz="4" w:space="0" w:color="auto"/>
              <w:bottom w:val="single" w:sz="4" w:space="0" w:color="auto"/>
              <w:right w:val="single" w:sz="4" w:space="0" w:color="auto"/>
            </w:tcBorders>
            <w:vAlign w:val="center"/>
          </w:tcPr>
          <w:p w14:paraId="367E26CA" w14:textId="77777777" w:rsidR="00A320E6" w:rsidRDefault="00A320E6" w:rsidP="00AE0286">
            <w:pPr>
              <w:textAlignment w:val="center"/>
              <w:rPr>
                <w:rFonts w:ascii="宋体" w:hAnsi="宋体" w:cs="宋体"/>
                <w:color w:val="000000"/>
                <w:szCs w:val="21"/>
              </w:rPr>
            </w:pPr>
          </w:p>
        </w:tc>
      </w:tr>
      <w:tr w:rsidR="00A320E6" w14:paraId="27419941"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2300D19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7174B77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桑园</w:t>
            </w:r>
          </w:p>
        </w:tc>
        <w:tc>
          <w:tcPr>
            <w:tcW w:w="3117" w:type="dxa"/>
            <w:tcBorders>
              <w:top w:val="single" w:sz="4" w:space="0" w:color="auto"/>
              <w:left w:val="single" w:sz="4" w:space="0" w:color="auto"/>
              <w:bottom w:val="single" w:sz="4" w:space="0" w:color="auto"/>
              <w:right w:val="single" w:sz="4" w:space="0" w:color="auto"/>
            </w:tcBorders>
            <w:vAlign w:val="center"/>
          </w:tcPr>
          <w:p w14:paraId="25AF198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两年生以内（不含2</w:t>
            </w:r>
            <w:r>
              <w:rPr>
                <w:rStyle w:val="font01"/>
                <w:rFonts w:ascii="宋体" w:hAnsi="宋体" w:cs="宋体" w:hint="eastAsia"/>
                <w:sz w:val="21"/>
                <w:szCs w:val="21"/>
                <w:lang w:bidi="ar"/>
              </w:rPr>
              <w:t>年）</w:t>
            </w:r>
          </w:p>
        </w:tc>
        <w:tc>
          <w:tcPr>
            <w:tcW w:w="1998" w:type="dxa"/>
            <w:tcBorders>
              <w:top w:val="single" w:sz="4" w:space="0" w:color="auto"/>
              <w:left w:val="single" w:sz="4" w:space="0" w:color="auto"/>
              <w:bottom w:val="single" w:sz="4" w:space="0" w:color="auto"/>
              <w:right w:val="single" w:sz="4" w:space="0" w:color="auto"/>
            </w:tcBorders>
            <w:vAlign w:val="center"/>
          </w:tcPr>
          <w:p w14:paraId="497282F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4500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val="restart"/>
            <w:tcBorders>
              <w:top w:val="single" w:sz="4" w:space="0" w:color="auto"/>
              <w:left w:val="single" w:sz="4" w:space="0" w:color="auto"/>
              <w:right w:val="single" w:sz="4" w:space="0" w:color="auto"/>
            </w:tcBorders>
            <w:vAlign w:val="center"/>
          </w:tcPr>
          <w:p w14:paraId="491634E9"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大田种植养蚕用桑树。</w:t>
            </w:r>
          </w:p>
          <w:p w14:paraId="73F8B4EB"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树归原主。</w:t>
            </w:r>
          </w:p>
        </w:tc>
      </w:tr>
      <w:tr w:rsidR="00A320E6" w14:paraId="5F7E64D0"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AA10C16"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F5967A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13EB673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两年生以上三年生以内</w:t>
            </w:r>
          </w:p>
        </w:tc>
        <w:tc>
          <w:tcPr>
            <w:tcW w:w="1998" w:type="dxa"/>
            <w:tcBorders>
              <w:top w:val="single" w:sz="4" w:space="0" w:color="auto"/>
              <w:left w:val="single" w:sz="4" w:space="0" w:color="auto"/>
              <w:bottom w:val="single" w:sz="4" w:space="0" w:color="auto"/>
              <w:right w:val="single" w:sz="4" w:space="0" w:color="auto"/>
            </w:tcBorders>
            <w:vAlign w:val="center"/>
          </w:tcPr>
          <w:p w14:paraId="48E2624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5000-6000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tcBorders>
              <w:left w:val="single" w:sz="4" w:space="0" w:color="auto"/>
              <w:right w:val="single" w:sz="4" w:space="0" w:color="auto"/>
            </w:tcBorders>
            <w:vAlign w:val="center"/>
          </w:tcPr>
          <w:p w14:paraId="2FE0D5FF" w14:textId="77777777" w:rsidR="00A320E6" w:rsidRDefault="00A320E6" w:rsidP="00AE0286">
            <w:pPr>
              <w:textAlignment w:val="center"/>
              <w:rPr>
                <w:rFonts w:ascii="宋体" w:hAnsi="宋体" w:cs="宋体"/>
                <w:color w:val="000000"/>
                <w:szCs w:val="21"/>
              </w:rPr>
            </w:pPr>
          </w:p>
        </w:tc>
      </w:tr>
      <w:tr w:rsidR="00A320E6" w14:paraId="270E6322"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EEE5CDA"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696CD023"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E79D0B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三年生及以上</w:t>
            </w:r>
          </w:p>
        </w:tc>
        <w:tc>
          <w:tcPr>
            <w:tcW w:w="1998" w:type="dxa"/>
            <w:tcBorders>
              <w:top w:val="single" w:sz="4" w:space="0" w:color="auto"/>
              <w:left w:val="single" w:sz="4" w:space="0" w:color="auto"/>
              <w:bottom w:val="single" w:sz="4" w:space="0" w:color="auto"/>
              <w:right w:val="single" w:sz="4" w:space="0" w:color="auto"/>
            </w:tcBorders>
            <w:vAlign w:val="center"/>
          </w:tcPr>
          <w:p w14:paraId="7248DBF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6500-7500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tcBorders>
              <w:left w:val="single" w:sz="4" w:space="0" w:color="auto"/>
              <w:bottom w:val="single" w:sz="4" w:space="0" w:color="auto"/>
              <w:right w:val="single" w:sz="4" w:space="0" w:color="auto"/>
            </w:tcBorders>
            <w:vAlign w:val="center"/>
          </w:tcPr>
          <w:p w14:paraId="702A6FC2" w14:textId="77777777" w:rsidR="00A320E6" w:rsidRDefault="00A320E6" w:rsidP="00AE0286">
            <w:pPr>
              <w:rPr>
                <w:rFonts w:ascii="宋体" w:hAnsi="宋体" w:cs="宋体"/>
                <w:color w:val="000000"/>
                <w:szCs w:val="21"/>
              </w:rPr>
            </w:pPr>
          </w:p>
        </w:tc>
      </w:tr>
      <w:tr w:rsidR="00A320E6" w14:paraId="377EFF73"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6DFDDA5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3EAEA81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葡萄</w:t>
            </w:r>
          </w:p>
        </w:tc>
        <w:tc>
          <w:tcPr>
            <w:tcW w:w="3117" w:type="dxa"/>
            <w:tcBorders>
              <w:top w:val="single" w:sz="4" w:space="0" w:color="auto"/>
              <w:left w:val="single" w:sz="4" w:space="0" w:color="auto"/>
              <w:bottom w:val="single" w:sz="4" w:space="0" w:color="auto"/>
              <w:right w:val="single" w:sz="4" w:space="0" w:color="auto"/>
            </w:tcBorders>
            <w:vAlign w:val="center"/>
          </w:tcPr>
          <w:p w14:paraId="4D72EAF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葡萄苗</w:t>
            </w:r>
          </w:p>
        </w:tc>
        <w:tc>
          <w:tcPr>
            <w:tcW w:w="1998" w:type="dxa"/>
            <w:tcBorders>
              <w:top w:val="single" w:sz="4" w:space="0" w:color="auto"/>
              <w:left w:val="single" w:sz="4" w:space="0" w:color="auto"/>
              <w:bottom w:val="single" w:sz="4" w:space="0" w:color="auto"/>
              <w:right w:val="single" w:sz="4" w:space="0" w:color="auto"/>
            </w:tcBorders>
            <w:vAlign w:val="center"/>
          </w:tcPr>
          <w:p w14:paraId="4CAE096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val="restart"/>
            <w:tcBorders>
              <w:top w:val="single" w:sz="4" w:space="0" w:color="auto"/>
              <w:left w:val="single" w:sz="4" w:space="0" w:color="auto"/>
              <w:right w:val="single" w:sz="4" w:space="0" w:color="auto"/>
            </w:tcBorders>
            <w:vAlign w:val="center"/>
          </w:tcPr>
          <w:p w14:paraId="4BABD3A4" w14:textId="77777777" w:rsidR="00A320E6" w:rsidRDefault="00000000" w:rsidP="00AE0286">
            <w:pP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r>
              <w:rPr>
                <w:rStyle w:val="font01"/>
                <w:rFonts w:ascii="宋体" w:hAnsi="宋体" w:cs="宋体" w:hint="eastAsia"/>
                <w:sz w:val="21"/>
                <w:szCs w:val="21"/>
                <w:lang w:bidi="ar"/>
              </w:rPr>
              <w:t>科学密植，每亩不超过</w:t>
            </w:r>
            <w:r>
              <w:rPr>
                <w:rFonts w:ascii="宋体" w:hAnsi="宋体" w:cs="宋体" w:hint="eastAsia"/>
                <w:color w:val="000000"/>
                <w:kern w:val="0"/>
                <w:szCs w:val="21"/>
                <w:lang w:bidi="ar"/>
              </w:rPr>
              <w:t>305</w:t>
            </w:r>
            <w:r>
              <w:rPr>
                <w:rStyle w:val="font01"/>
                <w:rFonts w:ascii="宋体" w:hAnsi="宋体" w:cs="宋体" w:hint="eastAsia"/>
                <w:sz w:val="21"/>
                <w:szCs w:val="21"/>
                <w:lang w:bidi="ar"/>
              </w:rPr>
              <w:t>棵。</w:t>
            </w:r>
          </w:p>
          <w:p w14:paraId="19E313E5"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2.</w:t>
            </w:r>
            <w:r>
              <w:rPr>
                <w:rStyle w:val="font01"/>
                <w:rFonts w:ascii="宋体" w:hAnsi="宋体" w:cs="宋体" w:hint="eastAsia"/>
                <w:sz w:val="21"/>
                <w:szCs w:val="21"/>
                <w:lang w:bidi="ar"/>
              </w:rPr>
              <w:t>树归原主。</w:t>
            </w:r>
          </w:p>
        </w:tc>
      </w:tr>
      <w:tr w:rsidR="00A320E6" w14:paraId="59A7F0EF"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E1AAEA7"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00AB0846"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C69237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地径小于2</w:t>
            </w:r>
            <w:r>
              <w:rPr>
                <w:rStyle w:val="font01"/>
                <w:rFonts w:ascii="宋体" w:hAnsi="宋体" w:cs="宋体" w:hint="eastAsia"/>
                <w:sz w:val="21"/>
                <w:szCs w:val="21"/>
                <w:lang w:bidi="ar"/>
              </w:rPr>
              <w:t>㎝（地上</w:t>
            </w:r>
            <w:r>
              <w:rPr>
                <w:rFonts w:ascii="宋体" w:hAnsi="宋体" w:cs="宋体" w:hint="eastAsia"/>
                <w:color w:val="000000"/>
                <w:kern w:val="0"/>
                <w:szCs w:val="21"/>
                <w:lang w:bidi="ar"/>
              </w:rPr>
              <w:t>5cm</w:t>
            </w:r>
            <w:r>
              <w:rPr>
                <w:rStyle w:val="font01"/>
                <w:rFonts w:ascii="宋体" w:hAnsi="宋体" w:cs="宋体" w:hint="eastAsia"/>
                <w:sz w:val="21"/>
                <w:szCs w:val="21"/>
                <w:lang w:bidi="ar"/>
              </w:rPr>
              <w:t>处测量）</w:t>
            </w:r>
          </w:p>
        </w:tc>
        <w:tc>
          <w:tcPr>
            <w:tcW w:w="1998" w:type="dxa"/>
            <w:tcBorders>
              <w:top w:val="single" w:sz="4" w:space="0" w:color="auto"/>
              <w:left w:val="single" w:sz="4" w:space="0" w:color="auto"/>
              <w:bottom w:val="single" w:sz="4" w:space="0" w:color="auto"/>
              <w:right w:val="single" w:sz="4" w:space="0" w:color="auto"/>
            </w:tcBorders>
            <w:vAlign w:val="center"/>
          </w:tcPr>
          <w:p w14:paraId="28829BB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20-30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359CC114" w14:textId="77777777" w:rsidR="00A320E6" w:rsidRDefault="00A320E6" w:rsidP="00AE0286">
            <w:pPr>
              <w:textAlignment w:val="center"/>
              <w:rPr>
                <w:rFonts w:ascii="宋体" w:hAnsi="宋体" w:cs="宋体"/>
                <w:color w:val="000000"/>
                <w:szCs w:val="21"/>
              </w:rPr>
            </w:pPr>
          </w:p>
        </w:tc>
      </w:tr>
      <w:tr w:rsidR="00A320E6" w14:paraId="189F364D"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1AD2E468"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7912C9E"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0769842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地径2-4</w:t>
            </w:r>
            <w:r>
              <w:rPr>
                <w:rStyle w:val="font01"/>
                <w:rFonts w:ascii="宋体" w:hAnsi="宋体" w:cs="宋体" w:hint="eastAsia"/>
                <w:sz w:val="21"/>
                <w:szCs w:val="21"/>
                <w:lang w:bidi="ar"/>
              </w:rPr>
              <w:t>㎝（不含</w:t>
            </w:r>
            <w:r>
              <w:rPr>
                <w:rFonts w:ascii="宋体" w:hAnsi="宋体" w:cs="宋体" w:hint="eastAsia"/>
                <w:color w:val="000000"/>
                <w:kern w:val="0"/>
                <w:szCs w:val="21"/>
                <w:lang w:bidi="ar"/>
              </w:rPr>
              <w:t>4cm</w:t>
            </w:r>
            <w:r>
              <w:rPr>
                <w:rStyle w:val="font01"/>
                <w:rFonts w:ascii="宋体" w:hAnsi="宋体" w:cs="宋体" w:hint="eastAsia"/>
                <w:sz w:val="21"/>
                <w:szCs w:val="21"/>
                <w:lang w:bidi="ar"/>
              </w:rPr>
              <w:t>）（地上</w:t>
            </w:r>
            <w:r>
              <w:rPr>
                <w:rFonts w:ascii="宋体" w:hAnsi="宋体" w:cs="宋体" w:hint="eastAsia"/>
                <w:color w:val="000000"/>
                <w:kern w:val="0"/>
                <w:szCs w:val="21"/>
                <w:lang w:bidi="ar"/>
              </w:rPr>
              <w:t>5cm</w:t>
            </w:r>
            <w:r>
              <w:rPr>
                <w:rStyle w:val="font01"/>
                <w:rFonts w:ascii="宋体" w:hAnsi="宋体" w:cs="宋体" w:hint="eastAsia"/>
                <w:sz w:val="21"/>
                <w:szCs w:val="21"/>
                <w:lang w:bidi="ar"/>
              </w:rPr>
              <w:t>处测量）</w:t>
            </w:r>
          </w:p>
        </w:tc>
        <w:tc>
          <w:tcPr>
            <w:tcW w:w="1998" w:type="dxa"/>
            <w:tcBorders>
              <w:top w:val="single" w:sz="4" w:space="0" w:color="auto"/>
              <w:left w:val="single" w:sz="4" w:space="0" w:color="auto"/>
              <w:bottom w:val="single" w:sz="4" w:space="0" w:color="auto"/>
              <w:right w:val="single" w:sz="4" w:space="0" w:color="auto"/>
            </w:tcBorders>
            <w:vAlign w:val="center"/>
          </w:tcPr>
          <w:p w14:paraId="75FF0B4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30-50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right w:val="single" w:sz="4" w:space="0" w:color="auto"/>
            </w:tcBorders>
            <w:vAlign w:val="center"/>
          </w:tcPr>
          <w:p w14:paraId="54609775" w14:textId="77777777" w:rsidR="00A320E6" w:rsidRDefault="00A320E6" w:rsidP="00AE0286">
            <w:pPr>
              <w:rPr>
                <w:rFonts w:ascii="宋体" w:hAnsi="宋体" w:cs="宋体"/>
                <w:color w:val="000000"/>
                <w:szCs w:val="21"/>
              </w:rPr>
            </w:pPr>
          </w:p>
        </w:tc>
      </w:tr>
      <w:tr w:rsidR="00A320E6" w14:paraId="4250F752"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2EF2F6CC" w14:textId="77777777" w:rsidR="00A320E6" w:rsidRDefault="00A320E6" w:rsidP="00AE0286">
            <w:pPr>
              <w:jc w:val="center"/>
              <w:rPr>
                <w:rFonts w:ascii="宋体" w:hAnsi="宋体" w:cs="宋体"/>
                <w:color w:val="000000"/>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39F2CD3F" w14:textId="77777777" w:rsidR="00A320E6" w:rsidRDefault="00A320E6" w:rsidP="00AE0286">
            <w:pPr>
              <w:jc w:val="center"/>
              <w:rPr>
                <w:rFonts w:ascii="宋体" w:hAnsi="宋体" w:cs="宋体"/>
                <w:color w:val="000000"/>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32B8BB4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地径4</w:t>
            </w:r>
            <w:r>
              <w:rPr>
                <w:rStyle w:val="font01"/>
                <w:rFonts w:ascii="宋体" w:hAnsi="宋体" w:cs="宋体" w:hint="eastAsia"/>
                <w:sz w:val="21"/>
                <w:szCs w:val="21"/>
                <w:lang w:bidi="ar"/>
              </w:rPr>
              <w:t>㎝以上（地上</w:t>
            </w:r>
            <w:r>
              <w:rPr>
                <w:rFonts w:ascii="宋体" w:hAnsi="宋体" w:cs="宋体" w:hint="eastAsia"/>
                <w:color w:val="000000"/>
                <w:kern w:val="0"/>
                <w:szCs w:val="21"/>
                <w:lang w:bidi="ar"/>
              </w:rPr>
              <w:t>5cm</w:t>
            </w:r>
            <w:r>
              <w:rPr>
                <w:rStyle w:val="font01"/>
                <w:rFonts w:ascii="宋体" w:hAnsi="宋体" w:cs="宋体" w:hint="eastAsia"/>
                <w:sz w:val="21"/>
                <w:szCs w:val="21"/>
                <w:lang w:bidi="ar"/>
              </w:rPr>
              <w:t>处测量）</w:t>
            </w:r>
          </w:p>
        </w:tc>
        <w:tc>
          <w:tcPr>
            <w:tcW w:w="1998" w:type="dxa"/>
            <w:tcBorders>
              <w:top w:val="single" w:sz="4" w:space="0" w:color="auto"/>
              <w:left w:val="single" w:sz="4" w:space="0" w:color="auto"/>
              <w:bottom w:val="single" w:sz="4" w:space="0" w:color="auto"/>
              <w:right w:val="single" w:sz="4" w:space="0" w:color="auto"/>
            </w:tcBorders>
            <w:vAlign w:val="center"/>
          </w:tcPr>
          <w:p w14:paraId="73F4B6D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50-80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棵</w:t>
            </w:r>
          </w:p>
        </w:tc>
        <w:tc>
          <w:tcPr>
            <w:tcW w:w="1907" w:type="dxa"/>
            <w:vMerge/>
            <w:tcBorders>
              <w:left w:val="single" w:sz="4" w:space="0" w:color="auto"/>
              <w:bottom w:val="single" w:sz="4" w:space="0" w:color="auto"/>
              <w:right w:val="single" w:sz="4" w:space="0" w:color="auto"/>
            </w:tcBorders>
            <w:vAlign w:val="center"/>
          </w:tcPr>
          <w:p w14:paraId="0E17CE45" w14:textId="77777777" w:rsidR="00A320E6" w:rsidRDefault="00A320E6" w:rsidP="00AE0286">
            <w:pPr>
              <w:rPr>
                <w:rFonts w:ascii="宋体" w:hAnsi="宋体" w:cs="宋体"/>
                <w:color w:val="000000"/>
                <w:szCs w:val="21"/>
              </w:rPr>
            </w:pPr>
          </w:p>
        </w:tc>
      </w:tr>
      <w:tr w:rsidR="00A320E6" w14:paraId="710514C6"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372CDED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766" w:type="dxa"/>
            <w:tcBorders>
              <w:top w:val="single" w:sz="4" w:space="0" w:color="auto"/>
              <w:left w:val="single" w:sz="4" w:space="0" w:color="auto"/>
              <w:bottom w:val="single" w:sz="4" w:space="0" w:color="auto"/>
              <w:right w:val="single" w:sz="4" w:space="0" w:color="auto"/>
            </w:tcBorders>
            <w:vAlign w:val="center"/>
          </w:tcPr>
          <w:p w14:paraId="4F6E37C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苗圃</w:t>
            </w:r>
          </w:p>
        </w:tc>
        <w:tc>
          <w:tcPr>
            <w:tcW w:w="3117" w:type="dxa"/>
            <w:tcBorders>
              <w:top w:val="single" w:sz="4" w:space="0" w:color="auto"/>
              <w:left w:val="single" w:sz="4" w:space="0" w:color="auto"/>
              <w:bottom w:val="single" w:sz="4" w:space="0" w:color="auto"/>
              <w:right w:val="single" w:sz="4" w:space="0" w:color="auto"/>
            </w:tcBorders>
            <w:vAlign w:val="center"/>
          </w:tcPr>
          <w:p w14:paraId="525E73F5" w14:textId="77777777" w:rsidR="00A320E6" w:rsidRDefault="00A320E6" w:rsidP="00AE0286">
            <w:pPr>
              <w:jc w:val="left"/>
              <w:rPr>
                <w:rFonts w:ascii="宋体" w:hAnsi="宋体" w:cs="宋体"/>
                <w:color w:val="000000"/>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0C934D5B"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6000-10000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tcBorders>
              <w:top w:val="single" w:sz="4" w:space="0" w:color="auto"/>
              <w:left w:val="single" w:sz="4" w:space="0" w:color="auto"/>
              <w:bottom w:val="single" w:sz="4" w:space="0" w:color="auto"/>
              <w:right w:val="single" w:sz="4" w:space="0" w:color="auto"/>
            </w:tcBorders>
            <w:vAlign w:val="center"/>
          </w:tcPr>
          <w:p w14:paraId="0A0B5D40"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药材地参照该标准</w:t>
            </w:r>
            <w:r>
              <w:rPr>
                <w:rStyle w:val="font01"/>
                <w:rFonts w:ascii="宋体" w:hAnsi="宋体" w:cs="宋体" w:hint="eastAsia"/>
                <w:sz w:val="21"/>
                <w:szCs w:val="21"/>
                <w:lang w:bidi="ar"/>
              </w:rPr>
              <w:t>。</w:t>
            </w:r>
          </w:p>
        </w:tc>
      </w:tr>
      <w:tr w:rsidR="00A320E6" w14:paraId="0B69E7C7"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6AFAD66E"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27</w:t>
            </w:r>
          </w:p>
        </w:tc>
        <w:tc>
          <w:tcPr>
            <w:tcW w:w="766" w:type="dxa"/>
            <w:tcBorders>
              <w:top w:val="single" w:sz="4" w:space="0" w:color="auto"/>
              <w:left w:val="single" w:sz="4" w:space="0" w:color="auto"/>
              <w:bottom w:val="single" w:sz="4" w:space="0" w:color="auto"/>
              <w:right w:val="single" w:sz="4" w:space="0" w:color="auto"/>
            </w:tcBorders>
            <w:vAlign w:val="center"/>
          </w:tcPr>
          <w:p w14:paraId="34012662"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蒜地</w:t>
            </w:r>
          </w:p>
        </w:tc>
        <w:tc>
          <w:tcPr>
            <w:tcW w:w="3117" w:type="dxa"/>
            <w:tcBorders>
              <w:top w:val="single" w:sz="4" w:space="0" w:color="auto"/>
              <w:left w:val="single" w:sz="4" w:space="0" w:color="auto"/>
              <w:bottom w:val="single" w:sz="4" w:space="0" w:color="auto"/>
              <w:right w:val="single" w:sz="4" w:space="0" w:color="auto"/>
            </w:tcBorders>
            <w:vAlign w:val="center"/>
          </w:tcPr>
          <w:p w14:paraId="2B2A5126" w14:textId="77777777" w:rsidR="00A320E6" w:rsidRDefault="00A320E6" w:rsidP="00AE0286">
            <w:pPr>
              <w:jc w:val="left"/>
              <w:rPr>
                <w:rFonts w:ascii="宋体" w:hAnsi="宋体" w:cs="宋体"/>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1177E69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6000-8000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val="restart"/>
            <w:tcBorders>
              <w:top w:val="single" w:sz="4" w:space="0" w:color="auto"/>
              <w:left w:val="single" w:sz="4" w:space="0" w:color="auto"/>
              <w:bottom w:val="single" w:sz="4" w:space="0" w:color="auto"/>
              <w:right w:val="single" w:sz="4" w:space="0" w:color="auto"/>
            </w:tcBorders>
            <w:vAlign w:val="center"/>
          </w:tcPr>
          <w:p w14:paraId="3FD5E2C8"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征地时已收获的茬子地，经核实确有农药、肥料等前期投入的，按种植普通粮食作物进行补偿。</w:t>
            </w:r>
          </w:p>
        </w:tc>
      </w:tr>
      <w:tr w:rsidR="00A320E6" w14:paraId="27CAA753" w14:textId="77777777" w:rsidTr="008B03FA">
        <w:trPr>
          <w:trHeight w:val="312"/>
        </w:trPr>
        <w:tc>
          <w:tcPr>
            <w:tcW w:w="649" w:type="dxa"/>
            <w:tcBorders>
              <w:top w:val="single" w:sz="4" w:space="0" w:color="auto"/>
              <w:left w:val="single" w:sz="4" w:space="0" w:color="auto"/>
              <w:bottom w:val="single" w:sz="4" w:space="0" w:color="auto"/>
              <w:right w:val="single" w:sz="4" w:space="0" w:color="auto"/>
            </w:tcBorders>
            <w:vAlign w:val="center"/>
          </w:tcPr>
          <w:p w14:paraId="78ED7DF4"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28</w:t>
            </w:r>
          </w:p>
        </w:tc>
        <w:tc>
          <w:tcPr>
            <w:tcW w:w="766" w:type="dxa"/>
            <w:tcBorders>
              <w:top w:val="single" w:sz="4" w:space="0" w:color="auto"/>
              <w:left w:val="single" w:sz="4" w:space="0" w:color="auto"/>
              <w:bottom w:val="single" w:sz="4" w:space="0" w:color="auto"/>
              <w:right w:val="single" w:sz="4" w:space="0" w:color="auto"/>
            </w:tcBorders>
            <w:vAlign w:val="center"/>
          </w:tcPr>
          <w:p w14:paraId="4A05F07A"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姜地</w:t>
            </w:r>
          </w:p>
        </w:tc>
        <w:tc>
          <w:tcPr>
            <w:tcW w:w="3117" w:type="dxa"/>
            <w:tcBorders>
              <w:top w:val="single" w:sz="4" w:space="0" w:color="auto"/>
              <w:left w:val="single" w:sz="4" w:space="0" w:color="auto"/>
              <w:bottom w:val="single" w:sz="4" w:space="0" w:color="auto"/>
              <w:right w:val="single" w:sz="4" w:space="0" w:color="auto"/>
            </w:tcBorders>
            <w:vAlign w:val="center"/>
          </w:tcPr>
          <w:p w14:paraId="60E75574" w14:textId="77777777" w:rsidR="00A320E6" w:rsidRDefault="00A320E6" w:rsidP="00AE0286">
            <w:pPr>
              <w:jc w:val="left"/>
              <w:rPr>
                <w:rFonts w:ascii="宋体" w:hAnsi="宋体" w:cs="宋体"/>
                <w:szCs w:val="21"/>
              </w:rPr>
            </w:pPr>
          </w:p>
        </w:tc>
        <w:tc>
          <w:tcPr>
            <w:tcW w:w="1998" w:type="dxa"/>
            <w:tcBorders>
              <w:top w:val="single" w:sz="4" w:space="0" w:color="auto"/>
              <w:left w:val="single" w:sz="4" w:space="0" w:color="auto"/>
              <w:bottom w:val="single" w:sz="4" w:space="0" w:color="auto"/>
              <w:right w:val="single" w:sz="4" w:space="0" w:color="auto"/>
            </w:tcBorders>
            <w:vAlign w:val="center"/>
          </w:tcPr>
          <w:p w14:paraId="25C63AE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9000-14000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p>
        </w:tc>
        <w:tc>
          <w:tcPr>
            <w:tcW w:w="1907" w:type="dxa"/>
            <w:vMerge/>
            <w:tcBorders>
              <w:top w:val="single" w:sz="4" w:space="0" w:color="auto"/>
              <w:left w:val="single" w:sz="4" w:space="0" w:color="auto"/>
              <w:bottom w:val="single" w:sz="4" w:space="0" w:color="auto"/>
              <w:right w:val="single" w:sz="4" w:space="0" w:color="auto"/>
            </w:tcBorders>
            <w:vAlign w:val="center"/>
          </w:tcPr>
          <w:p w14:paraId="40CD8741" w14:textId="77777777" w:rsidR="00A320E6" w:rsidRDefault="00A320E6" w:rsidP="00AE0286">
            <w:pPr>
              <w:rPr>
                <w:rFonts w:ascii="宋体" w:hAnsi="宋体" w:cs="宋体"/>
                <w:color w:val="000000"/>
                <w:szCs w:val="21"/>
              </w:rPr>
            </w:pPr>
          </w:p>
        </w:tc>
      </w:tr>
      <w:tr w:rsidR="00A320E6" w14:paraId="4923EF9D" w14:textId="77777777" w:rsidTr="008B03FA">
        <w:trPr>
          <w:trHeight w:val="31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2481E569"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29</w:t>
            </w:r>
          </w:p>
        </w:tc>
        <w:tc>
          <w:tcPr>
            <w:tcW w:w="766" w:type="dxa"/>
            <w:vMerge w:val="restart"/>
            <w:tcBorders>
              <w:top w:val="single" w:sz="4" w:space="0" w:color="auto"/>
              <w:left w:val="single" w:sz="4" w:space="0" w:color="auto"/>
              <w:bottom w:val="single" w:sz="4" w:space="0" w:color="auto"/>
              <w:right w:val="single" w:sz="4" w:space="0" w:color="auto"/>
            </w:tcBorders>
            <w:vAlign w:val="center"/>
          </w:tcPr>
          <w:p w14:paraId="264AA0D9"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青苗</w:t>
            </w:r>
          </w:p>
        </w:tc>
        <w:tc>
          <w:tcPr>
            <w:tcW w:w="3117" w:type="dxa"/>
            <w:tcBorders>
              <w:top w:val="single" w:sz="4" w:space="0" w:color="auto"/>
              <w:left w:val="single" w:sz="4" w:space="0" w:color="auto"/>
              <w:bottom w:val="single" w:sz="4" w:space="0" w:color="auto"/>
              <w:right w:val="single" w:sz="4" w:space="0" w:color="auto"/>
            </w:tcBorders>
            <w:vAlign w:val="center"/>
          </w:tcPr>
          <w:p w14:paraId="1809650C"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粮食作物（小麦、玉米）</w:t>
            </w:r>
          </w:p>
        </w:tc>
        <w:tc>
          <w:tcPr>
            <w:tcW w:w="1998" w:type="dxa"/>
            <w:tcBorders>
              <w:top w:val="single" w:sz="4" w:space="0" w:color="auto"/>
              <w:left w:val="single" w:sz="4" w:space="0" w:color="auto"/>
              <w:bottom w:val="single" w:sz="4" w:space="0" w:color="auto"/>
              <w:right w:val="single" w:sz="4" w:space="0" w:color="auto"/>
            </w:tcBorders>
            <w:vAlign w:val="center"/>
          </w:tcPr>
          <w:p w14:paraId="3B764A6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r>
              <w:rPr>
                <w:rFonts w:ascii="宋体" w:hAnsi="宋体" w:cs="宋体" w:hint="eastAsia"/>
                <w:color w:val="000000"/>
                <w:kern w:val="0"/>
                <w:szCs w:val="21"/>
                <w:lang w:bidi="ar"/>
              </w:rPr>
              <w:t>·</w:t>
            </w:r>
            <w:r>
              <w:rPr>
                <w:rStyle w:val="font01"/>
                <w:rFonts w:ascii="宋体" w:hAnsi="宋体" w:cs="宋体" w:hint="eastAsia"/>
                <w:sz w:val="21"/>
                <w:szCs w:val="21"/>
                <w:lang w:bidi="ar"/>
              </w:rPr>
              <w:t>季</w:t>
            </w:r>
          </w:p>
        </w:tc>
        <w:tc>
          <w:tcPr>
            <w:tcW w:w="1907" w:type="dxa"/>
            <w:tcBorders>
              <w:top w:val="single" w:sz="4" w:space="0" w:color="auto"/>
              <w:left w:val="single" w:sz="4" w:space="0" w:color="auto"/>
              <w:bottom w:val="single" w:sz="4" w:space="0" w:color="auto"/>
              <w:right w:val="single" w:sz="4" w:space="0" w:color="auto"/>
            </w:tcBorders>
            <w:vAlign w:val="center"/>
          </w:tcPr>
          <w:p w14:paraId="44108750"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其他粮食作物参照小麦、玉米标准</w:t>
            </w:r>
            <w:r>
              <w:rPr>
                <w:rStyle w:val="font01"/>
                <w:rFonts w:ascii="宋体" w:hAnsi="宋体" w:cs="宋体" w:hint="eastAsia"/>
                <w:sz w:val="21"/>
                <w:szCs w:val="21"/>
                <w:lang w:bidi="ar"/>
              </w:rPr>
              <w:t>。</w:t>
            </w:r>
          </w:p>
        </w:tc>
      </w:tr>
      <w:tr w:rsidR="00A320E6" w14:paraId="23292081" w14:textId="77777777" w:rsidTr="008B03FA">
        <w:trPr>
          <w:trHeight w:val="312"/>
        </w:trPr>
        <w:tc>
          <w:tcPr>
            <w:tcW w:w="649" w:type="dxa"/>
            <w:vMerge/>
            <w:tcBorders>
              <w:top w:val="single" w:sz="4" w:space="0" w:color="auto"/>
              <w:left w:val="single" w:sz="4" w:space="0" w:color="auto"/>
              <w:bottom w:val="single" w:sz="4" w:space="0" w:color="auto"/>
              <w:right w:val="single" w:sz="4" w:space="0" w:color="auto"/>
            </w:tcBorders>
            <w:vAlign w:val="center"/>
          </w:tcPr>
          <w:p w14:paraId="02AC34ED" w14:textId="77777777" w:rsidR="00A320E6" w:rsidRDefault="00A320E6" w:rsidP="00AE0286">
            <w:pPr>
              <w:jc w:val="center"/>
              <w:rPr>
                <w:rFonts w:ascii="宋体" w:hAnsi="宋体" w:cs="宋体"/>
                <w:szCs w:val="21"/>
              </w:rPr>
            </w:pPr>
          </w:p>
        </w:tc>
        <w:tc>
          <w:tcPr>
            <w:tcW w:w="766" w:type="dxa"/>
            <w:vMerge/>
            <w:tcBorders>
              <w:top w:val="single" w:sz="4" w:space="0" w:color="auto"/>
              <w:left w:val="single" w:sz="4" w:space="0" w:color="auto"/>
              <w:bottom w:val="single" w:sz="4" w:space="0" w:color="auto"/>
              <w:right w:val="single" w:sz="4" w:space="0" w:color="auto"/>
            </w:tcBorders>
            <w:vAlign w:val="center"/>
          </w:tcPr>
          <w:p w14:paraId="2377283D" w14:textId="77777777" w:rsidR="00A320E6" w:rsidRDefault="00A320E6" w:rsidP="00AE0286">
            <w:pPr>
              <w:jc w:val="center"/>
              <w:rPr>
                <w:rFonts w:ascii="宋体" w:hAnsi="宋体" w:cs="宋体"/>
                <w:szCs w:val="21"/>
              </w:rPr>
            </w:pPr>
          </w:p>
        </w:tc>
        <w:tc>
          <w:tcPr>
            <w:tcW w:w="3117" w:type="dxa"/>
            <w:tcBorders>
              <w:top w:val="single" w:sz="4" w:space="0" w:color="auto"/>
              <w:left w:val="single" w:sz="4" w:space="0" w:color="auto"/>
              <w:bottom w:val="single" w:sz="4" w:space="0" w:color="auto"/>
              <w:right w:val="single" w:sz="4" w:space="0" w:color="auto"/>
            </w:tcBorders>
            <w:vAlign w:val="center"/>
          </w:tcPr>
          <w:p w14:paraId="2D4F7239"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经济作物、蔬菜</w:t>
            </w:r>
          </w:p>
        </w:tc>
        <w:tc>
          <w:tcPr>
            <w:tcW w:w="1998" w:type="dxa"/>
            <w:tcBorders>
              <w:top w:val="single" w:sz="4" w:space="0" w:color="auto"/>
              <w:left w:val="single" w:sz="4" w:space="0" w:color="auto"/>
              <w:bottom w:val="single" w:sz="4" w:space="0" w:color="auto"/>
              <w:right w:val="single" w:sz="4" w:space="0" w:color="auto"/>
            </w:tcBorders>
            <w:vAlign w:val="center"/>
          </w:tcPr>
          <w:p w14:paraId="5BDDB8D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经济作物2400-3600</w:t>
            </w:r>
            <w:r>
              <w:rPr>
                <w:rStyle w:val="font01"/>
                <w:rFonts w:ascii="宋体" w:hAnsi="宋体" w:cs="宋体" w:hint="eastAsia"/>
                <w:sz w:val="21"/>
                <w:szCs w:val="21"/>
                <w:lang w:bidi="ar"/>
              </w:rPr>
              <w:t>元</w:t>
            </w:r>
            <w:r>
              <w:rPr>
                <w:rFonts w:ascii="宋体" w:hAnsi="宋体" w:cs="宋体" w:hint="eastAsia"/>
                <w:color w:val="000000"/>
                <w:kern w:val="0"/>
                <w:szCs w:val="21"/>
                <w:lang w:bidi="ar"/>
              </w:rPr>
              <w:t>/</w:t>
            </w:r>
            <w:r>
              <w:rPr>
                <w:rStyle w:val="font01"/>
                <w:rFonts w:ascii="宋体" w:hAnsi="宋体" w:cs="宋体" w:hint="eastAsia"/>
                <w:sz w:val="21"/>
                <w:szCs w:val="21"/>
                <w:lang w:bidi="ar"/>
              </w:rPr>
              <w:t>亩</w:t>
            </w:r>
            <w:r>
              <w:rPr>
                <w:rFonts w:ascii="宋体" w:hAnsi="宋体" w:cs="宋体" w:hint="eastAsia"/>
                <w:color w:val="000000"/>
                <w:kern w:val="0"/>
                <w:szCs w:val="21"/>
                <w:lang w:bidi="ar"/>
              </w:rPr>
              <w:t>·</w:t>
            </w:r>
            <w:r>
              <w:rPr>
                <w:rStyle w:val="font01"/>
                <w:rFonts w:ascii="宋体" w:hAnsi="宋体" w:cs="宋体" w:hint="eastAsia"/>
                <w:sz w:val="21"/>
                <w:szCs w:val="21"/>
                <w:lang w:bidi="ar"/>
              </w:rPr>
              <w:t>季</w:t>
            </w:r>
          </w:p>
        </w:tc>
        <w:tc>
          <w:tcPr>
            <w:tcW w:w="1907" w:type="dxa"/>
            <w:tcBorders>
              <w:top w:val="single" w:sz="4" w:space="0" w:color="auto"/>
              <w:left w:val="single" w:sz="4" w:space="0" w:color="auto"/>
              <w:bottom w:val="single" w:sz="4" w:space="0" w:color="auto"/>
              <w:right w:val="single" w:sz="4" w:space="0" w:color="auto"/>
            </w:tcBorders>
            <w:vAlign w:val="center"/>
          </w:tcPr>
          <w:p w14:paraId="64080809"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经济作物主要包括花生、烟叶、棉花、黄花菜、大豆等</w:t>
            </w:r>
            <w:r>
              <w:rPr>
                <w:rStyle w:val="font01"/>
                <w:rFonts w:ascii="宋体" w:hAnsi="宋体" w:cs="宋体" w:hint="eastAsia"/>
                <w:sz w:val="21"/>
                <w:szCs w:val="21"/>
                <w:lang w:bidi="ar"/>
              </w:rPr>
              <w:t>。</w:t>
            </w:r>
          </w:p>
        </w:tc>
      </w:tr>
    </w:tbl>
    <w:p w14:paraId="7BD0C987"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13D049F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1.其他未列出的地上附着物参照本标准中相近情况给予适当补偿；难以参照的或被补偿人不接受本补偿标准的地上附着物，可委托有资质的机构进行评估或认证，作为征地补偿依据。</w:t>
      </w:r>
    </w:p>
    <w:p w14:paraId="38B331D2"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2.自征收土地预公告发布之日起，抢种、抢栽的青苗和其他地上附着物，以及抢建的房屋等建（构）筑物不予补偿。</w:t>
      </w:r>
    </w:p>
    <w:p w14:paraId="4D8B26FF"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3.国家和省确定的铁路、公路、机场、航道港口、水利工程、能源工程等重大基础设施项目征收土地地面附着物和青苗补偿等标准另有规定的，从其规定。</w:t>
      </w:r>
    </w:p>
    <w:p w14:paraId="6E63D914"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济南市征地地上附着物和青苗补偿标准</w:t>
      </w:r>
    </w:p>
    <w:p w14:paraId="078BC94F"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（平阴县）</w:t>
      </w:r>
    </w:p>
    <w:tbl>
      <w:tblPr>
        <w:tblW w:w="88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768"/>
        <w:gridCol w:w="3557"/>
        <w:gridCol w:w="1821"/>
        <w:gridCol w:w="2032"/>
      </w:tblGrid>
      <w:tr w:rsidR="00A320E6" w14:paraId="752CF6C3" w14:textId="77777777" w:rsidTr="008B03FA">
        <w:trPr>
          <w:trHeight w:val="312"/>
          <w:tblHeader/>
        </w:trPr>
        <w:tc>
          <w:tcPr>
            <w:tcW w:w="650" w:type="dxa"/>
            <w:noWrap/>
            <w:vAlign w:val="center"/>
          </w:tcPr>
          <w:p w14:paraId="18B684B0" w14:textId="77777777" w:rsidR="00A320E6" w:rsidRDefault="00000000" w:rsidP="00AE0286">
            <w:pPr>
              <w:jc w:val="center"/>
              <w:textAlignment w:val="center"/>
              <w:rPr>
                <w:rFonts w:ascii="宋体" w:hAnsi="宋体" w:cs="宋体"/>
                <w:b/>
                <w:kern w:val="0"/>
                <w:szCs w:val="21"/>
              </w:rPr>
            </w:pPr>
            <w:bookmarkStart w:id="120" w:name="_Hlk500261717"/>
            <w:r>
              <w:rPr>
                <w:rFonts w:ascii="宋体" w:hAnsi="宋体" w:cs="宋体" w:hint="eastAsia"/>
                <w:b/>
                <w:bCs/>
                <w:color w:val="000000"/>
                <w:kern w:val="0"/>
                <w:szCs w:val="21"/>
                <w:lang w:bidi="ar"/>
              </w:rPr>
              <w:t>序号</w:t>
            </w:r>
          </w:p>
        </w:tc>
        <w:tc>
          <w:tcPr>
            <w:tcW w:w="768" w:type="dxa"/>
            <w:noWrap/>
            <w:vAlign w:val="center"/>
          </w:tcPr>
          <w:p w14:paraId="2D0D1520"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名称</w:t>
            </w:r>
          </w:p>
        </w:tc>
        <w:tc>
          <w:tcPr>
            <w:tcW w:w="3557" w:type="dxa"/>
            <w:noWrap/>
            <w:vAlign w:val="center"/>
          </w:tcPr>
          <w:p w14:paraId="69F04783"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类别规格</w:t>
            </w:r>
          </w:p>
        </w:tc>
        <w:tc>
          <w:tcPr>
            <w:tcW w:w="1821" w:type="dxa"/>
            <w:noWrap/>
            <w:vAlign w:val="center"/>
          </w:tcPr>
          <w:p w14:paraId="41F45318"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补偿标准</w:t>
            </w:r>
          </w:p>
        </w:tc>
        <w:tc>
          <w:tcPr>
            <w:tcW w:w="2032" w:type="dxa"/>
            <w:noWrap/>
            <w:vAlign w:val="center"/>
          </w:tcPr>
          <w:p w14:paraId="552485C7" w14:textId="77777777" w:rsidR="00A320E6" w:rsidRDefault="00000000" w:rsidP="00AE0286">
            <w:pPr>
              <w:jc w:val="center"/>
              <w:textAlignment w:val="center"/>
              <w:rPr>
                <w:rFonts w:ascii="宋体" w:hAnsi="宋体" w:cs="宋体"/>
                <w:b/>
                <w:kern w:val="0"/>
                <w:szCs w:val="21"/>
              </w:rPr>
            </w:pPr>
            <w:r>
              <w:rPr>
                <w:rFonts w:ascii="宋体" w:hAnsi="宋体" w:cs="宋体" w:hint="eastAsia"/>
                <w:b/>
                <w:bCs/>
                <w:color w:val="000000"/>
                <w:kern w:val="0"/>
                <w:szCs w:val="21"/>
                <w:lang w:bidi="ar"/>
              </w:rPr>
              <w:t>备注</w:t>
            </w:r>
          </w:p>
        </w:tc>
      </w:tr>
      <w:bookmarkEnd w:id="120"/>
      <w:tr w:rsidR="00A320E6" w14:paraId="4A6CE6CA" w14:textId="77777777" w:rsidTr="008B03FA">
        <w:trPr>
          <w:trHeight w:val="312"/>
        </w:trPr>
        <w:tc>
          <w:tcPr>
            <w:tcW w:w="650" w:type="dxa"/>
            <w:vMerge w:val="restart"/>
            <w:noWrap/>
            <w:vAlign w:val="center"/>
          </w:tcPr>
          <w:p w14:paraId="59037E0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68" w:type="dxa"/>
            <w:vMerge w:val="restart"/>
            <w:noWrap/>
            <w:vAlign w:val="center"/>
          </w:tcPr>
          <w:p w14:paraId="76063DEF"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房屋</w:t>
            </w:r>
          </w:p>
        </w:tc>
        <w:tc>
          <w:tcPr>
            <w:tcW w:w="3557" w:type="dxa"/>
            <w:noWrap/>
            <w:vAlign w:val="center"/>
          </w:tcPr>
          <w:p w14:paraId="6882FBE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钢混结构：主体承重为钢结构或砼结构，主要指框架结构的大跨度厂房或多层楼房。</w:t>
            </w:r>
          </w:p>
        </w:tc>
        <w:tc>
          <w:tcPr>
            <w:tcW w:w="1821" w:type="dxa"/>
            <w:noWrap/>
            <w:vAlign w:val="center"/>
          </w:tcPr>
          <w:p w14:paraId="04068CF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900－1100元/㎡</w:t>
            </w:r>
          </w:p>
        </w:tc>
        <w:tc>
          <w:tcPr>
            <w:tcW w:w="2032" w:type="dxa"/>
            <w:vMerge w:val="restart"/>
            <w:noWrap/>
            <w:vAlign w:val="center"/>
          </w:tcPr>
          <w:p w14:paraId="0A5B5EA4"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1．表中面积指建筑面积。2．旧料归原主。</w:t>
            </w:r>
          </w:p>
          <w:p w14:paraId="6E4A6ACE"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3．建筑正规的大门参照房屋结构套用补偿标准。</w:t>
            </w:r>
          </w:p>
          <w:p w14:paraId="37F047A3"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4．全封闭的前出厦按建筑面积的100％计算，有柱子未封闭的前出厦按建筑面积的50％计算。</w:t>
            </w:r>
          </w:p>
          <w:p w14:paraId="17F91A26"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5．对于房屋精装修的，建议引入市场评估。</w:t>
            </w:r>
          </w:p>
        </w:tc>
      </w:tr>
      <w:tr w:rsidR="00A320E6" w14:paraId="1D8DEE40" w14:textId="77777777" w:rsidTr="008B03FA">
        <w:trPr>
          <w:trHeight w:val="312"/>
        </w:trPr>
        <w:tc>
          <w:tcPr>
            <w:tcW w:w="650" w:type="dxa"/>
            <w:vMerge/>
            <w:noWrap/>
            <w:vAlign w:val="center"/>
          </w:tcPr>
          <w:p w14:paraId="4EDEBC0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1E15BC6" w14:textId="77777777" w:rsidR="00A320E6" w:rsidRDefault="00A320E6" w:rsidP="00AE0286">
            <w:pPr>
              <w:jc w:val="center"/>
              <w:rPr>
                <w:rFonts w:ascii="宋体" w:hAnsi="宋体" w:cs="宋体"/>
                <w:kern w:val="0"/>
                <w:szCs w:val="21"/>
              </w:rPr>
            </w:pPr>
          </w:p>
        </w:tc>
        <w:tc>
          <w:tcPr>
            <w:tcW w:w="3557" w:type="dxa"/>
            <w:noWrap/>
            <w:vAlign w:val="center"/>
          </w:tcPr>
          <w:p w14:paraId="4D8A89F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砖混结构（楼房）：砖墙承重，现浇或预制板保温防水屋面，水泥或其他硬化地面的楼房。</w:t>
            </w:r>
          </w:p>
        </w:tc>
        <w:tc>
          <w:tcPr>
            <w:tcW w:w="1821" w:type="dxa"/>
            <w:noWrap/>
            <w:vAlign w:val="center"/>
          </w:tcPr>
          <w:p w14:paraId="56DC2DD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700-900元/㎡</w:t>
            </w:r>
          </w:p>
        </w:tc>
        <w:tc>
          <w:tcPr>
            <w:tcW w:w="2032" w:type="dxa"/>
            <w:vMerge/>
            <w:noWrap/>
            <w:vAlign w:val="center"/>
          </w:tcPr>
          <w:p w14:paraId="57D83C4B" w14:textId="77777777" w:rsidR="00A320E6" w:rsidRDefault="00A320E6" w:rsidP="00AE0286">
            <w:pPr>
              <w:textAlignment w:val="center"/>
              <w:rPr>
                <w:rFonts w:ascii="宋体" w:hAnsi="宋体" w:cs="宋体"/>
                <w:kern w:val="0"/>
                <w:szCs w:val="21"/>
              </w:rPr>
            </w:pPr>
          </w:p>
        </w:tc>
      </w:tr>
      <w:tr w:rsidR="00A320E6" w14:paraId="7CB1EC68" w14:textId="77777777" w:rsidTr="008B03FA">
        <w:trPr>
          <w:trHeight w:val="312"/>
        </w:trPr>
        <w:tc>
          <w:tcPr>
            <w:tcW w:w="650" w:type="dxa"/>
            <w:vMerge/>
            <w:noWrap/>
            <w:vAlign w:val="center"/>
          </w:tcPr>
          <w:p w14:paraId="68F9E164"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548B8DB" w14:textId="77777777" w:rsidR="00A320E6" w:rsidRDefault="00A320E6" w:rsidP="00AE0286">
            <w:pPr>
              <w:jc w:val="center"/>
              <w:rPr>
                <w:rFonts w:ascii="宋体" w:hAnsi="宋体" w:cs="宋体"/>
                <w:kern w:val="0"/>
                <w:szCs w:val="21"/>
              </w:rPr>
            </w:pPr>
          </w:p>
        </w:tc>
        <w:tc>
          <w:tcPr>
            <w:tcW w:w="3557" w:type="dxa"/>
            <w:noWrap/>
            <w:vAlign w:val="center"/>
          </w:tcPr>
          <w:p w14:paraId="61E8893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砖混结构（平房）：砖墙承重，现浇或预制板保温防水屋面，水泥或其他硬化地面的平房，檐高不低于2.5米。</w:t>
            </w:r>
          </w:p>
        </w:tc>
        <w:tc>
          <w:tcPr>
            <w:tcW w:w="1821" w:type="dxa"/>
            <w:noWrap/>
            <w:vAlign w:val="center"/>
          </w:tcPr>
          <w:p w14:paraId="30E5E7A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450-600元/㎡</w:t>
            </w:r>
          </w:p>
        </w:tc>
        <w:tc>
          <w:tcPr>
            <w:tcW w:w="2032" w:type="dxa"/>
            <w:vMerge/>
            <w:noWrap/>
            <w:vAlign w:val="center"/>
          </w:tcPr>
          <w:p w14:paraId="7EF4496E" w14:textId="77777777" w:rsidR="00A320E6" w:rsidRDefault="00A320E6" w:rsidP="00AE0286">
            <w:pPr>
              <w:textAlignment w:val="center"/>
              <w:rPr>
                <w:rFonts w:ascii="宋体" w:hAnsi="宋体" w:cs="宋体"/>
                <w:kern w:val="0"/>
                <w:szCs w:val="21"/>
              </w:rPr>
            </w:pPr>
          </w:p>
        </w:tc>
      </w:tr>
      <w:tr w:rsidR="00A320E6" w14:paraId="76F2B7BE" w14:textId="77777777" w:rsidTr="008B03FA">
        <w:trPr>
          <w:trHeight w:val="312"/>
        </w:trPr>
        <w:tc>
          <w:tcPr>
            <w:tcW w:w="650" w:type="dxa"/>
            <w:vMerge/>
            <w:noWrap/>
            <w:vAlign w:val="center"/>
          </w:tcPr>
          <w:p w14:paraId="50C73DE7"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69EA4F5" w14:textId="77777777" w:rsidR="00A320E6" w:rsidRDefault="00A320E6" w:rsidP="00AE0286">
            <w:pPr>
              <w:jc w:val="center"/>
              <w:rPr>
                <w:rFonts w:ascii="宋体" w:hAnsi="宋体" w:cs="宋体"/>
                <w:kern w:val="0"/>
                <w:szCs w:val="21"/>
              </w:rPr>
            </w:pPr>
          </w:p>
        </w:tc>
        <w:tc>
          <w:tcPr>
            <w:tcW w:w="3557" w:type="dxa"/>
            <w:noWrap/>
            <w:vAlign w:val="center"/>
          </w:tcPr>
          <w:p w14:paraId="0F2AFCE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砖木结构（平房）：规则的石角，砖墙或石墙承重，符合规格的木屋架，木（预制）檩条，瓦屋面，外墙扦缝（抹灰），檐高不低于2.5米。</w:t>
            </w:r>
          </w:p>
        </w:tc>
        <w:tc>
          <w:tcPr>
            <w:tcW w:w="1821" w:type="dxa"/>
            <w:noWrap/>
            <w:vAlign w:val="center"/>
          </w:tcPr>
          <w:p w14:paraId="7F35291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450-500元/㎡</w:t>
            </w:r>
          </w:p>
        </w:tc>
        <w:tc>
          <w:tcPr>
            <w:tcW w:w="2032" w:type="dxa"/>
            <w:vMerge/>
            <w:noWrap/>
            <w:vAlign w:val="center"/>
          </w:tcPr>
          <w:p w14:paraId="35757ABF" w14:textId="77777777" w:rsidR="00A320E6" w:rsidRDefault="00A320E6" w:rsidP="00AE0286">
            <w:pPr>
              <w:textAlignment w:val="center"/>
              <w:rPr>
                <w:rFonts w:ascii="宋体" w:hAnsi="宋体" w:cs="宋体"/>
                <w:kern w:val="0"/>
                <w:szCs w:val="21"/>
              </w:rPr>
            </w:pPr>
          </w:p>
        </w:tc>
      </w:tr>
      <w:tr w:rsidR="00A320E6" w14:paraId="67F8877D" w14:textId="77777777" w:rsidTr="008B03FA">
        <w:trPr>
          <w:trHeight w:val="312"/>
        </w:trPr>
        <w:tc>
          <w:tcPr>
            <w:tcW w:w="650" w:type="dxa"/>
            <w:vMerge/>
            <w:noWrap/>
            <w:vAlign w:val="center"/>
          </w:tcPr>
          <w:p w14:paraId="587FE35E"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D4263FE" w14:textId="77777777" w:rsidR="00A320E6" w:rsidRDefault="00A320E6" w:rsidP="00AE0286">
            <w:pPr>
              <w:jc w:val="center"/>
              <w:rPr>
                <w:rFonts w:ascii="宋体" w:hAnsi="宋体" w:cs="宋体"/>
                <w:kern w:val="0"/>
                <w:szCs w:val="21"/>
              </w:rPr>
            </w:pPr>
          </w:p>
        </w:tc>
        <w:tc>
          <w:tcPr>
            <w:tcW w:w="3557" w:type="dxa"/>
            <w:noWrap/>
            <w:vAlign w:val="center"/>
          </w:tcPr>
          <w:p w14:paraId="3702CEC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彩钢板房:彩钢夹芯保温板、含基础、地面。</w:t>
            </w:r>
          </w:p>
        </w:tc>
        <w:tc>
          <w:tcPr>
            <w:tcW w:w="1821" w:type="dxa"/>
            <w:noWrap/>
            <w:vAlign w:val="center"/>
          </w:tcPr>
          <w:p w14:paraId="01C2A6E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300-450元/㎡</w:t>
            </w:r>
          </w:p>
        </w:tc>
        <w:tc>
          <w:tcPr>
            <w:tcW w:w="2032" w:type="dxa"/>
            <w:vMerge/>
            <w:noWrap/>
            <w:vAlign w:val="center"/>
          </w:tcPr>
          <w:p w14:paraId="23895E6F" w14:textId="77777777" w:rsidR="00A320E6" w:rsidRDefault="00A320E6" w:rsidP="00AE0286">
            <w:pPr>
              <w:rPr>
                <w:rFonts w:ascii="宋体" w:hAnsi="宋体" w:cs="宋体"/>
                <w:kern w:val="0"/>
                <w:szCs w:val="21"/>
              </w:rPr>
            </w:pPr>
          </w:p>
        </w:tc>
      </w:tr>
      <w:tr w:rsidR="00A320E6" w14:paraId="3A2DCFDA" w14:textId="77777777" w:rsidTr="008B03FA">
        <w:trPr>
          <w:trHeight w:val="312"/>
        </w:trPr>
        <w:tc>
          <w:tcPr>
            <w:tcW w:w="650" w:type="dxa"/>
            <w:vMerge/>
            <w:noWrap/>
            <w:vAlign w:val="center"/>
          </w:tcPr>
          <w:p w14:paraId="4472BBF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0A21913" w14:textId="77777777" w:rsidR="00A320E6" w:rsidRDefault="00A320E6" w:rsidP="00AE0286">
            <w:pPr>
              <w:jc w:val="center"/>
              <w:rPr>
                <w:rFonts w:ascii="宋体" w:hAnsi="宋体" w:cs="宋体"/>
                <w:kern w:val="0"/>
                <w:szCs w:val="21"/>
              </w:rPr>
            </w:pPr>
          </w:p>
        </w:tc>
        <w:tc>
          <w:tcPr>
            <w:tcW w:w="3557" w:type="dxa"/>
            <w:noWrap/>
            <w:vAlign w:val="center"/>
          </w:tcPr>
          <w:p w14:paraId="65A8AAA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简易结构：承重墙土坯、砖头、条砖混砌、碎石等，不规则木梁檩、瓦屋面，两面借墙或檐高低于2.5米。</w:t>
            </w:r>
          </w:p>
        </w:tc>
        <w:tc>
          <w:tcPr>
            <w:tcW w:w="1821" w:type="dxa"/>
            <w:noWrap/>
            <w:vAlign w:val="center"/>
          </w:tcPr>
          <w:p w14:paraId="12A847E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200-250元/㎡</w:t>
            </w:r>
          </w:p>
        </w:tc>
        <w:tc>
          <w:tcPr>
            <w:tcW w:w="2032" w:type="dxa"/>
            <w:vMerge/>
            <w:noWrap/>
            <w:vAlign w:val="center"/>
          </w:tcPr>
          <w:p w14:paraId="5CDA34F0" w14:textId="77777777" w:rsidR="00A320E6" w:rsidRDefault="00A320E6" w:rsidP="00AE0286">
            <w:pPr>
              <w:rPr>
                <w:rFonts w:ascii="宋体" w:hAnsi="宋体" w:cs="宋体"/>
                <w:kern w:val="0"/>
                <w:szCs w:val="21"/>
              </w:rPr>
            </w:pPr>
          </w:p>
        </w:tc>
      </w:tr>
      <w:tr w:rsidR="00A320E6" w14:paraId="3D071D3A" w14:textId="77777777" w:rsidTr="008B03FA">
        <w:trPr>
          <w:trHeight w:val="312"/>
        </w:trPr>
        <w:tc>
          <w:tcPr>
            <w:tcW w:w="650" w:type="dxa"/>
            <w:vMerge w:val="restart"/>
            <w:noWrap/>
            <w:vAlign w:val="center"/>
          </w:tcPr>
          <w:p w14:paraId="0A8BB0E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68" w:type="dxa"/>
            <w:vMerge w:val="restart"/>
            <w:noWrap/>
            <w:vAlign w:val="center"/>
          </w:tcPr>
          <w:p w14:paraId="2C0EEF3B"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围墙</w:t>
            </w:r>
          </w:p>
        </w:tc>
        <w:tc>
          <w:tcPr>
            <w:tcW w:w="3557" w:type="dxa"/>
            <w:noWrap/>
            <w:vAlign w:val="center"/>
          </w:tcPr>
          <w:p w14:paraId="53FC655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砖基础铁栅围墙2m以上</w:t>
            </w:r>
          </w:p>
        </w:tc>
        <w:tc>
          <w:tcPr>
            <w:tcW w:w="1821" w:type="dxa"/>
            <w:noWrap/>
            <w:vAlign w:val="center"/>
          </w:tcPr>
          <w:p w14:paraId="14C8188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150-200元/m</w:t>
            </w:r>
          </w:p>
        </w:tc>
        <w:tc>
          <w:tcPr>
            <w:tcW w:w="2032" w:type="dxa"/>
            <w:vMerge w:val="restart"/>
            <w:noWrap/>
            <w:vAlign w:val="center"/>
          </w:tcPr>
          <w:p w14:paraId="5B6140FD"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3EE07A75" w14:textId="77777777" w:rsidTr="008B03FA">
        <w:trPr>
          <w:trHeight w:val="312"/>
        </w:trPr>
        <w:tc>
          <w:tcPr>
            <w:tcW w:w="650" w:type="dxa"/>
            <w:vMerge/>
            <w:noWrap/>
            <w:vAlign w:val="center"/>
          </w:tcPr>
          <w:p w14:paraId="54F90273"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FDFE172" w14:textId="77777777" w:rsidR="00A320E6" w:rsidRDefault="00A320E6" w:rsidP="00AE0286">
            <w:pPr>
              <w:jc w:val="center"/>
              <w:rPr>
                <w:rFonts w:ascii="宋体" w:hAnsi="宋体" w:cs="宋体"/>
                <w:kern w:val="0"/>
                <w:szCs w:val="21"/>
              </w:rPr>
            </w:pPr>
          </w:p>
        </w:tc>
        <w:tc>
          <w:tcPr>
            <w:tcW w:w="3557" w:type="dxa"/>
            <w:noWrap/>
            <w:vAlign w:val="center"/>
          </w:tcPr>
          <w:p w14:paraId="7AD8D34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乱石基砖墙高2.5m以上</w:t>
            </w:r>
          </w:p>
        </w:tc>
        <w:tc>
          <w:tcPr>
            <w:tcW w:w="1821" w:type="dxa"/>
            <w:noWrap/>
            <w:vAlign w:val="center"/>
          </w:tcPr>
          <w:p w14:paraId="6B2EA7E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120-150元/m</w:t>
            </w:r>
          </w:p>
        </w:tc>
        <w:tc>
          <w:tcPr>
            <w:tcW w:w="2032" w:type="dxa"/>
            <w:vMerge/>
            <w:noWrap/>
            <w:vAlign w:val="center"/>
          </w:tcPr>
          <w:p w14:paraId="77EC4A04" w14:textId="77777777" w:rsidR="00A320E6" w:rsidRDefault="00A320E6" w:rsidP="00AE0286">
            <w:pPr>
              <w:rPr>
                <w:rFonts w:ascii="宋体" w:hAnsi="宋体" w:cs="宋体"/>
                <w:kern w:val="0"/>
                <w:szCs w:val="21"/>
              </w:rPr>
            </w:pPr>
          </w:p>
        </w:tc>
      </w:tr>
      <w:tr w:rsidR="00A320E6" w14:paraId="6999DC16" w14:textId="77777777" w:rsidTr="008B03FA">
        <w:trPr>
          <w:trHeight w:val="312"/>
        </w:trPr>
        <w:tc>
          <w:tcPr>
            <w:tcW w:w="650" w:type="dxa"/>
            <w:vMerge/>
            <w:noWrap/>
            <w:vAlign w:val="center"/>
          </w:tcPr>
          <w:p w14:paraId="44C6AFD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554ED67" w14:textId="77777777" w:rsidR="00A320E6" w:rsidRDefault="00A320E6" w:rsidP="00AE0286">
            <w:pPr>
              <w:jc w:val="center"/>
              <w:rPr>
                <w:rFonts w:ascii="宋体" w:hAnsi="宋体" w:cs="宋体"/>
                <w:kern w:val="0"/>
                <w:szCs w:val="21"/>
              </w:rPr>
            </w:pPr>
          </w:p>
        </w:tc>
        <w:tc>
          <w:tcPr>
            <w:tcW w:w="3557" w:type="dxa"/>
            <w:noWrap/>
            <w:vAlign w:val="center"/>
          </w:tcPr>
          <w:p w14:paraId="76244C8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乱石基砖墙高2-2.5m</w:t>
            </w:r>
          </w:p>
        </w:tc>
        <w:tc>
          <w:tcPr>
            <w:tcW w:w="1821" w:type="dxa"/>
            <w:noWrap/>
            <w:vAlign w:val="center"/>
          </w:tcPr>
          <w:p w14:paraId="6998B52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100-130元/m</w:t>
            </w:r>
          </w:p>
        </w:tc>
        <w:tc>
          <w:tcPr>
            <w:tcW w:w="2032" w:type="dxa"/>
            <w:vMerge/>
            <w:noWrap/>
            <w:vAlign w:val="center"/>
          </w:tcPr>
          <w:p w14:paraId="226A7867" w14:textId="77777777" w:rsidR="00A320E6" w:rsidRDefault="00A320E6" w:rsidP="00AE0286">
            <w:pPr>
              <w:rPr>
                <w:rFonts w:ascii="宋体" w:hAnsi="宋体" w:cs="宋体"/>
                <w:kern w:val="0"/>
                <w:szCs w:val="21"/>
              </w:rPr>
            </w:pPr>
          </w:p>
        </w:tc>
      </w:tr>
      <w:tr w:rsidR="00A320E6" w14:paraId="63DB26DE" w14:textId="77777777" w:rsidTr="008B03FA">
        <w:trPr>
          <w:trHeight w:val="312"/>
        </w:trPr>
        <w:tc>
          <w:tcPr>
            <w:tcW w:w="650" w:type="dxa"/>
            <w:vMerge/>
            <w:noWrap/>
            <w:vAlign w:val="center"/>
          </w:tcPr>
          <w:p w14:paraId="4E9D1B92"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C37993C" w14:textId="77777777" w:rsidR="00A320E6" w:rsidRDefault="00A320E6" w:rsidP="00AE0286">
            <w:pPr>
              <w:jc w:val="center"/>
              <w:rPr>
                <w:rFonts w:ascii="宋体" w:hAnsi="宋体" w:cs="宋体"/>
                <w:kern w:val="0"/>
                <w:szCs w:val="21"/>
              </w:rPr>
            </w:pPr>
          </w:p>
        </w:tc>
        <w:tc>
          <w:tcPr>
            <w:tcW w:w="3557" w:type="dxa"/>
            <w:noWrap/>
            <w:vAlign w:val="center"/>
          </w:tcPr>
          <w:p w14:paraId="7BFE93E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乱石基砖墙高1-2m</w:t>
            </w:r>
          </w:p>
        </w:tc>
        <w:tc>
          <w:tcPr>
            <w:tcW w:w="1821" w:type="dxa"/>
            <w:noWrap/>
            <w:vAlign w:val="center"/>
          </w:tcPr>
          <w:p w14:paraId="707CB73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90-120元/m</w:t>
            </w:r>
          </w:p>
        </w:tc>
        <w:tc>
          <w:tcPr>
            <w:tcW w:w="2032" w:type="dxa"/>
            <w:vMerge/>
            <w:noWrap/>
            <w:vAlign w:val="center"/>
          </w:tcPr>
          <w:p w14:paraId="7B8CCE81" w14:textId="77777777" w:rsidR="00A320E6" w:rsidRDefault="00A320E6" w:rsidP="00AE0286">
            <w:pPr>
              <w:rPr>
                <w:rFonts w:ascii="宋体" w:hAnsi="宋体" w:cs="宋体"/>
                <w:kern w:val="0"/>
                <w:szCs w:val="21"/>
              </w:rPr>
            </w:pPr>
          </w:p>
        </w:tc>
      </w:tr>
      <w:tr w:rsidR="00A320E6" w14:paraId="46E9472A" w14:textId="77777777" w:rsidTr="008B03FA">
        <w:trPr>
          <w:trHeight w:val="312"/>
        </w:trPr>
        <w:tc>
          <w:tcPr>
            <w:tcW w:w="650" w:type="dxa"/>
            <w:vMerge/>
            <w:noWrap/>
            <w:vAlign w:val="center"/>
          </w:tcPr>
          <w:p w14:paraId="696F042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2FFA037" w14:textId="77777777" w:rsidR="00A320E6" w:rsidRDefault="00A320E6" w:rsidP="00AE0286">
            <w:pPr>
              <w:jc w:val="center"/>
              <w:rPr>
                <w:rFonts w:ascii="宋体" w:hAnsi="宋体" w:cs="宋体"/>
                <w:kern w:val="0"/>
                <w:szCs w:val="21"/>
              </w:rPr>
            </w:pPr>
          </w:p>
        </w:tc>
        <w:tc>
          <w:tcPr>
            <w:tcW w:w="3557" w:type="dxa"/>
            <w:noWrap/>
            <w:vAlign w:val="center"/>
          </w:tcPr>
          <w:p w14:paraId="03B2397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乱石基土坯墙高1.5-2.5m</w:t>
            </w:r>
          </w:p>
        </w:tc>
        <w:tc>
          <w:tcPr>
            <w:tcW w:w="1821" w:type="dxa"/>
            <w:noWrap/>
            <w:vAlign w:val="center"/>
          </w:tcPr>
          <w:p w14:paraId="6753821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60-70元/m</w:t>
            </w:r>
          </w:p>
        </w:tc>
        <w:tc>
          <w:tcPr>
            <w:tcW w:w="2032" w:type="dxa"/>
            <w:vMerge/>
            <w:noWrap/>
            <w:vAlign w:val="center"/>
          </w:tcPr>
          <w:p w14:paraId="09B3845B" w14:textId="77777777" w:rsidR="00A320E6" w:rsidRDefault="00A320E6" w:rsidP="00AE0286">
            <w:pPr>
              <w:rPr>
                <w:rFonts w:ascii="宋体" w:hAnsi="宋体" w:cs="宋体"/>
                <w:kern w:val="0"/>
                <w:szCs w:val="21"/>
              </w:rPr>
            </w:pPr>
          </w:p>
        </w:tc>
      </w:tr>
      <w:tr w:rsidR="00A320E6" w14:paraId="67B1D8AC" w14:textId="77777777" w:rsidTr="008B03FA">
        <w:trPr>
          <w:trHeight w:val="312"/>
        </w:trPr>
        <w:tc>
          <w:tcPr>
            <w:tcW w:w="650" w:type="dxa"/>
            <w:vMerge w:val="restart"/>
            <w:noWrap/>
            <w:vAlign w:val="center"/>
          </w:tcPr>
          <w:p w14:paraId="7E5BE14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68" w:type="dxa"/>
            <w:vMerge w:val="restart"/>
            <w:noWrap/>
            <w:vAlign w:val="center"/>
          </w:tcPr>
          <w:p w14:paraId="25DD9A5D"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畜禽舍</w:t>
            </w:r>
          </w:p>
        </w:tc>
        <w:tc>
          <w:tcPr>
            <w:tcW w:w="3557" w:type="dxa"/>
            <w:noWrap/>
            <w:vAlign w:val="center"/>
          </w:tcPr>
          <w:p w14:paraId="41779F2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砖混结构</w:t>
            </w:r>
          </w:p>
        </w:tc>
        <w:tc>
          <w:tcPr>
            <w:tcW w:w="1821" w:type="dxa"/>
            <w:noWrap/>
            <w:vAlign w:val="center"/>
          </w:tcPr>
          <w:p w14:paraId="25216BF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80-240元/㎡</w:t>
            </w:r>
          </w:p>
        </w:tc>
        <w:tc>
          <w:tcPr>
            <w:tcW w:w="2032" w:type="dxa"/>
            <w:vMerge w:val="restart"/>
            <w:noWrap/>
            <w:vAlign w:val="center"/>
          </w:tcPr>
          <w:p w14:paraId="0E36CF0D"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旧料归原主。</w:t>
            </w:r>
          </w:p>
        </w:tc>
      </w:tr>
      <w:tr w:rsidR="00A320E6" w14:paraId="6A986D24" w14:textId="77777777" w:rsidTr="008B03FA">
        <w:trPr>
          <w:trHeight w:val="312"/>
        </w:trPr>
        <w:tc>
          <w:tcPr>
            <w:tcW w:w="650" w:type="dxa"/>
            <w:vMerge/>
            <w:noWrap/>
            <w:vAlign w:val="center"/>
          </w:tcPr>
          <w:p w14:paraId="2CD22C1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5F2D7AF" w14:textId="77777777" w:rsidR="00A320E6" w:rsidRDefault="00A320E6" w:rsidP="00AE0286">
            <w:pPr>
              <w:jc w:val="center"/>
              <w:rPr>
                <w:rFonts w:ascii="宋体" w:hAnsi="宋体" w:cs="宋体"/>
                <w:kern w:val="0"/>
                <w:szCs w:val="21"/>
              </w:rPr>
            </w:pPr>
          </w:p>
        </w:tc>
        <w:tc>
          <w:tcPr>
            <w:tcW w:w="3557" w:type="dxa"/>
            <w:noWrap/>
            <w:vAlign w:val="center"/>
          </w:tcPr>
          <w:p w14:paraId="2049202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简易结构</w:t>
            </w:r>
          </w:p>
        </w:tc>
        <w:tc>
          <w:tcPr>
            <w:tcW w:w="1821" w:type="dxa"/>
            <w:noWrap/>
            <w:vAlign w:val="center"/>
          </w:tcPr>
          <w:p w14:paraId="306442C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60-90元/㎡</w:t>
            </w:r>
          </w:p>
        </w:tc>
        <w:tc>
          <w:tcPr>
            <w:tcW w:w="2032" w:type="dxa"/>
            <w:vMerge/>
            <w:noWrap/>
            <w:vAlign w:val="center"/>
          </w:tcPr>
          <w:p w14:paraId="1161A8E1" w14:textId="77777777" w:rsidR="00A320E6" w:rsidRDefault="00A320E6" w:rsidP="00AE0286">
            <w:pPr>
              <w:rPr>
                <w:rFonts w:ascii="宋体" w:hAnsi="宋体" w:cs="宋体"/>
                <w:kern w:val="0"/>
                <w:szCs w:val="21"/>
              </w:rPr>
            </w:pPr>
          </w:p>
        </w:tc>
      </w:tr>
      <w:tr w:rsidR="00A320E6" w14:paraId="30552C1B" w14:textId="77777777" w:rsidTr="008B03FA">
        <w:trPr>
          <w:trHeight w:val="312"/>
        </w:trPr>
        <w:tc>
          <w:tcPr>
            <w:tcW w:w="650" w:type="dxa"/>
            <w:noWrap/>
            <w:vAlign w:val="center"/>
          </w:tcPr>
          <w:p w14:paraId="74A0012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w:t>
            </w:r>
          </w:p>
        </w:tc>
        <w:tc>
          <w:tcPr>
            <w:tcW w:w="768" w:type="dxa"/>
            <w:noWrap/>
            <w:vAlign w:val="center"/>
          </w:tcPr>
          <w:p w14:paraId="39581CEA"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迁坟</w:t>
            </w:r>
          </w:p>
        </w:tc>
        <w:tc>
          <w:tcPr>
            <w:tcW w:w="3557" w:type="dxa"/>
            <w:noWrap/>
            <w:vAlign w:val="center"/>
          </w:tcPr>
          <w:p w14:paraId="045A134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棺木、拾骨、骨灰盒</w:t>
            </w:r>
          </w:p>
        </w:tc>
        <w:tc>
          <w:tcPr>
            <w:tcW w:w="1821" w:type="dxa"/>
            <w:noWrap/>
            <w:vAlign w:val="center"/>
          </w:tcPr>
          <w:p w14:paraId="0EA15AB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1600-2000元/座</w:t>
            </w:r>
          </w:p>
        </w:tc>
        <w:tc>
          <w:tcPr>
            <w:tcW w:w="2032" w:type="dxa"/>
            <w:noWrap/>
            <w:vAlign w:val="center"/>
          </w:tcPr>
          <w:p w14:paraId="5F21D780"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少数民族按其殡葬习惯和特点补偿标准可以在上浮100%的范围内协商议定。</w:t>
            </w:r>
          </w:p>
        </w:tc>
      </w:tr>
      <w:tr w:rsidR="00A320E6" w14:paraId="018914D2" w14:textId="77777777" w:rsidTr="008B03FA">
        <w:trPr>
          <w:trHeight w:val="312"/>
        </w:trPr>
        <w:tc>
          <w:tcPr>
            <w:tcW w:w="650" w:type="dxa"/>
            <w:vMerge w:val="restart"/>
            <w:noWrap/>
            <w:vAlign w:val="center"/>
          </w:tcPr>
          <w:p w14:paraId="4E89E32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768" w:type="dxa"/>
            <w:vMerge w:val="restart"/>
            <w:noWrap/>
            <w:vAlign w:val="center"/>
          </w:tcPr>
          <w:p w14:paraId="1ADBEC6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温室</w:t>
            </w:r>
          </w:p>
        </w:tc>
        <w:tc>
          <w:tcPr>
            <w:tcW w:w="3557" w:type="dxa"/>
            <w:noWrap/>
            <w:vAlign w:val="center"/>
          </w:tcPr>
          <w:p w14:paraId="02088C0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钢、砼骨架、玻璃顶</w:t>
            </w:r>
          </w:p>
        </w:tc>
        <w:tc>
          <w:tcPr>
            <w:tcW w:w="1821" w:type="dxa"/>
            <w:noWrap/>
            <w:vAlign w:val="center"/>
          </w:tcPr>
          <w:p w14:paraId="1CF097E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90-120元/㎡</w:t>
            </w:r>
          </w:p>
        </w:tc>
        <w:tc>
          <w:tcPr>
            <w:tcW w:w="2032" w:type="dxa"/>
            <w:vMerge w:val="restart"/>
            <w:noWrap/>
            <w:vAlign w:val="center"/>
          </w:tcPr>
          <w:p w14:paraId="5500249A"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旧料归原主（按占地面积计算）。</w:t>
            </w:r>
          </w:p>
        </w:tc>
      </w:tr>
      <w:tr w:rsidR="00A320E6" w14:paraId="0E9F7BBF" w14:textId="77777777" w:rsidTr="008B03FA">
        <w:trPr>
          <w:trHeight w:val="312"/>
        </w:trPr>
        <w:tc>
          <w:tcPr>
            <w:tcW w:w="650" w:type="dxa"/>
            <w:vMerge/>
            <w:noWrap/>
            <w:vAlign w:val="center"/>
          </w:tcPr>
          <w:p w14:paraId="02F06CD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C8C68EB" w14:textId="77777777" w:rsidR="00A320E6" w:rsidRDefault="00A320E6" w:rsidP="00AE0286">
            <w:pPr>
              <w:jc w:val="center"/>
              <w:rPr>
                <w:rFonts w:ascii="宋体" w:hAnsi="宋体" w:cs="宋体"/>
                <w:kern w:val="0"/>
                <w:szCs w:val="21"/>
              </w:rPr>
            </w:pPr>
          </w:p>
        </w:tc>
        <w:tc>
          <w:tcPr>
            <w:tcW w:w="3557" w:type="dxa"/>
            <w:noWrap/>
            <w:vAlign w:val="center"/>
          </w:tcPr>
          <w:p w14:paraId="11A1EB8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钢、砼骨架、塑料薄膜棚顶</w:t>
            </w:r>
          </w:p>
        </w:tc>
        <w:tc>
          <w:tcPr>
            <w:tcW w:w="1821" w:type="dxa"/>
            <w:noWrap/>
            <w:vAlign w:val="center"/>
          </w:tcPr>
          <w:p w14:paraId="0BD577B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60-70元/㎡</w:t>
            </w:r>
          </w:p>
        </w:tc>
        <w:tc>
          <w:tcPr>
            <w:tcW w:w="2032" w:type="dxa"/>
            <w:vMerge/>
            <w:noWrap/>
            <w:vAlign w:val="center"/>
          </w:tcPr>
          <w:p w14:paraId="175E102E" w14:textId="77777777" w:rsidR="00A320E6" w:rsidRDefault="00A320E6" w:rsidP="00AE0286">
            <w:pPr>
              <w:rPr>
                <w:rFonts w:ascii="宋体" w:hAnsi="宋体" w:cs="宋体"/>
                <w:kern w:val="0"/>
                <w:szCs w:val="21"/>
              </w:rPr>
            </w:pPr>
          </w:p>
        </w:tc>
      </w:tr>
      <w:tr w:rsidR="00A320E6" w14:paraId="7B231D3E" w14:textId="77777777" w:rsidTr="008B03FA">
        <w:trPr>
          <w:trHeight w:val="312"/>
        </w:trPr>
        <w:tc>
          <w:tcPr>
            <w:tcW w:w="650" w:type="dxa"/>
            <w:vMerge/>
            <w:noWrap/>
            <w:vAlign w:val="center"/>
          </w:tcPr>
          <w:p w14:paraId="175B095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A82C007" w14:textId="77777777" w:rsidR="00A320E6" w:rsidRDefault="00A320E6" w:rsidP="00AE0286">
            <w:pPr>
              <w:jc w:val="center"/>
              <w:rPr>
                <w:rFonts w:ascii="宋体" w:hAnsi="宋体" w:cs="宋体"/>
                <w:kern w:val="0"/>
                <w:szCs w:val="21"/>
              </w:rPr>
            </w:pPr>
          </w:p>
        </w:tc>
        <w:tc>
          <w:tcPr>
            <w:tcW w:w="3557" w:type="dxa"/>
            <w:noWrap/>
            <w:vAlign w:val="center"/>
          </w:tcPr>
          <w:p w14:paraId="250D897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简易塑料薄膜棚顶</w:t>
            </w:r>
          </w:p>
        </w:tc>
        <w:tc>
          <w:tcPr>
            <w:tcW w:w="1821" w:type="dxa"/>
            <w:noWrap/>
            <w:vAlign w:val="center"/>
          </w:tcPr>
          <w:p w14:paraId="135F413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30-40元/㎡</w:t>
            </w:r>
          </w:p>
        </w:tc>
        <w:tc>
          <w:tcPr>
            <w:tcW w:w="2032" w:type="dxa"/>
            <w:vMerge/>
            <w:noWrap/>
            <w:vAlign w:val="center"/>
          </w:tcPr>
          <w:p w14:paraId="4854E006" w14:textId="77777777" w:rsidR="00A320E6" w:rsidRDefault="00A320E6" w:rsidP="00AE0286">
            <w:pPr>
              <w:rPr>
                <w:rFonts w:ascii="宋体" w:hAnsi="宋体" w:cs="宋体"/>
                <w:kern w:val="0"/>
                <w:szCs w:val="21"/>
              </w:rPr>
            </w:pPr>
          </w:p>
        </w:tc>
      </w:tr>
      <w:tr w:rsidR="00A320E6" w14:paraId="177F4A64" w14:textId="77777777" w:rsidTr="008B03FA">
        <w:trPr>
          <w:trHeight w:val="312"/>
        </w:trPr>
        <w:tc>
          <w:tcPr>
            <w:tcW w:w="650" w:type="dxa"/>
            <w:vMerge w:val="restart"/>
            <w:noWrap/>
            <w:vAlign w:val="center"/>
          </w:tcPr>
          <w:p w14:paraId="0D25D64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w:t>
            </w:r>
          </w:p>
        </w:tc>
        <w:tc>
          <w:tcPr>
            <w:tcW w:w="768" w:type="dxa"/>
            <w:vMerge w:val="restart"/>
            <w:noWrap/>
            <w:vAlign w:val="center"/>
          </w:tcPr>
          <w:p w14:paraId="7F9A13EB"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小桥</w:t>
            </w:r>
          </w:p>
        </w:tc>
        <w:tc>
          <w:tcPr>
            <w:tcW w:w="3557" w:type="dxa"/>
            <w:noWrap/>
            <w:vAlign w:val="center"/>
          </w:tcPr>
          <w:p w14:paraId="54FB0C1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钢筋混凝土矩形板桥</w:t>
            </w:r>
          </w:p>
        </w:tc>
        <w:tc>
          <w:tcPr>
            <w:tcW w:w="1821" w:type="dxa"/>
            <w:noWrap/>
            <w:vAlign w:val="center"/>
          </w:tcPr>
          <w:p w14:paraId="3E0ABF0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1400-1800元/㎡</w:t>
            </w:r>
          </w:p>
        </w:tc>
        <w:tc>
          <w:tcPr>
            <w:tcW w:w="2032" w:type="dxa"/>
            <w:vMerge w:val="restart"/>
            <w:noWrap/>
            <w:vAlign w:val="center"/>
          </w:tcPr>
          <w:p w14:paraId="3D4EEA4C"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按桥面面积计算。</w:t>
            </w:r>
          </w:p>
        </w:tc>
      </w:tr>
      <w:tr w:rsidR="00A320E6" w14:paraId="27624107" w14:textId="77777777" w:rsidTr="008B03FA">
        <w:trPr>
          <w:trHeight w:val="312"/>
        </w:trPr>
        <w:tc>
          <w:tcPr>
            <w:tcW w:w="650" w:type="dxa"/>
            <w:vMerge/>
            <w:noWrap/>
            <w:vAlign w:val="center"/>
          </w:tcPr>
          <w:p w14:paraId="09559D92"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48AA934" w14:textId="77777777" w:rsidR="00A320E6" w:rsidRDefault="00A320E6" w:rsidP="00AE0286">
            <w:pPr>
              <w:jc w:val="center"/>
              <w:rPr>
                <w:rFonts w:ascii="宋体" w:hAnsi="宋体" w:cs="宋体"/>
                <w:kern w:val="0"/>
                <w:szCs w:val="21"/>
              </w:rPr>
            </w:pPr>
          </w:p>
        </w:tc>
        <w:tc>
          <w:tcPr>
            <w:tcW w:w="3557" w:type="dxa"/>
            <w:noWrap/>
            <w:vAlign w:val="center"/>
          </w:tcPr>
          <w:p w14:paraId="468A0E7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平坦石拱桥</w:t>
            </w:r>
          </w:p>
        </w:tc>
        <w:tc>
          <w:tcPr>
            <w:tcW w:w="1821" w:type="dxa"/>
            <w:noWrap/>
            <w:vAlign w:val="center"/>
          </w:tcPr>
          <w:p w14:paraId="3959347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1200-1600元/㎡</w:t>
            </w:r>
          </w:p>
        </w:tc>
        <w:tc>
          <w:tcPr>
            <w:tcW w:w="2032" w:type="dxa"/>
            <w:vMerge/>
            <w:noWrap/>
            <w:vAlign w:val="center"/>
          </w:tcPr>
          <w:p w14:paraId="2E3E4ED0" w14:textId="77777777" w:rsidR="00A320E6" w:rsidRDefault="00A320E6" w:rsidP="00AE0286">
            <w:pPr>
              <w:jc w:val="left"/>
              <w:rPr>
                <w:rFonts w:ascii="宋体" w:hAnsi="宋体" w:cs="宋体"/>
                <w:kern w:val="0"/>
                <w:szCs w:val="21"/>
              </w:rPr>
            </w:pPr>
          </w:p>
        </w:tc>
      </w:tr>
      <w:tr w:rsidR="00A320E6" w14:paraId="343F2908" w14:textId="77777777" w:rsidTr="008B03FA">
        <w:trPr>
          <w:trHeight w:val="312"/>
        </w:trPr>
        <w:tc>
          <w:tcPr>
            <w:tcW w:w="650" w:type="dxa"/>
            <w:vMerge/>
            <w:noWrap/>
            <w:vAlign w:val="center"/>
          </w:tcPr>
          <w:p w14:paraId="7F657D9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390C23B" w14:textId="77777777" w:rsidR="00A320E6" w:rsidRDefault="00A320E6" w:rsidP="00AE0286">
            <w:pPr>
              <w:jc w:val="center"/>
              <w:rPr>
                <w:rFonts w:ascii="宋体" w:hAnsi="宋体" w:cs="宋体"/>
                <w:kern w:val="0"/>
                <w:szCs w:val="21"/>
              </w:rPr>
            </w:pPr>
          </w:p>
        </w:tc>
        <w:tc>
          <w:tcPr>
            <w:tcW w:w="3557" w:type="dxa"/>
            <w:noWrap/>
            <w:vAlign w:val="center"/>
          </w:tcPr>
          <w:p w14:paraId="1378355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石拱桥</w:t>
            </w:r>
          </w:p>
        </w:tc>
        <w:tc>
          <w:tcPr>
            <w:tcW w:w="1821" w:type="dxa"/>
            <w:noWrap/>
            <w:vAlign w:val="center"/>
          </w:tcPr>
          <w:p w14:paraId="05A21CD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2100-2800元/㎡</w:t>
            </w:r>
          </w:p>
        </w:tc>
        <w:tc>
          <w:tcPr>
            <w:tcW w:w="2032" w:type="dxa"/>
            <w:vMerge/>
            <w:noWrap/>
            <w:vAlign w:val="center"/>
          </w:tcPr>
          <w:p w14:paraId="3739820E" w14:textId="77777777" w:rsidR="00A320E6" w:rsidRDefault="00A320E6" w:rsidP="00AE0286">
            <w:pPr>
              <w:jc w:val="left"/>
              <w:rPr>
                <w:rFonts w:ascii="宋体" w:hAnsi="宋体" w:cs="宋体"/>
                <w:kern w:val="0"/>
                <w:szCs w:val="21"/>
              </w:rPr>
            </w:pPr>
          </w:p>
        </w:tc>
      </w:tr>
      <w:tr w:rsidR="00A320E6" w14:paraId="50B5438F" w14:textId="77777777" w:rsidTr="008B03FA">
        <w:trPr>
          <w:trHeight w:val="312"/>
        </w:trPr>
        <w:tc>
          <w:tcPr>
            <w:tcW w:w="650" w:type="dxa"/>
            <w:vMerge/>
            <w:noWrap/>
            <w:vAlign w:val="center"/>
          </w:tcPr>
          <w:p w14:paraId="7615D87E"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F1F49A4" w14:textId="77777777" w:rsidR="00A320E6" w:rsidRDefault="00A320E6" w:rsidP="00AE0286">
            <w:pPr>
              <w:jc w:val="center"/>
              <w:rPr>
                <w:rFonts w:ascii="宋体" w:hAnsi="宋体" w:cs="宋体"/>
                <w:kern w:val="0"/>
                <w:szCs w:val="21"/>
              </w:rPr>
            </w:pPr>
          </w:p>
        </w:tc>
        <w:tc>
          <w:tcPr>
            <w:tcW w:w="3557" w:type="dxa"/>
            <w:noWrap/>
            <w:vAlign w:val="center"/>
          </w:tcPr>
          <w:p w14:paraId="2E58F9C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简易小桥</w:t>
            </w:r>
          </w:p>
        </w:tc>
        <w:tc>
          <w:tcPr>
            <w:tcW w:w="1821" w:type="dxa"/>
            <w:noWrap/>
            <w:vAlign w:val="center"/>
          </w:tcPr>
          <w:p w14:paraId="267277D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800-900元/㎡</w:t>
            </w:r>
          </w:p>
        </w:tc>
        <w:tc>
          <w:tcPr>
            <w:tcW w:w="2032" w:type="dxa"/>
            <w:vMerge/>
            <w:noWrap/>
            <w:vAlign w:val="center"/>
          </w:tcPr>
          <w:p w14:paraId="106D6B2C" w14:textId="77777777" w:rsidR="00A320E6" w:rsidRDefault="00A320E6" w:rsidP="00AE0286">
            <w:pPr>
              <w:jc w:val="left"/>
              <w:rPr>
                <w:rFonts w:ascii="宋体" w:hAnsi="宋体" w:cs="宋体"/>
                <w:kern w:val="0"/>
                <w:szCs w:val="21"/>
              </w:rPr>
            </w:pPr>
          </w:p>
        </w:tc>
      </w:tr>
      <w:tr w:rsidR="00A320E6" w14:paraId="67798183" w14:textId="77777777" w:rsidTr="008B03FA">
        <w:trPr>
          <w:trHeight w:val="312"/>
        </w:trPr>
        <w:tc>
          <w:tcPr>
            <w:tcW w:w="650" w:type="dxa"/>
            <w:vMerge w:val="restart"/>
            <w:noWrap/>
            <w:vAlign w:val="center"/>
          </w:tcPr>
          <w:p w14:paraId="54EDB73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w:t>
            </w:r>
          </w:p>
        </w:tc>
        <w:tc>
          <w:tcPr>
            <w:tcW w:w="768" w:type="dxa"/>
            <w:vMerge w:val="restart"/>
            <w:noWrap/>
            <w:vAlign w:val="center"/>
          </w:tcPr>
          <w:p w14:paraId="3E9A92E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涵洞</w:t>
            </w:r>
          </w:p>
        </w:tc>
        <w:tc>
          <w:tcPr>
            <w:tcW w:w="3557" w:type="dxa"/>
            <w:noWrap/>
            <w:vAlign w:val="center"/>
          </w:tcPr>
          <w:p w14:paraId="4B0233D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石盖板涵跨径1-2m</w:t>
            </w:r>
          </w:p>
        </w:tc>
        <w:tc>
          <w:tcPr>
            <w:tcW w:w="1821" w:type="dxa"/>
            <w:noWrap/>
            <w:vAlign w:val="center"/>
          </w:tcPr>
          <w:p w14:paraId="2E8B47A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700-900元/m</w:t>
            </w:r>
          </w:p>
        </w:tc>
        <w:tc>
          <w:tcPr>
            <w:tcW w:w="2032" w:type="dxa"/>
            <w:vMerge w:val="restart"/>
            <w:noWrap/>
            <w:vAlign w:val="center"/>
          </w:tcPr>
          <w:p w14:paraId="304879E8" w14:textId="77777777" w:rsidR="00A320E6" w:rsidRDefault="00A320E6" w:rsidP="00AE0286">
            <w:pPr>
              <w:jc w:val="left"/>
              <w:rPr>
                <w:rFonts w:ascii="宋体" w:hAnsi="宋体" w:cs="宋体"/>
                <w:kern w:val="0"/>
                <w:szCs w:val="21"/>
              </w:rPr>
            </w:pPr>
          </w:p>
        </w:tc>
      </w:tr>
      <w:tr w:rsidR="00A320E6" w14:paraId="23909BDE" w14:textId="77777777" w:rsidTr="008B03FA">
        <w:trPr>
          <w:trHeight w:val="312"/>
        </w:trPr>
        <w:tc>
          <w:tcPr>
            <w:tcW w:w="650" w:type="dxa"/>
            <w:vMerge/>
            <w:noWrap/>
            <w:vAlign w:val="center"/>
          </w:tcPr>
          <w:p w14:paraId="3B6A5C53"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A64BEE8" w14:textId="77777777" w:rsidR="00A320E6" w:rsidRDefault="00A320E6" w:rsidP="00AE0286">
            <w:pPr>
              <w:jc w:val="center"/>
              <w:rPr>
                <w:rFonts w:ascii="宋体" w:hAnsi="宋体" w:cs="宋体"/>
                <w:kern w:val="0"/>
                <w:szCs w:val="21"/>
              </w:rPr>
            </w:pPr>
          </w:p>
        </w:tc>
        <w:tc>
          <w:tcPr>
            <w:tcW w:w="3557" w:type="dxa"/>
            <w:noWrap/>
            <w:vAlign w:val="center"/>
          </w:tcPr>
          <w:p w14:paraId="05FCB38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石拱涵跨径1-2m</w:t>
            </w:r>
          </w:p>
        </w:tc>
        <w:tc>
          <w:tcPr>
            <w:tcW w:w="1821" w:type="dxa"/>
            <w:noWrap/>
            <w:vAlign w:val="center"/>
          </w:tcPr>
          <w:p w14:paraId="4A81305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900-1200元/m</w:t>
            </w:r>
          </w:p>
        </w:tc>
        <w:tc>
          <w:tcPr>
            <w:tcW w:w="2032" w:type="dxa"/>
            <w:vMerge/>
            <w:noWrap/>
            <w:vAlign w:val="center"/>
          </w:tcPr>
          <w:p w14:paraId="5929618F" w14:textId="77777777" w:rsidR="00A320E6" w:rsidRDefault="00A320E6" w:rsidP="00AE0286">
            <w:pPr>
              <w:jc w:val="left"/>
              <w:rPr>
                <w:rFonts w:ascii="宋体" w:hAnsi="宋体" w:cs="宋体"/>
                <w:kern w:val="0"/>
                <w:szCs w:val="21"/>
              </w:rPr>
            </w:pPr>
          </w:p>
        </w:tc>
      </w:tr>
      <w:tr w:rsidR="00A320E6" w14:paraId="1E099FC0" w14:textId="77777777" w:rsidTr="008B03FA">
        <w:trPr>
          <w:trHeight w:val="312"/>
        </w:trPr>
        <w:tc>
          <w:tcPr>
            <w:tcW w:w="650" w:type="dxa"/>
            <w:vMerge/>
            <w:noWrap/>
            <w:vAlign w:val="center"/>
          </w:tcPr>
          <w:p w14:paraId="7DB86338"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25C357CD" w14:textId="77777777" w:rsidR="00A320E6" w:rsidRDefault="00A320E6" w:rsidP="00AE0286">
            <w:pPr>
              <w:jc w:val="center"/>
              <w:rPr>
                <w:rFonts w:ascii="宋体" w:hAnsi="宋体" w:cs="宋体"/>
                <w:kern w:val="0"/>
                <w:szCs w:val="21"/>
              </w:rPr>
            </w:pPr>
          </w:p>
        </w:tc>
        <w:tc>
          <w:tcPr>
            <w:tcW w:w="3557" w:type="dxa"/>
            <w:noWrap/>
            <w:vAlign w:val="center"/>
          </w:tcPr>
          <w:p w14:paraId="520C221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石拱涵跨径2-4m</w:t>
            </w:r>
          </w:p>
        </w:tc>
        <w:tc>
          <w:tcPr>
            <w:tcW w:w="1821" w:type="dxa"/>
            <w:noWrap/>
            <w:vAlign w:val="center"/>
          </w:tcPr>
          <w:p w14:paraId="3683FB2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1200-2200元/m</w:t>
            </w:r>
          </w:p>
        </w:tc>
        <w:tc>
          <w:tcPr>
            <w:tcW w:w="2032" w:type="dxa"/>
            <w:vMerge/>
            <w:noWrap/>
            <w:vAlign w:val="center"/>
          </w:tcPr>
          <w:p w14:paraId="00462517" w14:textId="77777777" w:rsidR="00A320E6" w:rsidRDefault="00A320E6" w:rsidP="00AE0286">
            <w:pPr>
              <w:jc w:val="left"/>
              <w:rPr>
                <w:rFonts w:ascii="宋体" w:hAnsi="宋体" w:cs="宋体"/>
                <w:kern w:val="0"/>
                <w:szCs w:val="21"/>
              </w:rPr>
            </w:pPr>
          </w:p>
        </w:tc>
      </w:tr>
      <w:tr w:rsidR="00A320E6" w14:paraId="1B86162B" w14:textId="77777777" w:rsidTr="008B03FA">
        <w:trPr>
          <w:trHeight w:val="312"/>
        </w:trPr>
        <w:tc>
          <w:tcPr>
            <w:tcW w:w="650" w:type="dxa"/>
            <w:vMerge/>
            <w:noWrap/>
            <w:vAlign w:val="center"/>
          </w:tcPr>
          <w:p w14:paraId="72424BA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45D827C" w14:textId="77777777" w:rsidR="00A320E6" w:rsidRDefault="00A320E6" w:rsidP="00AE0286">
            <w:pPr>
              <w:jc w:val="center"/>
              <w:rPr>
                <w:rFonts w:ascii="宋体" w:hAnsi="宋体" w:cs="宋体"/>
                <w:kern w:val="0"/>
                <w:szCs w:val="21"/>
              </w:rPr>
            </w:pPr>
          </w:p>
        </w:tc>
        <w:tc>
          <w:tcPr>
            <w:tcW w:w="3557" w:type="dxa"/>
            <w:noWrap/>
            <w:vAlign w:val="center"/>
          </w:tcPr>
          <w:p w14:paraId="4263C50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钢筋混凝土圆管涵跨径1-2m</w:t>
            </w:r>
          </w:p>
        </w:tc>
        <w:tc>
          <w:tcPr>
            <w:tcW w:w="1821" w:type="dxa"/>
            <w:noWrap/>
            <w:vAlign w:val="center"/>
          </w:tcPr>
          <w:p w14:paraId="088BAD9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1400-1800元/m</w:t>
            </w:r>
          </w:p>
        </w:tc>
        <w:tc>
          <w:tcPr>
            <w:tcW w:w="2032" w:type="dxa"/>
            <w:vMerge/>
            <w:noWrap/>
            <w:vAlign w:val="center"/>
          </w:tcPr>
          <w:p w14:paraId="718F24DD" w14:textId="77777777" w:rsidR="00A320E6" w:rsidRDefault="00A320E6" w:rsidP="00AE0286">
            <w:pPr>
              <w:jc w:val="left"/>
              <w:rPr>
                <w:rFonts w:ascii="宋体" w:hAnsi="宋体" w:cs="宋体"/>
                <w:kern w:val="0"/>
                <w:szCs w:val="21"/>
              </w:rPr>
            </w:pPr>
          </w:p>
        </w:tc>
      </w:tr>
      <w:tr w:rsidR="00A320E6" w14:paraId="06180B69" w14:textId="77777777" w:rsidTr="008B03FA">
        <w:trPr>
          <w:trHeight w:val="312"/>
        </w:trPr>
        <w:tc>
          <w:tcPr>
            <w:tcW w:w="650" w:type="dxa"/>
            <w:vMerge/>
            <w:noWrap/>
            <w:vAlign w:val="center"/>
          </w:tcPr>
          <w:p w14:paraId="020D280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4DC5FF38" w14:textId="77777777" w:rsidR="00A320E6" w:rsidRDefault="00A320E6" w:rsidP="00AE0286">
            <w:pPr>
              <w:jc w:val="center"/>
              <w:rPr>
                <w:rFonts w:ascii="宋体" w:hAnsi="宋体" w:cs="宋体"/>
                <w:kern w:val="0"/>
                <w:szCs w:val="21"/>
              </w:rPr>
            </w:pPr>
          </w:p>
        </w:tc>
        <w:tc>
          <w:tcPr>
            <w:tcW w:w="3557" w:type="dxa"/>
            <w:noWrap/>
            <w:vAlign w:val="center"/>
          </w:tcPr>
          <w:p w14:paraId="3FDCDD4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钢筋混凝土盖板涵跨径1.5-3m</w:t>
            </w:r>
          </w:p>
        </w:tc>
        <w:tc>
          <w:tcPr>
            <w:tcW w:w="1821" w:type="dxa"/>
            <w:noWrap/>
            <w:vAlign w:val="center"/>
          </w:tcPr>
          <w:p w14:paraId="1722377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1200-1600元/m</w:t>
            </w:r>
          </w:p>
        </w:tc>
        <w:tc>
          <w:tcPr>
            <w:tcW w:w="2032" w:type="dxa"/>
            <w:vMerge/>
            <w:noWrap/>
            <w:vAlign w:val="center"/>
          </w:tcPr>
          <w:p w14:paraId="16B703C3" w14:textId="77777777" w:rsidR="00A320E6" w:rsidRDefault="00A320E6" w:rsidP="00AE0286">
            <w:pPr>
              <w:jc w:val="left"/>
              <w:rPr>
                <w:rFonts w:ascii="宋体" w:hAnsi="宋体" w:cs="宋体"/>
                <w:kern w:val="0"/>
                <w:szCs w:val="21"/>
              </w:rPr>
            </w:pPr>
          </w:p>
        </w:tc>
      </w:tr>
      <w:tr w:rsidR="00A320E6" w14:paraId="78B33BD5" w14:textId="77777777" w:rsidTr="008B03FA">
        <w:trPr>
          <w:trHeight w:val="312"/>
        </w:trPr>
        <w:tc>
          <w:tcPr>
            <w:tcW w:w="650" w:type="dxa"/>
            <w:vMerge/>
            <w:noWrap/>
            <w:vAlign w:val="center"/>
          </w:tcPr>
          <w:p w14:paraId="637A7E21"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D45A0A9" w14:textId="77777777" w:rsidR="00A320E6" w:rsidRDefault="00A320E6" w:rsidP="00AE0286">
            <w:pPr>
              <w:jc w:val="center"/>
              <w:rPr>
                <w:rFonts w:ascii="宋体" w:hAnsi="宋体" w:cs="宋体"/>
                <w:kern w:val="0"/>
                <w:szCs w:val="21"/>
              </w:rPr>
            </w:pPr>
          </w:p>
        </w:tc>
        <w:tc>
          <w:tcPr>
            <w:tcW w:w="3557" w:type="dxa"/>
            <w:noWrap/>
            <w:vAlign w:val="center"/>
          </w:tcPr>
          <w:p w14:paraId="23316A1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钢筋混凝土盖板涵跨径3-4m</w:t>
            </w:r>
          </w:p>
        </w:tc>
        <w:tc>
          <w:tcPr>
            <w:tcW w:w="1821" w:type="dxa"/>
            <w:noWrap/>
            <w:vAlign w:val="center"/>
          </w:tcPr>
          <w:p w14:paraId="39BF76A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1800-2400元/m</w:t>
            </w:r>
          </w:p>
        </w:tc>
        <w:tc>
          <w:tcPr>
            <w:tcW w:w="2032" w:type="dxa"/>
            <w:vMerge/>
            <w:noWrap/>
            <w:vAlign w:val="center"/>
          </w:tcPr>
          <w:p w14:paraId="0138BCE5" w14:textId="77777777" w:rsidR="00A320E6" w:rsidRDefault="00A320E6" w:rsidP="00AE0286">
            <w:pPr>
              <w:jc w:val="left"/>
              <w:rPr>
                <w:rFonts w:ascii="宋体" w:hAnsi="宋体" w:cs="宋体"/>
                <w:kern w:val="0"/>
                <w:szCs w:val="21"/>
              </w:rPr>
            </w:pPr>
          </w:p>
        </w:tc>
      </w:tr>
      <w:tr w:rsidR="00A320E6" w14:paraId="27F0BCD5" w14:textId="77777777" w:rsidTr="008B03FA">
        <w:trPr>
          <w:trHeight w:val="312"/>
        </w:trPr>
        <w:tc>
          <w:tcPr>
            <w:tcW w:w="650" w:type="dxa"/>
            <w:vMerge w:val="restart"/>
            <w:noWrap/>
            <w:vAlign w:val="center"/>
          </w:tcPr>
          <w:p w14:paraId="0F0B65C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w:t>
            </w:r>
          </w:p>
        </w:tc>
        <w:tc>
          <w:tcPr>
            <w:tcW w:w="768" w:type="dxa"/>
            <w:vMerge w:val="restart"/>
            <w:noWrap/>
            <w:vAlign w:val="center"/>
          </w:tcPr>
          <w:p w14:paraId="434B301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台田石堰</w:t>
            </w:r>
          </w:p>
        </w:tc>
        <w:tc>
          <w:tcPr>
            <w:tcW w:w="3557" w:type="dxa"/>
            <w:noWrap/>
            <w:vAlign w:val="center"/>
          </w:tcPr>
          <w:p w14:paraId="367FFAA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1米以上</w:t>
            </w:r>
          </w:p>
        </w:tc>
        <w:tc>
          <w:tcPr>
            <w:tcW w:w="1821" w:type="dxa"/>
            <w:noWrap/>
            <w:vAlign w:val="center"/>
          </w:tcPr>
          <w:p w14:paraId="66BFC9E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100-120元/m</w:t>
            </w:r>
          </w:p>
        </w:tc>
        <w:tc>
          <w:tcPr>
            <w:tcW w:w="2032" w:type="dxa"/>
            <w:vMerge w:val="restart"/>
            <w:noWrap/>
            <w:vAlign w:val="center"/>
          </w:tcPr>
          <w:p w14:paraId="66B0CE8C" w14:textId="77777777" w:rsidR="00A320E6" w:rsidRDefault="00A320E6" w:rsidP="00AE0286">
            <w:pPr>
              <w:jc w:val="center"/>
              <w:rPr>
                <w:rFonts w:ascii="宋体" w:hAnsi="宋体" w:cs="宋体"/>
                <w:kern w:val="0"/>
                <w:szCs w:val="21"/>
              </w:rPr>
            </w:pPr>
          </w:p>
        </w:tc>
      </w:tr>
      <w:tr w:rsidR="00A320E6" w14:paraId="262E9CE3" w14:textId="77777777" w:rsidTr="008B03FA">
        <w:trPr>
          <w:trHeight w:val="312"/>
        </w:trPr>
        <w:tc>
          <w:tcPr>
            <w:tcW w:w="650" w:type="dxa"/>
            <w:vMerge/>
            <w:noWrap/>
            <w:vAlign w:val="center"/>
          </w:tcPr>
          <w:p w14:paraId="59890767"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8EDD3F4" w14:textId="77777777" w:rsidR="00A320E6" w:rsidRDefault="00A320E6" w:rsidP="00AE0286">
            <w:pPr>
              <w:jc w:val="center"/>
              <w:rPr>
                <w:rFonts w:ascii="宋体" w:hAnsi="宋体" w:cs="宋体"/>
                <w:kern w:val="0"/>
                <w:szCs w:val="21"/>
              </w:rPr>
            </w:pPr>
          </w:p>
        </w:tc>
        <w:tc>
          <w:tcPr>
            <w:tcW w:w="3557" w:type="dxa"/>
            <w:noWrap/>
            <w:vAlign w:val="center"/>
          </w:tcPr>
          <w:p w14:paraId="56E93A2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1米以下</w:t>
            </w:r>
          </w:p>
        </w:tc>
        <w:tc>
          <w:tcPr>
            <w:tcW w:w="1821" w:type="dxa"/>
            <w:noWrap/>
            <w:vAlign w:val="center"/>
          </w:tcPr>
          <w:p w14:paraId="4C69474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50-80元/m</w:t>
            </w:r>
          </w:p>
        </w:tc>
        <w:tc>
          <w:tcPr>
            <w:tcW w:w="2032" w:type="dxa"/>
            <w:vMerge/>
            <w:noWrap/>
            <w:vAlign w:val="center"/>
          </w:tcPr>
          <w:p w14:paraId="7DE06FD1" w14:textId="77777777" w:rsidR="00A320E6" w:rsidRDefault="00A320E6" w:rsidP="00AE0286">
            <w:pPr>
              <w:jc w:val="center"/>
              <w:rPr>
                <w:rFonts w:ascii="宋体" w:hAnsi="宋体" w:cs="宋体"/>
                <w:kern w:val="0"/>
                <w:szCs w:val="21"/>
              </w:rPr>
            </w:pPr>
          </w:p>
        </w:tc>
      </w:tr>
      <w:tr w:rsidR="00A320E6" w14:paraId="482CAA62" w14:textId="77777777" w:rsidTr="008B03FA">
        <w:trPr>
          <w:trHeight w:val="312"/>
        </w:trPr>
        <w:tc>
          <w:tcPr>
            <w:tcW w:w="650" w:type="dxa"/>
            <w:vMerge w:val="restart"/>
            <w:noWrap/>
            <w:vAlign w:val="center"/>
          </w:tcPr>
          <w:p w14:paraId="654582F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w:t>
            </w:r>
          </w:p>
        </w:tc>
        <w:tc>
          <w:tcPr>
            <w:tcW w:w="768" w:type="dxa"/>
            <w:vMerge w:val="restart"/>
            <w:noWrap/>
            <w:vAlign w:val="center"/>
          </w:tcPr>
          <w:p w14:paraId="36BDF0AF"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水渠水池</w:t>
            </w:r>
          </w:p>
        </w:tc>
        <w:tc>
          <w:tcPr>
            <w:tcW w:w="3557" w:type="dxa"/>
            <w:noWrap/>
            <w:vAlign w:val="center"/>
          </w:tcPr>
          <w:p w14:paraId="2FC730D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土筑水渠、水池</w:t>
            </w:r>
          </w:p>
        </w:tc>
        <w:tc>
          <w:tcPr>
            <w:tcW w:w="1821" w:type="dxa"/>
            <w:noWrap/>
            <w:vAlign w:val="center"/>
          </w:tcPr>
          <w:p w14:paraId="07A92B4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20-30元/m</w:t>
            </w:r>
            <w:r>
              <w:rPr>
                <w:rFonts w:ascii="宋体" w:hAnsi="宋体" w:cs="宋体" w:hint="eastAsia"/>
                <w:color w:val="000000"/>
                <w:kern w:val="0"/>
                <w:szCs w:val="21"/>
                <w:vertAlign w:val="superscript"/>
                <w:lang w:bidi="ar"/>
              </w:rPr>
              <w:t>3</w:t>
            </w:r>
          </w:p>
        </w:tc>
        <w:tc>
          <w:tcPr>
            <w:tcW w:w="2032" w:type="dxa"/>
            <w:vMerge w:val="restart"/>
            <w:noWrap/>
            <w:vAlign w:val="center"/>
          </w:tcPr>
          <w:p w14:paraId="7FED283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1.不包括田间毛渠。2.按挖方体积计算。3.封闭水池另加封闭成本。</w:t>
            </w:r>
          </w:p>
        </w:tc>
      </w:tr>
      <w:tr w:rsidR="00A320E6" w14:paraId="2B2F79AE" w14:textId="77777777" w:rsidTr="008B03FA">
        <w:trPr>
          <w:trHeight w:val="312"/>
        </w:trPr>
        <w:tc>
          <w:tcPr>
            <w:tcW w:w="650" w:type="dxa"/>
            <w:vMerge/>
            <w:noWrap/>
            <w:vAlign w:val="center"/>
          </w:tcPr>
          <w:p w14:paraId="74915AB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7526558" w14:textId="77777777" w:rsidR="00A320E6" w:rsidRDefault="00A320E6" w:rsidP="00AE0286">
            <w:pPr>
              <w:jc w:val="center"/>
              <w:rPr>
                <w:rFonts w:ascii="宋体" w:hAnsi="宋体" w:cs="宋体"/>
                <w:kern w:val="0"/>
                <w:szCs w:val="21"/>
              </w:rPr>
            </w:pPr>
          </w:p>
        </w:tc>
        <w:tc>
          <w:tcPr>
            <w:tcW w:w="3557" w:type="dxa"/>
            <w:noWrap/>
            <w:vAlign w:val="center"/>
          </w:tcPr>
          <w:p w14:paraId="7F06977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石砌水渠、水池</w:t>
            </w:r>
          </w:p>
        </w:tc>
        <w:tc>
          <w:tcPr>
            <w:tcW w:w="1821" w:type="dxa"/>
            <w:noWrap/>
            <w:vAlign w:val="center"/>
          </w:tcPr>
          <w:p w14:paraId="3AECA5E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60-90元/m</w:t>
            </w:r>
            <w:r>
              <w:rPr>
                <w:rFonts w:ascii="宋体" w:hAnsi="宋体" w:cs="宋体" w:hint="eastAsia"/>
                <w:color w:val="000000"/>
                <w:kern w:val="0"/>
                <w:szCs w:val="21"/>
                <w:vertAlign w:val="superscript"/>
                <w:lang w:bidi="ar"/>
              </w:rPr>
              <w:t>3</w:t>
            </w:r>
          </w:p>
        </w:tc>
        <w:tc>
          <w:tcPr>
            <w:tcW w:w="2032" w:type="dxa"/>
            <w:vMerge/>
            <w:noWrap/>
            <w:vAlign w:val="center"/>
          </w:tcPr>
          <w:p w14:paraId="23A5D029" w14:textId="77777777" w:rsidR="00A320E6" w:rsidRDefault="00A320E6" w:rsidP="00AE0286">
            <w:pPr>
              <w:jc w:val="left"/>
              <w:rPr>
                <w:rFonts w:ascii="宋体" w:hAnsi="宋体" w:cs="宋体"/>
                <w:kern w:val="0"/>
                <w:szCs w:val="21"/>
              </w:rPr>
            </w:pPr>
          </w:p>
        </w:tc>
      </w:tr>
      <w:tr w:rsidR="00A320E6" w14:paraId="539C3718" w14:textId="77777777" w:rsidTr="008B03FA">
        <w:trPr>
          <w:trHeight w:val="312"/>
        </w:trPr>
        <w:tc>
          <w:tcPr>
            <w:tcW w:w="650" w:type="dxa"/>
            <w:vMerge/>
            <w:noWrap/>
            <w:vAlign w:val="center"/>
          </w:tcPr>
          <w:p w14:paraId="575BD84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9862F34" w14:textId="77777777" w:rsidR="00A320E6" w:rsidRDefault="00A320E6" w:rsidP="00AE0286">
            <w:pPr>
              <w:jc w:val="center"/>
              <w:rPr>
                <w:rFonts w:ascii="宋体" w:hAnsi="宋体" w:cs="宋体"/>
                <w:kern w:val="0"/>
                <w:szCs w:val="21"/>
              </w:rPr>
            </w:pPr>
          </w:p>
        </w:tc>
        <w:tc>
          <w:tcPr>
            <w:tcW w:w="3557" w:type="dxa"/>
            <w:noWrap/>
            <w:vAlign w:val="center"/>
          </w:tcPr>
          <w:p w14:paraId="2BCDDC4C"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砖砌水渠、水池</w:t>
            </w:r>
          </w:p>
        </w:tc>
        <w:tc>
          <w:tcPr>
            <w:tcW w:w="1821" w:type="dxa"/>
            <w:noWrap/>
            <w:vAlign w:val="center"/>
          </w:tcPr>
          <w:p w14:paraId="1389139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90-120元/m</w:t>
            </w:r>
            <w:r>
              <w:rPr>
                <w:rFonts w:ascii="宋体" w:hAnsi="宋体" w:cs="宋体" w:hint="eastAsia"/>
                <w:color w:val="000000"/>
                <w:kern w:val="0"/>
                <w:szCs w:val="21"/>
                <w:vertAlign w:val="superscript"/>
                <w:lang w:bidi="ar"/>
              </w:rPr>
              <w:t>3</w:t>
            </w:r>
          </w:p>
        </w:tc>
        <w:tc>
          <w:tcPr>
            <w:tcW w:w="2032" w:type="dxa"/>
            <w:vMerge/>
            <w:noWrap/>
            <w:vAlign w:val="center"/>
          </w:tcPr>
          <w:p w14:paraId="0CC09837" w14:textId="77777777" w:rsidR="00A320E6" w:rsidRDefault="00A320E6" w:rsidP="00AE0286">
            <w:pPr>
              <w:jc w:val="left"/>
              <w:rPr>
                <w:rFonts w:ascii="宋体" w:hAnsi="宋体" w:cs="宋体"/>
                <w:kern w:val="0"/>
                <w:szCs w:val="21"/>
              </w:rPr>
            </w:pPr>
          </w:p>
        </w:tc>
      </w:tr>
      <w:tr w:rsidR="00A320E6" w14:paraId="7E4EA0A6" w14:textId="77777777" w:rsidTr="008B03FA">
        <w:trPr>
          <w:trHeight w:val="312"/>
        </w:trPr>
        <w:tc>
          <w:tcPr>
            <w:tcW w:w="650" w:type="dxa"/>
            <w:vMerge w:val="restart"/>
            <w:noWrap/>
            <w:vAlign w:val="center"/>
          </w:tcPr>
          <w:p w14:paraId="2AFA67A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w:t>
            </w:r>
          </w:p>
        </w:tc>
        <w:tc>
          <w:tcPr>
            <w:tcW w:w="768" w:type="dxa"/>
            <w:vMerge w:val="restart"/>
            <w:noWrap/>
            <w:vAlign w:val="center"/>
          </w:tcPr>
          <w:p w14:paraId="6366C2D6"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地面</w:t>
            </w:r>
          </w:p>
        </w:tc>
        <w:tc>
          <w:tcPr>
            <w:tcW w:w="3557" w:type="dxa"/>
            <w:noWrap/>
            <w:vAlign w:val="center"/>
          </w:tcPr>
          <w:p w14:paraId="784D77C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水泥地面</w:t>
            </w:r>
          </w:p>
        </w:tc>
        <w:tc>
          <w:tcPr>
            <w:tcW w:w="1821" w:type="dxa"/>
            <w:noWrap/>
            <w:vAlign w:val="center"/>
          </w:tcPr>
          <w:p w14:paraId="4EF9576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30-50元/㎡</w:t>
            </w:r>
          </w:p>
        </w:tc>
        <w:tc>
          <w:tcPr>
            <w:tcW w:w="2032" w:type="dxa"/>
            <w:vMerge w:val="restart"/>
            <w:noWrap/>
            <w:vAlign w:val="center"/>
          </w:tcPr>
          <w:p w14:paraId="4E99D35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按平方计算。</w:t>
            </w:r>
          </w:p>
        </w:tc>
      </w:tr>
      <w:tr w:rsidR="00A320E6" w14:paraId="75B4023E" w14:textId="77777777" w:rsidTr="008B03FA">
        <w:trPr>
          <w:trHeight w:val="312"/>
        </w:trPr>
        <w:tc>
          <w:tcPr>
            <w:tcW w:w="650" w:type="dxa"/>
            <w:vMerge/>
            <w:noWrap/>
            <w:vAlign w:val="center"/>
          </w:tcPr>
          <w:p w14:paraId="297608E7"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0403E7D" w14:textId="77777777" w:rsidR="00A320E6" w:rsidRDefault="00A320E6" w:rsidP="00AE0286">
            <w:pPr>
              <w:jc w:val="center"/>
              <w:rPr>
                <w:rFonts w:ascii="宋体" w:hAnsi="宋体" w:cs="宋体"/>
                <w:kern w:val="0"/>
                <w:szCs w:val="21"/>
              </w:rPr>
            </w:pPr>
          </w:p>
        </w:tc>
        <w:tc>
          <w:tcPr>
            <w:tcW w:w="3557" w:type="dxa"/>
            <w:noWrap/>
            <w:vAlign w:val="center"/>
          </w:tcPr>
          <w:p w14:paraId="2BAA209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花砖地面</w:t>
            </w:r>
          </w:p>
        </w:tc>
        <w:tc>
          <w:tcPr>
            <w:tcW w:w="1821" w:type="dxa"/>
            <w:noWrap/>
            <w:vAlign w:val="center"/>
          </w:tcPr>
          <w:p w14:paraId="38B04EB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30-40元/㎡</w:t>
            </w:r>
          </w:p>
        </w:tc>
        <w:tc>
          <w:tcPr>
            <w:tcW w:w="2032" w:type="dxa"/>
            <w:vMerge/>
            <w:noWrap/>
            <w:vAlign w:val="center"/>
          </w:tcPr>
          <w:p w14:paraId="5EC9905C" w14:textId="77777777" w:rsidR="00A320E6" w:rsidRDefault="00A320E6" w:rsidP="00AE0286">
            <w:pPr>
              <w:jc w:val="left"/>
              <w:rPr>
                <w:rFonts w:ascii="宋体" w:hAnsi="宋体" w:cs="宋体"/>
                <w:kern w:val="0"/>
                <w:szCs w:val="21"/>
              </w:rPr>
            </w:pPr>
          </w:p>
        </w:tc>
      </w:tr>
      <w:tr w:rsidR="00A320E6" w14:paraId="5B55E75D" w14:textId="77777777" w:rsidTr="008B03FA">
        <w:trPr>
          <w:trHeight w:val="312"/>
        </w:trPr>
        <w:tc>
          <w:tcPr>
            <w:tcW w:w="650" w:type="dxa"/>
            <w:vMerge/>
            <w:noWrap/>
            <w:vAlign w:val="center"/>
          </w:tcPr>
          <w:p w14:paraId="15C70926"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FB6BDC4" w14:textId="77777777" w:rsidR="00A320E6" w:rsidRDefault="00A320E6" w:rsidP="00AE0286">
            <w:pPr>
              <w:jc w:val="center"/>
              <w:rPr>
                <w:rFonts w:ascii="宋体" w:hAnsi="宋体" w:cs="宋体"/>
                <w:kern w:val="0"/>
                <w:szCs w:val="21"/>
              </w:rPr>
            </w:pPr>
          </w:p>
        </w:tc>
        <w:tc>
          <w:tcPr>
            <w:tcW w:w="3557" w:type="dxa"/>
            <w:noWrap/>
            <w:vAlign w:val="center"/>
          </w:tcPr>
          <w:p w14:paraId="709ABC3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水泥路面</w:t>
            </w:r>
          </w:p>
        </w:tc>
        <w:tc>
          <w:tcPr>
            <w:tcW w:w="1821" w:type="dxa"/>
            <w:noWrap/>
            <w:vAlign w:val="center"/>
          </w:tcPr>
          <w:p w14:paraId="7B32F2F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60-90元/㎡</w:t>
            </w:r>
          </w:p>
        </w:tc>
        <w:tc>
          <w:tcPr>
            <w:tcW w:w="2032" w:type="dxa"/>
            <w:vMerge/>
            <w:noWrap/>
            <w:vAlign w:val="center"/>
          </w:tcPr>
          <w:p w14:paraId="6CA043CC" w14:textId="77777777" w:rsidR="00A320E6" w:rsidRDefault="00A320E6" w:rsidP="00AE0286">
            <w:pPr>
              <w:jc w:val="left"/>
              <w:rPr>
                <w:rFonts w:ascii="宋体" w:hAnsi="宋体" w:cs="宋体"/>
                <w:kern w:val="0"/>
                <w:szCs w:val="21"/>
              </w:rPr>
            </w:pPr>
          </w:p>
        </w:tc>
      </w:tr>
      <w:tr w:rsidR="00A320E6" w14:paraId="23A29007" w14:textId="77777777" w:rsidTr="008B03FA">
        <w:trPr>
          <w:trHeight w:val="312"/>
        </w:trPr>
        <w:tc>
          <w:tcPr>
            <w:tcW w:w="650" w:type="dxa"/>
            <w:vMerge w:val="restart"/>
            <w:noWrap/>
            <w:vAlign w:val="center"/>
          </w:tcPr>
          <w:p w14:paraId="0999B72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11</w:t>
            </w:r>
          </w:p>
        </w:tc>
        <w:tc>
          <w:tcPr>
            <w:tcW w:w="768" w:type="dxa"/>
            <w:vMerge w:val="restart"/>
            <w:noWrap/>
            <w:vAlign w:val="center"/>
          </w:tcPr>
          <w:p w14:paraId="6914EB66"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水井</w:t>
            </w:r>
          </w:p>
        </w:tc>
        <w:tc>
          <w:tcPr>
            <w:tcW w:w="3557" w:type="dxa"/>
            <w:noWrap/>
            <w:vAlign w:val="center"/>
          </w:tcPr>
          <w:p w14:paraId="62978EC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手压井</w:t>
            </w:r>
          </w:p>
        </w:tc>
        <w:tc>
          <w:tcPr>
            <w:tcW w:w="1821" w:type="dxa"/>
            <w:noWrap/>
            <w:vAlign w:val="center"/>
          </w:tcPr>
          <w:p w14:paraId="6B4D699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300元/眼</w:t>
            </w:r>
          </w:p>
        </w:tc>
        <w:tc>
          <w:tcPr>
            <w:tcW w:w="2032" w:type="dxa"/>
            <w:vMerge w:val="restart"/>
            <w:noWrap/>
            <w:vAlign w:val="center"/>
          </w:tcPr>
          <w:p w14:paraId="13D9BFD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机井按井深分段计算补偿。</w:t>
            </w:r>
          </w:p>
        </w:tc>
      </w:tr>
      <w:tr w:rsidR="00A320E6" w14:paraId="5791DB6B" w14:textId="77777777" w:rsidTr="008B03FA">
        <w:trPr>
          <w:trHeight w:val="312"/>
        </w:trPr>
        <w:tc>
          <w:tcPr>
            <w:tcW w:w="650" w:type="dxa"/>
            <w:vMerge/>
            <w:noWrap/>
            <w:vAlign w:val="center"/>
          </w:tcPr>
          <w:p w14:paraId="2E7C10F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8A4BFCE" w14:textId="77777777" w:rsidR="00A320E6" w:rsidRDefault="00A320E6" w:rsidP="00AE0286">
            <w:pPr>
              <w:jc w:val="center"/>
              <w:rPr>
                <w:rFonts w:ascii="宋体" w:hAnsi="宋体" w:cs="宋体"/>
                <w:kern w:val="0"/>
                <w:szCs w:val="21"/>
              </w:rPr>
            </w:pPr>
          </w:p>
        </w:tc>
        <w:tc>
          <w:tcPr>
            <w:tcW w:w="3557" w:type="dxa"/>
            <w:tcBorders>
              <w:bottom w:val="single" w:sz="4" w:space="0" w:color="auto"/>
            </w:tcBorders>
            <w:noWrap/>
            <w:vAlign w:val="center"/>
          </w:tcPr>
          <w:p w14:paraId="135F3262"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土井：直径1.2m</w:t>
            </w:r>
          </w:p>
        </w:tc>
        <w:tc>
          <w:tcPr>
            <w:tcW w:w="1821" w:type="dxa"/>
            <w:tcBorders>
              <w:bottom w:val="single" w:sz="4" w:space="0" w:color="auto"/>
            </w:tcBorders>
            <w:noWrap/>
            <w:vAlign w:val="center"/>
          </w:tcPr>
          <w:p w14:paraId="461C865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120-140元/m</w:t>
            </w:r>
          </w:p>
        </w:tc>
        <w:tc>
          <w:tcPr>
            <w:tcW w:w="2032" w:type="dxa"/>
            <w:vMerge/>
            <w:noWrap/>
            <w:vAlign w:val="center"/>
          </w:tcPr>
          <w:p w14:paraId="4F5A5594" w14:textId="77777777" w:rsidR="00A320E6" w:rsidRDefault="00A320E6" w:rsidP="00AE0286">
            <w:pPr>
              <w:jc w:val="left"/>
              <w:rPr>
                <w:rFonts w:ascii="宋体" w:hAnsi="宋体" w:cs="宋体"/>
                <w:kern w:val="0"/>
                <w:szCs w:val="21"/>
              </w:rPr>
            </w:pPr>
          </w:p>
        </w:tc>
      </w:tr>
      <w:tr w:rsidR="00A320E6" w14:paraId="156934A8" w14:textId="77777777" w:rsidTr="008B03FA">
        <w:trPr>
          <w:trHeight w:val="312"/>
        </w:trPr>
        <w:tc>
          <w:tcPr>
            <w:tcW w:w="650" w:type="dxa"/>
            <w:vMerge/>
            <w:noWrap/>
            <w:vAlign w:val="center"/>
          </w:tcPr>
          <w:p w14:paraId="119B6ABF" w14:textId="77777777" w:rsidR="00A320E6" w:rsidRDefault="00A320E6" w:rsidP="00AE0286">
            <w:pPr>
              <w:jc w:val="center"/>
              <w:rPr>
                <w:rFonts w:ascii="宋体" w:hAnsi="宋体" w:cs="宋体"/>
                <w:color w:val="000000"/>
                <w:kern w:val="0"/>
                <w:szCs w:val="21"/>
                <w:lang w:bidi="ar"/>
              </w:rPr>
            </w:pPr>
          </w:p>
        </w:tc>
        <w:tc>
          <w:tcPr>
            <w:tcW w:w="768" w:type="dxa"/>
            <w:vMerge/>
            <w:tcBorders>
              <w:right w:val="single" w:sz="4" w:space="0" w:color="auto"/>
            </w:tcBorders>
            <w:noWrap/>
            <w:vAlign w:val="center"/>
          </w:tcPr>
          <w:p w14:paraId="125AD0D2" w14:textId="77777777" w:rsidR="00A320E6" w:rsidRDefault="00A320E6" w:rsidP="00AE0286">
            <w:pPr>
              <w:jc w:val="center"/>
              <w:rPr>
                <w:rFonts w:ascii="宋体" w:hAnsi="宋体" w:cs="宋体"/>
                <w:kern w:val="0"/>
                <w:szCs w:val="21"/>
              </w:rPr>
            </w:pPr>
          </w:p>
        </w:tc>
        <w:tc>
          <w:tcPr>
            <w:tcW w:w="3557" w:type="dxa"/>
            <w:tcBorders>
              <w:top w:val="single" w:sz="4" w:space="0" w:color="auto"/>
              <w:left w:val="single" w:sz="4" w:space="0" w:color="auto"/>
              <w:right w:val="single" w:sz="4" w:space="0" w:color="auto"/>
            </w:tcBorders>
            <w:noWrap/>
            <w:vAlign w:val="center"/>
          </w:tcPr>
          <w:p w14:paraId="4109BAF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砖井（包括乱石井）：深5-10m直径1.5m</w:t>
            </w:r>
          </w:p>
        </w:tc>
        <w:tc>
          <w:tcPr>
            <w:tcW w:w="1821" w:type="dxa"/>
            <w:tcBorders>
              <w:top w:val="single" w:sz="4" w:space="0" w:color="auto"/>
              <w:left w:val="single" w:sz="4" w:space="0" w:color="auto"/>
              <w:right w:val="single" w:sz="4" w:space="0" w:color="auto"/>
            </w:tcBorders>
            <w:noWrap/>
            <w:vAlign w:val="center"/>
          </w:tcPr>
          <w:p w14:paraId="2D55814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3000-4000元/口</w:t>
            </w:r>
          </w:p>
          <w:p w14:paraId="444E20F8" w14:textId="77777777" w:rsidR="00A320E6" w:rsidRDefault="00A320E6" w:rsidP="00AE0286">
            <w:pPr>
              <w:jc w:val="center"/>
              <w:textAlignment w:val="center"/>
              <w:rPr>
                <w:rFonts w:ascii="宋体" w:hAnsi="宋体" w:cs="宋体"/>
                <w:color w:val="000000"/>
                <w:kern w:val="0"/>
                <w:szCs w:val="21"/>
                <w:lang w:bidi="ar"/>
              </w:rPr>
            </w:pPr>
          </w:p>
        </w:tc>
        <w:tc>
          <w:tcPr>
            <w:tcW w:w="2032" w:type="dxa"/>
            <w:vMerge/>
            <w:tcBorders>
              <w:left w:val="single" w:sz="4" w:space="0" w:color="auto"/>
            </w:tcBorders>
            <w:noWrap/>
            <w:vAlign w:val="center"/>
          </w:tcPr>
          <w:p w14:paraId="04539434" w14:textId="77777777" w:rsidR="00A320E6" w:rsidRDefault="00A320E6" w:rsidP="00AE0286">
            <w:pPr>
              <w:jc w:val="left"/>
              <w:rPr>
                <w:rFonts w:ascii="宋体" w:hAnsi="宋体" w:cs="宋体"/>
                <w:kern w:val="0"/>
                <w:szCs w:val="21"/>
              </w:rPr>
            </w:pPr>
          </w:p>
        </w:tc>
      </w:tr>
      <w:tr w:rsidR="00A320E6" w14:paraId="1616CF44" w14:textId="77777777" w:rsidTr="008B03FA">
        <w:trPr>
          <w:trHeight w:val="312"/>
        </w:trPr>
        <w:tc>
          <w:tcPr>
            <w:tcW w:w="650" w:type="dxa"/>
            <w:vMerge/>
            <w:noWrap/>
            <w:vAlign w:val="center"/>
          </w:tcPr>
          <w:p w14:paraId="0015D97E"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1455CAF" w14:textId="77777777" w:rsidR="00A320E6" w:rsidRDefault="00A320E6" w:rsidP="00AE0286">
            <w:pPr>
              <w:jc w:val="center"/>
              <w:rPr>
                <w:rFonts w:ascii="宋体" w:hAnsi="宋体" w:cs="宋体"/>
                <w:kern w:val="0"/>
                <w:szCs w:val="21"/>
              </w:rPr>
            </w:pPr>
          </w:p>
        </w:tc>
        <w:tc>
          <w:tcPr>
            <w:tcW w:w="3557" w:type="dxa"/>
            <w:noWrap/>
            <w:vAlign w:val="center"/>
          </w:tcPr>
          <w:p w14:paraId="3D01A25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砖井（包括乱石井）：深10-20m直径2.5m</w:t>
            </w:r>
          </w:p>
        </w:tc>
        <w:tc>
          <w:tcPr>
            <w:tcW w:w="1821" w:type="dxa"/>
            <w:noWrap/>
            <w:vAlign w:val="center"/>
          </w:tcPr>
          <w:p w14:paraId="02BD688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4500-6000元/口</w:t>
            </w:r>
          </w:p>
        </w:tc>
        <w:tc>
          <w:tcPr>
            <w:tcW w:w="2032" w:type="dxa"/>
            <w:vMerge/>
            <w:noWrap/>
            <w:vAlign w:val="center"/>
          </w:tcPr>
          <w:p w14:paraId="3760C29D" w14:textId="77777777" w:rsidR="00A320E6" w:rsidRDefault="00A320E6" w:rsidP="00AE0286">
            <w:pPr>
              <w:jc w:val="left"/>
              <w:rPr>
                <w:rFonts w:ascii="宋体" w:hAnsi="宋体" w:cs="宋体"/>
                <w:kern w:val="0"/>
                <w:szCs w:val="21"/>
              </w:rPr>
            </w:pPr>
          </w:p>
        </w:tc>
      </w:tr>
      <w:tr w:rsidR="00A320E6" w14:paraId="69564C74" w14:textId="77777777" w:rsidTr="008B03FA">
        <w:trPr>
          <w:trHeight w:val="312"/>
        </w:trPr>
        <w:tc>
          <w:tcPr>
            <w:tcW w:w="650" w:type="dxa"/>
            <w:vMerge/>
            <w:noWrap/>
            <w:vAlign w:val="center"/>
          </w:tcPr>
          <w:p w14:paraId="041A201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94E21FD" w14:textId="77777777" w:rsidR="00A320E6" w:rsidRDefault="00A320E6" w:rsidP="00AE0286">
            <w:pPr>
              <w:jc w:val="center"/>
              <w:rPr>
                <w:rFonts w:ascii="宋体" w:hAnsi="宋体" w:cs="宋体"/>
                <w:kern w:val="0"/>
                <w:szCs w:val="21"/>
              </w:rPr>
            </w:pPr>
          </w:p>
        </w:tc>
        <w:tc>
          <w:tcPr>
            <w:tcW w:w="3557" w:type="dxa"/>
            <w:noWrap/>
            <w:vAlign w:val="center"/>
          </w:tcPr>
          <w:p w14:paraId="457AEEF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下管井</w:t>
            </w:r>
          </w:p>
        </w:tc>
        <w:tc>
          <w:tcPr>
            <w:tcW w:w="1821" w:type="dxa"/>
            <w:noWrap/>
            <w:vAlign w:val="center"/>
          </w:tcPr>
          <w:p w14:paraId="182EE7A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450元/m</w:t>
            </w:r>
          </w:p>
        </w:tc>
        <w:tc>
          <w:tcPr>
            <w:tcW w:w="2032" w:type="dxa"/>
            <w:vMerge/>
            <w:noWrap/>
            <w:vAlign w:val="center"/>
          </w:tcPr>
          <w:p w14:paraId="5A78DA29" w14:textId="77777777" w:rsidR="00A320E6" w:rsidRDefault="00A320E6" w:rsidP="00AE0286">
            <w:pPr>
              <w:jc w:val="left"/>
              <w:rPr>
                <w:rFonts w:ascii="宋体" w:hAnsi="宋体" w:cs="宋体"/>
                <w:kern w:val="0"/>
                <w:szCs w:val="21"/>
              </w:rPr>
            </w:pPr>
          </w:p>
        </w:tc>
      </w:tr>
      <w:tr w:rsidR="00A320E6" w14:paraId="028323B4" w14:textId="77777777" w:rsidTr="008B03FA">
        <w:trPr>
          <w:trHeight w:val="312"/>
        </w:trPr>
        <w:tc>
          <w:tcPr>
            <w:tcW w:w="650" w:type="dxa"/>
            <w:vMerge/>
            <w:noWrap/>
            <w:vAlign w:val="center"/>
          </w:tcPr>
          <w:p w14:paraId="2EBFFE1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684A808" w14:textId="77777777" w:rsidR="00A320E6" w:rsidRDefault="00A320E6" w:rsidP="00AE0286">
            <w:pPr>
              <w:jc w:val="center"/>
              <w:rPr>
                <w:rFonts w:ascii="宋体" w:hAnsi="宋体" w:cs="宋体"/>
                <w:kern w:val="0"/>
                <w:szCs w:val="21"/>
              </w:rPr>
            </w:pPr>
          </w:p>
        </w:tc>
        <w:tc>
          <w:tcPr>
            <w:tcW w:w="3557" w:type="dxa"/>
            <w:noWrap/>
            <w:vAlign w:val="center"/>
          </w:tcPr>
          <w:p w14:paraId="7A2EFA4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机井：深20-50m</w:t>
            </w:r>
          </w:p>
        </w:tc>
        <w:tc>
          <w:tcPr>
            <w:tcW w:w="1821" w:type="dxa"/>
            <w:noWrap/>
            <w:vAlign w:val="center"/>
          </w:tcPr>
          <w:p w14:paraId="774502B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200-260元/m</w:t>
            </w:r>
          </w:p>
        </w:tc>
        <w:tc>
          <w:tcPr>
            <w:tcW w:w="2032" w:type="dxa"/>
            <w:vMerge/>
            <w:noWrap/>
            <w:vAlign w:val="center"/>
          </w:tcPr>
          <w:p w14:paraId="2D85D683" w14:textId="77777777" w:rsidR="00A320E6" w:rsidRDefault="00A320E6" w:rsidP="00AE0286">
            <w:pPr>
              <w:jc w:val="left"/>
              <w:rPr>
                <w:rFonts w:ascii="宋体" w:hAnsi="宋体" w:cs="宋体"/>
                <w:kern w:val="0"/>
                <w:szCs w:val="21"/>
              </w:rPr>
            </w:pPr>
          </w:p>
        </w:tc>
      </w:tr>
      <w:tr w:rsidR="00A320E6" w14:paraId="0E758573" w14:textId="77777777" w:rsidTr="008B03FA">
        <w:trPr>
          <w:trHeight w:val="312"/>
        </w:trPr>
        <w:tc>
          <w:tcPr>
            <w:tcW w:w="650" w:type="dxa"/>
            <w:vMerge/>
            <w:noWrap/>
            <w:vAlign w:val="center"/>
          </w:tcPr>
          <w:p w14:paraId="7BFD6822"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4390E5F3" w14:textId="77777777" w:rsidR="00A320E6" w:rsidRDefault="00A320E6" w:rsidP="00AE0286">
            <w:pPr>
              <w:jc w:val="center"/>
              <w:rPr>
                <w:rFonts w:ascii="宋体" w:hAnsi="宋体" w:cs="宋体"/>
                <w:kern w:val="0"/>
                <w:szCs w:val="21"/>
              </w:rPr>
            </w:pPr>
          </w:p>
        </w:tc>
        <w:tc>
          <w:tcPr>
            <w:tcW w:w="3557" w:type="dxa"/>
            <w:noWrap/>
            <w:vAlign w:val="center"/>
          </w:tcPr>
          <w:p w14:paraId="28D286F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机井：深50-100m</w:t>
            </w:r>
          </w:p>
        </w:tc>
        <w:tc>
          <w:tcPr>
            <w:tcW w:w="1821" w:type="dxa"/>
            <w:noWrap/>
            <w:vAlign w:val="center"/>
          </w:tcPr>
          <w:p w14:paraId="2F8FF2C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240-320元/m</w:t>
            </w:r>
          </w:p>
        </w:tc>
        <w:tc>
          <w:tcPr>
            <w:tcW w:w="2032" w:type="dxa"/>
            <w:vMerge/>
            <w:noWrap/>
            <w:vAlign w:val="center"/>
          </w:tcPr>
          <w:p w14:paraId="40621968" w14:textId="77777777" w:rsidR="00A320E6" w:rsidRDefault="00A320E6" w:rsidP="00AE0286">
            <w:pPr>
              <w:jc w:val="left"/>
              <w:rPr>
                <w:rFonts w:ascii="宋体" w:hAnsi="宋体" w:cs="宋体"/>
                <w:kern w:val="0"/>
                <w:szCs w:val="21"/>
              </w:rPr>
            </w:pPr>
          </w:p>
        </w:tc>
      </w:tr>
      <w:tr w:rsidR="00A320E6" w14:paraId="758D6D78" w14:textId="77777777" w:rsidTr="008B03FA">
        <w:trPr>
          <w:trHeight w:val="312"/>
        </w:trPr>
        <w:tc>
          <w:tcPr>
            <w:tcW w:w="650" w:type="dxa"/>
            <w:vMerge/>
            <w:noWrap/>
            <w:vAlign w:val="center"/>
          </w:tcPr>
          <w:p w14:paraId="4D8D3803"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DAA9D83" w14:textId="77777777" w:rsidR="00A320E6" w:rsidRDefault="00A320E6" w:rsidP="00AE0286">
            <w:pPr>
              <w:jc w:val="center"/>
              <w:rPr>
                <w:rFonts w:ascii="宋体" w:hAnsi="宋体" w:cs="宋体"/>
                <w:kern w:val="0"/>
                <w:szCs w:val="21"/>
              </w:rPr>
            </w:pPr>
          </w:p>
        </w:tc>
        <w:tc>
          <w:tcPr>
            <w:tcW w:w="3557" w:type="dxa"/>
            <w:noWrap/>
            <w:vAlign w:val="center"/>
          </w:tcPr>
          <w:p w14:paraId="55697CE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机井：深100-250m</w:t>
            </w:r>
          </w:p>
        </w:tc>
        <w:tc>
          <w:tcPr>
            <w:tcW w:w="1821" w:type="dxa"/>
            <w:noWrap/>
            <w:vAlign w:val="center"/>
          </w:tcPr>
          <w:p w14:paraId="4AEACE9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300-400元/m</w:t>
            </w:r>
          </w:p>
        </w:tc>
        <w:tc>
          <w:tcPr>
            <w:tcW w:w="2032" w:type="dxa"/>
            <w:vMerge/>
            <w:noWrap/>
            <w:vAlign w:val="center"/>
          </w:tcPr>
          <w:p w14:paraId="2D03602D" w14:textId="77777777" w:rsidR="00A320E6" w:rsidRDefault="00A320E6" w:rsidP="00AE0286">
            <w:pPr>
              <w:jc w:val="left"/>
              <w:rPr>
                <w:rFonts w:ascii="宋体" w:hAnsi="宋体" w:cs="宋体"/>
                <w:kern w:val="0"/>
                <w:szCs w:val="21"/>
              </w:rPr>
            </w:pPr>
          </w:p>
        </w:tc>
      </w:tr>
      <w:tr w:rsidR="00A320E6" w14:paraId="0F444638" w14:textId="77777777" w:rsidTr="008B03FA">
        <w:trPr>
          <w:trHeight w:val="312"/>
        </w:trPr>
        <w:tc>
          <w:tcPr>
            <w:tcW w:w="650" w:type="dxa"/>
            <w:vMerge/>
            <w:noWrap/>
            <w:vAlign w:val="center"/>
          </w:tcPr>
          <w:p w14:paraId="4DAD8D9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61E3446" w14:textId="77777777" w:rsidR="00A320E6" w:rsidRDefault="00A320E6" w:rsidP="00AE0286">
            <w:pPr>
              <w:jc w:val="center"/>
              <w:rPr>
                <w:rFonts w:ascii="宋体" w:hAnsi="宋体" w:cs="宋体"/>
                <w:kern w:val="0"/>
                <w:szCs w:val="21"/>
              </w:rPr>
            </w:pPr>
          </w:p>
        </w:tc>
        <w:tc>
          <w:tcPr>
            <w:tcW w:w="3557" w:type="dxa"/>
            <w:noWrap/>
            <w:vAlign w:val="center"/>
          </w:tcPr>
          <w:p w14:paraId="1FC8276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机井：深250m以上</w:t>
            </w:r>
          </w:p>
        </w:tc>
        <w:tc>
          <w:tcPr>
            <w:tcW w:w="1821" w:type="dxa"/>
            <w:noWrap/>
            <w:vAlign w:val="center"/>
          </w:tcPr>
          <w:p w14:paraId="5C9CDA0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500-600元/m</w:t>
            </w:r>
          </w:p>
        </w:tc>
        <w:tc>
          <w:tcPr>
            <w:tcW w:w="2032" w:type="dxa"/>
            <w:vMerge/>
            <w:noWrap/>
            <w:vAlign w:val="center"/>
          </w:tcPr>
          <w:p w14:paraId="08646A07" w14:textId="77777777" w:rsidR="00A320E6" w:rsidRDefault="00A320E6" w:rsidP="00AE0286">
            <w:pPr>
              <w:jc w:val="left"/>
              <w:rPr>
                <w:rFonts w:ascii="宋体" w:hAnsi="宋体" w:cs="宋体"/>
                <w:kern w:val="0"/>
                <w:szCs w:val="21"/>
              </w:rPr>
            </w:pPr>
          </w:p>
        </w:tc>
      </w:tr>
      <w:tr w:rsidR="00A320E6" w14:paraId="54449362" w14:textId="77777777" w:rsidTr="008B03FA">
        <w:trPr>
          <w:trHeight w:val="312"/>
        </w:trPr>
        <w:tc>
          <w:tcPr>
            <w:tcW w:w="650" w:type="dxa"/>
            <w:vMerge/>
            <w:noWrap/>
            <w:vAlign w:val="center"/>
          </w:tcPr>
          <w:p w14:paraId="4946843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14C3DAE" w14:textId="77777777" w:rsidR="00A320E6" w:rsidRDefault="00A320E6" w:rsidP="00AE0286">
            <w:pPr>
              <w:jc w:val="center"/>
              <w:rPr>
                <w:rFonts w:ascii="宋体" w:hAnsi="宋体" w:cs="宋体"/>
                <w:kern w:val="0"/>
                <w:szCs w:val="21"/>
              </w:rPr>
            </w:pPr>
          </w:p>
        </w:tc>
        <w:tc>
          <w:tcPr>
            <w:tcW w:w="3557" w:type="dxa"/>
            <w:noWrap/>
            <w:vAlign w:val="center"/>
          </w:tcPr>
          <w:p w14:paraId="54E6F90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泵井：小型潜水泵</w:t>
            </w:r>
          </w:p>
        </w:tc>
        <w:tc>
          <w:tcPr>
            <w:tcW w:w="1821" w:type="dxa"/>
            <w:noWrap/>
            <w:vAlign w:val="center"/>
          </w:tcPr>
          <w:p w14:paraId="3BED547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2000-3000元/眼</w:t>
            </w:r>
          </w:p>
        </w:tc>
        <w:tc>
          <w:tcPr>
            <w:tcW w:w="2032" w:type="dxa"/>
            <w:vMerge/>
            <w:noWrap/>
            <w:vAlign w:val="center"/>
          </w:tcPr>
          <w:p w14:paraId="1ACD6266" w14:textId="77777777" w:rsidR="00A320E6" w:rsidRDefault="00A320E6" w:rsidP="00AE0286">
            <w:pPr>
              <w:jc w:val="left"/>
              <w:rPr>
                <w:rFonts w:ascii="宋体" w:hAnsi="宋体" w:cs="宋体"/>
                <w:kern w:val="0"/>
                <w:szCs w:val="21"/>
              </w:rPr>
            </w:pPr>
          </w:p>
        </w:tc>
      </w:tr>
      <w:tr w:rsidR="00A320E6" w14:paraId="07872D57" w14:textId="77777777" w:rsidTr="008B03FA">
        <w:trPr>
          <w:trHeight w:val="312"/>
        </w:trPr>
        <w:tc>
          <w:tcPr>
            <w:tcW w:w="650" w:type="dxa"/>
            <w:vMerge w:val="restart"/>
            <w:noWrap/>
            <w:vAlign w:val="center"/>
          </w:tcPr>
          <w:p w14:paraId="65D6F68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w:t>
            </w:r>
          </w:p>
        </w:tc>
        <w:tc>
          <w:tcPr>
            <w:tcW w:w="768" w:type="dxa"/>
            <w:vMerge w:val="restart"/>
            <w:noWrap/>
            <w:vAlign w:val="center"/>
          </w:tcPr>
          <w:p w14:paraId="02BBC640"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淡水养殖</w:t>
            </w:r>
          </w:p>
        </w:tc>
        <w:tc>
          <w:tcPr>
            <w:tcW w:w="3557" w:type="dxa"/>
            <w:noWrap/>
            <w:vAlign w:val="center"/>
          </w:tcPr>
          <w:p w14:paraId="78B143B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鱼塘</w:t>
            </w:r>
          </w:p>
        </w:tc>
        <w:tc>
          <w:tcPr>
            <w:tcW w:w="1821" w:type="dxa"/>
            <w:noWrap/>
            <w:vAlign w:val="center"/>
          </w:tcPr>
          <w:p w14:paraId="4380963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8000-15000元/亩</w:t>
            </w:r>
          </w:p>
        </w:tc>
        <w:tc>
          <w:tcPr>
            <w:tcW w:w="2032" w:type="dxa"/>
            <w:vMerge w:val="restart"/>
            <w:noWrap/>
            <w:vAlign w:val="center"/>
          </w:tcPr>
          <w:p w14:paraId="37104DD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含土石方及鱼苗损失费，鱼归原主。</w:t>
            </w:r>
          </w:p>
        </w:tc>
      </w:tr>
      <w:tr w:rsidR="00A320E6" w14:paraId="56D640C6" w14:textId="77777777" w:rsidTr="008B03FA">
        <w:trPr>
          <w:trHeight w:val="312"/>
        </w:trPr>
        <w:tc>
          <w:tcPr>
            <w:tcW w:w="650" w:type="dxa"/>
            <w:vMerge/>
            <w:noWrap/>
            <w:vAlign w:val="center"/>
          </w:tcPr>
          <w:p w14:paraId="67E31C3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EBEAAB3" w14:textId="77777777" w:rsidR="00A320E6" w:rsidRDefault="00A320E6" w:rsidP="00AE0286">
            <w:pPr>
              <w:jc w:val="center"/>
              <w:rPr>
                <w:rFonts w:ascii="宋体" w:hAnsi="宋体" w:cs="宋体"/>
                <w:kern w:val="0"/>
                <w:szCs w:val="21"/>
              </w:rPr>
            </w:pPr>
          </w:p>
        </w:tc>
        <w:tc>
          <w:tcPr>
            <w:tcW w:w="3557" w:type="dxa"/>
            <w:noWrap/>
            <w:vAlign w:val="center"/>
          </w:tcPr>
          <w:p w14:paraId="43A74F6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藕塘</w:t>
            </w:r>
          </w:p>
        </w:tc>
        <w:tc>
          <w:tcPr>
            <w:tcW w:w="1821" w:type="dxa"/>
            <w:noWrap/>
            <w:vAlign w:val="center"/>
          </w:tcPr>
          <w:p w14:paraId="049DC2A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5500-10000元/亩</w:t>
            </w:r>
          </w:p>
        </w:tc>
        <w:tc>
          <w:tcPr>
            <w:tcW w:w="2032" w:type="dxa"/>
            <w:vMerge/>
            <w:noWrap/>
            <w:vAlign w:val="center"/>
          </w:tcPr>
          <w:p w14:paraId="3340C51A" w14:textId="77777777" w:rsidR="00A320E6" w:rsidRDefault="00A320E6" w:rsidP="00AE0286">
            <w:pPr>
              <w:jc w:val="left"/>
              <w:rPr>
                <w:rFonts w:ascii="宋体" w:hAnsi="宋体" w:cs="宋体"/>
                <w:kern w:val="0"/>
                <w:szCs w:val="21"/>
              </w:rPr>
            </w:pPr>
          </w:p>
        </w:tc>
      </w:tr>
      <w:tr w:rsidR="00A320E6" w14:paraId="2ABA6FCF" w14:textId="77777777" w:rsidTr="008B03FA">
        <w:trPr>
          <w:trHeight w:val="312"/>
        </w:trPr>
        <w:tc>
          <w:tcPr>
            <w:tcW w:w="650" w:type="dxa"/>
            <w:vMerge w:val="restart"/>
            <w:noWrap/>
            <w:vAlign w:val="center"/>
          </w:tcPr>
          <w:p w14:paraId="747FCCF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w:t>
            </w:r>
          </w:p>
        </w:tc>
        <w:tc>
          <w:tcPr>
            <w:tcW w:w="768" w:type="dxa"/>
            <w:vMerge w:val="restart"/>
            <w:noWrap/>
            <w:vAlign w:val="center"/>
          </w:tcPr>
          <w:p w14:paraId="65E6DBD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电力通讯线路</w:t>
            </w:r>
          </w:p>
        </w:tc>
        <w:tc>
          <w:tcPr>
            <w:tcW w:w="3557" w:type="dxa"/>
            <w:noWrap/>
            <w:vAlign w:val="center"/>
          </w:tcPr>
          <w:p w14:paraId="648BFB3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低压线路带线</w:t>
            </w:r>
          </w:p>
        </w:tc>
        <w:tc>
          <w:tcPr>
            <w:tcW w:w="1821" w:type="dxa"/>
            <w:noWrap/>
            <w:vAlign w:val="center"/>
          </w:tcPr>
          <w:p w14:paraId="6930D3A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1300元/杆</w:t>
            </w:r>
          </w:p>
        </w:tc>
        <w:tc>
          <w:tcPr>
            <w:tcW w:w="2032" w:type="dxa"/>
            <w:vMerge w:val="restart"/>
            <w:noWrap/>
            <w:vAlign w:val="center"/>
          </w:tcPr>
          <w:p w14:paraId="11349EB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包括电线等材料、损失及拆建工费。</w:t>
            </w:r>
          </w:p>
        </w:tc>
      </w:tr>
      <w:tr w:rsidR="00A320E6" w14:paraId="5F52391F" w14:textId="77777777" w:rsidTr="008B03FA">
        <w:trPr>
          <w:trHeight w:val="312"/>
        </w:trPr>
        <w:tc>
          <w:tcPr>
            <w:tcW w:w="650" w:type="dxa"/>
            <w:vMerge/>
            <w:noWrap/>
            <w:vAlign w:val="center"/>
          </w:tcPr>
          <w:p w14:paraId="4D60260D"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CA08FFE" w14:textId="77777777" w:rsidR="00A320E6" w:rsidRDefault="00A320E6" w:rsidP="00AE0286">
            <w:pPr>
              <w:jc w:val="center"/>
              <w:rPr>
                <w:rFonts w:ascii="宋体" w:hAnsi="宋体" w:cs="宋体"/>
                <w:kern w:val="0"/>
                <w:szCs w:val="21"/>
              </w:rPr>
            </w:pPr>
          </w:p>
        </w:tc>
        <w:tc>
          <w:tcPr>
            <w:tcW w:w="3557" w:type="dxa"/>
            <w:noWrap/>
            <w:vAlign w:val="center"/>
          </w:tcPr>
          <w:p w14:paraId="36C10A3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通讯广播线路</w:t>
            </w:r>
          </w:p>
        </w:tc>
        <w:tc>
          <w:tcPr>
            <w:tcW w:w="1821" w:type="dxa"/>
            <w:noWrap/>
            <w:vAlign w:val="center"/>
          </w:tcPr>
          <w:p w14:paraId="26B1E56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1300元/杆</w:t>
            </w:r>
          </w:p>
        </w:tc>
        <w:tc>
          <w:tcPr>
            <w:tcW w:w="2032" w:type="dxa"/>
            <w:vMerge/>
            <w:noWrap/>
            <w:vAlign w:val="center"/>
          </w:tcPr>
          <w:p w14:paraId="11BB73B2" w14:textId="77777777" w:rsidR="00A320E6" w:rsidRDefault="00A320E6" w:rsidP="00AE0286">
            <w:pPr>
              <w:jc w:val="left"/>
              <w:rPr>
                <w:rFonts w:ascii="宋体" w:hAnsi="宋体" w:cs="宋体"/>
                <w:kern w:val="0"/>
                <w:szCs w:val="21"/>
              </w:rPr>
            </w:pPr>
          </w:p>
        </w:tc>
      </w:tr>
      <w:tr w:rsidR="00A320E6" w14:paraId="271A9009" w14:textId="77777777" w:rsidTr="008B03FA">
        <w:trPr>
          <w:trHeight w:val="312"/>
        </w:trPr>
        <w:tc>
          <w:tcPr>
            <w:tcW w:w="650" w:type="dxa"/>
            <w:vMerge/>
            <w:noWrap/>
            <w:vAlign w:val="center"/>
          </w:tcPr>
          <w:p w14:paraId="706642B6"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E1A21E7" w14:textId="77777777" w:rsidR="00A320E6" w:rsidRDefault="00A320E6" w:rsidP="00AE0286">
            <w:pPr>
              <w:jc w:val="center"/>
              <w:rPr>
                <w:rFonts w:ascii="宋体" w:hAnsi="宋体" w:cs="宋体"/>
                <w:kern w:val="0"/>
                <w:szCs w:val="21"/>
              </w:rPr>
            </w:pPr>
          </w:p>
        </w:tc>
        <w:tc>
          <w:tcPr>
            <w:tcW w:w="3557" w:type="dxa"/>
            <w:noWrap/>
            <w:vAlign w:val="center"/>
          </w:tcPr>
          <w:p w14:paraId="6B93500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裸干：不带线水泥电杆</w:t>
            </w:r>
          </w:p>
        </w:tc>
        <w:tc>
          <w:tcPr>
            <w:tcW w:w="1821" w:type="dxa"/>
            <w:noWrap/>
            <w:vAlign w:val="center"/>
          </w:tcPr>
          <w:p w14:paraId="0D7287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200-300元/杆</w:t>
            </w:r>
          </w:p>
        </w:tc>
        <w:tc>
          <w:tcPr>
            <w:tcW w:w="2032" w:type="dxa"/>
            <w:vMerge/>
            <w:noWrap/>
            <w:vAlign w:val="center"/>
          </w:tcPr>
          <w:p w14:paraId="7DC5C4C4" w14:textId="77777777" w:rsidR="00A320E6" w:rsidRDefault="00A320E6" w:rsidP="00AE0286">
            <w:pPr>
              <w:jc w:val="left"/>
              <w:rPr>
                <w:rFonts w:ascii="宋体" w:hAnsi="宋体" w:cs="宋体"/>
                <w:kern w:val="0"/>
                <w:szCs w:val="21"/>
              </w:rPr>
            </w:pPr>
          </w:p>
        </w:tc>
      </w:tr>
      <w:tr w:rsidR="00A320E6" w14:paraId="785EAC56" w14:textId="77777777" w:rsidTr="008B03FA">
        <w:trPr>
          <w:trHeight w:val="312"/>
        </w:trPr>
        <w:tc>
          <w:tcPr>
            <w:tcW w:w="650" w:type="dxa"/>
            <w:vMerge w:val="restart"/>
            <w:noWrap/>
            <w:vAlign w:val="center"/>
          </w:tcPr>
          <w:p w14:paraId="4114746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w:t>
            </w:r>
          </w:p>
        </w:tc>
        <w:tc>
          <w:tcPr>
            <w:tcW w:w="768" w:type="dxa"/>
            <w:vMerge w:val="restart"/>
            <w:noWrap/>
            <w:vAlign w:val="center"/>
          </w:tcPr>
          <w:p w14:paraId="48C33431"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砖窑</w:t>
            </w:r>
          </w:p>
        </w:tc>
        <w:tc>
          <w:tcPr>
            <w:tcW w:w="3557" w:type="dxa"/>
            <w:noWrap/>
            <w:vAlign w:val="center"/>
          </w:tcPr>
          <w:p w14:paraId="03B6174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18、20、22、32门轮窑</w:t>
            </w:r>
          </w:p>
        </w:tc>
        <w:tc>
          <w:tcPr>
            <w:tcW w:w="1821" w:type="dxa"/>
            <w:noWrap/>
            <w:vAlign w:val="center"/>
          </w:tcPr>
          <w:p w14:paraId="7BA8436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9000-12000元/门</w:t>
            </w:r>
          </w:p>
        </w:tc>
        <w:tc>
          <w:tcPr>
            <w:tcW w:w="2032" w:type="dxa"/>
            <w:vMerge w:val="restart"/>
            <w:noWrap/>
            <w:vAlign w:val="center"/>
          </w:tcPr>
          <w:p w14:paraId="012EB83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报废的按照50%补偿。</w:t>
            </w:r>
          </w:p>
        </w:tc>
      </w:tr>
      <w:tr w:rsidR="00A320E6" w14:paraId="54A632A8" w14:textId="77777777" w:rsidTr="008B03FA">
        <w:trPr>
          <w:trHeight w:val="312"/>
        </w:trPr>
        <w:tc>
          <w:tcPr>
            <w:tcW w:w="650" w:type="dxa"/>
            <w:vMerge/>
            <w:noWrap/>
            <w:vAlign w:val="center"/>
          </w:tcPr>
          <w:p w14:paraId="63065794"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55AA335" w14:textId="77777777" w:rsidR="00A320E6" w:rsidRDefault="00A320E6" w:rsidP="00AE0286">
            <w:pPr>
              <w:jc w:val="center"/>
              <w:rPr>
                <w:rFonts w:ascii="宋体" w:hAnsi="宋体" w:cs="宋体"/>
                <w:kern w:val="0"/>
                <w:szCs w:val="21"/>
              </w:rPr>
            </w:pPr>
          </w:p>
        </w:tc>
        <w:tc>
          <w:tcPr>
            <w:tcW w:w="3557" w:type="dxa"/>
            <w:noWrap/>
            <w:vAlign w:val="center"/>
          </w:tcPr>
          <w:p w14:paraId="0133E4F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老式土窑</w:t>
            </w:r>
          </w:p>
        </w:tc>
        <w:tc>
          <w:tcPr>
            <w:tcW w:w="1821" w:type="dxa"/>
            <w:noWrap/>
            <w:vAlign w:val="center"/>
          </w:tcPr>
          <w:p w14:paraId="3EE2F6B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18000-26000元/座</w:t>
            </w:r>
          </w:p>
        </w:tc>
        <w:tc>
          <w:tcPr>
            <w:tcW w:w="2032" w:type="dxa"/>
            <w:vMerge/>
            <w:noWrap/>
            <w:vAlign w:val="center"/>
          </w:tcPr>
          <w:p w14:paraId="241F0241" w14:textId="77777777" w:rsidR="00A320E6" w:rsidRDefault="00A320E6" w:rsidP="00AE0286">
            <w:pPr>
              <w:jc w:val="left"/>
              <w:rPr>
                <w:rFonts w:ascii="宋体" w:hAnsi="宋体" w:cs="宋体"/>
                <w:kern w:val="0"/>
                <w:szCs w:val="21"/>
              </w:rPr>
            </w:pPr>
          </w:p>
        </w:tc>
      </w:tr>
      <w:tr w:rsidR="00A320E6" w14:paraId="3932BD18" w14:textId="77777777" w:rsidTr="008B03FA">
        <w:trPr>
          <w:trHeight w:val="312"/>
        </w:trPr>
        <w:tc>
          <w:tcPr>
            <w:tcW w:w="650" w:type="dxa"/>
            <w:vMerge w:val="restart"/>
            <w:noWrap/>
            <w:vAlign w:val="center"/>
          </w:tcPr>
          <w:p w14:paraId="06F235F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w:t>
            </w:r>
          </w:p>
        </w:tc>
        <w:tc>
          <w:tcPr>
            <w:tcW w:w="768" w:type="dxa"/>
            <w:vMerge w:val="restart"/>
            <w:noWrap/>
            <w:vAlign w:val="center"/>
          </w:tcPr>
          <w:p w14:paraId="150D23E4"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蘑菇洞</w:t>
            </w:r>
          </w:p>
        </w:tc>
        <w:tc>
          <w:tcPr>
            <w:tcW w:w="3557" w:type="dxa"/>
            <w:noWrap/>
            <w:vAlign w:val="center"/>
          </w:tcPr>
          <w:p w14:paraId="3426AF8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进深</w:t>
            </w:r>
          </w:p>
        </w:tc>
        <w:tc>
          <w:tcPr>
            <w:tcW w:w="1821" w:type="dxa"/>
            <w:noWrap/>
            <w:vAlign w:val="center"/>
          </w:tcPr>
          <w:p w14:paraId="4B28B5B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130-140元/m</w:t>
            </w:r>
          </w:p>
        </w:tc>
        <w:tc>
          <w:tcPr>
            <w:tcW w:w="2032" w:type="dxa"/>
            <w:vMerge w:val="restart"/>
            <w:noWrap/>
            <w:vAlign w:val="center"/>
          </w:tcPr>
          <w:p w14:paraId="73D122D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常规尺寸：洞底宽2.5米以上，洞高1.8米以上。正在生产的按照市场收益调查给予适当经济补偿。</w:t>
            </w:r>
          </w:p>
        </w:tc>
      </w:tr>
      <w:tr w:rsidR="00A320E6" w14:paraId="67C39FF7" w14:textId="77777777" w:rsidTr="008B03FA">
        <w:trPr>
          <w:trHeight w:val="312"/>
        </w:trPr>
        <w:tc>
          <w:tcPr>
            <w:tcW w:w="650" w:type="dxa"/>
            <w:vMerge/>
            <w:noWrap/>
            <w:vAlign w:val="center"/>
          </w:tcPr>
          <w:p w14:paraId="6A8D08A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F92AF36" w14:textId="77777777" w:rsidR="00A320E6" w:rsidRDefault="00A320E6" w:rsidP="00AE0286">
            <w:pPr>
              <w:jc w:val="center"/>
              <w:rPr>
                <w:rFonts w:ascii="宋体" w:hAnsi="宋体" w:cs="宋体"/>
                <w:kern w:val="0"/>
                <w:szCs w:val="21"/>
              </w:rPr>
            </w:pPr>
          </w:p>
        </w:tc>
        <w:tc>
          <w:tcPr>
            <w:tcW w:w="3557" w:type="dxa"/>
            <w:noWrap/>
            <w:vAlign w:val="center"/>
          </w:tcPr>
          <w:p w14:paraId="795886B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砖拱</w:t>
            </w:r>
          </w:p>
        </w:tc>
        <w:tc>
          <w:tcPr>
            <w:tcW w:w="1821" w:type="dxa"/>
            <w:noWrap/>
            <w:vAlign w:val="center"/>
          </w:tcPr>
          <w:p w14:paraId="54348A4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280-300元/m</w:t>
            </w:r>
          </w:p>
        </w:tc>
        <w:tc>
          <w:tcPr>
            <w:tcW w:w="2032" w:type="dxa"/>
            <w:vMerge/>
            <w:noWrap/>
            <w:vAlign w:val="center"/>
          </w:tcPr>
          <w:p w14:paraId="7EAA5674" w14:textId="77777777" w:rsidR="00A320E6" w:rsidRDefault="00A320E6" w:rsidP="00AE0286">
            <w:pPr>
              <w:jc w:val="left"/>
              <w:rPr>
                <w:rFonts w:ascii="宋体" w:hAnsi="宋体" w:cs="宋体"/>
                <w:kern w:val="0"/>
                <w:szCs w:val="21"/>
              </w:rPr>
            </w:pPr>
          </w:p>
        </w:tc>
      </w:tr>
      <w:tr w:rsidR="00A320E6" w14:paraId="45985FC5" w14:textId="77777777" w:rsidTr="008B03FA">
        <w:trPr>
          <w:trHeight w:val="312"/>
        </w:trPr>
        <w:tc>
          <w:tcPr>
            <w:tcW w:w="650" w:type="dxa"/>
            <w:vMerge/>
            <w:noWrap/>
            <w:vAlign w:val="center"/>
          </w:tcPr>
          <w:p w14:paraId="56DCC270"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E1C1841" w14:textId="77777777" w:rsidR="00A320E6" w:rsidRDefault="00A320E6" w:rsidP="00AE0286">
            <w:pPr>
              <w:jc w:val="center"/>
              <w:rPr>
                <w:rFonts w:ascii="宋体" w:hAnsi="宋体" w:cs="宋体"/>
                <w:kern w:val="0"/>
                <w:szCs w:val="21"/>
              </w:rPr>
            </w:pPr>
          </w:p>
        </w:tc>
        <w:tc>
          <w:tcPr>
            <w:tcW w:w="3557" w:type="dxa"/>
            <w:noWrap/>
            <w:vAlign w:val="center"/>
          </w:tcPr>
          <w:p w14:paraId="46DB601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通风口</w:t>
            </w:r>
          </w:p>
        </w:tc>
        <w:tc>
          <w:tcPr>
            <w:tcW w:w="1821" w:type="dxa"/>
            <w:noWrap/>
            <w:vAlign w:val="center"/>
          </w:tcPr>
          <w:p w14:paraId="69020A2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90-100元/m</w:t>
            </w:r>
          </w:p>
        </w:tc>
        <w:tc>
          <w:tcPr>
            <w:tcW w:w="2032" w:type="dxa"/>
            <w:vMerge/>
            <w:noWrap/>
            <w:vAlign w:val="center"/>
          </w:tcPr>
          <w:p w14:paraId="0E4D468E" w14:textId="77777777" w:rsidR="00A320E6" w:rsidRDefault="00A320E6" w:rsidP="00AE0286">
            <w:pPr>
              <w:jc w:val="left"/>
              <w:rPr>
                <w:rFonts w:ascii="宋体" w:hAnsi="宋体" w:cs="宋体"/>
                <w:kern w:val="0"/>
                <w:szCs w:val="21"/>
              </w:rPr>
            </w:pPr>
          </w:p>
        </w:tc>
      </w:tr>
      <w:tr w:rsidR="00A320E6" w14:paraId="6C6A80ED" w14:textId="77777777" w:rsidTr="008B03FA">
        <w:trPr>
          <w:trHeight w:val="312"/>
        </w:trPr>
        <w:tc>
          <w:tcPr>
            <w:tcW w:w="650" w:type="dxa"/>
            <w:vMerge w:val="restart"/>
            <w:noWrap/>
            <w:vAlign w:val="center"/>
          </w:tcPr>
          <w:p w14:paraId="019EEC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w:t>
            </w:r>
          </w:p>
        </w:tc>
        <w:tc>
          <w:tcPr>
            <w:tcW w:w="768" w:type="dxa"/>
            <w:vMerge w:val="restart"/>
            <w:noWrap/>
            <w:vAlign w:val="center"/>
          </w:tcPr>
          <w:p w14:paraId="48E48FFE"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厕所</w:t>
            </w:r>
          </w:p>
        </w:tc>
        <w:tc>
          <w:tcPr>
            <w:tcW w:w="3557" w:type="dxa"/>
            <w:noWrap/>
            <w:vAlign w:val="center"/>
          </w:tcPr>
          <w:p w14:paraId="0374EFC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砖混有顶</w:t>
            </w:r>
          </w:p>
        </w:tc>
        <w:tc>
          <w:tcPr>
            <w:tcW w:w="1821" w:type="dxa"/>
            <w:noWrap/>
            <w:vAlign w:val="center"/>
          </w:tcPr>
          <w:p w14:paraId="381F3E7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200-260元/m</w:t>
            </w:r>
            <w:r>
              <w:rPr>
                <w:rFonts w:ascii="宋体" w:hAnsi="宋体" w:cs="宋体" w:hint="eastAsia"/>
                <w:color w:val="000000"/>
                <w:kern w:val="0"/>
                <w:szCs w:val="21"/>
                <w:vertAlign w:val="superscript"/>
                <w:lang w:bidi="ar"/>
              </w:rPr>
              <w:t>2</w:t>
            </w:r>
          </w:p>
        </w:tc>
        <w:tc>
          <w:tcPr>
            <w:tcW w:w="2032" w:type="dxa"/>
            <w:noWrap/>
            <w:vAlign w:val="center"/>
          </w:tcPr>
          <w:p w14:paraId="21AC5CA2" w14:textId="77777777" w:rsidR="00A320E6" w:rsidRDefault="00A320E6" w:rsidP="00AE0286">
            <w:pPr>
              <w:jc w:val="center"/>
              <w:rPr>
                <w:rFonts w:ascii="宋体" w:hAnsi="宋体" w:cs="宋体"/>
                <w:kern w:val="0"/>
                <w:szCs w:val="21"/>
              </w:rPr>
            </w:pPr>
          </w:p>
        </w:tc>
      </w:tr>
      <w:tr w:rsidR="00A320E6" w14:paraId="03697486" w14:textId="77777777" w:rsidTr="008B03FA">
        <w:trPr>
          <w:trHeight w:val="312"/>
        </w:trPr>
        <w:tc>
          <w:tcPr>
            <w:tcW w:w="650" w:type="dxa"/>
            <w:vMerge/>
            <w:noWrap/>
            <w:vAlign w:val="center"/>
          </w:tcPr>
          <w:p w14:paraId="4CE0E847"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B3BC016" w14:textId="77777777" w:rsidR="00A320E6" w:rsidRDefault="00A320E6" w:rsidP="00AE0286">
            <w:pPr>
              <w:jc w:val="center"/>
              <w:rPr>
                <w:rFonts w:ascii="宋体" w:hAnsi="宋体" w:cs="宋体"/>
                <w:kern w:val="0"/>
                <w:szCs w:val="21"/>
              </w:rPr>
            </w:pPr>
          </w:p>
        </w:tc>
        <w:tc>
          <w:tcPr>
            <w:tcW w:w="3557" w:type="dxa"/>
            <w:noWrap/>
            <w:vAlign w:val="center"/>
          </w:tcPr>
          <w:p w14:paraId="6E44F31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有顶简易厕所</w:t>
            </w:r>
          </w:p>
        </w:tc>
        <w:tc>
          <w:tcPr>
            <w:tcW w:w="1821" w:type="dxa"/>
            <w:noWrap/>
            <w:vAlign w:val="center"/>
          </w:tcPr>
          <w:p w14:paraId="662EB72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80-120元/m</w:t>
            </w:r>
            <w:r>
              <w:rPr>
                <w:rFonts w:ascii="宋体" w:hAnsi="宋体" w:cs="宋体" w:hint="eastAsia"/>
                <w:color w:val="000000"/>
                <w:kern w:val="0"/>
                <w:szCs w:val="21"/>
                <w:vertAlign w:val="superscript"/>
                <w:lang w:bidi="ar"/>
              </w:rPr>
              <w:t>2</w:t>
            </w:r>
          </w:p>
        </w:tc>
        <w:tc>
          <w:tcPr>
            <w:tcW w:w="2032" w:type="dxa"/>
            <w:noWrap/>
            <w:vAlign w:val="center"/>
          </w:tcPr>
          <w:p w14:paraId="293578D6" w14:textId="77777777" w:rsidR="00A320E6" w:rsidRDefault="00A320E6" w:rsidP="00AE0286">
            <w:pPr>
              <w:jc w:val="center"/>
              <w:rPr>
                <w:rFonts w:ascii="宋体" w:hAnsi="宋体" w:cs="宋体"/>
                <w:kern w:val="0"/>
                <w:szCs w:val="21"/>
              </w:rPr>
            </w:pPr>
          </w:p>
        </w:tc>
      </w:tr>
      <w:tr w:rsidR="00A320E6" w14:paraId="312812C0" w14:textId="77777777" w:rsidTr="008B03FA">
        <w:trPr>
          <w:trHeight w:val="312"/>
        </w:trPr>
        <w:tc>
          <w:tcPr>
            <w:tcW w:w="650" w:type="dxa"/>
            <w:vMerge/>
            <w:noWrap/>
            <w:vAlign w:val="center"/>
          </w:tcPr>
          <w:p w14:paraId="7FA7F6C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9B3B9D6" w14:textId="77777777" w:rsidR="00A320E6" w:rsidRDefault="00A320E6" w:rsidP="00AE0286">
            <w:pPr>
              <w:jc w:val="center"/>
              <w:rPr>
                <w:rFonts w:ascii="宋体" w:hAnsi="宋体" w:cs="宋体"/>
                <w:kern w:val="0"/>
                <w:szCs w:val="21"/>
              </w:rPr>
            </w:pPr>
          </w:p>
        </w:tc>
        <w:tc>
          <w:tcPr>
            <w:tcW w:w="3557" w:type="dxa"/>
            <w:noWrap/>
            <w:vAlign w:val="center"/>
          </w:tcPr>
          <w:p w14:paraId="2EED3CC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露天厕所</w:t>
            </w:r>
          </w:p>
        </w:tc>
        <w:tc>
          <w:tcPr>
            <w:tcW w:w="1821" w:type="dxa"/>
            <w:noWrap/>
            <w:vAlign w:val="center"/>
          </w:tcPr>
          <w:p w14:paraId="5E40952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150-200元/个</w:t>
            </w:r>
          </w:p>
        </w:tc>
        <w:tc>
          <w:tcPr>
            <w:tcW w:w="2032" w:type="dxa"/>
            <w:noWrap/>
            <w:vAlign w:val="center"/>
          </w:tcPr>
          <w:p w14:paraId="6EA7A9C0" w14:textId="77777777" w:rsidR="00A320E6" w:rsidRDefault="00A320E6" w:rsidP="00AE0286">
            <w:pPr>
              <w:jc w:val="center"/>
              <w:rPr>
                <w:rFonts w:ascii="宋体" w:hAnsi="宋体" w:cs="宋体"/>
                <w:kern w:val="0"/>
                <w:szCs w:val="21"/>
              </w:rPr>
            </w:pPr>
          </w:p>
        </w:tc>
      </w:tr>
      <w:tr w:rsidR="00A320E6" w14:paraId="113B0830" w14:textId="77777777" w:rsidTr="008B03FA">
        <w:trPr>
          <w:trHeight w:val="312"/>
        </w:trPr>
        <w:tc>
          <w:tcPr>
            <w:tcW w:w="650" w:type="dxa"/>
            <w:vMerge w:val="restart"/>
            <w:noWrap/>
            <w:vAlign w:val="center"/>
          </w:tcPr>
          <w:p w14:paraId="69642E1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17</w:t>
            </w:r>
          </w:p>
        </w:tc>
        <w:tc>
          <w:tcPr>
            <w:tcW w:w="768" w:type="dxa"/>
            <w:vMerge w:val="restart"/>
            <w:noWrap/>
            <w:vAlign w:val="center"/>
          </w:tcPr>
          <w:p w14:paraId="4348CFC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大门</w:t>
            </w:r>
          </w:p>
        </w:tc>
        <w:tc>
          <w:tcPr>
            <w:tcW w:w="3557" w:type="dxa"/>
            <w:noWrap/>
            <w:vAlign w:val="center"/>
          </w:tcPr>
          <w:p w14:paraId="5B5780D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砖垛、门楼、大门</w:t>
            </w:r>
          </w:p>
        </w:tc>
        <w:tc>
          <w:tcPr>
            <w:tcW w:w="1821" w:type="dxa"/>
            <w:noWrap/>
            <w:vAlign w:val="center"/>
          </w:tcPr>
          <w:p w14:paraId="46F7CFB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300-400元/m</w:t>
            </w:r>
            <w:r>
              <w:rPr>
                <w:rFonts w:ascii="宋体" w:hAnsi="宋体" w:cs="宋体" w:hint="eastAsia"/>
                <w:color w:val="000000"/>
                <w:kern w:val="0"/>
                <w:szCs w:val="21"/>
                <w:vertAlign w:val="superscript"/>
                <w:lang w:bidi="ar"/>
              </w:rPr>
              <w:t>2</w:t>
            </w:r>
          </w:p>
        </w:tc>
        <w:tc>
          <w:tcPr>
            <w:tcW w:w="2032" w:type="dxa"/>
            <w:vMerge w:val="restart"/>
            <w:noWrap/>
            <w:vAlign w:val="center"/>
          </w:tcPr>
          <w:p w14:paraId="2BE87E1E"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含大门，分不同材料。</w:t>
            </w:r>
          </w:p>
        </w:tc>
      </w:tr>
      <w:tr w:rsidR="00A320E6" w14:paraId="2EA4141A" w14:textId="77777777" w:rsidTr="008B03FA">
        <w:trPr>
          <w:trHeight w:val="312"/>
        </w:trPr>
        <w:tc>
          <w:tcPr>
            <w:tcW w:w="650" w:type="dxa"/>
            <w:vMerge/>
            <w:noWrap/>
            <w:vAlign w:val="center"/>
          </w:tcPr>
          <w:p w14:paraId="20B5D143"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A29B72D" w14:textId="77777777" w:rsidR="00A320E6" w:rsidRDefault="00A320E6" w:rsidP="00AE0286">
            <w:pPr>
              <w:jc w:val="center"/>
              <w:rPr>
                <w:rFonts w:ascii="宋体" w:hAnsi="宋体" w:cs="宋体"/>
                <w:kern w:val="0"/>
                <w:szCs w:val="21"/>
              </w:rPr>
            </w:pPr>
          </w:p>
        </w:tc>
        <w:tc>
          <w:tcPr>
            <w:tcW w:w="3557" w:type="dxa"/>
            <w:noWrap/>
            <w:vAlign w:val="center"/>
          </w:tcPr>
          <w:p w14:paraId="2D653043"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砖垛、简易大门</w:t>
            </w:r>
          </w:p>
        </w:tc>
        <w:tc>
          <w:tcPr>
            <w:tcW w:w="1821" w:type="dxa"/>
            <w:noWrap/>
            <w:vAlign w:val="center"/>
          </w:tcPr>
          <w:p w14:paraId="1DF9380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100-150元/m</w:t>
            </w:r>
            <w:r>
              <w:rPr>
                <w:rFonts w:ascii="宋体" w:hAnsi="宋体" w:cs="宋体" w:hint="eastAsia"/>
                <w:color w:val="000000"/>
                <w:kern w:val="0"/>
                <w:szCs w:val="21"/>
                <w:vertAlign w:val="superscript"/>
                <w:lang w:bidi="ar"/>
              </w:rPr>
              <w:t>2</w:t>
            </w:r>
          </w:p>
        </w:tc>
        <w:tc>
          <w:tcPr>
            <w:tcW w:w="2032" w:type="dxa"/>
            <w:vMerge/>
            <w:noWrap/>
            <w:vAlign w:val="center"/>
          </w:tcPr>
          <w:p w14:paraId="7CE66B02" w14:textId="77777777" w:rsidR="00A320E6" w:rsidRDefault="00A320E6" w:rsidP="00AE0286">
            <w:pPr>
              <w:rPr>
                <w:rFonts w:ascii="宋体" w:hAnsi="宋体" w:cs="宋体"/>
                <w:kern w:val="0"/>
                <w:szCs w:val="21"/>
              </w:rPr>
            </w:pPr>
          </w:p>
        </w:tc>
      </w:tr>
      <w:tr w:rsidR="00A320E6" w14:paraId="7CD24446" w14:textId="77777777" w:rsidTr="008B03FA">
        <w:trPr>
          <w:trHeight w:val="312"/>
        </w:trPr>
        <w:tc>
          <w:tcPr>
            <w:tcW w:w="650" w:type="dxa"/>
            <w:vMerge w:val="restart"/>
            <w:noWrap/>
            <w:vAlign w:val="center"/>
          </w:tcPr>
          <w:p w14:paraId="67A4045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w:t>
            </w:r>
          </w:p>
        </w:tc>
        <w:tc>
          <w:tcPr>
            <w:tcW w:w="768" w:type="dxa"/>
            <w:vMerge w:val="restart"/>
            <w:noWrap/>
            <w:vAlign w:val="center"/>
          </w:tcPr>
          <w:p w14:paraId="1A471762"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迎门墙</w:t>
            </w:r>
          </w:p>
        </w:tc>
        <w:tc>
          <w:tcPr>
            <w:tcW w:w="3557" w:type="dxa"/>
            <w:noWrap/>
            <w:vAlign w:val="center"/>
          </w:tcPr>
          <w:p w14:paraId="3458D0A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贴瓷瓦</w:t>
            </w:r>
          </w:p>
        </w:tc>
        <w:tc>
          <w:tcPr>
            <w:tcW w:w="1821" w:type="dxa"/>
            <w:noWrap/>
            <w:vAlign w:val="center"/>
          </w:tcPr>
          <w:p w14:paraId="4E49B6D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200-400元/m</w:t>
            </w:r>
            <w:r>
              <w:rPr>
                <w:rFonts w:ascii="宋体" w:hAnsi="宋体" w:cs="宋体" w:hint="eastAsia"/>
                <w:color w:val="000000"/>
                <w:kern w:val="0"/>
                <w:szCs w:val="21"/>
                <w:vertAlign w:val="superscript"/>
                <w:lang w:bidi="ar"/>
              </w:rPr>
              <w:t>2</w:t>
            </w:r>
          </w:p>
        </w:tc>
        <w:tc>
          <w:tcPr>
            <w:tcW w:w="2032" w:type="dxa"/>
            <w:noWrap/>
            <w:vAlign w:val="center"/>
          </w:tcPr>
          <w:p w14:paraId="7CF92375" w14:textId="77777777" w:rsidR="00A320E6" w:rsidRDefault="00A320E6" w:rsidP="00AE0286">
            <w:pPr>
              <w:jc w:val="center"/>
              <w:rPr>
                <w:rFonts w:ascii="宋体" w:hAnsi="宋体" w:cs="宋体"/>
                <w:kern w:val="0"/>
                <w:szCs w:val="21"/>
              </w:rPr>
            </w:pPr>
          </w:p>
        </w:tc>
      </w:tr>
      <w:tr w:rsidR="00A320E6" w14:paraId="5FB9F1B6" w14:textId="77777777" w:rsidTr="008B03FA">
        <w:trPr>
          <w:trHeight w:val="312"/>
        </w:trPr>
        <w:tc>
          <w:tcPr>
            <w:tcW w:w="650" w:type="dxa"/>
            <w:vMerge/>
            <w:noWrap/>
            <w:vAlign w:val="center"/>
          </w:tcPr>
          <w:p w14:paraId="29922C8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7C36E64" w14:textId="77777777" w:rsidR="00A320E6" w:rsidRDefault="00A320E6" w:rsidP="00AE0286">
            <w:pPr>
              <w:jc w:val="center"/>
              <w:rPr>
                <w:rFonts w:ascii="宋体" w:hAnsi="宋体" w:cs="宋体"/>
                <w:kern w:val="0"/>
                <w:szCs w:val="21"/>
              </w:rPr>
            </w:pPr>
          </w:p>
        </w:tc>
        <w:tc>
          <w:tcPr>
            <w:tcW w:w="3557" w:type="dxa"/>
            <w:noWrap/>
            <w:vAlign w:val="center"/>
          </w:tcPr>
          <w:p w14:paraId="4F6EDE6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砖或石</w:t>
            </w:r>
          </w:p>
        </w:tc>
        <w:tc>
          <w:tcPr>
            <w:tcW w:w="1821" w:type="dxa"/>
            <w:noWrap/>
            <w:vAlign w:val="center"/>
          </w:tcPr>
          <w:p w14:paraId="6B55DFD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100-150元/m</w:t>
            </w:r>
            <w:r>
              <w:rPr>
                <w:rFonts w:ascii="宋体" w:hAnsi="宋体" w:cs="宋体" w:hint="eastAsia"/>
                <w:color w:val="000000"/>
                <w:kern w:val="0"/>
                <w:szCs w:val="21"/>
                <w:vertAlign w:val="superscript"/>
                <w:lang w:bidi="ar"/>
              </w:rPr>
              <w:t>2</w:t>
            </w:r>
          </w:p>
        </w:tc>
        <w:tc>
          <w:tcPr>
            <w:tcW w:w="2032" w:type="dxa"/>
            <w:noWrap/>
            <w:vAlign w:val="center"/>
          </w:tcPr>
          <w:p w14:paraId="587A1D11" w14:textId="77777777" w:rsidR="00A320E6" w:rsidRDefault="00A320E6" w:rsidP="00AE0286">
            <w:pPr>
              <w:jc w:val="center"/>
              <w:rPr>
                <w:rFonts w:ascii="宋体" w:hAnsi="宋体" w:cs="宋体"/>
                <w:kern w:val="0"/>
                <w:szCs w:val="21"/>
              </w:rPr>
            </w:pPr>
          </w:p>
        </w:tc>
      </w:tr>
      <w:tr w:rsidR="00A320E6" w14:paraId="4679F566" w14:textId="77777777" w:rsidTr="008B03FA">
        <w:trPr>
          <w:trHeight w:val="312"/>
        </w:trPr>
        <w:tc>
          <w:tcPr>
            <w:tcW w:w="650" w:type="dxa"/>
            <w:noWrap/>
            <w:vAlign w:val="center"/>
          </w:tcPr>
          <w:p w14:paraId="7B7AB97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19</w:t>
            </w:r>
          </w:p>
        </w:tc>
        <w:tc>
          <w:tcPr>
            <w:tcW w:w="768" w:type="dxa"/>
            <w:noWrap/>
            <w:vAlign w:val="center"/>
          </w:tcPr>
          <w:p w14:paraId="2E2A0F14"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水窖</w:t>
            </w:r>
          </w:p>
        </w:tc>
        <w:tc>
          <w:tcPr>
            <w:tcW w:w="3557" w:type="dxa"/>
            <w:noWrap/>
            <w:vAlign w:val="center"/>
          </w:tcPr>
          <w:p w14:paraId="1E914E0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w:t>
            </w:r>
          </w:p>
        </w:tc>
        <w:tc>
          <w:tcPr>
            <w:tcW w:w="1821" w:type="dxa"/>
            <w:noWrap/>
            <w:vAlign w:val="center"/>
          </w:tcPr>
          <w:p w14:paraId="476C361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150-200元/m</w:t>
            </w:r>
            <w:r>
              <w:rPr>
                <w:rFonts w:ascii="宋体" w:hAnsi="宋体" w:cs="宋体" w:hint="eastAsia"/>
                <w:color w:val="000000"/>
                <w:kern w:val="0"/>
                <w:szCs w:val="21"/>
                <w:vertAlign w:val="superscript"/>
                <w:lang w:bidi="ar"/>
              </w:rPr>
              <w:t>3</w:t>
            </w:r>
          </w:p>
        </w:tc>
        <w:tc>
          <w:tcPr>
            <w:tcW w:w="2032" w:type="dxa"/>
            <w:noWrap/>
            <w:vAlign w:val="center"/>
          </w:tcPr>
          <w:p w14:paraId="1D64FE3C" w14:textId="77777777" w:rsidR="00A320E6" w:rsidRDefault="00000000" w:rsidP="00AE0286">
            <w:pPr>
              <w:textAlignment w:val="center"/>
              <w:rPr>
                <w:rFonts w:ascii="宋体" w:hAnsi="宋体" w:cs="宋体"/>
                <w:kern w:val="0"/>
                <w:szCs w:val="21"/>
              </w:rPr>
            </w:pPr>
            <w:r>
              <w:rPr>
                <w:rFonts w:ascii="宋体" w:hAnsi="宋体" w:cs="宋体" w:hint="eastAsia"/>
                <w:color w:val="000000"/>
                <w:kern w:val="0"/>
                <w:szCs w:val="21"/>
                <w:lang w:bidi="ar"/>
              </w:rPr>
              <w:t>铺底、有顶盖。</w:t>
            </w:r>
          </w:p>
        </w:tc>
      </w:tr>
      <w:tr w:rsidR="00A320E6" w14:paraId="60FC4A38" w14:textId="77777777" w:rsidTr="008B03FA">
        <w:trPr>
          <w:trHeight w:val="312"/>
        </w:trPr>
        <w:tc>
          <w:tcPr>
            <w:tcW w:w="650" w:type="dxa"/>
            <w:noWrap/>
            <w:vAlign w:val="center"/>
          </w:tcPr>
          <w:p w14:paraId="4FC82D5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p>
        </w:tc>
        <w:tc>
          <w:tcPr>
            <w:tcW w:w="768" w:type="dxa"/>
            <w:noWrap/>
            <w:vAlign w:val="center"/>
          </w:tcPr>
          <w:p w14:paraId="4D800991"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地窖</w:t>
            </w:r>
          </w:p>
        </w:tc>
        <w:tc>
          <w:tcPr>
            <w:tcW w:w="3557" w:type="dxa"/>
            <w:noWrap/>
            <w:vAlign w:val="center"/>
          </w:tcPr>
          <w:p w14:paraId="43FBEAE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砖混</w:t>
            </w:r>
          </w:p>
        </w:tc>
        <w:tc>
          <w:tcPr>
            <w:tcW w:w="1821" w:type="dxa"/>
            <w:noWrap/>
            <w:vAlign w:val="center"/>
          </w:tcPr>
          <w:p w14:paraId="326F509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80-100元/m</w:t>
            </w:r>
            <w:r>
              <w:rPr>
                <w:rFonts w:ascii="宋体" w:hAnsi="宋体" w:cs="宋体" w:hint="eastAsia"/>
                <w:color w:val="000000"/>
                <w:kern w:val="0"/>
                <w:szCs w:val="21"/>
                <w:vertAlign w:val="superscript"/>
                <w:lang w:bidi="ar"/>
              </w:rPr>
              <w:t>3</w:t>
            </w:r>
          </w:p>
        </w:tc>
        <w:tc>
          <w:tcPr>
            <w:tcW w:w="2032" w:type="dxa"/>
            <w:noWrap/>
            <w:vAlign w:val="center"/>
          </w:tcPr>
          <w:p w14:paraId="7374C025" w14:textId="77777777" w:rsidR="00A320E6" w:rsidRDefault="00A320E6" w:rsidP="00AE0286">
            <w:pPr>
              <w:jc w:val="center"/>
              <w:rPr>
                <w:rFonts w:ascii="宋体" w:hAnsi="宋体" w:cs="宋体"/>
                <w:kern w:val="0"/>
                <w:szCs w:val="21"/>
              </w:rPr>
            </w:pPr>
          </w:p>
        </w:tc>
      </w:tr>
      <w:tr w:rsidR="00A320E6" w14:paraId="57507767" w14:textId="77777777" w:rsidTr="008B03FA">
        <w:trPr>
          <w:trHeight w:val="312"/>
        </w:trPr>
        <w:tc>
          <w:tcPr>
            <w:tcW w:w="650" w:type="dxa"/>
            <w:vMerge w:val="restart"/>
            <w:noWrap/>
            <w:vAlign w:val="center"/>
          </w:tcPr>
          <w:p w14:paraId="49B82D1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21</w:t>
            </w:r>
          </w:p>
        </w:tc>
        <w:tc>
          <w:tcPr>
            <w:tcW w:w="768" w:type="dxa"/>
            <w:vMerge w:val="restart"/>
            <w:noWrap/>
            <w:vAlign w:val="center"/>
          </w:tcPr>
          <w:p w14:paraId="39A5E681"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乔木</w:t>
            </w:r>
          </w:p>
        </w:tc>
        <w:tc>
          <w:tcPr>
            <w:tcW w:w="3557" w:type="dxa"/>
            <w:noWrap/>
            <w:vAlign w:val="center"/>
          </w:tcPr>
          <w:p w14:paraId="2C88A9F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胸径小于5cm（幼树，松柏树小于3cm）</w:t>
            </w:r>
          </w:p>
        </w:tc>
        <w:tc>
          <w:tcPr>
            <w:tcW w:w="1821" w:type="dxa"/>
            <w:noWrap/>
            <w:vAlign w:val="center"/>
          </w:tcPr>
          <w:p w14:paraId="11ED776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2-6元/棵</w:t>
            </w:r>
          </w:p>
        </w:tc>
        <w:tc>
          <w:tcPr>
            <w:tcW w:w="2032" w:type="dxa"/>
            <w:vMerge w:val="restart"/>
            <w:noWrap/>
            <w:vAlign w:val="center"/>
          </w:tcPr>
          <w:p w14:paraId="5E0A3189"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1.树归原主。</w:t>
            </w:r>
          </w:p>
          <w:p w14:paraId="481B386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2.观赏树补偿最高不能高于200元/棵。</w:t>
            </w:r>
          </w:p>
        </w:tc>
      </w:tr>
      <w:tr w:rsidR="00A320E6" w14:paraId="5A92A121" w14:textId="77777777" w:rsidTr="008B03FA">
        <w:trPr>
          <w:trHeight w:val="312"/>
        </w:trPr>
        <w:tc>
          <w:tcPr>
            <w:tcW w:w="650" w:type="dxa"/>
            <w:vMerge/>
            <w:noWrap/>
            <w:vAlign w:val="center"/>
          </w:tcPr>
          <w:p w14:paraId="45018109"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5C00F35" w14:textId="77777777" w:rsidR="00A320E6" w:rsidRDefault="00A320E6" w:rsidP="00AE0286">
            <w:pPr>
              <w:jc w:val="center"/>
              <w:rPr>
                <w:rFonts w:ascii="宋体" w:hAnsi="宋体" w:cs="宋体"/>
                <w:kern w:val="0"/>
                <w:szCs w:val="21"/>
              </w:rPr>
            </w:pPr>
          </w:p>
        </w:tc>
        <w:tc>
          <w:tcPr>
            <w:tcW w:w="3557" w:type="dxa"/>
            <w:noWrap/>
            <w:vAlign w:val="center"/>
          </w:tcPr>
          <w:p w14:paraId="1414556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胸径5-10cm（松柏树3-6cm）</w:t>
            </w:r>
          </w:p>
        </w:tc>
        <w:tc>
          <w:tcPr>
            <w:tcW w:w="1821" w:type="dxa"/>
            <w:noWrap/>
            <w:vAlign w:val="center"/>
          </w:tcPr>
          <w:p w14:paraId="6B1CE82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20-60元/棵</w:t>
            </w:r>
          </w:p>
        </w:tc>
        <w:tc>
          <w:tcPr>
            <w:tcW w:w="2032" w:type="dxa"/>
            <w:vMerge/>
            <w:noWrap/>
            <w:vAlign w:val="center"/>
          </w:tcPr>
          <w:p w14:paraId="4F03A9B7" w14:textId="77777777" w:rsidR="00A320E6" w:rsidRDefault="00A320E6" w:rsidP="00AE0286">
            <w:pPr>
              <w:jc w:val="left"/>
              <w:textAlignment w:val="center"/>
              <w:rPr>
                <w:rFonts w:ascii="宋体" w:hAnsi="宋体" w:cs="宋体"/>
                <w:kern w:val="0"/>
                <w:szCs w:val="21"/>
              </w:rPr>
            </w:pPr>
          </w:p>
        </w:tc>
      </w:tr>
      <w:tr w:rsidR="00A320E6" w14:paraId="25EF2E1F" w14:textId="77777777" w:rsidTr="008B03FA">
        <w:trPr>
          <w:trHeight w:val="312"/>
        </w:trPr>
        <w:tc>
          <w:tcPr>
            <w:tcW w:w="650" w:type="dxa"/>
            <w:vMerge/>
            <w:noWrap/>
            <w:vAlign w:val="center"/>
          </w:tcPr>
          <w:p w14:paraId="463C4C0D"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23E5921" w14:textId="77777777" w:rsidR="00A320E6" w:rsidRDefault="00A320E6" w:rsidP="00AE0286">
            <w:pPr>
              <w:jc w:val="center"/>
              <w:rPr>
                <w:rFonts w:ascii="宋体" w:hAnsi="宋体" w:cs="宋体"/>
                <w:kern w:val="0"/>
                <w:szCs w:val="21"/>
              </w:rPr>
            </w:pPr>
          </w:p>
        </w:tc>
        <w:tc>
          <w:tcPr>
            <w:tcW w:w="3557" w:type="dxa"/>
            <w:noWrap/>
            <w:vAlign w:val="center"/>
          </w:tcPr>
          <w:p w14:paraId="7CEE089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胸径10-20cm（松柏树6-10cm）</w:t>
            </w:r>
          </w:p>
        </w:tc>
        <w:tc>
          <w:tcPr>
            <w:tcW w:w="1821" w:type="dxa"/>
            <w:noWrap/>
            <w:vAlign w:val="center"/>
          </w:tcPr>
          <w:p w14:paraId="52CDC07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60-80元/棵</w:t>
            </w:r>
          </w:p>
        </w:tc>
        <w:tc>
          <w:tcPr>
            <w:tcW w:w="2032" w:type="dxa"/>
            <w:vMerge/>
            <w:noWrap/>
            <w:vAlign w:val="center"/>
          </w:tcPr>
          <w:p w14:paraId="3A5D3CB8" w14:textId="77777777" w:rsidR="00A320E6" w:rsidRDefault="00A320E6" w:rsidP="00AE0286">
            <w:pPr>
              <w:rPr>
                <w:rFonts w:ascii="宋体" w:hAnsi="宋体" w:cs="宋体"/>
                <w:kern w:val="0"/>
                <w:szCs w:val="21"/>
              </w:rPr>
            </w:pPr>
          </w:p>
        </w:tc>
      </w:tr>
      <w:tr w:rsidR="00A320E6" w14:paraId="5ABAEB8E" w14:textId="77777777" w:rsidTr="008B03FA">
        <w:trPr>
          <w:trHeight w:val="312"/>
        </w:trPr>
        <w:tc>
          <w:tcPr>
            <w:tcW w:w="650" w:type="dxa"/>
            <w:vMerge/>
            <w:noWrap/>
            <w:vAlign w:val="center"/>
          </w:tcPr>
          <w:p w14:paraId="63C9157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449EEB2" w14:textId="77777777" w:rsidR="00A320E6" w:rsidRDefault="00A320E6" w:rsidP="00AE0286">
            <w:pPr>
              <w:jc w:val="center"/>
              <w:rPr>
                <w:rFonts w:ascii="宋体" w:hAnsi="宋体" w:cs="宋体"/>
                <w:kern w:val="0"/>
                <w:szCs w:val="21"/>
              </w:rPr>
            </w:pPr>
          </w:p>
        </w:tc>
        <w:tc>
          <w:tcPr>
            <w:tcW w:w="3557" w:type="dxa"/>
            <w:noWrap/>
            <w:vAlign w:val="center"/>
          </w:tcPr>
          <w:p w14:paraId="1356E26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胸径大于20cm（松柏树10cm以上）成材料</w:t>
            </w:r>
          </w:p>
        </w:tc>
        <w:tc>
          <w:tcPr>
            <w:tcW w:w="1821" w:type="dxa"/>
            <w:noWrap/>
            <w:vAlign w:val="center"/>
          </w:tcPr>
          <w:p w14:paraId="07395F8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80-120元/棵</w:t>
            </w:r>
          </w:p>
        </w:tc>
        <w:tc>
          <w:tcPr>
            <w:tcW w:w="2032" w:type="dxa"/>
            <w:vMerge/>
            <w:noWrap/>
            <w:vAlign w:val="center"/>
          </w:tcPr>
          <w:p w14:paraId="3F131935" w14:textId="77777777" w:rsidR="00A320E6" w:rsidRDefault="00A320E6" w:rsidP="00AE0286">
            <w:pPr>
              <w:rPr>
                <w:rFonts w:ascii="宋体" w:hAnsi="宋体" w:cs="宋体"/>
                <w:kern w:val="0"/>
                <w:szCs w:val="21"/>
              </w:rPr>
            </w:pPr>
          </w:p>
        </w:tc>
      </w:tr>
      <w:tr w:rsidR="00A320E6" w14:paraId="7A054238" w14:textId="77777777" w:rsidTr="008B03FA">
        <w:trPr>
          <w:trHeight w:val="312"/>
        </w:trPr>
        <w:tc>
          <w:tcPr>
            <w:tcW w:w="650" w:type="dxa"/>
            <w:vMerge w:val="restart"/>
            <w:noWrap/>
            <w:vAlign w:val="center"/>
          </w:tcPr>
          <w:p w14:paraId="4FEB969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22</w:t>
            </w:r>
          </w:p>
        </w:tc>
        <w:tc>
          <w:tcPr>
            <w:tcW w:w="768" w:type="dxa"/>
            <w:vMerge w:val="restart"/>
            <w:noWrap/>
            <w:vAlign w:val="center"/>
          </w:tcPr>
          <w:p w14:paraId="1BFD80FE"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灌木</w:t>
            </w:r>
          </w:p>
        </w:tc>
        <w:tc>
          <w:tcPr>
            <w:tcW w:w="3557" w:type="dxa"/>
            <w:noWrap/>
            <w:vAlign w:val="center"/>
          </w:tcPr>
          <w:p w14:paraId="674A4B1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一年生以内</w:t>
            </w:r>
          </w:p>
        </w:tc>
        <w:tc>
          <w:tcPr>
            <w:tcW w:w="1821" w:type="dxa"/>
            <w:noWrap/>
            <w:vAlign w:val="center"/>
          </w:tcPr>
          <w:p w14:paraId="282FA1C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5-8元/墩</w:t>
            </w:r>
          </w:p>
        </w:tc>
        <w:tc>
          <w:tcPr>
            <w:tcW w:w="2032" w:type="dxa"/>
            <w:vMerge w:val="restart"/>
            <w:noWrap/>
            <w:vAlign w:val="center"/>
          </w:tcPr>
          <w:p w14:paraId="465D07E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1.每墩出条数按10-20根计算。2.观赏经济类可提高60-80%。</w:t>
            </w:r>
          </w:p>
        </w:tc>
      </w:tr>
      <w:tr w:rsidR="00A320E6" w14:paraId="6FA08762" w14:textId="77777777" w:rsidTr="008B03FA">
        <w:trPr>
          <w:trHeight w:val="312"/>
        </w:trPr>
        <w:tc>
          <w:tcPr>
            <w:tcW w:w="650" w:type="dxa"/>
            <w:vMerge/>
            <w:noWrap/>
            <w:vAlign w:val="center"/>
          </w:tcPr>
          <w:p w14:paraId="36CA509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A834AAA" w14:textId="77777777" w:rsidR="00A320E6" w:rsidRDefault="00A320E6" w:rsidP="00AE0286">
            <w:pPr>
              <w:jc w:val="center"/>
              <w:rPr>
                <w:rFonts w:ascii="宋体" w:hAnsi="宋体" w:cs="宋体"/>
                <w:kern w:val="0"/>
                <w:szCs w:val="21"/>
              </w:rPr>
            </w:pPr>
          </w:p>
        </w:tc>
        <w:tc>
          <w:tcPr>
            <w:tcW w:w="3557" w:type="dxa"/>
            <w:noWrap/>
            <w:vAlign w:val="center"/>
          </w:tcPr>
          <w:p w14:paraId="69D4150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一年生以上</w:t>
            </w:r>
          </w:p>
        </w:tc>
        <w:tc>
          <w:tcPr>
            <w:tcW w:w="1821" w:type="dxa"/>
            <w:noWrap/>
            <w:vAlign w:val="center"/>
          </w:tcPr>
          <w:p w14:paraId="0836988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6-10元/墩</w:t>
            </w:r>
          </w:p>
        </w:tc>
        <w:tc>
          <w:tcPr>
            <w:tcW w:w="2032" w:type="dxa"/>
            <w:vMerge/>
            <w:noWrap/>
            <w:vAlign w:val="center"/>
          </w:tcPr>
          <w:p w14:paraId="3185A891" w14:textId="77777777" w:rsidR="00A320E6" w:rsidRDefault="00A320E6" w:rsidP="00AE0286">
            <w:pPr>
              <w:jc w:val="left"/>
              <w:rPr>
                <w:rFonts w:ascii="宋体" w:hAnsi="宋体" w:cs="宋体"/>
                <w:kern w:val="0"/>
                <w:szCs w:val="21"/>
              </w:rPr>
            </w:pPr>
          </w:p>
        </w:tc>
      </w:tr>
      <w:tr w:rsidR="00A320E6" w14:paraId="6EF89FAC" w14:textId="77777777" w:rsidTr="008B03FA">
        <w:trPr>
          <w:trHeight w:val="312"/>
        </w:trPr>
        <w:tc>
          <w:tcPr>
            <w:tcW w:w="650" w:type="dxa"/>
            <w:vMerge w:val="restart"/>
            <w:noWrap/>
            <w:vAlign w:val="center"/>
          </w:tcPr>
          <w:p w14:paraId="7C76AA1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23</w:t>
            </w:r>
          </w:p>
        </w:tc>
        <w:tc>
          <w:tcPr>
            <w:tcW w:w="768" w:type="dxa"/>
            <w:vMerge w:val="restart"/>
            <w:noWrap/>
            <w:vAlign w:val="center"/>
          </w:tcPr>
          <w:p w14:paraId="6F683F58"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苗圃</w:t>
            </w:r>
          </w:p>
        </w:tc>
        <w:tc>
          <w:tcPr>
            <w:tcW w:w="3557" w:type="dxa"/>
            <w:noWrap/>
            <w:vAlign w:val="center"/>
          </w:tcPr>
          <w:p w14:paraId="0D53111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3年内下（移栽，下同）</w:t>
            </w:r>
          </w:p>
        </w:tc>
        <w:tc>
          <w:tcPr>
            <w:tcW w:w="1821" w:type="dxa"/>
            <w:noWrap/>
            <w:vAlign w:val="center"/>
          </w:tcPr>
          <w:p w14:paraId="46C2D45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2000-5000元/亩</w:t>
            </w:r>
          </w:p>
        </w:tc>
        <w:tc>
          <w:tcPr>
            <w:tcW w:w="2032" w:type="dxa"/>
            <w:vMerge w:val="restart"/>
            <w:noWrap/>
            <w:vAlign w:val="center"/>
          </w:tcPr>
          <w:p w14:paraId="3B59615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1.花卉苗圃可上浮30%。2.对于稀有珍贵苗木可以委托有资质的机构评估认证。</w:t>
            </w:r>
          </w:p>
        </w:tc>
      </w:tr>
      <w:tr w:rsidR="00A320E6" w14:paraId="2F4759A6" w14:textId="77777777" w:rsidTr="008B03FA">
        <w:trPr>
          <w:trHeight w:val="312"/>
        </w:trPr>
        <w:tc>
          <w:tcPr>
            <w:tcW w:w="650" w:type="dxa"/>
            <w:vMerge/>
            <w:noWrap/>
            <w:vAlign w:val="center"/>
          </w:tcPr>
          <w:p w14:paraId="53126B7D"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4B28ABB" w14:textId="77777777" w:rsidR="00A320E6" w:rsidRDefault="00A320E6" w:rsidP="00AE0286">
            <w:pPr>
              <w:jc w:val="center"/>
              <w:rPr>
                <w:rFonts w:ascii="宋体" w:hAnsi="宋体" w:cs="宋体"/>
                <w:kern w:val="0"/>
                <w:szCs w:val="21"/>
              </w:rPr>
            </w:pPr>
          </w:p>
        </w:tc>
        <w:tc>
          <w:tcPr>
            <w:tcW w:w="3557" w:type="dxa"/>
            <w:noWrap/>
            <w:vAlign w:val="center"/>
          </w:tcPr>
          <w:p w14:paraId="5080E620"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3-5年</w:t>
            </w:r>
          </w:p>
        </w:tc>
        <w:tc>
          <w:tcPr>
            <w:tcW w:w="1821" w:type="dxa"/>
            <w:noWrap/>
            <w:vAlign w:val="center"/>
          </w:tcPr>
          <w:p w14:paraId="7C092A5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5000-8000元/亩</w:t>
            </w:r>
          </w:p>
        </w:tc>
        <w:tc>
          <w:tcPr>
            <w:tcW w:w="2032" w:type="dxa"/>
            <w:vMerge/>
            <w:noWrap/>
            <w:vAlign w:val="center"/>
          </w:tcPr>
          <w:p w14:paraId="06A97DAF" w14:textId="77777777" w:rsidR="00A320E6" w:rsidRDefault="00A320E6" w:rsidP="00AE0286">
            <w:pPr>
              <w:jc w:val="left"/>
              <w:rPr>
                <w:rFonts w:ascii="宋体" w:hAnsi="宋体" w:cs="宋体"/>
                <w:kern w:val="0"/>
                <w:szCs w:val="21"/>
              </w:rPr>
            </w:pPr>
          </w:p>
        </w:tc>
      </w:tr>
      <w:tr w:rsidR="00A320E6" w14:paraId="645A06ED" w14:textId="77777777" w:rsidTr="008B03FA">
        <w:trPr>
          <w:trHeight w:val="312"/>
        </w:trPr>
        <w:tc>
          <w:tcPr>
            <w:tcW w:w="650" w:type="dxa"/>
            <w:vMerge/>
            <w:noWrap/>
            <w:vAlign w:val="center"/>
          </w:tcPr>
          <w:p w14:paraId="5F46FC2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414590D5" w14:textId="77777777" w:rsidR="00A320E6" w:rsidRDefault="00A320E6" w:rsidP="00AE0286">
            <w:pPr>
              <w:jc w:val="center"/>
              <w:rPr>
                <w:rFonts w:ascii="宋体" w:hAnsi="宋体" w:cs="宋体"/>
                <w:kern w:val="0"/>
                <w:szCs w:val="21"/>
              </w:rPr>
            </w:pPr>
          </w:p>
        </w:tc>
        <w:tc>
          <w:tcPr>
            <w:tcW w:w="3557" w:type="dxa"/>
            <w:noWrap/>
            <w:vAlign w:val="center"/>
          </w:tcPr>
          <w:p w14:paraId="24D21B9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5年以上</w:t>
            </w:r>
          </w:p>
        </w:tc>
        <w:tc>
          <w:tcPr>
            <w:tcW w:w="1821" w:type="dxa"/>
            <w:noWrap/>
            <w:vAlign w:val="center"/>
          </w:tcPr>
          <w:p w14:paraId="2B792C0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8000-10000元/亩</w:t>
            </w:r>
          </w:p>
        </w:tc>
        <w:tc>
          <w:tcPr>
            <w:tcW w:w="2032" w:type="dxa"/>
            <w:vMerge/>
            <w:noWrap/>
            <w:vAlign w:val="center"/>
          </w:tcPr>
          <w:p w14:paraId="629AB68C" w14:textId="77777777" w:rsidR="00A320E6" w:rsidRDefault="00A320E6" w:rsidP="00AE0286">
            <w:pPr>
              <w:jc w:val="left"/>
              <w:rPr>
                <w:rFonts w:ascii="宋体" w:hAnsi="宋体" w:cs="宋体"/>
                <w:kern w:val="0"/>
                <w:szCs w:val="21"/>
              </w:rPr>
            </w:pPr>
          </w:p>
        </w:tc>
      </w:tr>
      <w:tr w:rsidR="00A320E6" w14:paraId="1C00E560" w14:textId="77777777" w:rsidTr="008B03FA">
        <w:trPr>
          <w:trHeight w:val="312"/>
        </w:trPr>
        <w:tc>
          <w:tcPr>
            <w:tcW w:w="650" w:type="dxa"/>
            <w:vMerge w:val="restart"/>
            <w:noWrap/>
            <w:vAlign w:val="center"/>
          </w:tcPr>
          <w:p w14:paraId="6CC8ABC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24</w:t>
            </w:r>
          </w:p>
        </w:tc>
        <w:tc>
          <w:tcPr>
            <w:tcW w:w="768" w:type="dxa"/>
            <w:vMerge w:val="restart"/>
            <w:noWrap/>
            <w:vAlign w:val="center"/>
          </w:tcPr>
          <w:p w14:paraId="6972F0E5"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葡萄园</w:t>
            </w:r>
          </w:p>
        </w:tc>
        <w:tc>
          <w:tcPr>
            <w:tcW w:w="3557" w:type="dxa"/>
            <w:noWrap/>
            <w:vAlign w:val="center"/>
          </w:tcPr>
          <w:p w14:paraId="799067E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幼龄</w:t>
            </w:r>
          </w:p>
        </w:tc>
        <w:tc>
          <w:tcPr>
            <w:tcW w:w="1821" w:type="dxa"/>
            <w:vMerge w:val="restart"/>
            <w:noWrap/>
            <w:vAlign w:val="center"/>
          </w:tcPr>
          <w:p w14:paraId="33EF7D5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区分生长期20-100元/棵</w:t>
            </w:r>
          </w:p>
        </w:tc>
        <w:tc>
          <w:tcPr>
            <w:tcW w:w="2032" w:type="dxa"/>
            <w:vMerge w:val="restart"/>
            <w:noWrap/>
            <w:vAlign w:val="center"/>
          </w:tcPr>
          <w:p w14:paraId="05A8138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1.科学密植，每亩不得超过330棵，超出部分不予补偿。2.树归原主。</w:t>
            </w:r>
          </w:p>
        </w:tc>
      </w:tr>
      <w:tr w:rsidR="00A320E6" w14:paraId="5312AD17" w14:textId="77777777" w:rsidTr="008B03FA">
        <w:trPr>
          <w:trHeight w:val="312"/>
        </w:trPr>
        <w:tc>
          <w:tcPr>
            <w:tcW w:w="650" w:type="dxa"/>
            <w:vMerge/>
            <w:noWrap/>
            <w:vAlign w:val="center"/>
          </w:tcPr>
          <w:p w14:paraId="696C5F7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D97AFB9" w14:textId="77777777" w:rsidR="00A320E6" w:rsidRDefault="00A320E6" w:rsidP="00AE0286">
            <w:pPr>
              <w:jc w:val="center"/>
              <w:rPr>
                <w:rFonts w:ascii="宋体" w:hAnsi="宋体" w:cs="宋体"/>
                <w:kern w:val="0"/>
                <w:szCs w:val="21"/>
              </w:rPr>
            </w:pPr>
          </w:p>
        </w:tc>
        <w:tc>
          <w:tcPr>
            <w:tcW w:w="3557" w:type="dxa"/>
            <w:noWrap/>
            <w:vAlign w:val="center"/>
          </w:tcPr>
          <w:p w14:paraId="3F3D355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初果期</w:t>
            </w:r>
          </w:p>
        </w:tc>
        <w:tc>
          <w:tcPr>
            <w:tcW w:w="1821" w:type="dxa"/>
            <w:vMerge/>
            <w:noWrap/>
            <w:vAlign w:val="center"/>
          </w:tcPr>
          <w:p w14:paraId="2A33D1BA" w14:textId="77777777" w:rsidR="00A320E6" w:rsidRDefault="00A320E6" w:rsidP="00AE0286">
            <w:pPr>
              <w:jc w:val="center"/>
              <w:rPr>
                <w:rFonts w:ascii="宋体" w:hAnsi="宋体" w:cs="宋体"/>
                <w:color w:val="000000"/>
                <w:kern w:val="0"/>
                <w:szCs w:val="21"/>
                <w:lang w:bidi="ar"/>
              </w:rPr>
            </w:pPr>
          </w:p>
        </w:tc>
        <w:tc>
          <w:tcPr>
            <w:tcW w:w="2032" w:type="dxa"/>
            <w:vMerge/>
            <w:noWrap/>
            <w:vAlign w:val="center"/>
          </w:tcPr>
          <w:p w14:paraId="210189DD" w14:textId="77777777" w:rsidR="00A320E6" w:rsidRDefault="00A320E6" w:rsidP="00AE0286">
            <w:pPr>
              <w:jc w:val="left"/>
              <w:rPr>
                <w:rFonts w:ascii="宋体" w:hAnsi="宋体" w:cs="宋体"/>
                <w:kern w:val="0"/>
                <w:szCs w:val="21"/>
              </w:rPr>
            </w:pPr>
          </w:p>
        </w:tc>
      </w:tr>
      <w:tr w:rsidR="00A320E6" w14:paraId="3D25B319" w14:textId="77777777" w:rsidTr="008B03FA">
        <w:trPr>
          <w:trHeight w:val="312"/>
        </w:trPr>
        <w:tc>
          <w:tcPr>
            <w:tcW w:w="650" w:type="dxa"/>
            <w:vMerge/>
            <w:noWrap/>
            <w:vAlign w:val="center"/>
          </w:tcPr>
          <w:p w14:paraId="0E8721F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712F2665" w14:textId="77777777" w:rsidR="00A320E6" w:rsidRDefault="00A320E6" w:rsidP="00AE0286">
            <w:pPr>
              <w:jc w:val="center"/>
              <w:rPr>
                <w:rFonts w:ascii="宋体" w:hAnsi="宋体" w:cs="宋体"/>
                <w:kern w:val="0"/>
                <w:szCs w:val="21"/>
              </w:rPr>
            </w:pPr>
          </w:p>
        </w:tc>
        <w:tc>
          <w:tcPr>
            <w:tcW w:w="3557" w:type="dxa"/>
            <w:noWrap/>
            <w:vAlign w:val="center"/>
          </w:tcPr>
          <w:p w14:paraId="38E0E1D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盛果期</w:t>
            </w:r>
          </w:p>
        </w:tc>
        <w:tc>
          <w:tcPr>
            <w:tcW w:w="1821" w:type="dxa"/>
            <w:vMerge/>
            <w:noWrap/>
            <w:vAlign w:val="center"/>
          </w:tcPr>
          <w:p w14:paraId="26448D02" w14:textId="77777777" w:rsidR="00A320E6" w:rsidRDefault="00A320E6" w:rsidP="00AE0286">
            <w:pPr>
              <w:jc w:val="center"/>
              <w:rPr>
                <w:rFonts w:ascii="宋体" w:hAnsi="宋体" w:cs="宋体"/>
                <w:color w:val="000000"/>
                <w:kern w:val="0"/>
                <w:szCs w:val="21"/>
                <w:lang w:bidi="ar"/>
              </w:rPr>
            </w:pPr>
          </w:p>
        </w:tc>
        <w:tc>
          <w:tcPr>
            <w:tcW w:w="2032" w:type="dxa"/>
            <w:vMerge/>
            <w:noWrap/>
            <w:vAlign w:val="center"/>
          </w:tcPr>
          <w:p w14:paraId="2EE25D65" w14:textId="77777777" w:rsidR="00A320E6" w:rsidRDefault="00A320E6" w:rsidP="00AE0286">
            <w:pPr>
              <w:jc w:val="left"/>
              <w:rPr>
                <w:rFonts w:ascii="宋体" w:hAnsi="宋体" w:cs="宋体"/>
                <w:kern w:val="0"/>
                <w:szCs w:val="21"/>
              </w:rPr>
            </w:pPr>
          </w:p>
        </w:tc>
      </w:tr>
      <w:tr w:rsidR="00A320E6" w14:paraId="70EE2E8D" w14:textId="77777777" w:rsidTr="008B03FA">
        <w:trPr>
          <w:trHeight w:val="312"/>
        </w:trPr>
        <w:tc>
          <w:tcPr>
            <w:tcW w:w="650" w:type="dxa"/>
            <w:vMerge w:val="restart"/>
            <w:noWrap/>
            <w:vAlign w:val="center"/>
          </w:tcPr>
          <w:p w14:paraId="6A54A3E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w:t>
            </w:r>
          </w:p>
        </w:tc>
        <w:tc>
          <w:tcPr>
            <w:tcW w:w="768" w:type="dxa"/>
            <w:vMerge w:val="restart"/>
            <w:noWrap/>
            <w:vAlign w:val="center"/>
          </w:tcPr>
          <w:p w14:paraId="4C204B8D"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果树</w:t>
            </w:r>
          </w:p>
        </w:tc>
        <w:tc>
          <w:tcPr>
            <w:tcW w:w="3557" w:type="dxa"/>
            <w:noWrap/>
            <w:vAlign w:val="center"/>
          </w:tcPr>
          <w:p w14:paraId="0DFF456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苗木</w:t>
            </w:r>
          </w:p>
        </w:tc>
        <w:tc>
          <w:tcPr>
            <w:tcW w:w="1821" w:type="dxa"/>
            <w:noWrap/>
            <w:vAlign w:val="center"/>
          </w:tcPr>
          <w:p w14:paraId="151555F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2-4元/棵</w:t>
            </w:r>
          </w:p>
        </w:tc>
        <w:tc>
          <w:tcPr>
            <w:tcW w:w="2032" w:type="dxa"/>
            <w:vMerge w:val="restart"/>
            <w:noWrap/>
            <w:vAlign w:val="center"/>
          </w:tcPr>
          <w:p w14:paraId="6E8F68ED"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1.包括苹果、杏、桃、梨、核桃、枣、柿、山楂、樱桃、板栗等。2.果树根据科学合理栽植的原则，每亩不得超过120棵，超出部分不予补偿。</w:t>
            </w:r>
          </w:p>
          <w:p w14:paraId="0EB92C8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3.树归原主。</w:t>
            </w:r>
          </w:p>
        </w:tc>
      </w:tr>
      <w:tr w:rsidR="00A320E6" w14:paraId="72DB8A7E" w14:textId="77777777" w:rsidTr="008B03FA">
        <w:trPr>
          <w:trHeight w:val="312"/>
        </w:trPr>
        <w:tc>
          <w:tcPr>
            <w:tcW w:w="650" w:type="dxa"/>
            <w:vMerge/>
            <w:noWrap/>
            <w:vAlign w:val="center"/>
          </w:tcPr>
          <w:p w14:paraId="7C7CCC8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AC0752C" w14:textId="77777777" w:rsidR="00A320E6" w:rsidRDefault="00A320E6" w:rsidP="00AE0286">
            <w:pPr>
              <w:jc w:val="center"/>
              <w:rPr>
                <w:rFonts w:ascii="宋体" w:hAnsi="宋体" w:cs="宋体"/>
                <w:kern w:val="0"/>
                <w:szCs w:val="21"/>
              </w:rPr>
            </w:pPr>
          </w:p>
        </w:tc>
        <w:tc>
          <w:tcPr>
            <w:tcW w:w="3557" w:type="dxa"/>
            <w:noWrap/>
            <w:vAlign w:val="center"/>
          </w:tcPr>
          <w:p w14:paraId="245BF02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幼龄期（区分树种）</w:t>
            </w:r>
          </w:p>
        </w:tc>
        <w:tc>
          <w:tcPr>
            <w:tcW w:w="1821" w:type="dxa"/>
            <w:noWrap/>
            <w:vAlign w:val="center"/>
          </w:tcPr>
          <w:p w14:paraId="7617DEF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20-40元/棵</w:t>
            </w:r>
          </w:p>
        </w:tc>
        <w:tc>
          <w:tcPr>
            <w:tcW w:w="2032" w:type="dxa"/>
            <w:vMerge/>
            <w:noWrap/>
            <w:vAlign w:val="center"/>
          </w:tcPr>
          <w:p w14:paraId="0CD2177B" w14:textId="77777777" w:rsidR="00A320E6" w:rsidRDefault="00A320E6" w:rsidP="00AE0286">
            <w:pPr>
              <w:jc w:val="left"/>
              <w:textAlignment w:val="center"/>
              <w:rPr>
                <w:rFonts w:ascii="宋体" w:hAnsi="宋体" w:cs="宋体"/>
                <w:kern w:val="0"/>
                <w:szCs w:val="21"/>
              </w:rPr>
            </w:pPr>
          </w:p>
        </w:tc>
      </w:tr>
      <w:tr w:rsidR="00A320E6" w14:paraId="7143C6B4" w14:textId="77777777" w:rsidTr="008B03FA">
        <w:trPr>
          <w:trHeight w:val="312"/>
        </w:trPr>
        <w:tc>
          <w:tcPr>
            <w:tcW w:w="650" w:type="dxa"/>
            <w:vMerge/>
            <w:noWrap/>
            <w:vAlign w:val="center"/>
          </w:tcPr>
          <w:p w14:paraId="6B5D088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B1DB79A" w14:textId="77777777" w:rsidR="00A320E6" w:rsidRDefault="00A320E6" w:rsidP="00AE0286">
            <w:pPr>
              <w:jc w:val="center"/>
              <w:rPr>
                <w:rFonts w:ascii="宋体" w:hAnsi="宋体" w:cs="宋体"/>
                <w:kern w:val="0"/>
                <w:szCs w:val="21"/>
              </w:rPr>
            </w:pPr>
          </w:p>
        </w:tc>
        <w:tc>
          <w:tcPr>
            <w:tcW w:w="3557" w:type="dxa"/>
            <w:noWrap/>
            <w:vAlign w:val="center"/>
          </w:tcPr>
          <w:p w14:paraId="6E19799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初果期（区分树种）</w:t>
            </w:r>
          </w:p>
        </w:tc>
        <w:tc>
          <w:tcPr>
            <w:tcW w:w="1821" w:type="dxa"/>
            <w:noWrap/>
            <w:vAlign w:val="center"/>
          </w:tcPr>
          <w:p w14:paraId="62599BC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160-260元/棵</w:t>
            </w:r>
          </w:p>
        </w:tc>
        <w:tc>
          <w:tcPr>
            <w:tcW w:w="2032" w:type="dxa"/>
            <w:vMerge/>
            <w:noWrap/>
            <w:vAlign w:val="center"/>
          </w:tcPr>
          <w:p w14:paraId="22BABF26" w14:textId="77777777" w:rsidR="00A320E6" w:rsidRDefault="00A320E6" w:rsidP="00AE0286">
            <w:pPr>
              <w:rPr>
                <w:rFonts w:ascii="宋体" w:hAnsi="宋体" w:cs="宋体"/>
                <w:kern w:val="0"/>
                <w:szCs w:val="21"/>
              </w:rPr>
            </w:pPr>
          </w:p>
        </w:tc>
      </w:tr>
      <w:tr w:rsidR="00A320E6" w14:paraId="29812B67" w14:textId="77777777" w:rsidTr="008B03FA">
        <w:trPr>
          <w:trHeight w:val="312"/>
        </w:trPr>
        <w:tc>
          <w:tcPr>
            <w:tcW w:w="650" w:type="dxa"/>
            <w:vMerge/>
            <w:noWrap/>
            <w:vAlign w:val="center"/>
          </w:tcPr>
          <w:p w14:paraId="502AE68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8DB45C7" w14:textId="77777777" w:rsidR="00A320E6" w:rsidRDefault="00A320E6" w:rsidP="00AE0286">
            <w:pPr>
              <w:jc w:val="center"/>
              <w:rPr>
                <w:rFonts w:ascii="宋体" w:hAnsi="宋体" w:cs="宋体"/>
                <w:kern w:val="0"/>
                <w:szCs w:val="21"/>
              </w:rPr>
            </w:pPr>
          </w:p>
        </w:tc>
        <w:tc>
          <w:tcPr>
            <w:tcW w:w="3557" w:type="dxa"/>
            <w:noWrap/>
            <w:vAlign w:val="center"/>
          </w:tcPr>
          <w:p w14:paraId="2F10B09F"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盛果期（区分树种）</w:t>
            </w:r>
          </w:p>
        </w:tc>
        <w:tc>
          <w:tcPr>
            <w:tcW w:w="1821" w:type="dxa"/>
            <w:noWrap/>
            <w:vAlign w:val="center"/>
          </w:tcPr>
          <w:p w14:paraId="2E54889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300-600元/棵</w:t>
            </w:r>
          </w:p>
        </w:tc>
        <w:tc>
          <w:tcPr>
            <w:tcW w:w="2032" w:type="dxa"/>
            <w:vMerge/>
            <w:noWrap/>
            <w:vAlign w:val="center"/>
          </w:tcPr>
          <w:p w14:paraId="7C0A12D3" w14:textId="77777777" w:rsidR="00A320E6" w:rsidRDefault="00A320E6" w:rsidP="00AE0286">
            <w:pPr>
              <w:rPr>
                <w:rFonts w:ascii="宋体" w:hAnsi="宋体" w:cs="宋体"/>
                <w:kern w:val="0"/>
                <w:szCs w:val="21"/>
              </w:rPr>
            </w:pPr>
          </w:p>
        </w:tc>
      </w:tr>
      <w:tr w:rsidR="00A320E6" w14:paraId="0990BDDE" w14:textId="77777777" w:rsidTr="008B03FA">
        <w:trPr>
          <w:trHeight w:val="312"/>
        </w:trPr>
        <w:tc>
          <w:tcPr>
            <w:tcW w:w="650" w:type="dxa"/>
            <w:vMerge/>
            <w:noWrap/>
            <w:vAlign w:val="center"/>
          </w:tcPr>
          <w:p w14:paraId="5B6AE6E8"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2F293FFA" w14:textId="77777777" w:rsidR="00A320E6" w:rsidRDefault="00A320E6" w:rsidP="00AE0286">
            <w:pPr>
              <w:jc w:val="center"/>
              <w:rPr>
                <w:rFonts w:ascii="宋体" w:hAnsi="宋体" w:cs="宋体"/>
                <w:kern w:val="0"/>
                <w:szCs w:val="21"/>
              </w:rPr>
            </w:pPr>
          </w:p>
        </w:tc>
        <w:tc>
          <w:tcPr>
            <w:tcW w:w="3557" w:type="dxa"/>
            <w:noWrap/>
            <w:vAlign w:val="center"/>
          </w:tcPr>
          <w:p w14:paraId="5C8830A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衰老期（区分树种）</w:t>
            </w:r>
          </w:p>
        </w:tc>
        <w:tc>
          <w:tcPr>
            <w:tcW w:w="1821" w:type="dxa"/>
            <w:noWrap/>
            <w:vAlign w:val="center"/>
          </w:tcPr>
          <w:p w14:paraId="6FBFB13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120-260元/棵</w:t>
            </w:r>
          </w:p>
        </w:tc>
        <w:tc>
          <w:tcPr>
            <w:tcW w:w="2032" w:type="dxa"/>
            <w:vMerge/>
            <w:noWrap/>
            <w:vAlign w:val="center"/>
          </w:tcPr>
          <w:p w14:paraId="27FF55F1" w14:textId="77777777" w:rsidR="00A320E6" w:rsidRDefault="00A320E6" w:rsidP="00AE0286">
            <w:pPr>
              <w:rPr>
                <w:rFonts w:ascii="宋体" w:hAnsi="宋体" w:cs="宋体"/>
                <w:kern w:val="0"/>
                <w:szCs w:val="21"/>
              </w:rPr>
            </w:pPr>
          </w:p>
        </w:tc>
      </w:tr>
      <w:tr w:rsidR="00A320E6" w14:paraId="340BB356" w14:textId="77777777" w:rsidTr="008B03FA">
        <w:trPr>
          <w:trHeight w:val="312"/>
        </w:trPr>
        <w:tc>
          <w:tcPr>
            <w:tcW w:w="650" w:type="dxa"/>
            <w:vMerge w:val="restart"/>
            <w:noWrap/>
            <w:vAlign w:val="center"/>
          </w:tcPr>
          <w:p w14:paraId="10D0B3C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26</w:t>
            </w:r>
          </w:p>
        </w:tc>
        <w:tc>
          <w:tcPr>
            <w:tcW w:w="768" w:type="dxa"/>
            <w:vMerge w:val="restart"/>
            <w:noWrap/>
            <w:vAlign w:val="center"/>
          </w:tcPr>
          <w:p w14:paraId="318DDA19"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香椿</w:t>
            </w:r>
          </w:p>
        </w:tc>
        <w:tc>
          <w:tcPr>
            <w:tcW w:w="3557" w:type="dxa"/>
            <w:noWrap/>
            <w:vAlign w:val="center"/>
          </w:tcPr>
          <w:p w14:paraId="29F4ADC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零星香椿苗</w:t>
            </w:r>
          </w:p>
        </w:tc>
        <w:tc>
          <w:tcPr>
            <w:tcW w:w="1821" w:type="dxa"/>
            <w:noWrap/>
            <w:vAlign w:val="center"/>
          </w:tcPr>
          <w:p w14:paraId="2ABB63B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1-2元/棵</w:t>
            </w:r>
          </w:p>
        </w:tc>
        <w:tc>
          <w:tcPr>
            <w:tcW w:w="2032" w:type="dxa"/>
            <w:noWrap/>
            <w:vAlign w:val="center"/>
          </w:tcPr>
          <w:p w14:paraId="71ED34B3" w14:textId="77777777" w:rsidR="00A320E6" w:rsidRDefault="00A320E6" w:rsidP="00AE0286">
            <w:pPr>
              <w:jc w:val="left"/>
              <w:rPr>
                <w:rFonts w:ascii="宋体" w:hAnsi="宋体" w:cs="宋体"/>
                <w:kern w:val="0"/>
                <w:szCs w:val="21"/>
              </w:rPr>
            </w:pPr>
          </w:p>
        </w:tc>
      </w:tr>
      <w:tr w:rsidR="00A320E6" w14:paraId="43AE17E2" w14:textId="77777777" w:rsidTr="008B03FA">
        <w:trPr>
          <w:trHeight w:val="312"/>
        </w:trPr>
        <w:tc>
          <w:tcPr>
            <w:tcW w:w="650" w:type="dxa"/>
            <w:vMerge/>
            <w:noWrap/>
            <w:vAlign w:val="center"/>
          </w:tcPr>
          <w:p w14:paraId="3FEBAAE8"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4F0856C1" w14:textId="77777777" w:rsidR="00A320E6" w:rsidRDefault="00A320E6" w:rsidP="00AE0286">
            <w:pPr>
              <w:jc w:val="center"/>
              <w:rPr>
                <w:rFonts w:ascii="宋体" w:hAnsi="宋体" w:cs="宋体"/>
                <w:kern w:val="0"/>
                <w:szCs w:val="21"/>
              </w:rPr>
            </w:pPr>
          </w:p>
        </w:tc>
        <w:tc>
          <w:tcPr>
            <w:tcW w:w="3557" w:type="dxa"/>
            <w:noWrap/>
            <w:vAlign w:val="center"/>
          </w:tcPr>
          <w:p w14:paraId="0DF5071A"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零星香椿Φ2-5cm</w:t>
            </w:r>
          </w:p>
        </w:tc>
        <w:tc>
          <w:tcPr>
            <w:tcW w:w="1821" w:type="dxa"/>
            <w:noWrap/>
            <w:vAlign w:val="center"/>
          </w:tcPr>
          <w:p w14:paraId="0C1E33E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6-10元/棵（墩）</w:t>
            </w:r>
          </w:p>
        </w:tc>
        <w:tc>
          <w:tcPr>
            <w:tcW w:w="2032" w:type="dxa"/>
            <w:noWrap/>
            <w:vAlign w:val="center"/>
          </w:tcPr>
          <w:p w14:paraId="7DB92ADB" w14:textId="77777777" w:rsidR="00A320E6" w:rsidRDefault="00A320E6" w:rsidP="00AE0286">
            <w:pPr>
              <w:jc w:val="left"/>
              <w:rPr>
                <w:rFonts w:ascii="宋体" w:hAnsi="宋体" w:cs="宋体"/>
                <w:kern w:val="0"/>
                <w:szCs w:val="21"/>
              </w:rPr>
            </w:pPr>
          </w:p>
        </w:tc>
      </w:tr>
      <w:tr w:rsidR="00A320E6" w14:paraId="62723499" w14:textId="77777777" w:rsidTr="008B03FA">
        <w:trPr>
          <w:trHeight w:val="312"/>
        </w:trPr>
        <w:tc>
          <w:tcPr>
            <w:tcW w:w="650" w:type="dxa"/>
            <w:vMerge/>
            <w:noWrap/>
            <w:vAlign w:val="center"/>
          </w:tcPr>
          <w:p w14:paraId="08D70A8D"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CBC87B5" w14:textId="77777777" w:rsidR="00A320E6" w:rsidRDefault="00A320E6" w:rsidP="00AE0286">
            <w:pPr>
              <w:jc w:val="center"/>
              <w:rPr>
                <w:rFonts w:ascii="宋体" w:hAnsi="宋体" w:cs="宋体"/>
                <w:kern w:val="0"/>
                <w:szCs w:val="21"/>
              </w:rPr>
            </w:pPr>
          </w:p>
        </w:tc>
        <w:tc>
          <w:tcPr>
            <w:tcW w:w="3557" w:type="dxa"/>
            <w:noWrap/>
            <w:vAlign w:val="center"/>
          </w:tcPr>
          <w:p w14:paraId="27AF055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零星香椿Φ6-9cm</w:t>
            </w:r>
          </w:p>
        </w:tc>
        <w:tc>
          <w:tcPr>
            <w:tcW w:w="1821" w:type="dxa"/>
            <w:noWrap/>
            <w:vAlign w:val="center"/>
          </w:tcPr>
          <w:p w14:paraId="006CCB9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40-60元/棵（墩）</w:t>
            </w:r>
          </w:p>
        </w:tc>
        <w:tc>
          <w:tcPr>
            <w:tcW w:w="2032" w:type="dxa"/>
            <w:noWrap/>
            <w:vAlign w:val="center"/>
          </w:tcPr>
          <w:p w14:paraId="68CB831F" w14:textId="77777777" w:rsidR="00A320E6" w:rsidRDefault="00A320E6" w:rsidP="00AE0286">
            <w:pPr>
              <w:jc w:val="left"/>
              <w:rPr>
                <w:rFonts w:ascii="宋体" w:hAnsi="宋体" w:cs="宋体"/>
                <w:kern w:val="0"/>
                <w:szCs w:val="21"/>
              </w:rPr>
            </w:pPr>
          </w:p>
        </w:tc>
      </w:tr>
      <w:tr w:rsidR="00A320E6" w14:paraId="218CAC35" w14:textId="77777777" w:rsidTr="008B03FA">
        <w:trPr>
          <w:trHeight w:val="312"/>
        </w:trPr>
        <w:tc>
          <w:tcPr>
            <w:tcW w:w="650" w:type="dxa"/>
            <w:vMerge/>
            <w:noWrap/>
            <w:vAlign w:val="center"/>
          </w:tcPr>
          <w:p w14:paraId="5258ABF2"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2EC93F01" w14:textId="77777777" w:rsidR="00A320E6" w:rsidRDefault="00A320E6" w:rsidP="00AE0286">
            <w:pPr>
              <w:jc w:val="center"/>
              <w:rPr>
                <w:rFonts w:ascii="宋体" w:hAnsi="宋体" w:cs="宋体"/>
                <w:kern w:val="0"/>
                <w:szCs w:val="21"/>
              </w:rPr>
            </w:pPr>
          </w:p>
        </w:tc>
        <w:tc>
          <w:tcPr>
            <w:tcW w:w="3557" w:type="dxa"/>
            <w:noWrap/>
            <w:vAlign w:val="center"/>
          </w:tcPr>
          <w:p w14:paraId="7982C5E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零星香椿Φ10-14cm</w:t>
            </w:r>
          </w:p>
        </w:tc>
        <w:tc>
          <w:tcPr>
            <w:tcW w:w="1821" w:type="dxa"/>
            <w:noWrap/>
            <w:vAlign w:val="center"/>
          </w:tcPr>
          <w:p w14:paraId="28EF262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80-150元/棵（墩）</w:t>
            </w:r>
          </w:p>
        </w:tc>
        <w:tc>
          <w:tcPr>
            <w:tcW w:w="2032" w:type="dxa"/>
            <w:noWrap/>
            <w:vAlign w:val="center"/>
          </w:tcPr>
          <w:p w14:paraId="79969986" w14:textId="77777777" w:rsidR="00A320E6" w:rsidRDefault="00A320E6" w:rsidP="00AE0286">
            <w:pPr>
              <w:jc w:val="left"/>
              <w:rPr>
                <w:rFonts w:ascii="宋体" w:hAnsi="宋体" w:cs="宋体"/>
                <w:kern w:val="0"/>
                <w:szCs w:val="21"/>
              </w:rPr>
            </w:pPr>
          </w:p>
        </w:tc>
      </w:tr>
      <w:tr w:rsidR="00A320E6" w14:paraId="0F5109EC" w14:textId="77777777" w:rsidTr="008B03FA">
        <w:trPr>
          <w:trHeight w:val="312"/>
        </w:trPr>
        <w:tc>
          <w:tcPr>
            <w:tcW w:w="650" w:type="dxa"/>
            <w:vMerge/>
            <w:noWrap/>
            <w:vAlign w:val="center"/>
          </w:tcPr>
          <w:p w14:paraId="2CB730E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ADC5BAD" w14:textId="77777777" w:rsidR="00A320E6" w:rsidRDefault="00A320E6" w:rsidP="00AE0286">
            <w:pPr>
              <w:jc w:val="center"/>
              <w:rPr>
                <w:rFonts w:ascii="宋体" w:hAnsi="宋体" w:cs="宋体"/>
                <w:kern w:val="0"/>
                <w:szCs w:val="21"/>
              </w:rPr>
            </w:pPr>
          </w:p>
        </w:tc>
        <w:tc>
          <w:tcPr>
            <w:tcW w:w="3557" w:type="dxa"/>
            <w:noWrap/>
            <w:vAlign w:val="center"/>
          </w:tcPr>
          <w:p w14:paraId="42B5A715"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零星香椿Φ15cm以上</w:t>
            </w:r>
          </w:p>
        </w:tc>
        <w:tc>
          <w:tcPr>
            <w:tcW w:w="1821" w:type="dxa"/>
            <w:noWrap/>
            <w:vAlign w:val="center"/>
          </w:tcPr>
          <w:p w14:paraId="4DD7A30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200元/棵（墩）</w:t>
            </w:r>
          </w:p>
        </w:tc>
        <w:tc>
          <w:tcPr>
            <w:tcW w:w="2032" w:type="dxa"/>
            <w:noWrap/>
            <w:vAlign w:val="center"/>
          </w:tcPr>
          <w:p w14:paraId="6496FC11" w14:textId="77777777" w:rsidR="00A320E6" w:rsidRDefault="00A320E6" w:rsidP="00AE0286">
            <w:pPr>
              <w:jc w:val="left"/>
              <w:rPr>
                <w:rFonts w:ascii="宋体" w:hAnsi="宋体" w:cs="宋体"/>
                <w:kern w:val="0"/>
                <w:szCs w:val="21"/>
              </w:rPr>
            </w:pPr>
          </w:p>
        </w:tc>
      </w:tr>
      <w:tr w:rsidR="00A320E6" w14:paraId="3A4D5BE9" w14:textId="77777777" w:rsidTr="008B03FA">
        <w:trPr>
          <w:trHeight w:val="312"/>
        </w:trPr>
        <w:tc>
          <w:tcPr>
            <w:tcW w:w="650" w:type="dxa"/>
            <w:vMerge/>
            <w:noWrap/>
            <w:vAlign w:val="center"/>
          </w:tcPr>
          <w:p w14:paraId="32F64BD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2DC97923" w14:textId="77777777" w:rsidR="00A320E6" w:rsidRDefault="00A320E6" w:rsidP="00AE0286">
            <w:pPr>
              <w:jc w:val="center"/>
              <w:rPr>
                <w:rFonts w:ascii="宋体" w:hAnsi="宋体" w:cs="宋体"/>
                <w:kern w:val="0"/>
                <w:szCs w:val="21"/>
              </w:rPr>
            </w:pPr>
          </w:p>
        </w:tc>
        <w:tc>
          <w:tcPr>
            <w:tcW w:w="3557" w:type="dxa"/>
            <w:noWrap/>
            <w:vAlign w:val="center"/>
          </w:tcPr>
          <w:p w14:paraId="2539065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一年生大田香椿</w:t>
            </w:r>
          </w:p>
        </w:tc>
        <w:tc>
          <w:tcPr>
            <w:tcW w:w="1821" w:type="dxa"/>
            <w:noWrap/>
            <w:vAlign w:val="center"/>
          </w:tcPr>
          <w:p w14:paraId="17B5DEA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1500-2500元/亩</w:t>
            </w:r>
          </w:p>
        </w:tc>
        <w:tc>
          <w:tcPr>
            <w:tcW w:w="2032" w:type="dxa"/>
            <w:noWrap/>
            <w:vAlign w:val="center"/>
          </w:tcPr>
          <w:p w14:paraId="372C51DD" w14:textId="77777777" w:rsidR="00A320E6" w:rsidRDefault="00A320E6" w:rsidP="00AE0286">
            <w:pPr>
              <w:jc w:val="left"/>
              <w:rPr>
                <w:rFonts w:ascii="宋体" w:hAnsi="宋体" w:cs="宋体"/>
                <w:kern w:val="0"/>
                <w:szCs w:val="21"/>
              </w:rPr>
            </w:pPr>
          </w:p>
        </w:tc>
      </w:tr>
      <w:tr w:rsidR="00A320E6" w14:paraId="26339560" w14:textId="77777777" w:rsidTr="008B03FA">
        <w:trPr>
          <w:trHeight w:val="312"/>
        </w:trPr>
        <w:tc>
          <w:tcPr>
            <w:tcW w:w="650" w:type="dxa"/>
            <w:vMerge/>
            <w:noWrap/>
            <w:vAlign w:val="center"/>
          </w:tcPr>
          <w:p w14:paraId="44CBBE34"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74CB272" w14:textId="77777777" w:rsidR="00A320E6" w:rsidRDefault="00A320E6" w:rsidP="00AE0286">
            <w:pPr>
              <w:jc w:val="center"/>
              <w:rPr>
                <w:rFonts w:ascii="宋体" w:hAnsi="宋体" w:cs="宋体"/>
                <w:kern w:val="0"/>
                <w:szCs w:val="21"/>
              </w:rPr>
            </w:pPr>
          </w:p>
        </w:tc>
        <w:tc>
          <w:tcPr>
            <w:tcW w:w="3557" w:type="dxa"/>
            <w:noWrap/>
            <w:vAlign w:val="center"/>
          </w:tcPr>
          <w:p w14:paraId="3466AC49"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二年生大田香椿</w:t>
            </w:r>
          </w:p>
        </w:tc>
        <w:tc>
          <w:tcPr>
            <w:tcW w:w="1821" w:type="dxa"/>
            <w:noWrap/>
            <w:vAlign w:val="center"/>
          </w:tcPr>
          <w:p w14:paraId="61EC436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3000-5000元/亩</w:t>
            </w:r>
          </w:p>
        </w:tc>
        <w:tc>
          <w:tcPr>
            <w:tcW w:w="2032" w:type="dxa"/>
            <w:noWrap/>
            <w:vAlign w:val="center"/>
          </w:tcPr>
          <w:p w14:paraId="3FE3EE23" w14:textId="77777777" w:rsidR="00A320E6" w:rsidRDefault="00A320E6" w:rsidP="00AE0286">
            <w:pPr>
              <w:jc w:val="left"/>
              <w:rPr>
                <w:rFonts w:ascii="宋体" w:hAnsi="宋体" w:cs="宋体"/>
                <w:kern w:val="0"/>
                <w:szCs w:val="21"/>
              </w:rPr>
            </w:pPr>
          </w:p>
        </w:tc>
      </w:tr>
      <w:tr w:rsidR="00A320E6" w14:paraId="42D5A22B" w14:textId="77777777" w:rsidTr="008B03FA">
        <w:trPr>
          <w:trHeight w:val="312"/>
        </w:trPr>
        <w:tc>
          <w:tcPr>
            <w:tcW w:w="650" w:type="dxa"/>
            <w:vMerge/>
            <w:noWrap/>
            <w:vAlign w:val="center"/>
          </w:tcPr>
          <w:p w14:paraId="23F6437E"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3987F46B" w14:textId="77777777" w:rsidR="00A320E6" w:rsidRDefault="00A320E6" w:rsidP="00AE0286">
            <w:pPr>
              <w:jc w:val="center"/>
              <w:rPr>
                <w:rFonts w:ascii="宋体" w:hAnsi="宋体" w:cs="宋体"/>
                <w:kern w:val="0"/>
                <w:szCs w:val="21"/>
              </w:rPr>
            </w:pPr>
          </w:p>
        </w:tc>
        <w:tc>
          <w:tcPr>
            <w:tcW w:w="3557" w:type="dxa"/>
            <w:noWrap/>
            <w:vAlign w:val="center"/>
          </w:tcPr>
          <w:p w14:paraId="2FB876D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三年生大田香椿</w:t>
            </w:r>
          </w:p>
        </w:tc>
        <w:tc>
          <w:tcPr>
            <w:tcW w:w="1821" w:type="dxa"/>
            <w:noWrap/>
            <w:vAlign w:val="center"/>
          </w:tcPr>
          <w:p w14:paraId="52B3613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6000-8000元/亩</w:t>
            </w:r>
          </w:p>
        </w:tc>
        <w:tc>
          <w:tcPr>
            <w:tcW w:w="2032" w:type="dxa"/>
            <w:noWrap/>
            <w:vAlign w:val="center"/>
          </w:tcPr>
          <w:p w14:paraId="46A4FEF4" w14:textId="77777777" w:rsidR="00A320E6" w:rsidRDefault="00A320E6" w:rsidP="00AE0286">
            <w:pPr>
              <w:jc w:val="left"/>
              <w:rPr>
                <w:rFonts w:ascii="宋体" w:hAnsi="宋体" w:cs="宋体"/>
                <w:kern w:val="0"/>
                <w:szCs w:val="21"/>
              </w:rPr>
            </w:pPr>
          </w:p>
        </w:tc>
      </w:tr>
      <w:tr w:rsidR="00A320E6" w14:paraId="3180D6C2" w14:textId="77777777" w:rsidTr="008B03FA">
        <w:trPr>
          <w:trHeight w:val="312"/>
        </w:trPr>
        <w:tc>
          <w:tcPr>
            <w:tcW w:w="650" w:type="dxa"/>
            <w:vMerge w:val="restart"/>
            <w:noWrap/>
            <w:vAlign w:val="center"/>
          </w:tcPr>
          <w:p w14:paraId="18BB290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27</w:t>
            </w:r>
          </w:p>
        </w:tc>
        <w:tc>
          <w:tcPr>
            <w:tcW w:w="768" w:type="dxa"/>
            <w:vMerge w:val="restart"/>
            <w:noWrap/>
            <w:vAlign w:val="center"/>
          </w:tcPr>
          <w:p w14:paraId="5F22EB54"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花椒</w:t>
            </w:r>
          </w:p>
        </w:tc>
        <w:tc>
          <w:tcPr>
            <w:tcW w:w="3557" w:type="dxa"/>
            <w:noWrap/>
            <w:vAlign w:val="center"/>
          </w:tcPr>
          <w:p w14:paraId="59AAEF4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苗</w:t>
            </w:r>
          </w:p>
        </w:tc>
        <w:tc>
          <w:tcPr>
            <w:tcW w:w="1821" w:type="dxa"/>
            <w:noWrap/>
            <w:vAlign w:val="center"/>
          </w:tcPr>
          <w:p w14:paraId="0DAA30A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1-2元/墩</w:t>
            </w:r>
          </w:p>
        </w:tc>
        <w:tc>
          <w:tcPr>
            <w:tcW w:w="2032" w:type="dxa"/>
            <w:noWrap/>
            <w:vAlign w:val="center"/>
          </w:tcPr>
          <w:p w14:paraId="5518BFBF" w14:textId="77777777" w:rsidR="00A320E6" w:rsidRDefault="00A320E6" w:rsidP="00AE0286">
            <w:pPr>
              <w:jc w:val="left"/>
              <w:rPr>
                <w:rFonts w:ascii="宋体" w:hAnsi="宋体" w:cs="宋体"/>
                <w:kern w:val="0"/>
                <w:szCs w:val="21"/>
              </w:rPr>
            </w:pPr>
          </w:p>
        </w:tc>
      </w:tr>
      <w:tr w:rsidR="00A320E6" w14:paraId="3D8EDEA2" w14:textId="77777777" w:rsidTr="008B03FA">
        <w:trPr>
          <w:trHeight w:val="312"/>
        </w:trPr>
        <w:tc>
          <w:tcPr>
            <w:tcW w:w="650" w:type="dxa"/>
            <w:vMerge/>
            <w:noWrap/>
            <w:vAlign w:val="center"/>
          </w:tcPr>
          <w:p w14:paraId="36BB982F"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5CA1665" w14:textId="77777777" w:rsidR="00A320E6" w:rsidRDefault="00A320E6" w:rsidP="00AE0286">
            <w:pPr>
              <w:jc w:val="center"/>
              <w:rPr>
                <w:rFonts w:ascii="宋体" w:hAnsi="宋体" w:cs="宋体"/>
                <w:kern w:val="0"/>
                <w:szCs w:val="21"/>
              </w:rPr>
            </w:pPr>
          </w:p>
        </w:tc>
        <w:tc>
          <w:tcPr>
            <w:tcW w:w="3557" w:type="dxa"/>
            <w:noWrap/>
            <w:vAlign w:val="center"/>
          </w:tcPr>
          <w:p w14:paraId="44C9F9EE"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Φ2-5cm</w:t>
            </w:r>
          </w:p>
        </w:tc>
        <w:tc>
          <w:tcPr>
            <w:tcW w:w="1821" w:type="dxa"/>
            <w:noWrap/>
            <w:vAlign w:val="center"/>
          </w:tcPr>
          <w:p w14:paraId="1386061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10-20元/墩</w:t>
            </w:r>
          </w:p>
        </w:tc>
        <w:tc>
          <w:tcPr>
            <w:tcW w:w="2032" w:type="dxa"/>
            <w:noWrap/>
            <w:vAlign w:val="center"/>
          </w:tcPr>
          <w:p w14:paraId="17A55A88"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3-4年生。</w:t>
            </w:r>
          </w:p>
        </w:tc>
      </w:tr>
      <w:tr w:rsidR="00A320E6" w14:paraId="72BE6F2B" w14:textId="77777777" w:rsidTr="008B03FA">
        <w:trPr>
          <w:trHeight w:val="312"/>
        </w:trPr>
        <w:tc>
          <w:tcPr>
            <w:tcW w:w="650" w:type="dxa"/>
            <w:vMerge/>
            <w:noWrap/>
            <w:vAlign w:val="center"/>
          </w:tcPr>
          <w:p w14:paraId="2CFFD4C7"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6D92ADA8" w14:textId="77777777" w:rsidR="00A320E6" w:rsidRDefault="00A320E6" w:rsidP="00AE0286">
            <w:pPr>
              <w:jc w:val="center"/>
              <w:rPr>
                <w:rFonts w:ascii="宋体" w:hAnsi="宋体" w:cs="宋体"/>
                <w:kern w:val="0"/>
                <w:szCs w:val="21"/>
              </w:rPr>
            </w:pPr>
          </w:p>
        </w:tc>
        <w:tc>
          <w:tcPr>
            <w:tcW w:w="3557" w:type="dxa"/>
            <w:noWrap/>
            <w:vAlign w:val="center"/>
          </w:tcPr>
          <w:p w14:paraId="2F1CFE4B"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Φ6-9cm</w:t>
            </w:r>
          </w:p>
        </w:tc>
        <w:tc>
          <w:tcPr>
            <w:tcW w:w="1821" w:type="dxa"/>
            <w:noWrap/>
            <w:vAlign w:val="center"/>
          </w:tcPr>
          <w:p w14:paraId="06544B4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40-100元/墩</w:t>
            </w:r>
          </w:p>
        </w:tc>
        <w:tc>
          <w:tcPr>
            <w:tcW w:w="2032" w:type="dxa"/>
            <w:noWrap/>
            <w:vAlign w:val="center"/>
          </w:tcPr>
          <w:p w14:paraId="6AD7C57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4-9年生。</w:t>
            </w:r>
          </w:p>
        </w:tc>
      </w:tr>
      <w:tr w:rsidR="00A320E6" w14:paraId="46F355A7" w14:textId="77777777" w:rsidTr="008B03FA">
        <w:trPr>
          <w:trHeight w:val="312"/>
        </w:trPr>
        <w:tc>
          <w:tcPr>
            <w:tcW w:w="650" w:type="dxa"/>
            <w:vMerge/>
            <w:noWrap/>
            <w:vAlign w:val="center"/>
          </w:tcPr>
          <w:p w14:paraId="0EBBACDA"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50E2CDC8" w14:textId="77777777" w:rsidR="00A320E6" w:rsidRDefault="00A320E6" w:rsidP="00AE0286">
            <w:pPr>
              <w:jc w:val="center"/>
              <w:rPr>
                <w:rFonts w:ascii="宋体" w:hAnsi="宋体" w:cs="宋体"/>
                <w:kern w:val="0"/>
                <w:szCs w:val="21"/>
              </w:rPr>
            </w:pPr>
          </w:p>
        </w:tc>
        <w:tc>
          <w:tcPr>
            <w:tcW w:w="3557" w:type="dxa"/>
            <w:noWrap/>
            <w:vAlign w:val="center"/>
          </w:tcPr>
          <w:p w14:paraId="27FD6067"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Φ10-14cm</w:t>
            </w:r>
          </w:p>
        </w:tc>
        <w:tc>
          <w:tcPr>
            <w:tcW w:w="1821" w:type="dxa"/>
            <w:noWrap/>
            <w:vAlign w:val="center"/>
          </w:tcPr>
          <w:p w14:paraId="3E6814B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120-160元/墩</w:t>
            </w:r>
          </w:p>
        </w:tc>
        <w:tc>
          <w:tcPr>
            <w:tcW w:w="2032" w:type="dxa"/>
            <w:noWrap/>
            <w:vAlign w:val="center"/>
          </w:tcPr>
          <w:p w14:paraId="39EFFE16"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10年生以上。</w:t>
            </w:r>
          </w:p>
        </w:tc>
      </w:tr>
      <w:tr w:rsidR="00A320E6" w14:paraId="07B2BD35" w14:textId="77777777" w:rsidTr="008B03FA">
        <w:trPr>
          <w:trHeight w:val="312"/>
        </w:trPr>
        <w:tc>
          <w:tcPr>
            <w:tcW w:w="650" w:type="dxa"/>
            <w:vMerge w:val="restart"/>
            <w:noWrap/>
            <w:vAlign w:val="center"/>
          </w:tcPr>
          <w:p w14:paraId="0029C25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28</w:t>
            </w:r>
          </w:p>
        </w:tc>
        <w:tc>
          <w:tcPr>
            <w:tcW w:w="768" w:type="dxa"/>
            <w:vMerge w:val="restart"/>
            <w:noWrap/>
            <w:vAlign w:val="center"/>
          </w:tcPr>
          <w:p w14:paraId="5D110879" w14:textId="77777777" w:rsidR="00A320E6" w:rsidRDefault="00000000" w:rsidP="00AE0286">
            <w:pPr>
              <w:jc w:val="center"/>
              <w:textAlignment w:val="center"/>
              <w:rPr>
                <w:rFonts w:ascii="宋体" w:hAnsi="宋体" w:cs="宋体"/>
                <w:kern w:val="0"/>
                <w:szCs w:val="21"/>
              </w:rPr>
            </w:pPr>
            <w:r>
              <w:rPr>
                <w:rFonts w:ascii="宋体" w:hAnsi="宋体" w:cs="宋体" w:hint="eastAsia"/>
                <w:color w:val="000000"/>
                <w:kern w:val="0"/>
                <w:szCs w:val="21"/>
                <w:lang w:bidi="ar"/>
              </w:rPr>
              <w:t>玫瑰</w:t>
            </w:r>
          </w:p>
        </w:tc>
        <w:tc>
          <w:tcPr>
            <w:tcW w:w="3557" w:type="dxa"/>
            <w:noWrap/>
            <w:vAlign w:val="center"/>
          </w:tcPr>
          <w:p w14:paraId="717F02B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盛花期</w:t>
            </w:r>
          </w:p>
        </w:tc>
        <w:tc>
          <w:tcPr>
            <w:tcW w:w="1821" w:type="dxa"/>
            <w:noWrap/>
            <w:vAlign w:val="center"/>
          </w:tcPr>
          <w:p w14:paraId="309913C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70-80元/墩</w:t>
            </w:r>
          </w:p>
        </w:tc>
        <w:tc>
          <w:tcPr>
            <w:tcW w:w="2032" w:type="dxa"/>
            <w:vMerge w:val="restart"/>
            <w:noWrap/>
            <w:vAlign w:val="center"/>
          </w:tcPr>
          <w:p w14:paraId="7B97C021"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根据科学合理的原则，每亩栽植300—400墩（株），超出部分不予补偿。</w:t>
            </w:r>
          </w:p>
        </w:tc>
      </w:tr>
      <w:tr w:rsidR="00A320E6" w14:paraId="00D2BBF5" w14:textId="77777777" w:rsidTr="008B03FA">
        <w:trPr>
          <w:trHeight w:val="312"/>
        </w:trPr>
        <w:tc>
          <w:tcPr>
            <w:tcW w:w="650" w:type="dxa"/>
            <w:vMerge/>
            <w:noWrap/>
            <w:vAlign w:val="center"/>
          </w:tcPr>
          <w:p w14:paraId="6F11609C"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08B43005" w14:textId="77777777" w:rsidR="00A320E6" w:rsidRDefault="00A320E6" w:rsidP="00AE0286">
            <w:pPr>
              <w:jc w:val="center"/>
              <w:rPr>
                <w:rFonts w:ascii="宋体" w:hAnsi="宋体" w:cs="宋体"/>
                <w:kern w:val="0"/>
                <w:szCs w:val="21"/>
              </w:rPr>
            </w:pPr>
          </w:p>
        </w:tc>
        <w:tc>
          <w:tcPr>
            <w:tcW w:w="3557" w:type="dxa"/>
            <w:noWrap/>
            <w:vAlign w:val="center"/>
          </w:tcPr>
          <w:p w14:paraId="03A2E04D"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中花期</w:t>
            </w:r>
          </w:p>
        </w:tc>
        <w:tc>
          <w:tcPr>
            <w:tcW w:w="1821" w:type="dxa"/>
            <w:noWrap/>
            <w:vAlign w:val="center"/>
          </w:tcPr>
          <w:p w14:paraId="1A838B1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40-50元/墩</w:t>
            </w:r>
          </w:p>
        </w:tc>
        <w:tc>
          <w:tcPr>
            <w:tcW w:w="2032" w:type="dxa"/>
            <w:vMerge/>
            <w:noWrap/>
            <w:vAlign w:val="center"/>
          </w:tcPr>
          <w:p w14:paraId="437BD622" w14:textId="77777777" w:rsidR="00A320E6" w:rsidRDefault="00A320E6" w:rsidP="00AE0286">
            <w:pPr>
              <w:jc w:val="left"/>
              <w:rPr>
                <w:rFonts w:ascii="宋体" w:hAnsi="宋体" w:cs="宋体"/>
                <w:kern w:val="0"/>
                <w:szCs w:val="21"/>
              </w:rPr>
            </w:pPr>
          </w:p>
        </w:tc>
      </w:tr>
      <w:tr w:rsidR="00A320E6" w14:paraId="3B006C57" w14:textId="77777777" w:rsidTr="008B03FA">
        <w:trPr>
          <w:trHeight w:val="312"/>
        </w:trPr>
        <w:tc>
          <w:tcPr>
            <w:tcW w:w="650" w:type="dxa"/>
            <w:vMerge/>
            <w:noWrap/>
            <w:vAlign w:val="center"/>
          </w:tcPr>
          <w:p w14:paraId="2F81652B" w14:textId="77777777" w:rsidR="00A320E6" w:rsidRDefault="00A320E6" w:rsidP="00AE0286">
            <w:pPr>
              <w:jc w:val="center"/>
              <w:rPr>
                <w:rFonts w:ascii="宋体" w:hAnsi="宋体" w:cs="宋体"/>
                <w:color w:val="000000"/>
                <w:kern w:val="0"/>
                <w:szCs w:val="21"/>
                <w:lang w:bidi="ar"/>
              </w:rPr>
            </w:pPr>
          </w:p>
        </w:tc>
        <w:tc>
          <w:tcPr>
            <w:tcW w:w="768" w:type="dxa"/>
            <w:vMerge/>
            <w:noWrap/>
            <w:vAlign w:val="center"/>
          </w:tcPr>
          <w:p w14:paraId="1213012F" w14:textId="77777777" w:rsidR="00A320E6" w:rsidRDefault="00A320E6" w:rsidP="00AE0286">
            <w:pPr>
              <w:jc w:val="center"/>
              <w:rPr>
                <w:rFonts w:ascii="宋体" w:hAnsi="宋体" w:cs="宋体"/>
                <w:szCs w:val="21"/>
              </w:rPr>
            </w:pPr>
          </w:p>
        </w:tc>
        <w:tc>
          <w:tcPr>
            <w:tcW w:w="3557" w:type="dxa"/>
            <w:noWrap/>
            <w:vAlign w:val="center"/>
          </w:tcPr>
          <w:p w14:paraId="7E212FE4" w14:textId="77777777" w:rsidR="00A320E6" w:rsidRDefault="00000000" w:rsidP="00AE0286">
            <w:pPr>
              <w:jc w:val="left"/>
              <w:textAlignment w:val="center"/>
              <w:rPr>
                <w:rFonts w:ascii="宋体" w:hAnsi="宋体" w:cs="宋体"/>
                <w:kern w:val="0"/>
                <w:szCs w:val="21"/>
              </w:rPr>
            </w:pPr>
            <w:r>
              <w:rPr>
                <w:rFonts w:ascii="宋体" w:hAnsi="宋体" w:cs="宋体" w:hint="eastAsia"/>
                <w:color w:val="000000"/>
                <w:kern w:val="0"/>
                <w:szCs w:val="21"/>
                <w:lang w:bidi="ar"/>
              </w:rPr>
              <w:t>2-3年生</w:t>
            </w:r>
          </w:p>
        </w:tc>
        <w:tc>
          <w:tcPr>
            <w:tcW w:w="1821" w:type="dxa"/>
            <w:noWrap/>
            <w:vAlign w:val="center"/>
          </w:tcPr>
          <w:p w14:paraId="5A372EC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10-20元/墩</w:t>
            </w:r>
          </w:p>
        </w:tc>
        <w:tc>
          <w:tcPr>
            <w:tcW w:w="2032" w:type="dxa"/>
            <w:vMerge/>
            <w:noWrap/>
            <w:vAlign w:val="center"/>
          </w:tcPr>
          <w:p w14:paraId="120A94F0" w14:textId="77777777" w:rsidR="00A320E6" w:rsidRDefault="00A320E6" w:rsidP="00AE0286">
            <w:pPr>
              <w:jc w:val="left"/>
              <w:rPr>
                <w:rFonts w:ascii="宋体" w:hAnsi="宋体" w:cs="宋体"/>
                <w:kern w:val="0"/>
                <w:szCs w:val="21"/>
              </w:rPr>
            </w:pPr>
          </w:p>
        </w:tc>
      </w:tr>
    </w:tbl>
    <w:p w14:paraId="1A492571" w14:textId="77777777" w:rsidR="00A320E6" w:rsidRDefault="00A320E6" w:rsidP="00AE0286">
      <w:pPr>
        <w:adjustRightInd w:val="0"/>
        <w:snapToGrid w:val="0"/>
        <w:spacing w:line="360" w:lineRule="auto"/>
        <w:ind w:firstLineChars="200" w:firstLine="442"/>
        <w:rPr>
          <w:rFonts w:hAnsiTheme="minorEastAsia"/>
          <w:b/>
          <w:bCs/>
          <w:kern w:val="0"/>
          <w:sz w:val="22"/>
        </w:rPr>
      </w:pPr>
    </w:p>
    <w:p w14:paraId="032E1FBE"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1B847EA3"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1.其他未列出的地上附着物参照本标准中相近情况给予适当补偿。对难以参照的地上附着物补偿标准，可委托有资质的机构进行评估或认证。</w:t>
      </w:r>
    </w:p>
    <w:p w14:paraId="44FAF90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2.露天蔬菜、其他经济作物按作物产值补偿一季，作物产值根据市场价格进行协商或评估认证。</w:t>
      </w:r>
    </w:p>
    <w:p w14:paraId="6B313D4A"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3.国家和省确定的铁路、公路、机场、航道港口、水利工程、能源工程等重大基础设施项目征收土地地上附着物和青苗补偿等标准另有规定的，从其规定。</w:t>
      </w:r>
    </w:p>
    <w:p w14:paraId="5B092A5B"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4.有线电视、宽带网、电话、空调、太阳能、热水器等迁移费按照行业标准执行。</w:t>
      </w:r>
    </w:p>
    <w:p w14:paraId="09AAC33F"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5.地下管线及变压器等不在此标准的地上物，可委托相关有资质的机构进行评估或认证。</w:t>
      </w:r>
    </w:p>
    <w:p w14:paraId="771107B9"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6.自征收土地预公告发布之日起，抢种、抢栽的青苗和其他地上附着物，以及抢建的房屋等建（构）筑物不予补偿。</w:t>
      </w:r>
    </w:p>
    <w:p w14:paraId="63623B1E" w14:textId="769C20B1"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7.立体种植：对在土地内种植多种苗木的立体种植模式，根据实际种植情况，按照从主原则对价值较高的一类苗木进行补偿，或按照苗圃进行补偿，或按面积分类补偿。</w:t>
      </w:r>
    </w:p>
    <w:p w14:paraId="5E9F1904" w14:textId="188F8BE4" w:rsidR="008B03FA" w:rsidRDefault="008B03FA" w:rsidP="008B03FA">
      <w:pPr>
        <w:pStyle w:val="2"/>
      </w:pPr>
    </w:p>
    <w:p w14:paraId="55F670B6" w14:textId="6A4EC983" w:rsidR="008B03FA" w:rsidRDefault="008B03FA" w:rsidP="008B03FA">
      <w:pPr>
        <w:pStyle w:val="2"/>
      </w:pPr>
    </w:p>
    <w:p w14:paraId="4A82D1ED"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济南市征地地上附着物和青苗补偿标准</w:t>
      </w:r>
    </w:p>
    <w:p w14:paraId="17BC5DBF" w14:textId="77777777" w:rsidR="00A320E6" w:rsidRDefault="00000000" w:rsidP="00AE0286">
      <w:pPr>
        <w:adjustRightInd w:val="0"/>
        <w:snapToGrid w:val="0"/>
        <w:spacing w:line="360" w:lineRule="auto"/>
        <w:jc w:val="center"/>
        <w:rPr>
          <w:rFonts w:ascii="宋体" w:hAnsi="宋体" w:cs="宋体"/>
          <w:kern w:val="0"/>
          <w:sz w:val="24"/>
          <w:szCs w:val="24"/>
        </w:rPr>
      </w:pPr>
      <w:r>
        <w:rPr>
          <w:rFonts w:ascii="宋体" w:hAnsi="宋体" w:cs="宋体" w:hint="eastAsia"/>
          <w:kern w:val="0"/>
          <w:sz w:val="24"/>
          <w:szCs w:val="24"/>
        </w:rPr>
        <w:t>（商河县）</w:t>
      </w:r>
    </w:p>
    <w:tbl>
      <w:tblPr>
        <w:tblW w:w="8578" w:type="dxa"/>
        <w:tblInd w:w="93" w:type="dxa"/>
        <w:tblLayout w:type="fixed"/>
        <w:tblLook w:val="04A0" w:firstRow="1" w:lastRow="0" w:firstColumn="1" w:lastColumn="0" w:noHBand="0" w:noVBand="1"/>
      </w:tblPr>
      <w:tblGrid>
        <w:gridCol w:w="639"/>
        <w:gridCol w:w="690"/>
        <w:gridCol w:w="3853"/>
        <w:gridCol w:w="1509"/>
        <w:gridCol w:w="1887"/>
      </w:tblGrid>
      <w:tr w:rsidR="00A320E6" w14:paraId="5621C073" w14:textId="77777777" w:rsidTr="008B03FA">
        <w:trPr>
          <w:trHeight w:val="312"/>
          <w:tblHeader/>
        </w:trPr>
        <w:tc>
          <w:tcPr>
            <w:tcW w:w="639" w:type="dxa"/>
            <w:tcBorders>
              <w:top w:val="single" w:sz="4" w:space="0" w:color="000000"/>
              <w:left w:val="single" w:sz="4" w:space="0" w:color="000000"/>
              <w:bottom w:val="single" w:sz="4" w:space="0" w:color="000000"/>
              <w:right w:val="single" w:sz="4" w:space="0" w:color="000000"/>
            </w:tcBorders>
            <w:vAlign w:val="center"/>
          </w:tcPr>
          <w:p w14:paraId="30652A66"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序号</w:t>
            </w:r>
          </w:p>
        </w:tc>
        <w:tc>
          <w:tcPr>
            <w:tcW w:w="690" w:type="dxa"/>
            <w:tcBorders>
              <w:top w:val="single" w:sz="4" w:space="0" w:color="000000"/>
              <w:left w:val="single" w:sz="4" w:space="0" w:color="000000"/>
              <w:bottom w:val="single" w:sz="4" w:space="0" w:color="000000"/>
              <w:right w:val="single" w:sz="4" w:space="0" w:color="000000"/>
            </w:tcBorders>
            <w:vAlign w:val="center"/>
          </w:tcPr>
          <w:p w14:paraId="341865DE"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名称</w:t>
            </w:r>
          </w:p>
        </w:tc>
        <w:tc>
          <w:tcPr>
            <w:tcW w:w="3853" w:type="dxa"/>
            <w:tcBorders>
              <w:top w:val="single" w:sz="4" w:space="0" w:color="000000"/>
              <w:left w:val="single" w:sz="4" w:space="0" w:color="000000"/>
              <w:bottom w:val="single" w:sz="4" w:space="0" w:color="000000"/>
              <w:right w:val="single" w:sz="4" w:space="0" w:color="000000"/>
            </w:tcBorders>
            <w:vAlign w:val="center"/>
          </w:tcPr>
          <w:p w14:paraId="2708D52F"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类别规格</w:t>
            </w:r>
          </w:p>
        </w:tc>
        <w:tc>
          <w:tcPr>
            <w:tcW w:w="1509" w:type="dxa"/>
            <w:tcBorders>
              <w:top w:val="single" w:sz="4" w:space="0" w:color="000000"/>
              <w:left w:val="single" w:sz="4" w:space="0" w:color="000000"/>
              <w:bottom w:val="single" w:sz="4" w:space="0" w:color="000000"/>
              <w:right w:val="single" w:sz="4" w:space="0" w:color="000000"/>
            </w:tcBorders>
            <w:vAlign w:val="center"/>
          </w:tcPr>
          <w:p w14:paraId="18E73642"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补偿标准</w:t>
            </w:r>
          </w:p>
        </w:tc>
        <w:tc>
          <w:tcPr>
            <w:tcW w:w="1887" w:type="dxa"/>
            <w:tcBorders>
              <w:top w:val="single" w:sz="4" w:space="0" w:color="000000"/>
              <w:left w:val="single" w:sz="4" w:space="0" w:color="000000"/>
              <w:bottom w:val="single" w:sz="4" w:space="0" w:color="000000"/>
              <w:right w:val="single" w:sz="4" w:space="0" w:color="000000"/>
            </w:tcBorders>
            <w:vAlign w:val="center"/>
          </w:tcPr>
          <w:p w14:paraId="79192EB5" w14:textId="77777777" w:rsidR="00A320E6" w:rsidRDefault="00000000" w:rsidP="00AE0286">
            <w:pPr>
              <w:jc w:val="center"/>
              <w:textAlignment w:val="center"/>
              <w:rPr>
                <w:rFonts w:ascii="宋体" w:hAnsi="宋体" w:cs="宋体"/>
                <w:b/>
                <w:bCs/>
                <w:color w:val="000000"/>
                <w:szCs w:val="21"/>
              </w:rPr>
            </w:pPr>
            <w:r>
              <w:rPr>
                <w:rFonts w:ascii="宋体" w:hAnsi="宋体" w:cs="宋体" w:hint="eastAsia"/>
                <w:b/>
                <w:bCs/>
                <w:color w:val="000000"/>
                <w:kern w:val="0"/>
                <w:szCs w:val="21"/>
                <w:lang w:bidi="ar"/>
              </w:rPr>
              <w:t>备注</w:t>
            </w:r>
          </w:p>
        </w:tc>
      </w:tr>
      <w:tr w:rsidR="00A320E6" w14:paraId="568CE8CE"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67E0EEC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3B35B49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房屋</w:t>
            </w:r>
          </w:p>
        </w:tc>
        <w:tc>
          <w:tcPr>
            <w:tcW w:w="3853" w:type="dxa"/>
            <w:tcBorders>
              <w:top w:val="single" w:sz="4" w:space="0" w:color="000000"/>
              <w:left w:val="single" w:sz="4" w:space="0" w:color="000000"/>
              <w:bottom w:val="single" w:sz="4" w:space="0" w:color="000000"/>
              <w:right w:val="single" w:sz="4" w:space="0" w:color="000000"/>
            </w:tcBorders>
            <w:vAlign w:val="center"/>
          </w:tcPr>
          <w:p w14:paraId="165EE73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钢混结构：主体承重为钢结构或砼结构，主要指框架结构的大跨度厂房或多层楼房。</w:t>
            </w:r>
          </w:p>
        </w:tc>
        <w:tc>
          <w:tcPr>
            <w:tcW w:w="1509" w:type="dxa"/>
            <w:tcBorders>
              <w:top w:val="single" w:sz="4" w:space="0" w:color="000000"/>
              <w:left w:val="single" w:sz="4" w:space="0" w:color="000000"/>
              <w:bottom w:val="single" w:sz="4" w:space="0" w:color="000000"/>
              <w:right w:val="single" w:sz="4" w:space="0" w:color="000000"/>
            </w:tcBorders>
            <w:vAlign w:val="center"/>
          </w:tcPr>
          <w:p w14:paraId="51D81BD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1000元/㎡</w:t>
            </w:r>
          </w:p>
        </w:tc>
        <w:tc>
          <w:tcPr>
            <w:tcW w:w="1887" w:type="dxa"/>
            <w:vMerge w:val="restart"/>
            <w:tcBorders>
              <w:top w:val="single" w:sz="4" w:space="0" w:color="000000"/>
              <w:left w:val="single" w:sz="4" w:space="0" w:color="000000"/>
              <w:right w:val="single" w:sz="4" w:space="0" w:color="000000"/>
            </w:tcBorders>
            <w:vAlign w:val="center"/>
          </w:tcPr>
          <w:p w14:paraId="6AAFF2AC"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1.表中面积指建筑面积。2.旧料归原主。</w:t>
            </w:r>
          </w:p>
          <w:p w14:paraId="7AFD90D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3.建筑正规的大门参照房屋结构套用补偿标准。</w:t>
            </w:r>
          </w:p>
          <w:p w14:paraId="6CAA789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4.全封闭的前出厦按建筑面积的100％计算，有柱子未封闭的前出厦按建筑面积的50％计算。</w:t>
            </w:r>
          </w:p>
          <w:p w14:paraId="62E06B9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5.对于房屋精装修的，建议引入市场评估。</w:t>
            </w:r>
          </w:p>
        </w:tc>
      </w:tr>
      <w:tr w:rsidR="00A320E6" w14:paraId="6A0061EB"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76CC1C52"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F676EC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E126F7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砖混结构（楼房）：砖墙承重，现浇或预制板保温防水屋面，水泥或其他硬化地面的楼房。</w:t>
            </w:r>
          </w:p>
        </w:tc>
        <w:tc>
          <w:tcPr>
            <w:tcW w:w="1509" w:type="dxa"/>
            <w:tcBorders>
              <w:top w:val="single" w:sz="4" w:space="0" w:color="000000"/>
              <w:left w:val="single" w:sz="4" w:space="0" w:color="000000"/>
              <w:bottom w:val="single" w:sz="4" w:space="0" w:color="000000"/>
              <w:right w:val="single" w:sz="4" w:space="0" w:color="000000"/>
            </w:tcBorders>
            <w:vAlign w:val="center"/>
          </w:tcPr>
          <w:p w14:paraId="7449E1A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800元/㎡</w:t>
            </w:r>
          </w:p>
        </w:tc>
        <w:tc>
          <w:tcPr>
            <w:tcW w:w="1887" w:type="dxa"/>
            <w:vMerge/>
            <w:tcBorders>
              <w:left w:val="single" w:sz="4" w:space="0" w:color="000000"/>
              <w:right w:val="single" w:sz="4" w:space="0" w:color="000000"/>
            </w:tcBorders>
            <w:vAlign w:val="center"/>
          </w:tcPr>
          <w:p w14:paraId="51634FFC" w14:textId="77777777" w:rsidR="00A320E6" w:rsidRDefault="00A320E6" w:rsidP="00AE0286">
            <w:pPr>
              <w:jc w:val="left"/>
              <w:textAlignment w:val="center"/>
              <w:rPr>
                <w:rFonts w:ascii="宋体" w:hAnsi="宋体" w:cs="宋体"/>
                <w:color w:val="000000"/>
                <w:szCs w:val="21"/>
              </w:rPr>
            </w:pPr>
          </w:p>
        </w:tc>
      </w:tr>
      <w:tr w:rsidR="00A320E6" w14:paraId="714B322A"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BB95960"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0A68C06"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05674F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砖混结构（平房）：砖墙承重，现浇或预制板保温防水屋面，水泥或其他硬化地面的平房，檐高不低于2.5m。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5FD2A0D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550元/㎡</w:t>
            </w:r>
          </w:p>
        </w:tc>
        <w:tc>
          <w:tcPr>
            <w:tcW w:w="1887" w:type="dxa"/>
            <w:vMerge/>
            <w:tcBorders>
              <w:left w:val="single" w:sz="4" w:space="0" w:color="000000"/>
              <w:right w:val="single" w:sz="4" w:space="0" w:color="000000"/>
            </w:tcBorders>
            <w:vAlign w:val="center"/>
          </w:tcPr>
          <w:p w14:paraId="2E724844" w14:textId="77777777" w:rsidR="00A320E6" w:rsidRDefault="00A320E6" w:rsidP="00AE0286">
            <w:pPr>
              <w:jc w:val="left"/>
              <w:textAlignment w:val="center"/>
              <w:rPr>
                <w:rFonts w:ascii="宋体" w:hAnsi="宋体" w:cs="宋体"/>
                <w:color w:val="000000"/>
                <w:szCs w:val="21"/>
              </w:rPr>
            </w:pPr>
          </w:p>
        </w:tc>
      </w:tr>
      <w:tr w:rsidR="00A320E6" w14:paraId="7DF84E9E"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6CD070D0"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384C9A3"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68381F3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砖木结构（平房）：规则的石角，砖墙或石墙承重，符合规格的木屋架，木（预制）檩条，瓦屋面，外墙扦缝（抹灰），檐高不低于2.5m。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4C13941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450元/㎡</w:t>
            </w:r>
          </w:p>
        </w:tc>
        <w:tc>
          <w:tcPr>
            <w:tcW w:w="1887" w:type="dxa"/>
            <w:vMerge/>
            <w:tcBorders>
              <w:left w:val="single" w:sz="4" w:space="0" w:color="000000"/>
              <w:right w:val="single" w:sz="4" w:space="0" w:color="000000"/>
            </w:tcBorders>
            <w:vAlign w:val="center"/>
          </w:tcPr>
          <w:p w14:paraId="26253F40" w14:textId="77777777" w:rsidR="00A320E6" w:rsidRDefault="00A320E6" w:rsidP="00AE0286">
            <w:pPr>
              <w:jc w:val="left"/>
              <w:textAlignment w:val="center"/>
              <w:rPr>
                <w:rFonts w:ascii="宋体" w:hAnsi="宋体" w:cs="宋体"/>
                <w:color w:val="000000"/>
                <w:szCs w:val="21"/>
              </w:rPr>
            </w:pPr>
          </w:p>
        </w:tc>
      </w:tr>
      <w:tr w:rsidR="00A320E6" w14:paraId="2F0EFA96"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9ECF178"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51F85BF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FEDD91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简易结构：承重墙土坯、砖头、条砖混砌、碎石等，不规则木梁檩、瓦屋面，两面借墙或檐高低于2.5m。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22AF366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250元/㎡</w:t>
            </w:r>
          </w:p>
        </w:tc>
        <w:tc>
          <w:tcPr>
            <w:tcW w:w="1887" w:type="dxa"/>
            <w:vMerge/>
            <w:tcBorders>
              <w:left w:val="single" w:sz="4" w:space="0" w:color="000000"/>
              <w:bottom w:val="single" w:sz="4" w:space="0" w:color="000000"/>
              <w:right w:val="single" w:sz="4" w:space="0" w:color="000000"/>
            </w:tcBorders>
            <w:vAlign w:val="center"/>
          </w:tcPr>
          <w:p w14:paraId="36C7EE55" w14:textId="77777777" w:rsidR="00A320E6" w:rsidRDefault="00A320E6" w:rsidP="00AE0286">
            <w:pPr>
              <w:rPr>
                <w:rFonts w:ascii="宋体" w:hAnsi="宋体" w:cs="宋体"/>
                <w:color w:val="000000"/>
                <w:szCs w:val="21"/>
              </w:rPr>
            </w:pPr>
          </w:p>
        </w:tc>
      </w:tr>
      <w:tr w:rsidR="00A320E6" w14:paraId="63E77C8A"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6CB01FC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3BC147C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围墙</w:t>
            </w:r>
          </w:p>
        </w:tc>
        <w:tc>
          <w:tcPr>
            <w:tcW w:w="3853" w:type="dxa"/>
            <w:tcBorders>
              <w:top w:val="single" w:sz="4" w:space="0" w:color="000000"/>
              <w:left w:val="single" w:sz="4" w:space="0" w:color="000000"/>
              <w:bottom w:val="single" w:sz="4" w:space="0" w:color="000000"/>
              <w:right w:val="single" w:sz="4" w:space="0" w:color="000000"/>
            </w:tcBorders>
            <w:vAlign w:val="center"/>
          </w:tcPr>
          <w:p w14:paraId="00EC6A3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乱石基砖墙高2.5m以上</w:t>
            </w:r>
          </w:p>
        </w:tc>
        <w:tc>
          <w:tcPr>
            <w:tcW w:w="1509" w:type="dxa"/>
            <w:tcBorders>
              <w:top w:val="single" w:sz="4" w:space="0" w:color="000000"/>
              <w:left w:val="single" w:sz="4" w:space="0" w:color="000000"/>
              <w:bottom w:val="single" w:sz="4" w:space="0" w:color="000000"/>
              <w:right w:val="single" w:sz="4" w:space="0" w:color="000000"/>
            </w:tcBorders>
            <w:vAlign w:val="center"/>
          </w:tcPr>
          <w:p w14:paraId="08B3017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120元/m</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564D05E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07CADCEB"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42A19C97"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4D011A42"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E5921C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乱石基砖墙高2-2.5m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7C72AEC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56A80B6B" w14:textId="77777777" w:rsidR="00A320E6" w:rsidRDefault="00A320E6" w:rsidP="00AE0286">
            <w:pPr>
              <w:jc w:val="left"/>
              <w:rPr>
                <w:rFonts w:ascii="宋体" w:hAnsi="宋体" w:cs="宋体"/>
                <w:color w:val="000000"/>
                <w:szCs w:val="21"/>
              </w:rPr>
            </w:pPr>
          </w:p>
        </w:tc>
      </w:tr>
      <w:tr w:rsidR="00A320E6" w14:paraId="4C64E922"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C89DD12"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FF2A9C6"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B67C72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乱石基砖墙高1-2m</w:t>
            </w:r>
          </w:p>
        </w:tc>
        <w:tc>
          <w:tcPr>
            <w:tcW w:w="1509" w:type="dxa"/>
            <w:tcBorders>
              <w:top w:val="single" w:sz="4" w:space="0" w:color="000000"/>
              <w:left w:val="single" w:sz="4" w:space="0" w:color="000000"/>
              <w:bottom w:val="single" w:sz="4" w:space="0" w:color="000000"/>
              <w:right w:val="single" w:sz="4" w:space="0" w:color="000000"/>
            </w:tcBorders>
            <w:vAlign w:val="center"/>
          </w:tcPr>
          <w:p w14:paraId="1750F6A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1813D87D" w14:textId="77777777" w:rsidR="00A320E6" w:rsidRDefault="00A320E6" w:rsidP="00AE0286">
            <w:pPr>
              <w:jc w:val="left"/>
              <w:rPr>
                <w:rFonts w:ascii="宋体" w:hAnsi="宋体" w:cs="宋体"/>
                <w:color w:val="000000"/>
                <w:szCs w:val="21"/>
              </w:rPr>
            </w:pPr>
          </w:p>
        </w:tc>
      </w:tr>
      <w:tr w:rsidR="00A320E6" w14:paraId="3E333CC6"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5650A042"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6E20D4D2"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C917C1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乱石基土坯墙高1.5-2.5m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7453603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3DA0002B" w14:textId="77777777" w:rsidR="00A320E6" w:rsidRDefault="00A320E6" w:rsidP="00AE0286">
            <w:pPr>
              <w:jc w:val="left"/>
              <w:rPr>
                <w:rFonts w:ascii="宋体" w:hAnsi="宋体" w:cs="宋体"/>
                <w:color w:val="000000"/>
                <w:szCs w:val="21"/>
              </w:rPr>
            </w:pPr>
          </w:p>
        </w:tc>
      </w:tr>
      <w:tr w:rsidR="00A320E6" w14:paraId="6C90287E"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4EAF58E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37F1D7F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畜禽舍</w:t>
            </w:r>
          </w:p>
        </w:tc>
        <w:tc>
          <w:tcPr>
            <w:tcW w:w="3853" w:type="dxa"/>
            <w:tcBorders>
              <w:top w:val="single" w:sz="4" w:space="0" w:color="000000"/>
              <w:left w:val="single" w:sz="4" w:space="0" w:color="000000"/>
              <w:bottom w:val="single" w:sz="4" w:space="0" w:color="000000"/>
              <w:right w:val="single" w:sz="4" w:space="0" w:color="000000"/>
            </w:tcBorders>
            <w:vAlign w:val="center"/>
          </w:tcPr>
          <w:p w14:paraId="53F67D2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砖混结构</w:t>
            </w:r>
          </w:p>
        </w:tc>
        <w:tc>
          <w:tcPr>
            <w:tcW w:w="1509" w:type="dxa"/>
            <w:tcBorders>
              <w:top w:val="single" w:sz="4" w:space="0" w:color="000000"/>
              <w:left w:val="single" w:sz="4" w:space="0" w:color="000000"/>
              <w:bottom w:val="single" w:sz="4" w:space="0" w:color="000000"/>
              <w:right w:val="single" w:sz="4" w:space="0" w:color="000000"/>
            </w:tcBorders>
            <w:vAlign w:val="center"/>
          </w:tcPr>
          <w:p w14:paraId="322C7FB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150元/㎡</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702C3F9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0E4D4B72"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716E633B"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2E1B935"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88AF9F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简易结构</w:t>
            </w:r>
          </w:p>
        </w:tc>
        <w:tc>
          <w:tcPr>
            <w:tcW w:w="1509" w:type="dxa"/>
            <w:tcBorders>
              <w:top w:val="single" w:sz="4" w:space="0" w:color="000000"/>
              <w:left w:val="single" w:sz="4" w:space="0" w:color="000000"/>
              <w:bottom w:val="single" w:sz="4" w:space="0" w:color="000000"/>
              <w:right w:val="single" w:sz="4" w:space="0" w:color="000000"/>
            </w:tcBorders>
            <w:vAlign w:val="center"/>
          </w:tcPr>
          <w:p w14:paraId="26A3B4F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砖墙体，石棉瓦顶100元/㎡；两面墙体，简易顶50元/㎡。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71636CAE" w14:textId="77777777" w:rsidR="00A320E6" w:rsidRDefault="00A320E6" w:rsidP="00AE0286">
            <w:pPr>
              <w:jc w:val="left"/>
              <w:rPr>
                <w:rFonts w:ascii="宋体" w:hAnsi="宋体" w:cs="宋体"/>
                <w:color w:val="000000"/>
                <w:szCs w:val="21"/>
              </w:rPr>
            </w:pPr>
          </w:p>
        </w:tc>
      </w:tr>
      <w:tr w:rsidR="00A320E6" w14:paraId="3178A73A"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46540E2F"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1B0FCA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迁坟</w:t>
            </w:r>
          </w:p>
        </w:tc>
        <w:tc>
          <w:tcPr>
            <w:tcW w:w="3853" w:type="dxa"/>
            <w:vMerge w:val="restart"/>
            <w:tcBorders>
              <w:top w:val="single" w:sz="4" w:space="0" w:color="000000"/>
              <w:left w:val="single" w:sz="4" w:space="0" w:color="000000"/>
              <w:bottom w:val="single" w:sz="4" w:space="0" w:color="000000"/>
              <w:right w:val="single" w:sz="4" w:space="0" w:color="000000"/>
            </w:tcBorders>
            <w:vAlign w:val="center"/>
          </w:tcPr>
          <w:p w14:paraId="1DD8D1B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棺木、拾骨、骨灰盒</w:t>
            </w:r>
          </w:p>
        </w:tc>
        <w:tc>
          <w:tcPr>
            <w:tcW w:w="1509" w:type="dxa"/>
            <w:vMerge w:val="restart"/>
            <w:tcBorders>
              <w:top w:val="single" w:sz="4" w:space="0" w:color="000000"/>
              <w:left w:val="single" w:sz="4" w:space="0" w:color="000000"/>
              <w:bottom w:val="single" w:sz="4" w:space="0" w:color="000000"/>
              <w:right w:val="single" w:sz="4" w:space="0" w:color="000000"/>
            </w:tcBorders>
            <w:vAlign w:val="center"/>
          </w:tcPr>
          <w:p w14:paraId="21F1D41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1000元/座</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556226D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1.少数民族按其殡葬习惯和特点补偿标准可以在上浮100%的范围内协商确定。2.包括迁葬、工料等所有费用。</w:t>
            </w:r>
          </w:p>
        </w:tc>
      </w:tr>
      <w:tr w:rsidR="00A320E6" w14:paraId="72F351F4"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7CB41A7B"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2468ECA7" w14:textId="77777777" w:rsidR="00A320E6" w:rsidRDefault="00A320E6" w:rsidP="00AE0286">
            <w:pPr>
              <w:jc w:val="center"/>
              <w:rPr>
                <w:rFonts w:ascii="宋体" w:hAnsi="宋体" w:cs="宋体"/>
                <w:color w:val="000000"/>
                <w:szCs w:val="21"/>
              </w:rPr>
            </w:pPr>
          </w:p>
        </w:tc>
        <w:tc>
          <w:tcPr>
            <w:tcW w:w="3853" w:type="dxa"/>
            <w:vMerge/>
            <w:tcBorders>
              <w:top w:val="single" w:sz="4" w:space="0" w:color="000000"/>
              <w:left w:val="single" w:sz="4" w:space="0" w:color="000000"/>
              <w:bottom w:val="single" w:sz="4" w:space="0" w:color="000000"/>
              <w:right w:val="single" w:sz="4" w:space="0" w:color="000000"/>
            </w:tcBorders>
            <w:vAlign w:val="center"/>
          </w:tcPr>
          <w:p w14:paraId="684B81D5" w14:textId="77777777" w:rsidR="00A320E6" w:rsidRDefault="00A320E6" w:rsidP="00AE0286">
            <w:pPr>
              <w:jc w:val="left"/>
              <w:rPr>
                <w:rFonts w:ascii="宋体" w:hAnsi="宋体" w:cs="宋体"/>
                <w:color w:val="000000"/>
                <w:szCs w:val="21"/>
              </w:rPr>
            </w:pPr>
          </w:p>
        </w:tc>
        <w:tc>
          <w:tcPr>
            <w:tcW w:w="1509" w:type="dxa"/>
            <w:vMerge/>
            <w:tcBorders>
              <w:top w:val="single" w:sz="4" w:space="0" w:color="000000"/>
              <w:left w:val="single" w:sz="4" w:space="0" w:color="000000"/>
              <w:bottom w:val="single" w:sz="4" w:space="0" w:color="000000"/>
              <w:right w:val="single" w:sz="4" w:space="0" w:color="000000"/>
            </w:tcBorders>
            <w:vAlign w:val="center"/>
          </w:tcPr>
          <w:p w14:paraId="33C0A6F1" w14:textId="77777777" w:rsidR="00A320E6" w:rsidRDefault="00A320E6" w:rsidP="00AE0286">
            <w:pPr>
              <w:jc w:val="center"/>
              <w:rPr>
                <w:rFonts w:ascii="宋体" w:hAnsi="宋体" w:cs="宋体"/>
                <w:color w:val="000000"/>
                <w:kern w:val="0"/>
                <w:szCs w:val="21"/>
                <w:lang w:bidi="ar"/>
              </w:rPr>
            </w:pP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00D127DF" w14:textId="77777777" w:rsidR="00A320E6" w:rsidRDefault="00A320E6" w:rsidP="00AE0286">
            <w:pPr>
              <w:jc w:val="left"/>
              <w:rPr>
                <w:rFonts w:ascii="宋体" w:hAnsi="宋体" w:cs="宋体"/>
                <w:color w:val="000000"/>
                <w:szCs w:val="21"/>
              </w:rPr>
            </w:pPr>
          </w:p>
        </w:tc>
      </w:tr>
      <w:tr w:rsidR="00A320E6" w14:paraId="36134D4E"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7B9BE37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672524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温室</w:t>
            </w:r>
          </w:p>
        </w:tc>
        <w:tc>
          <w:tcPr>
            <w:tcW w:w="3853" w:type="dxa"/>
            <w:tcBorders>
              <w:top w:val="single" w:sz="4" w:space="0" w:color="000000"/>
              <w:left w:val="single" w:sz="4" w:space="0" w:color="000000"/>
              <w:bottom w:val="single" w:sz="4" w:space="0" w:color="000000"/>
              <w:right w:val="single" w:sz="4" w:space="0" w:color="000000"/>
            </w:tcBorders>
            <w:vAlign w:val="center"/>
          </w:tcPr>
          <w:p w14:paraId="0ACB45F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钢、砼骨架、玻璃顶</w:t>
            </w:r>
          </w:p>
        </w:tc>
        <w:tc>
          <w:tcPr>
            <w:tcW w:w="1509" w:type="dxa"/>
            <w:tcBorders>
              <w:top w:val="single" w:sz="4" w:space="0" w:color="000000"/>
              <w:left w:val="single" w:sz="4" w:space="0" w:color="000000"/>
              <w:bottom w:val="single" w:sz="4" w:space="0" w:color="000000"/>
              <w:right w:val="single" w:sz="4" w:space="0" w:color="000000"/>
            </w:tcBorders>
            <w:vAlign w:val="center"/>
          </w:tcPr>
          <w:p w14:paraId="3348A65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120元/㎡</w:t>
            </w:r>
          </w:p>
        </w:tc>
        <w:tc>
          <w:tcPr>
            <w:tcW w:w="1887" w:type="dxa"/>
            <w:vMerge w:val="restart"/>
            <w:tcBorders>
              <w:top w:val="single" w:sz="4" w:space="0" w:color="000000"/>
              <w:left w:val="single" w:sz="4" w:space="0" w:color="000000"/>
              <w:right w:val="single" w:sz="4" w:space="0" w:color="000000"/>
            </w:tcBorders>
            <w:vAlign w:val="center"/>
          </w:tcPr>
          <w:p w14:paraId="05234B7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旧料归原主（按占地面积计算）。</w:t>
            </w:r>
          </w:p>
        </w:tc>
      </w:tr>
      <w:tr w:rsidR="00A320E6" w14:paraId="707AEC51"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1D8975D7"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D7A7E0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F4223A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钢、砼骨架、塑料薄膜棚顶</w:t>
            </w:r>
          </w:p>
        </w:tc>
        <w:tc>
          <w:tcPr>
            <w:tcW w:w="1509" w:type="dxa"/>
            <w:tcBorders>
              <w:top w:val="single" w:sz="4" w:space="0" w:color="000000"/>
              <w:left w:val="single" w:sz="4" w:space="0" w:color="000000"/>
              <w:bottom w:val="single" w:sz="4" w:space="0" w:color="000000"/>
              <w:right w:val="single" w:sz="4" w:space="0" w:color="000000"/>
            </w:tcBorders>
            <w:vAlign w:val="center"/>
          </w:tcPr>
          <w:p w14:paraId="475F2F6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90元/㎡</w:t>
            </w:r>
          </w:p>
        </w:tc>
        <w:tc>
          <w:tcPr>
            <w:tcW w:w="1887" w:type="dxa"/>
            <w:vMerge/>
            <w:tcBorders>
              <w:left w:val="single" w:sz="4" w:space="0" w:color="000000"/>
              <w:right w:val="single" w:sz="4" w:space="0" w:color="000000"/>
            </w:tcBorders>
            <w:vAlign w:val="center"/>
          </w:tcPr>
          <w:p w14:paraId="29A9C1C2" w14:textId="77777777" w:rsidR="00A320E6" w:rsidRDefault="00A320E6" w:rsidP="00AE0286">
            <w:pPr>
              <w:jc w:val="left"/>
              <w:rPr>
                <w:rFonts w:ascii="宋体" w:hAnsi="宋体" w:cs="宋体"/>
                <w:color w:val="000000"/>
                <w:szCs w:val="21"/>
              </w:rPr>
            </w:pPr>
          </w:p>
        </w:tc>
      </w:tr>
      <w:tr w:rsidR="00A320E6" w14:paraId="78C01CBF"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6C8CC26"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504C96DC"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2544539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简易塑料薄膜棚顶</w:t>
            </w:r>
          </w:p>
        </w:tc>
        <w:tc>
          <w:tcPr>
            <w:tcW w:w="1509" w:type="dxa"/>
            <w:tcBorders>
              <w:top w:val="single" w:sz="4" w:space="0" w:color="000000"/>
              <w:left w:val="single" w:sz="4" w:space="0" w:color="000000"/>
              <w:bottom w:val="single" w:sz="4" w:space="0" w:color="000000"/>
              <w:right w:val="single" w:sz="4" w:space="0" w:color="000000"/>
            </w:tcBorders>
            <w:vAlign w:val="center"/>
          </w:tcPr>
          <w:p w14:paraId="494756E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40元/㎡</w:t>
            </w:r>
          </w:p>
        </w:tc>
        <w:tc>
          <w:tcPr>
            <w:tcW w:w="1887" w:type="dxa"/>
            <w:vMerge/>
            <w:tcBorders>
              <w:left w:val="single" w:sz="4" w:space="0" w:color="000000"/>
              <w:bottom w:val="single" w:sz="4" w:space="0" w:color="000000"/>
              <w:right w:val="single" w:sz="4" w:space="0" w:color="000000"/>
            </w:tcBorders>
            <w:vAlign w:val="center"/>
          </w:tcPr>
          <w:p w14:paraId="50DE3C67" w14:textId="77777777" w:rsidR="00A320E6" w:rsidRDefault="00A320E6" w:rsidP="00AE0286">
            <w:pPr>
              <w:jc w:val="left"/>
              <w:rPr>
                <w:rFonts w:ascii="宋体" w:hAnsi="宋体" w:cs="宋体"/>
                <w:color w:val="000000"/>
                <w:szCs w:val="21"/>
              </w:rPr>
            </w:pPr>
          </w:p>
        </w:tc>
      </w:tr>
      <w:tr w:rsidR="00A320E6" w14:paraId="4FCDCA14"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7D1BC9B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E1654E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小桥</w:t>
            </w:r>
          </w:p>
        </w:tc>
        <w:tc>
          <w:tcPr>
            <w:tcW w:w="3853" w:type="dxa"/>
            <w:tcBorders>
              <w:top w:val="single" w:sz="4" w:space="0" w:color="000000"/>
              <w:left w:val="single" w:sz="4" w:space="0" w:color="000000"/>
              <w:bottom w:val="single" w:sz="4" w:space="0" w:color="000000"/>
              <w:right w:val="single" w:sz="4" w:space="0" w:color="000000"/>
            </w:tcBorders>
            <w:vAlign w:val="center"/>
          </w:tcPr>
          <w:p w14:paraId="29C449F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钢筋混凝土矩形板桥</w:t>
            </w:r>
          </w:p>
        </w:tc>
        <w:tc>
          <w:tcPr>
            <w:tcW w:w="1509" w:type="dxa"/>
            <w:tcBorders>
              <w:top w:val="single" w:sz="4" w:space="0" w:color="000000"/>
              <w:left w:val="single" w:sz="4" w:space="0" w:color="000000"/>
              <w:bottom w:val="single" w:sz="4" w:space="0" w:color="000000"/>
              <w:right w:val="single" w:sz="4" w:space="0" w:color="000000"/>
            </w:tcBorders>
            <w:vAlign w:val="center"/>
          </w:tcPr>
          <w:p w14:paraId="6A570C2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1200元/㎡</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2879480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按桥面面积计算。</w:t>
            </w:r>
          </w:p>
        </w:tc>
      </w:tr>
      <w:tr w:rsidR="00A320E6" w14:paraId="017F52BC"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4CE3350"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59359EF"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0EDDF7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平坦石拱桥</w:t>
            </w:r>
          </w:p>
        </w:tc>
        <w:tc>
          <w:tcPr>
            <w:tcW w:w="1509" w:type="dxa"/>
            <w:tcBorders>
              <w:top w:val="single" w:sz="4" w:space="0" w:color="000000"/>
              <w:left w:val="single" w:sz="4" w:space="0" w:color="000000"/>
              <w:bottom w:val="single" w:sz="4" w:space="0" w:color="000000"/>
              <w:right w:val="single" w:sz="4" w:space="0" w:color="000000"/>
            </w:tcBorders>
            <w:vAlign w:val="center"/>
          </w:tcPr>
          <w:p w14:paraId="50A1E60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1000元/㎡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6E02EE5D" w14:textId="77777777" w:rsidR="00A320E6" w:rsidRDefault="00A320E6" w:rsidP="00AE0286">
            <w:pPr>
              <w:jc w:val="left"/>
              <w:rPr>
                <w:rFonts w:ascii="宋体" w:hAnsi="宋体" w:cs="宋体"/>
                <w:color w:val="000000"/>
                <w:szCs w:val="21"/>
              </w:rPr>
            </w:pPr>
          </w:p>
        </w:tc>
      </w:tr>
      <w:tr w:rsidR="00A320E6" w14:paraId="5EEF7837"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C95ADF9"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653FDB5C"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DCF3CB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石拱桥</w:t>
            </w:r>
          </w:p>
        </w:tc>
        <w:tc>
          <w:tcPr>
            <w:tcW w:w="1509" w:type="dxa"/>
            <w:tcBorders>
              <w:top w:val="single" w:sz="4" w:space="0" w:color="000000"/>
              <w:left w:val="single" w:sz="4" w:space="0" w:color="000000"/>
              <w:bottom w:val="single" w:sz="4" w:space="0" w:color="000000"/>
              <w:right w:val="single" w:sz="4" w:space="0" w:color="000000"/>
            </w:tcBorders>
            <w:vAlign w:val="center"/>
          </w:tcPr>
          <w:p w14:paraId="7259040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5BFB9E29" w14:textId="77777777" w:rsidR="00A320E6" w:rsidRDefault="00A320E6" w:rsidP="00AE0286">
            <w:pPr>
              <w:jc w:val="left"/>
              <w:rPr>
                <w:rFonts w:ascii="宋体" w:hAnsi="宋体" w:cs="宋体"/>
                <w:color w:val="000000"/>
                <w:szCs w:val="21"/>
              </w:rPr>
            </w:pPr>
          </w:p>
        </w:tc>
      </w:tr>
      <w:tr w:rsidR="00A320E6" w14:paraId="19CBC6C4"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3E3B059"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0F0FC0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680287F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简易小桥（砖砌、碎石搭建）</w:t>
            </w:r>
          </w:p>
        </w:tc>
        <w:tc>
          <w:tcPr>
            <w:tcW w:w="1509" w:type="dxa"/>
            <w:tcBorders>
              <w:top w:val="single" w:sz="4" w:space="0" w:color="000000"/>
              <w:left w:val="single" w:sz="4" w:space="0" w:color="000000"/>
              <w:bottom w:val="single" w:sz="4" w:space="0" w:color="000000"/>
              <w:right w:val="single" w:sz="4" w:space="0" w:color="000000"/>
            </w:tcBorders>
            <w:vAlign w:val="center"/>
          </w:tcPr>
          <w:p w14:paraId="4427EC1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4A9A3ABA" w14:textId="77777777" w:rsidR="00A320E6" w:rsidRDefault="00A320E6" w:rsidP="00AE0286">
            <w:pPr>
              <w:jc w:val="left"/>
              <w:rPr>
                <w:rFonts w:ascii="宋体" w:hAnsi="宋体" w:cs="宋体"/>
                <w:color w:val="000000"/>
                <w:szCs w:val="21"/>
              </w:rPr>
            </w:pPr>
          </w:p>
        </w:tc>
      </w:tr>
      <w:tr w:rsidR="00A320E6" w14:paraId="5085ABEC"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399514D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74D221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涵洞</w:t>
            </w:r>
          </w:p>
        </w:tc>
        <w:tc>
          <w:tcPr>
            <w:tcW w:w="3853" w:type="dxa"/>
            <w:tcBorders>
              <w:top w:val="single" w:sz="4" w:space="0" w:color="000000"/>
              <w:left w:val="single" w:sz="4" w:space="0" w:color="000000"/>
              <w:bottom w:val="single" w:sz="4" w:space="0" w:color="000000"/>
              <w:right w:val="single" w:sz="4" w:space="0" w:color="000000"/>
            </w:tcBorders>
            <w:vAlign w:val="center"/>
          </w:tcPr>
          <w:p w14:paraId="5521D01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石盖板涵跨径1-2m</w:t>
            </w:r>
          </w:p>
        </w:tc>
        <w:tc>
          <w:tcPr>
            <w:tcW w:w="1509" w:type="dxa"/>
            <w:tcBorders>
              <w:top w:val="single" w:sz="4" w:space="0" w:color="000000"/>
              <w:left w:val="single" w:sz="4" w:space="0" w:color="000000"/>
              <w:bottom w:val="single" w:sz="4" w:space="0" w:color="000000"/>
              <w:right w:val="single" w:sz="4" w:space="0" w:color="000000"/>
            </w:tcBorders>
            <w:vAlign w:val="center"/>
          </w:tcPr>
          <w:p w14:paraId="0D38758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400元/m</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4A022D03" w14:textId="77777777" w:rsidR="00A320E6" w:rsidRDefault="00A320E6" w:rsidP="00AE0286">
            <w:pPr>
              <w:jc w:val="left"/>
              <w:rPr>
                <w:rFonts w:ascii="宋体" w:hAnsi="宋体" w:cs="宋体"/>
                <w:color w:val="000000"/>
                <w:szCs w:val="21"/>
              </w:rPr>
            </w:pPr>
          </w:p>
        </w:tc>
      </w:tr>
      <w:tr w:rsidR="00A320E6" w14:paraId="72D3A8D7"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32162C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22D7A1FF"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456E797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石拱涵跨径1-2m</w:t>
            </w:r>
          </w:p>
        </w:tc>
        <w:tc>
          <w:tcPr>
            <w:tcW w:w="1509" w:type="dxa"/>
            <w:tcBorders>
              <w:top w:val="single" w:sz="4" w:space="0" w:color="000000"/>
              <w:left w:val="single" w:sz="4" w:space="0" w:color="000000"/>
              <w:bottom w:val="single" w:sz="4" w:space="0" w:color="000000"/>
              <w:right w:val="single" w:sz="4" w:space="0" w:color="000000"/>
            </w:tcBorders>
            <w:vAlign w:val="center"/>
          </w:tcPr>
          <w:p w14:paraId="3A36D5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64AA42DB" w14:textId="77777777" w:rsidR="00A320E6" w:rsidRDefault="00A320E6" w:rsidP="00AE0286">
            <w:pPr>
              <w:jc w:val="left"/>
              <w:rPr>
                <w:rFonts w:ascii="宋体" w:hAnsi="宋体" w:cs="宋体"/>
                <w:color w:val="000000"/>
                <w:szCs w:val="21"/>
              </w:rPr>
            </w:pPr>
          </w:p>
        </w:tc>
      </w:tr>
      <w:tr w:rsidR="00A320E6" w14:paraId="09266A19"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D0145C7"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4DEBEE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204F8FE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石拱涵跨径2-4m</w:t>
            </w:r>
          </w:p>
        </w:tc>
        <w:tc>
          <w:tcPr>
            <w:tcW w:w="1509" w:type="dxa"/>
            <w:tcBorders>
              <w:top w:val="single" w:sz="4" w:space="0" w:color="000000"/>
              <w:left w:val="single" w:sz="4" w:space="0" w:color="000000"/>
              <w:bottom w:val="single" w:sz="4" w:space="0" w:color="000000"/>
              <w:right w:val="single" w:sz="4" w:space="0" w:color="000000"/>
            </w:tcBorders>
            <w:vAlign w:val="center"/>
          </w:tcPr>
          <w:p w14:paraId="2751141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1350元/m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6C7CC1DF" w14:textId="77777777" w:rsidR="00A320E6" w:rsidRDefault="00A320E6" w:rsidP="00AE0286">
            <w:pPr>
              <w:jc w:val="left"/>
              <w:rPr>
                <w:rFonts w:ascii="宋体" w:hAnsi="宋体" w:cs="宋体"/>
                <w:color w:val="000000"/>
                <w:szCs w:val="21"/>
              </w:rPr>
            </w:pPr>
          </w:p>
        </w:tc>
      </w:tr>
      <w:tr w:rsidR="00A320E6" w14:paraId="7B5E56CB"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1C0EBB8"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11FB2E3"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81E550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钢筋混凝土圆管涵跨径1-2m</w:t>
            </w:r>
          </w:p>
        </w:tc>
        <w:tc>
          <w:tcPr>
            <w:tcW w:w="1509" w:type="dxa"/>
            <w:tcBorders>
              <w:top w:val="single" w:sz="4" w:space="0" w:color="000000"/>
              <w:left w:val="single" w:sz="4" w:space="0" w:color="000000"/>
              <w:bottom w:val="single" w:sz="4" w:space="0" w:color="000000"/>
              <w:right w:val="single" w:sz="4" w:space="0" w:color="000000"/>
            </w:tcBorders>
            <w:vAlign w:val="center"/>
          </w:tcPr>
          <w:p w14:paraId="7EB1C27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047E465F" w14:textId="77777777" w:rsidR="00A320E6" w:rsidRDefault="00A320E6" w:rsidP="00AE0286">
            <w:pPr>
              <w:jc w:val="left"/>
              <w:rPr>
                <w:rFonts w:ascii="宋体" w:hAnsi="宋体" w:cs="宋体"/>
                <w:color w:val="000000"/>
                <w:szCs w:val="21"/>
              </w:rPr>
            </w:pPr>
          </w:p>
        </w:tc>
      </w:tr>
      <w:tr w:rsidR="00A320E6" w14:paraId="3D9EB611"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6D3490FF"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4AB6C2B"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F6165E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钢筋混凝土盖板涵跨径1.5-3m</w:t>
            </w:r>
          </w:p>
        </w:tc>
        <w:tc>
          <w:tcPr>
            <w:tcW w:w="1509" w:type="dxa"/>
            <w:vMerge w:val="restart"/>
            <w:tcBorders>
              <w:top w:val="single" w:sz="4" w:space="0" w:color="000000"/>
              <w:left w:val="single" w:sz="4" w:space="0" w:color="000000"/>
              <w:bottom w:val="single" w:sz="4" w:space="0" w:color="000000"/>
              <w:right w:val="single" w:sz="4" w:space="0" w:color="000000"/>
            </w:tcBorders>
            <w:vAlign w:val="center"/>
          </w:tcPr>
          <w:p w14:paraId="268EC57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1600元/m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4E3AB781" w14:textId="77777777" w:rsidR="00A320E6" w:rsidRDefault="00A320E6" w:rsidP="00AE0286">
            <w:pPr>
              <w:jc w:val="left"/>
              <w:rPr>
                <w:rFonts w:ascii="宋体" w:hAnsi="宋体" w:cs="宋体"/>
                <w:color w:val="000000"/>
                <w:szCs w:val="21"/>
              </w:rPr>
            </w:pPr>
          </w:p>
        </w:tc>
      </w:tr>
      <w:tr w:rsidR="00A320E6" w14:paraId="0917B463"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CBB7AB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F5FEF2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6E66DD9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钢筋混凝土盖板涵跨径3-4m</w:t>
            </w:r>
          </w:p>
        </w:tc>
        <w:tc>
          <w:tcPr>
            <w:tcW w:w="1509" w:type="dxa"/>
            <w:vMerge/>
            <w:tcBorders>
              <w:top w:val="single" w:sz="4" w:space="0" w:color="000000"/>
              <w:left w:val="single" w:sz="4" w:space="0" w:color="000000"/>
              <w:bottom w:val="single" w:sz="4" w:space="0" w:color="000000"/>
              <w:right w:val="single" w:sz="4" w:space="0" w:color="000000"/>
            </w:tcBorders>
            <w:vAlign w:val="center"/>
          </w:tcPr>
          <w:p w14:paraId="7B4F1688" w14:textId="77777777" w:rsidR="00A320E6" w:rsidRDefault="00A320E6" w:rsidP="00AE0286">
            <w:pPr>
              <w:jc w:val="center"/>
              <w:rPr>
                <w:rFonts w:ascii="宋体" w:hAnsi="宋体" w:cs="宋体"/>
                <w:color w:val="000000"/>
                <w:kern w:val="0"/>
                <w:szCs w:val="21"/>
                <w:lang w:bidi="ar"/>
              </w:rPr>
            </w:pP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24206036" w14:textId="77777777" w:rsidR="00A320E6" w:rsidRDefault="00A320E6" w:rsidP="00AE0286">
            <w:pPr>
              <w:jc w:val="left"/>
              <w:rPr>
                <w:rFonts w:ascii="宋体" w:hAnsi="宋体" w:cs="宋体"/>
                <w:color w:val="000000"/>
                <w:szCs w:val="21"/>
              </w:rPr>
            </w:pPr>
          </w:p>
        </w:tc>
      </w:tr>
      <w:tr w:rsidR="00A320E6" w14:paraId="5D3E0AD5"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6D6FF95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BBDE528"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F0D2C4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0.4m以下排水涵管</w:t>
            </w:r>
          </w:p>
        </w:tc>
        <w:tc>
          <w:tcPr>
            <w:tcW w:w="1509" w:type="dxa"/>
            <w:tcBorders>
              <w:top w:val="single" w:sz="4" w:space="0" w:color="000000"/>
              <w:left w:val="single" w:sz="4" w:space="0" w:color="000000"/>
              <w:bottom w:val="single" w:sz="4" w:space="0" w:color="000000"/>
              <w:right w:val="single" w:sz="4" w:space="0" w:color="000000"/>
            </w:tcBorders>
            <w:vAlign w:val="center"/>
          </w:tcPr>
          <w:p w14:paraId="7768D6F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0C0CAC63" w14:textId="77777777" w:rsidR="00A320E6" w:rsidRDefault="00A320E6" w:rsidP="00AE0286">
            <w:pPr>
              <w:jc w:val="left"/>
              <w:rPr>
                <w:rFonts w:ascii="宋体" w:hAnsi="宋体" w:cs="宋体"/>
                <w:color w:val="000000"/>
                <w:szCs w:val="21"/>
              </w:rPr>
            </w:pPr>
          </w:p>
        </w:tc>
      </w:tr>
      <w:tr w:rsidR="00A320E6" w14:paraId="28D86B67"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032886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DA807B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23D2D6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0.4-1m排水涵管</w:t>
            </w:r>
          </w:p>
        </w:tc>
        <w:tc>
          <w:tcPr>
            <w:tcW w:w="1509" w:type="dxa"/>
            <w:tcBorders>
              <w:top w:val="single" w:sz="4" w:space="0" w:color="000000"/>
              <w:left w:val="single" w:sz="4" w:space="0" w:color="000000"/>
              <w:bottom w:val="single" w:sz="4" w:space="0" w:color="000000"/>
              <w:right w:val="single" w:sz="4" w:space="0" w:color="000000"/>
            </w:tcBorders>
            <w:vAlign w:val="center"/>
          </w:tcPr>
          <w:p w14:paraId="1003C98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300元/m</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7C56CBE1" w14:textId="77777777" w:rsidR="00A320E6" w:rsidRDefault="00A320E6" w:rsidP="00AE0286">
            <w:pPr>
              <w:jc w:val="left"/>
              <w:rPr>
                <w:rFonts w:ascii="宋体" w:hAnsi="宋体" w:cs="宋体"/>
                <w:color w:val="000000"/>
                <w:szCs w:val="21"/>
              </w:rPr>
            </w:pPr>
          </w:p>
        </w:tc>
      </w:tr>
      <w:tr w:rsidR="00A320E6" w14:paraId="1EBA20E7" w14:textId="77777777" w:rsidTr="008B03FA">
        <w:trPr>
          <w:trHeight w:val="312"/>
        </w:trPr>
        <w:tc>
          <w:tcPr>
            <w:tcW w:w="639" w:type="dxa"/>
            <w:tcBorders>
              <w:top w:val="single" w:sz="4" w:space="0" w:color="000000"/>
              <w:left w:val="single" w:sz="4" w:space="0" w:color="000000"/>
              <w:bottom w:val="single" w:sz="4" w:space="0" w:color="000000"/>
              <w:right w:val="single" w:sz="4" w:space="0" w:color="000000"/>
            </w:tcBorders>
            <w:vAlign w:val="center"/>
          </w:tcPr>
          <w:p w14:paraId="119D213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690" w:type="dxa"/>
            <w:tcBorders>
              <w:top w:val="single" w:sz="4" w:space="0" w:color="000000"/>
              <w:left w:val="single" w:sz="4" w:space="0" w:color="000000"/>
              <w:bottom w:val="single" w:sz="4" w:space="0" w:color="000000"/>
              <w:right w:val="single" w:sz="4" w:space="0" w:color="000000"/>
            </w:tcBorders>
            <w:vAlign w:val="center"/>
          </w:tcPr>
          <w:p w14:paraId="541009C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台田石堰</w:t>
            </w:r>
          </w:p>
        </w:tc>
        <w:tc>
          <w:tcPr>
            <w:tcW w:w="3853" w:type="dxa"/>
            <w:tcBorders>
              <w:top w:val="single" w:sz="4" w:space="0" w:color="000000"/>
              <w:left w:val="single" w:sz="4" w:space="0" w:color="000000"/>
              <w:bottom w:val="single" w:sz="4" w:space="0" w:color="000000"/>
              <w:right w:val="single" w:sz="4" w:space="0" w:color="000000"/>
            </w:tcBorders>
            <w:vAlign w:val="center"/>
          </w:tcPr>
          <w:p w14:paraId="065500FA" w14:textId="77777777" w:rsidR="00A320E6" w:rsidRDefault="00A320E6" w:rsidP="00AE0286">
            <w:pPr>
              <w:jc w:val="left"/>
              <w:rPr>
                <w:rFonts w:ascii="宋体" w:hAnsi="宋体" w:cs="宋体"/>
                <w:color w:val="000000"/>
                <w:szCs w:val="21"/>
              </w:rPr>
            </w:pPr>
          </w:p>
        </w:tc>
        <w:tc>
          <w:tcPr>
            <w:tcW w:w="1509" w:type="dxa"/>
            <w:tcBorders>
              <w:top w:val="single" w:sz="4" w:space="0" w:color="000000"/>
              <w:left w:val="single" w:sz="4" w:space="0" w:color="000000"/>
              <w:bottom w:val="single" w:sz="4" w:space="0" w:color="000000"/>
              <w:right w:val="single" w:sz="4" w:space="0" w:color="000000"/>
            </w:tcBorders>
            <w:vAlign w:val="center"/>
          </w:tcPr>
          <w:p w14:paraId="061321D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50元/m</w:t>
            </w:r>
          </w:p>
        </w:tc>
        <w:tc>
          <w:tcPr>
            <w:tcW w:w="1887" w:type="dxa"/>
            <w:tcBorders>
              <w:top w:val="single" w:sz="4" w:space="0" w:color="000000"/>
              <w:left w:val="single" w:sz="4" w:space="0" w:color="000000"/>
              <w:bottom w:val="single" w:sz="4" w:space="0" w:color="000000"/>
              <w:right w:val="single" w:sz="4" w:space="0" w:color="000000"/>
            </w:tcBorders>
            <w:vAlign w:val="center"/>
          </w:tcPr>
          <w:p w14:paraId="2705A5E6" w14:textId="77777777" w:rsidR="00A320E6" w:rsidRDefault="00A320E6" w:rsidP="00AE0286">
            <w:pPr>
              <w:jc w:val="left"/>
              <w:rPr>
                <w:rFonts w:ascii="宋体" w:hAnsi="宋体" w:cs="宋体"/>
                <w:color w:val="000000"/>
                <w:szCs w:val="21"/>
              </w:rPr>
            </w:pPr>
          </w:p>
        </w:tc>
      </w:tr>
      <w:tr w:rsidR="00A320E6" w14:paraId="017978F6"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658D082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6E7F5A0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水渠水池</w:t>
            </w:r>
          </w:p>
        </w:tc>
        <w:tc>
          <w:tcPr>
            <w:tcW w:w="3853" w:type="dxa"/>
            <w:tcBorders>
              <w:top w:val="single" w:sz="4" w:space="0" w:color="000000"/>
              <w:left w:val="single" w:sz="4" w:space="0" w:color="000000"/>
              <w:bottom w:val="single" w:sz="4" w:space="0" w:color="000000"/>
              <w:right w:val="single" w:sz="4" w:space="0" w:color="000000"/>
            </w:tcBorders>
            <w:vAlign w:val="center"/>
          </w:tcPr>
          <w:p w14:paraId="26AE64F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土筑水渠、水池</w:t>
            </w:r>
          </w:p>
        </w:tc>
        <w:tc>
          <w:tcPr>
            <w:tcW w:w="1509" w:type="dxa"/>
            <w:tcBorders>
              <w:top w:val="single" w:sz="4" w:space="0" w:color="000000"/>
              <w:left w:val="single" w:sz="4" w:space="0" w:color="000000"/>
              <w:bottom w:val="single" w:sz="4" w:space="0" w:color="000000"/>
              <w:right w:val="single" w:sz="4" w:space="0" w:color="000000"/>
            </w:tcBorders>
            <w:vAlign w:val="center"/>
          </w:tcPr>
          <w:p w14:paraId="0B63184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10元/m³</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73A7A53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1.不包括田间毛渠。2.按挖方体积计算。</w:t>
            </w:r>
          </w:p>
        </w:tc>
      </w:tr>
      <w:tr w:rsidR="00A320E6" w14:paraId="032CEB40"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C222A58"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5BF358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37667C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石砌水渠、水池</w:t>
            </w:r>
          </w:p>
        </w:tc>
        <w:tc>
          <w:tcPr>
            <w:tcW w:w="1509" w:type="dxa"/>
            <w:tcBorders>
              <w:top w:val="single" w:sz="4" w:space="0" w:color="000000"/>
              <w:left w:val="single" w:sz="4" w:space="0" w:color="000000"/>
              <w:bottom w:val="single" w:sz="4" w:space="0" w:color="000000"/>
              <w:right w:val="single" w:sz="4" w:space="0" w:color="000000"/>
            </w:tcBorders>
            <w:vAlign w:val="center"/>
          </w:tcPr>
          <w:p w14:paraId="7078480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60元/m³</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51715093" w14:textId="77777777" w:rsidR="00A320E6" w:rsidRDefault="00A320E6" w:rsidP="00AE0286">
            <w:pPr>
              <w:jc w:val="left"/>
              <w:rPr>
                <w:rFonts w:ascii="宋体" w:hAnsi="宋体" w:cs="宋体"/>
                <w:color w:val="000000"/>
                <w:szCs w:val="21"/>
              </w:rPr>
            </w:pPr>
          </w:p>
        </w:tc>
      </w:tr>
      <w:tr w:rsidR="00A320E6" w14:paraId="3A771932"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6D49B38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F79A54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8C7689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砖砌水渠、水池</w:t>
            </w:r>
          </w:p>
        </w:tc>
        <w:tc>
          <w:tcPr>
            <w:tcW w:w="1509" w:type="dxa"/>
            <w:tcBorders>
              <w:top w:val="single" w:sz="4" w:space="0" w:color="000000"/>
              <w:left w:val="single" w:sz="4" w:space="0" w:color="000000"/>
              <w:bottom w:val="single" w:sz="4" w:space="0" w:color="000000"/>
              <w:right w:val="single" w:sz="4" w:space="0" w:color="000000"/>
            </w:tcBorders>
            <w:vAlign w:val="center"/>
          </w:tcPr>
          <w:p w14:paraId="55045F1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80元/m³</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23C0E753" w14:textId="77777777" w:rsidR="00A320E6" w:rsidRDefault="00A320E6" w:rsidP="00AE0286">
            <w:pPr>
              <w:jc w:val="left"/>
              <w:rPr>
                <w:rFonts w:ascii="宋体" w:hAnsi="宋体" w:cs="宋体"/>
                <w:color w:val="000000"/>
                <w:szCs w:val="21"/>
              </w:rPr>
            </w:pPr>
          </w:p>
        </w:tc>
      </w:tr>
      <w:tr w:rsidR="00A320E6" w14:paraId="3BAF85A3"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060E55E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6F0338D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地面</w:t>
            </w:r>
          </w:p>
        </w:tc>
        <w:tc>
          <w:tcPr>
            <w:tcW w:w="3853" w:type="dxa"/>
            <w:tcBorders>
              <w:top w:val="single" w:sz="4" w:space="0" w:color="000000"/>
              <w:left w:val="single" w:sz="4" w:space="0" w:color="000000"/>
              <w:bottom w:val="single" w:sz="4" w:space="0" w:color="000000"/>
              <w:right w:val="single" w:sz="4" w:space="0" w:color="000000"/>
            </w:tcBorders>
            <w:vAlign w:val="center"/>
          </w:tcPr>
          <w:p w14:paraId="69A9795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水泥地面</w:t>
            </w:r>
          </w:p>
        </w:tc>
        <w:tc>
          <w:tcPr>
            <w:tcW w:w="1509" w:type="dxa"/>
            <w:tcBorders>
              <w:top w:val="single" w:sz="4" w:space="0" w:color="000000"/>
              <w:left w:val="single" w:sz="4" w:space="0" w:color="000000"/>
              <w:bottom w:val="single" w:sz="4" w:space="0" w:color="000000"/>
              <w:right w:val="single" w:sz="4" w:space="0" w:color="000000"/>
            </w:tcBorders>
            <w:vAlign w:val="center"/>
          </w:tcPr>
          <w:p w14:paraId="25A0A63F"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40元/㎡</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1F1675B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旧料归原主。</w:t>
            </w:r>
          </w:p>
        </w:tc>
      </w:tr>
      <w:tr w:rsidR="00A320E6" w14:paraId="1953A794"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57A69DF9"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2E07388B"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6610F33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花砖地面</w:t>
            </w:r>
          </w:p>
        </w:tc>
        <w:tc>
          <w:tcPr>
            <w:tcW w:w="1509" w:type="dxa"/>
            <w:tcBorders>
              <w:top w:val="single" w:sz="4" w:space="0" w:color="000000"/>
              <w:left w:val="single" w:sz="4" w:space="0" w:color="000000"/>
              <w:bottom w:val="single" w:sz="4" w:space="0" w:color="000000"/>
              <w:right w:val="single" w:sz="4" w:space="0" w:color="000000"/>
            </w:tcBorders>
            <w:vAlign w:val="center"/>
          </w:tcPr>
          <w:p w14:paraId="334FE3E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1AE68A48" w14:textId="77777777" w:rsidR="00A320E6" w:rsidRDefault="00A320E6" w:rsidP="00AE0286">
            <w:pPr>
              <w:jc w:val="left"/>
              <w:rPr>
                <w:rFonts w:ascii="宋体" w:hAnsi="宋体" w:cs="宋体"/>
                <w:color w:val="000000"/>
                <w:szCs w:val="21"/>
              </w:rPr>
            </w:pPr>
          </w:p>
        </w:tc>
      </w:tr>
      <w:tr w:rsidR="00A320E6" w14:paraId="1472CF71"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39508DD1"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625D557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1A51F4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水泥路面</w:t>
            </w:r>
          </w:p>
        </w:tc>
        <w:tc>
          <w:tcPr>
            <w:tcW w:w="1509" w:type="dxa"/>
            <w:tcBorders>
              <w:top w:val="single" w:sz="4" w:space="0" w:color="000000"/>
              <w:left w:val="single" w:sz="4" w:space="0" w:color="000000"/>
              <w:bottom w:val="single" w:sz="4" w:space="0" w:color="000000"/>
              <w:right w:val="single" w:sz="4" w:space="0" w:color="000000"/>
            </w:tcBorders>
            <w:vAlign w:val="center"/>
          </w:tcPr>
          <w:p w14:paraId="26ACFD1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55756A10" w14:textId="77777777" w:rsidR="00A320E6" w:rsidRDefault="00A320E6" w:rsidP="00AE0286">
            <w:pPr>
              <w:jc w:val="left"/>
              <w:rPr>
                <w:rFonts w:ascii="宋体" w:hAnsi="宋体" w:cs="宋体"/>
                <w:color w:val="000000"/>
                <w:szCs w:val="21"/>
              </w:rPr>
            </w:pPr>
          </w:p>
        </w:tc>
      </w:tr>
      <w:tr w:rsidR="00A320E6" w14:paraId="0F0CBE21"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138CDD8C"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E1BFFE1"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334212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沥青路面</w:t>
            </w:r>
          </w:p>
        </w:tc>
        <w:tc>
          <w:tcPr>
            <w:tcW w:w="1509" w:type="dxa"/>
            <w:tcBorders>
              <w:top w:val="single" w:sz="4" w:space="0" w:color="000000"/>
              <w:left w:val="single" w:sz="4" w:space="0" w:color="000000"/>
              <w:bottom w:val="single" w:sz="4" w:space="0" w:color="000000"/>
              <w:right w:val="single" w:sz="4" w:space="0" w:color="000000"/>
            </w:tcBorders>
            <w:vAlign w:val="center"/>
          </w:tcPr>
          <w:p w14:paraId="71E964E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21D1F766" w14:textId="77777777" w:rsidR="00A320E6" w:rsidRDefault="00A320E6" w:rsidP="00AE0286">
            <w:pPr>
              <w:jc w:val="left"/>
              <w:rPr>
                <w:rFonts w:ascii="宋体" w:hAnsi="宋体" w:cs="宋体"/>
                <w:color w:val="000000"/>
                <w:szCs w:val="21"/>
              </w:rPr>
            </w:pPr>
          </w:p>
        </w:tc>
      </w:tr>
      <w:tr w:rsidR="00A320E6" w14:paraId="0545D253"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76E6A2B2"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8FC750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822A32C"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碎石路面</w:t>
            </w:r>
          </w:p>
        </w:tc>
        <w:tc>
          <w:tcPr>
            <w:tcW w:w="1509" w:type="dxa"/>
            <w:tcBorders>
              <w:top w:val="single" w:sz="4" w:space="0" w:color="000000"/>
              <w:left w:val="single" w:sz="4" w:space="0" w:color="000000"/>
              <w:bottom w:val="single" w:sz="4" w:space="0" w:color="000000"/>
              <w:right w:val="single" w:sz="4" w:space="0" w:color="000000"/>
            </w:tcBorders>
            <w:vAlign w:val="center"/>
          </w:tcPr>
          <w:p w14:paraId="43DAC51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3AC72792" w14:textId="77777777" w:rsidR="00A320E6" w:rsidRDefault="00A320E6" w:rsidP="00AE0286">
            <w:pPr>
              <w:jc w:val="left"/>
              <w:rPr>
                <w:rFonts w:ascii="宋体" w:hAnsi="宋体" w:cs="宋体"/>
                <w:color w:val="000000"/>
                <w:szCs w:val="21"/>
              </w:rPr>
            </w:pPr>
          </w:p>
        </w:tc>
      </w:tr>
      <w:tr w:rsidR="00A320E6" w14:paraId="4D212AEF" w14:textId="77777777" w:rsidTr="008B03FA">
        <w:trPr>
          <w:trHeight w:val="312"/>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14:paraId="62A27C2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0E823213"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水井</w:t>
            </w:r>
          </w:p>
        </w:tc>
        <w:tc>
          <w:tcPr>
            <w:tcW w:w="3853" w:type="dxa"/>
            <w:tcBorders>
              <w:top w:val="single" w:sz="4" w:space="0" w:color="000000"/>
              <w:left w:val="single" w:sz="4" w:space="0" w:color="000000"/>
              <w:bottom w:val="single" w:sz="4" w:space="0" w:color="000000"/>
              <w:right w:val="single" w:sz="4" w:space="0" w:color="000000"/>
            </w:tcBorders>
            <w:vAlign w:val="center"/>
          </w:tcPr>
          <w:p w14:paraId="33C7BC1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手压井</w:t>
            </w:r>
          </w:p>
        </w:tc>
        <w:tc>
          <w:tcPr>
            <w:tcW w:w="1509" w:type="dxa"/>
            <w:tcBorders>
              <w:top w:val="single" w:sz="4" w:space="0" w:color="000000"/>
              <w:left w:val="single" w:sz="4" w:space="0" w:color="000000"/>
              <w:bottom w:val="single" w:sz="4" w:space="0" w:color="000000"/>
              <w:right w:val="single" w:sz="4" w:space="0" w:color="000000"/>
            </w:tcBorders>
            <w:vAlign w:val="center"/>
          </w:tcPr>
          <w:p w14:paraId="1086EF1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200元/眼</w:t>
            </w:r>
          </w:p>
        </w:tc>
        <w:tc>
          <w:tcPr>
            <w:tcW w:w="1887" w:type="dxa"/>
            <w:vMerge w:val="restart"/>
            <w:tcBorders>
              <w:top w:val="single" w:sz="4" w:space="0" w:color="000000"/>
              <w:left w:val="single" w:sz="4" w:space="0" w:color="000000"/>
              <w:right w:val="single" w:sz="4" w:space="0" w:color="000000"/>
            </w:tcBorders>
            <w:vAlign w:val="center"/>
          </w:tcPr>
          <w:p w14:paraId="238ECBBA"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1.水井补偿包括开凿工程用料及用工等费用。2.废、枯井按同类井补偿标准30％补偿。</w:t>
            </w:r>
          </w:p>
          <w:p w14:paraId="382A62E8" w14:textId="77777777" w:rsidR="00A320E6" w:rsidRDefault="00000000" w:rsidP="00AE0286">
            <w:pPr>
              <w:jc w:val="left"/>
              <w:textAlignment w:val="center"/>
              <w:rPr>
                <w:rStyle w:val="font31"/>
                <w:rFonts w:hint="default"/>
                <w:sz w:val="21"/>
                <w:szCs w:val="21"/>
                <w:lang w:bidi="ar"/>
              </w:rPr>
            </w:pPr>
            <w:r>
              <w:rPr>
                <w:rFonts w:ascii="宋体" w:hAnsi="宋体" w:cs="宋体" w:hint="eastAsia"/>
                <w:color w:val="000000"/>
                <w:kern w:val="0"/>
                <w:szCs w:val="21"/>
                <w:lang w:bidi="ar"/>
              </w:rPr>
              <w:t>3.机井按井深分段计算补偿。</w:t>
            </w:r>
          </w:p>
        </w:tc>
      </w:tr>
      <w:tr w:rsidR="00A320E6" w14:paraId="6F819816"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C78E5B3"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510B376"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CC1688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土井：直径1.2m</w:t>
            </w:r>
          </w:p>
        </w:tc>
        <w:tc>
          <w:tcPr>
            <w:tcW w:w="1509" w:type="dxa"/>
            <w:tcBorders>
              <w:top w:val="single" w:sz="4" w:space="0" w:color="000000"/>
              <w:left w:val="single" w:sz="4" w:space="0" w:color="000000"/>
              <w:bottom w:val="single" w:sz="4" w:space="0" w:color="000000"/>
              <w:right w:val="single" w:sz="4" w:space="0" w:color="000000"/>
            </w:tcBorders>
            <w:vAlign w:val="center"/>
          </w:tcPr>
          <w:p w14:paraId="62D3881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130元/m</w:t>
            </w:r>
          </w:p>
        </w:tc>
        <w:tc>
          <w:tcPr>
            <w:tcW w:w="1887" w:type="dxa"/>
            <w:vMerge/>
            <w:tcBorders>
              <w:left w:val="single" w:sz="4" w:space="0" w:color="000000"/>
              <w:right w:val="single" w:sz="4" w:space="0" w:color="000000"/>
            </w:tcBorders>
            <w:vAlign w:val="center"/>
          </w:tcPr>
          <w:p w14:paraId="6817AE2B" w14:textId="77777777" w:rsidR="00A320E6" w:rsidRDefault="00A320E6" w:rsidP="00AE0286">
            <w:pPr>
              <w:jc w:val="left"/>
              <w:textAlignment w:val="center"/>
              <w:rPr>
                <w:rStyle w:val="font31"/>
                <w:rFonts w:hint="default"/>
                <w:sz w:val="21"/>
                <w:szCs w:val="21"/>
                <w:lang w:bidi="ar"/>
              </w:rPr>
            </w:pPr>
          </w:p>
        </w:tc>
      </w:tr>
      <w:tr w:rsidR="00A320E6" w14:paraId="21FE0F33"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59B4767B"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B323B8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121902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砖井（包括乱石井）：深5-10m直径1.5m</w:t>
            </w:r>
          </w:p>
        </w:tc>
        <w:tc>
          <w:tcPr>
            <w:tcW w:w="1509" w:type="dxa"/>
            <w:tcBorders>
              <w:top w:val="single" w:sz="4" w:space="0" w:color="000000"/>
              <w:left w:val="single" w:sz="4" w:space="0" w:color="000000"/>
              <w:bottom w:val="single" w:sz="4" w:space="0" w:color="000000"/>
              <w:right w:val="single" w:sz="4" w:space="0" w:color="000000"/>
            </w:tcBorders>
            <w:vAlign w:val="center"/>
          </w:tcPr>
          <w:p w14:paraId="0FA38BA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2500元/口</w:t>
            </w:r>
          </w:p>
        </w:tc>
        <w:tc>
          <w:tcPr>
            <w:tcW w:w="1887" w:type="dxa"/>
            <w:vMerge/>
            <w:tcBorders>
              <w:left w:val="single" w:sz="4" w:space="0" w:color="000000"/>
              <w:right w:val="single" w:sz="4" w:space="0" w:color="000000"/>
            </w:tcBorders>
            <w:vAlign w:val="center"/>
          </w:tcPr>
          <w:p w14:paraId="103024BD" w14:textId="77777777" w:rsidR="00A320E6" w:rsidRDefault="00A320E6" w:rsidP="00AE0286">
            <w:pPr>
              <w:rPr>
                <w:rFonts w:ascii="宋体" w:hAnsi="宋体" w:cs="宋体"/>
                <w:color w:val="000000"/>
                <w:szCs w:val="21"/>
              </w:rPr>
            </w:pPr>
          </w:p>
        </w:tc>
      </w:tr>
      <w:tr w:rsidR="00A320E6" w14:paraId="39396F1D"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A99D545"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6A978551"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right w:val="single" w:sz="4" w:space="0" w:color="000000"/>
            </w:tcBorders>
            <w:vAlign w:val="center"/>
          </w:tcPr>
          <w:p w14:paraId="51E258A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砖井（包括乱石井）：深10-20m直径2.5m</w:t>
            </w:r>
          </w:p>
        </w:tc>
        <w:tc>
          <w:tcPr>
            <w:tcW w:w="1509" w:type="dxa"/>
            <w:tcBorders>
              <w:top w:val="single" w:sz="4" w:space="0" w:color="000000"/>
              <w:left w:val="single" w:sz="4" w:space="0" w:color="000000"/>
              <w:bottom w:val="single" w:sz="4" w:space="0" w:color="000000"/>
              <w:right w:val="single" w:sz="4" w:space="0" w:color="000000"/>
            </w:tcBorders>
            <w:vAlign w:val="center"/>
          </w:tcPr>
          <w:p w14:paraId="7370E66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4500元/口</w:t>
            </w:r>
          </w:p>
        </w:tc>
        <w:tc>
          <w:tcPr>
            <w:tcW w:w="1887" w:type="dxa"/>
            <w:vMerge/>
            <w:tcBorders>
              <w:left w:val="single" w:sz="4" w:space="0" w:color="000000"/>
              <w:right w:val="single" w:sz="4" w:space="0" w:color="000000"/>
            </w:tcBorders>
            <w:noWrap/>
            <w:vAlign w:val="center"/>
          </w:tcPr>
          <w:p w14:paraId="4D43B311" w14:textId="77777777" w:rsidR="00A320E6" w:rsidRDefault="00A320E6" w:rsidP="00AE0286">
            <w:pPr>
              <w:rPr>
                <w:rFonts w:ascii="宋体" w:hAnsi="宋体" w:cs="宋体"/>
                <w:color w:val="000000"/>
                <w:szCs w:val="21"/>
              </w:rPr>
            </w:pPr>
          </w:p>
        </w:tc>
      </w:tr>
      <w:tr w:rsidR="00A320E6" w14:paraId="37A7422A"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6B688080"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2316ADF5"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81C426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下管井</w:t>
            </w:r>
          </w:p>
        </w:tc>
        <w:tc>
          <w:tcPr>
            <w:tcW w:w="1509" w:type="dxa"/>
            <w:tcBorders>
              <w:top w:val="single" w:sz="4" w:space="0" w:color="000000"/>
              <w:left w:val="single" w:sz="4" w:space="0" w:color="000000"/>
              <w:bottom w:val="single" w:sz="4" w:space="0" w:color="000000"/>
              <w:right w:val="single" w:sz="4" w:space="0" w:color="000000"/>
            </w:tcBorders>
            <w:vAlign w:val="center"/>
          </w:tcPr>
          <w:p w14:paraId="2F2D592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300元/m</w:t>
            </w:r>
          </w:p>
        </w:tc>
        <w:tc>
          <w:tcPr>
            <w:tcW w:w="1887" w:type="dxa"/>
            <w:vMerge/>
            <w:tcBorders>
              <w:left w:val="single" w:sz="4" w:space="0" w:color="000000"/>
              <w:right w:val="single" w:sz="4" w:space="0" w:color="000000"/>
            </w:tcBorders>
            <w:noWrap/>
            <w:vAlign w:val="center"/>
          </w:tcPr>
          <w:p w14:paraId="79C28CFA" w14:textId="77777777" w:rsidR="00A320E6" w:rsidRDefault="00A320E6" w:rsidP="00AE0286">
            <w:pPr>
              <w:rPr>
                <w:rFonts w:ascii="宋体" w:hAnsi="宋体" w:cs="宋体"/>
                <w:color w:val="000000"/>
                <w:szCs w:val="21"/>
              </w:rPr>
            </w:pPr>
          </w:p>
        </w:tc>
      </w:tr>
      <w:tr w:rsidR="00A320E6" w14:paraId="5C4CA6E4"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6A21C1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41CD8E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1BAE0E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机井：深20-50m</w:t>
            </w:r>
          </w:p>
        </w:tc>
        <w:tc>
          <w:tcPr>
            <w:tcW w:w="1509" w:type="dxa"/>
            <w:tcBorders>
              <w:top w:val="single" w:sz="4" w:space="0" w:color="000000"/>
              <w:left w:val="single" w:sz="4" w:space="0" w:color="000000"/>
              <w:bottom w:val="single" w:sz="4" w:space="0" w:color="000000"/>
              <w:right w:val="single" w:sz="4" w:space="0" w:color="000000"/>
            </w:tcBorders>
            <w:vAlign w:val="center"/>
          </w:tcPr>
          <w:p w14:paraId="0951D6F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200元/m</w:t>
            </w:r>
          </w:p>
        </w:tc>
        <w:tc>
          <w:tcPr>
            <w:tcW w:w="1887" w:type="dxa"/>
            <w:vMerge/>
            <w:tcBorders>
              <w:left w:val="single" w:sz="4" w:space="0" w:color="000000"/>
              <w:right w:val="single" w:sz="4" w:space="0" w:color="000000"/>
            </w:tcBorders>
            <w:noWrap/>
            <w:vAlign w:val="center"/>
          </w:tcPr>
          <w:p w14:paraId="23B11A5A" w14:textId="77777777" w:rsidR="00A320E6" w:rsidRDefault="00A320E6" w:rsidP="00AE0286">
            <w:pPr>
              <w:rPr>
                <w:rFonts w:ascii="宋体" w:hAnsi="宋体" w:cs="宋体"/>
                <w:color w:val="000000"/>
                <w:szCs w:val="21"/>
              </w:rPr>
            </w:pPr>
          </w:p>
        </w:tc>
      </w:tr>
      <w:tr w:rsidR="00A320E6" w14:paraId="0E09E85A"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3AB5B83"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5FE26C88"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C6A833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机井：深50-100m</w:t>
            </w:r>
          </w:p>
        </w:tc>
        <w:tc>
          <w:tcPr>
            <w:tcW w:w="1509" w:type="dxa"/>
            <w:tcBorders>
              <w:top w:val="single" w:sz="4" w:space="0" w:color="000000"/>
              <w:left w:val="single" w:sz="4" w:space="0" w:color="000000"/>
              <w:bottom w:val="single" w:sz="4" w:space="0" w:color="000000"/>
              <w:right w:val="single" w:sz="4" w:space="0" w:color="000000"/>
            </w:tcBorders>
            <w:vAlign w:val="center"/>
          </w:tcPr>
          <w:p w14:paraId="6D3968D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250元/m</w:t>
            </w:r>
          </w:p>
        </w:tc>
        <w:tc>
          <w:tcPr>
            <w:tcW w:w="1887" w:type="dxa"/>
            <w:vMerge/>
            <w:tcBorders>
              <w:left w:val="single" w:sz="4" w:space="0" w:color="000000"/>
              <w:right w:val="single" w:sz="4" w:space="0" w:color="000000"/>
            </w:tcBorders>
            <w:noWrap/>
            <w:vAlign w:val="center"/>
          </w:tcPr>
          <w:p w14:paraId="4E78DED8" w14:textId="77777777" w:rsidR="00A320E6" w:rsidRDefault="00A320E6" w:rsidP="00AE0286">
            <w:pPr>
              <w:rPr>
                <w:rFonts w:ascii="宋体" w:hAnsi="宋体" w:cs="宋体"/>
                <w:color w:val="000000"/>
                <w:szCs w:val="21"/>
              </w:rPr>
            </w:pPr>
          </w:p>
        </w:tc>
      </w:tr>
      <w:tr w:rsidR="00A320E6" w14:paraId="6F546287"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D237D0B"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4580D94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B1B464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机井：深100-250m</w:t>
            </w:r>
          </w:p>
        </w:tc>
        <w:tc>
          <w:tcPr>
            <w:tcW w:w="1509" w:type="dxa"/>
            <w:tcBorders>
              <w:top w:val="single" w:sz="4" w:space="0" w:color="000000"/>
              <w:left w:val="single" w:sz="4" w:space="0" w:color="000000"/>
              <w:bottom w:val="single" w:sz="4" w:space="0" w:color="000000"/>
              <w:right w:val="single" w:sz="4" w:space="0" w:color="000000"/>
            </w:tcBorders>
            <w:vAlign w:val="center"/>
          </w:tcPr>
          <w:p w14:paraId="606551A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300元/m</w:t>
            </w:r>
          </w:p>
        </w:tc>
        <w:tc>
          <w:tcPr>
            <w:tcW w:w="1887" w:type="dxa"/>
            <w:vMerge/>
            <w:tcBorders>
              <w:left w:val="single" w:sz="4" w:space="0" w:color="000000"/>
              <w:right w:val="single" w:sz="4" w:space="0" w:color="000000"/>
            </w:tcBorders>
            <w:noWrap/>
            <w:vAlign w:val="center"/>
          </w:tcPr>
          <w:p w14:paraId="29F9CDAE" w14:textId="77777777" w:rsidR="00A320E6" w:rsidRDefault="00A320E6" w:rsidP="00AE0286">
            <w:pPr>
              <w:rPr>
                <w:rFonts w:ascii="宋体" w:hAnsi="宋体" w:cs="宋体"/>
                <w:color w:val="000000"/>
                <w:szCs w:val="21"/>
              </w:rPr>
            </w:pPr>
          </w:p>
        </w:tc>
      </w:tr>
      <w:tr w:rsidR="00A320E6" w14:paraId="6C8E1F9F"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1354B87A"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435D54C"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044883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机井：深250m以上</w:t>
            </w:r>
          </w:p>
        </w:tc>
        <w:tc>
          <w:tcPr>
            <w:tcW w:w="1509" w:type="dxa"/>
            <w:tcBorders>
              <w:top w:val="single" w:sz="4" w:space="0" w:color="000000"/>
              <w:left w:val="single" w:sz="4" w:space="0" w:color="000000"/>
              <w:bottom w:val="single" w:sz="4" w:space="0" w:color="000000"/>
              <w:right w:val="single" w:sz="4" w:space="0" w:color="000000"/>
            </w:tcBorders>
            <w:vAlign w:val="center"/>
          </w:tcPr>
          <w:p w14:paraId="3029B9D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350元/m</w:t>
            </w:r>
          </w:p>
        </w:tc>
        <w:tc>
          <w:tcPr>
            <w:tcW w:w="1887" w:type="dxa"/>
            <w:vMerge/>
            <w:tcBorders>
              <w:left w:val="single" w:sz="4" w:space="0" w:color="000000"/>
              <w:right w:val="single" w:sz="4" w:space="0" w:color="000000"/>
            </w:tcBorders>
            <w:noWrap/>
            <w:vAlign w:val="center"/>
          </w:tcPr>
          <w:p w14:paraId="4BCC02A4" w14:textId="77777777" w:rsidR="00A320E6" w:rsidRDefault="00A320E6" w:rsidP="00AE0286">
            <w:pPr>
              <w:rPr>
                <w:rFonts w:ascii="宋体" w:hAnsi="宋体" w:cs="宋体"/>
                <w:color w:val="000000"/>
                <w:szCs w:val="21"/>
              </w:rPr>
            </w:pPr>
          </w:p>
        </w:tc>
      </w:tr>
      <w:tr w:rsidR="00A320E6" w14:paraId="1126705F"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236012FF"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7C57A68"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2DF5C35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机井：5m以下</w:t>
            </w:r>
          </w:p>
        </w:tc>
        <w:tc>
          <w:tcPr>
            <w:tcW w:w="1509" w:type="dxa"/>
            <w:tcBorders>
              <w:top w:val="single" w:sz="4" w:space="0" w:color="000000"/>
              <w:left w:val="single" w:sz="4" w:space="0" w:color="000000"/>
              <w:bottom w:val="single" w:sz="4" w:space="0" w:color="000000"/>
              <w:right w:val="single" w:sz="4" w:space="0" w:color="000000"/>
            </w:tcBorders>
            <w:vAlign w:val="center"/>
          </w:tcPr>
          <w:p w14:paraId="4853DF7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350元/眼</w:t>
            </w:r>
          </w:p>
        </w:tc>
        <w:tc>
          <w:tcPr>
            <w:tcW w:w="1887" w:type="dxa"/>
            <w:vMerge/>
            <w:tcBorders>
              <w:left w:val="single" w:sz="4" w:space="0" w:color="000000"/>
              <w:right w:val="single" w:sz="4" w:space="0" w:color="000000"/>
            </w:tcBorders>
            <w:noWrap/>
            <w:vAlign w:val="center"/>
          </w:tcPr>
          <w:p w14:paraId="54B07933" w14:textId="77777777" w:rsidR="00A320E6" w:rsidRDefault="00A320E6" w:rsidP="00AE0286">
            <w:pPr>
              <w:rPr>
                <w:rFonts w:ascii="宋体" w:hAnsi="宋体" w:cs="宋体"/>
                <w:color w:val="000000"/>
                <w:szCs w:val="21"/>
              </w:rPr>
            </w:pPr>
          </w:p>
        </w:tc>
      </w:tr>
      <w:tr w:rsidR="00A320E6" w14:paraId="32E8A666" w14:textId="77777777" w:rsidTr="008B03FA">
        <w:trPr>
          <w:trHeight w:val="312"/>
        </w:trPr>
        <w:tc>
          <w:tcPr>
            <w:tcW w:w="639" w:type="dxa"/>
            <w:vMerge/>
            <w:tcBorders>
              <w:top w:val="single" w:sz="4" w:space="0" w:color="000000"/>
              <w:left w:val="single" w:sz="4" w:space="0" w:color="000000"/>
              <w:bottom w:val="single" w:sz="4" w:space="0" w:color="000000"/>
              <w:right w:val="single" w:sz="4" w:space="0" w:color="000000"/>
            </w:tcBorders>
            <w:vAlign w:val="center"/>
          </w:tcPr>
          <w:p w14:paraId="0AB1B3FF"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5E52FC0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09C6454"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自来水PVC管道</w:t>
            </w:r>
          </w:p>
        </w:tc>
        <w:tc>
          <w:tcPr>
            <w:tcW w:w="1509" w:type="dxa"/>
            <w:tcBorders>
              <w:top w:val="single" w:sz="4" w:space="0" w:color="000000"/>
              <w:left w:val="single" w:sz="4" w:space="0" w:color="000000"/>
              <w:bottom w:val="single" w:sz="4" w:space="0" w:color="000000"/>
              <w:right w:val="single" w:sz="4" w:space="0" w:color="000000"/>
            </w:tcBorders>
            <w:vAlign w:val="center"/>
          </w:tcPr>
          <w:p w14:paraId="7AC1A9AD"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35元/m</w:t>
            </w:r>
          </w:p>
        </w:tc>
        <w:tc>
          <w:tcPr>
            <w:tcW w:w="1887" w:type="dxa"/>
            <w:vMerge/>
            <w:tcBorders>
              <w:left w:val="single" w:sz="4" w:space="0" w:color="000000"/>
              <w:bottom w:val="single" w:sz="4" w:space="0" w:color="auto"/>
              <w:right w:val="single" w:sz="4" w:space="0" w:color="000000"/>
            </w:tcBorders>
            <w:noWrap/>
            <w:vAlign w:val="center"/>
          </w:tcPr>
          <w:p w14:paraId="729756C5" w14:textId="77777777" w:rsidR="00A320E6" w:rsidRDefault="00A320E6" w:rsidP="00AE0286">
            <w:pPr>
              <w:rPr>
                <w:rFonts w:ascii="宋体" w:hAnsi="宋体" w:cs="宋体"/>
                <w:color w:val="000000"/>
                <w:szCs w:val="21"/>
              </w:rPr>
            </w:pPr>
          </w:p>
        </w:tc>
      </w:tr>
      <w:tr w:rsidR="00A320E6" w14:paraId="45973CD8" w14:textId="77777777" w:rsidTr="008B03FA">
        <w:trPr>
          <w:trHeight w:val="312"/>
        </w:trPr>
        <w:tc>
          <w:tcPr>
            <w:tcW w:w="639" w:type="dxa"/>
            <w:vMerge w:val="restart"/>
            <w:tcBorders>
              <w:top w:val="single" w:sz="4" w:space="0" w:color="000000"/>
              <w:left w:val="single" w:sz="4" w:space="0" w:color="000000"/>
              <w:right w:val="single" w:sz="4" w:space="0" w:color="000000"/>
            </w:tcBorders>
            <w:vAlign w:val="center"/>
          </w:tcPr>
          <w:p w14:paraId="22446103" w14:textId="77777777" w:rsidR="00A320E6" w:rsidRDefault="00000000" w:rsidP="00AE0286">
            <w:pPr>
              <w:jc w:val="center"/>
              <w:rPr>
                <w:rFonts w:ascii="宋体" w:hAnsi="宋体" w:cs="宋体"/>
                <w:color w:val="000000"/>
                <w:szCs w:val="21"/>
              </w:rPr>
            </w:pPr>
            <w:r>
              <w:rPr>
                <w:rFonts w:ascii="宋体" w:hAnsi="宋体" w:cs="宋体" w:hint="eastAsia"/>
                <w:color w:val="000000"/>
                <w:szCs w:val="21"/>
              </w:rPr>
              <w:t>12</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344A6E48"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淡水养殖</w:t>
            </w:r>
          </w:p>
        </w:tc>
        <w:tc>
          <w:tcPr>
            <w:tcW w:w="3853" w:type="dxa"/>
            <w:tcBorders>
              <w:top w:val="single" w:sz="4" w:space="0" w:color="000000"/>
              <w:left w:val="single" w:sz="4" w:space="0" w:color="000000"/>
              <w:bottom w:val="single" w:sz="4" w:space="0" w:color="000000"/>
              <w:right w:val="single" w:sz="4" w:space="0" w:color="000000"/>
            </w:tcBorders>
            <w:vAlign w:val="center"/>
          </w:tcPr>
          <w:p w14:paraId="267590DB"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鱼塘</w:t>
            </w:r>
          </w:p>
        </w:tc>
        <w:tc>
          <w:tcPr>
            <w:tcW w:w="1509" w:type="dxa"/>
            <w:tcBorders>
              <w:top w:val="single" w:sz="4" w:space="0" w:color="000000"/>
              <w:left w:val="single" w:sz="4" w:space="0" w:color="000000"/>
              <w:bottom w:val="single" w:sz="4" w:space="0" w:color="000000"/>
              <w:right w:val="single" w:sz="4" w:space="0" w:color="000000"/>
            </w:tcBorders>
            <w:vAlign w:val="center"/>
          </w:tcPr>
          <w:p w14:paraId="0742ED17"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5000元/亩</w:t>
            </w:r>
          </w:p>
        </w:tc>
        <w:tc>
          <w:tcPr>
            <w:tcW w:w="1887" w:type="dxa"/>
            <w:vMerge w:val="restart"/>
            <w:tcBorders>
              <w:left w:val="single" w:sz="4" w:space="0" w:color="000000"/>
              <w:right w:val="single" w:sz="4" w:space="0" w:color="000000"/>
            </w:tcBorders>
            <w:noWrap/>
            <w:vAlign w:val="center"/>
          </w:tcPr>
          <w:p w14:paraId="2D8E426E"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含土石方及鱼苗(藕秧)损失费，鱼（藕）归原主。</w:t>
            </w:r>
          </w:p>
        </w:tc>
      </w:tr>
      <w:tr w:rsidR="00A320E6" w14:paraId="166F7C31" w14:textId="77777777" w:rsidTr="008B03FA">
        <w:trPr>
          <w:trHeight w:val="312"/>
        </w:trPr>
        <w:tc>
          <w:tcPr>
            <w:tcW w:w="639" w:type="dxa"/>
            <w:vMerge/>
            <w:tcBorders>
              <w:left w:val="single" w:sz="4" w:space="0" w:color="000000"/>
              <w:right w:val="single" w:sz="4" w:space="0" w:color="000000"/>
            </w:tcBorders>
            <w:vAlign w:val="center"/>
          </w:tcPr>
          <w:p w14:paraId="5605FDDD"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3EE8E77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805AF4F"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藕塘</w:t>
            </w:r>
          </w:p>
        </w:tc>
        <w:tc>
          <w:tcPr>
            <w:tcW w:w="1509" w:type="dxa"/>
            <w:tcBorders>
              <w:top w:val="single" w:sz="4" w:space="0" w:color="000000"/>
              <w:left w:val="single" w:sz="4" w:space="0" w:color="000000"/>
              <w:bottom w:val="single" w:sz="4" w:space="0" w:color="000000"/>
              <w:right w:val="single" w:sz="4" w:space="0" w:color="000000"/>
            </w:tcBorders>
            <w:vAlign w:val="center"/>
          </w:tcPr>
          <w:p w14:paraId="5D2317B4"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5000元/亩</w:t>
            </w:r>
          </w:p>
        </w:tc>
        <w:tc>
          <w:tcPr>
            <w:tcW w:w="1887" w:type="dxa"/>
            <w:vMerge/>
            <w:tcBorders>
              <w:left w:val="single" w:sz="4" w:space="0" w:color="000000"/>
              <w:bottom w:val="single" w:sz="4" w:space="0" w:color="auto"/>
              <w:right w:val="single" w:sz="4" w:space="0" w:color="000000"/>
            </w:tcBorders>
            <w:noWrap/>
            <w:vAlign w:val="center"/>
          </w:tcPr>
          <w:p w14:paraId="26514276" w14:textId="77777777" w:rsidR="00A320E6" w:rsidRDefault="00A320E6" w:rsidP="00AE0286">
            <w:pPr>
              <w:jc w:val="left"/>
              <w:textAlignment w:val="center"/>
              <w:rPr>
                <w:rFonts w:ascii="宋体" w:hAnsi="宋体" w:cs="宋体"/>
                <w:color w:val="000000"/>
                <w:szCs w:val="21"/>
              </w:rPr>
            </w:pPr>
          </w:p>
        </w:tc>
      </w:tr>
      <w:tr w:rsidR="00A320E6" w14:paraId="46E58E7C" w14:textId="77777777" w:rsidTr="008B03FA">
        <w:trPr>
          <w:trHeight w:val="312"/>
        </w:trPr>
        <w:tc>
          <w:tcPr>
            <w:tcW w:w="639" w:type="dxa"/>
            <w:vMerge/>
            <w:tcBorders>
              <w:left w:val="single" w:sz="4" w:space="0" w:color="000000"/>
              <w:bottom w:val="single" w:sz="4" w:space="0" w:color="000000"/>
              <w:right w:val="single" w:sz="4" w:space="0" w:color="000000"/>
            </w:tcBorders>
            <w:vAlign w:val="center"/>
          </w:tcPr>
          <w:p w14:paraId="4DFC16AD" w14:textId="77777777" w:rsidR="00A320E6" w:rsidRDefault="00A320E6" w:rsidP="00AE0286">
            <w:pPr>
              <w:jc w:val="center"/>
              <w:rPr>
                <w:rFonts w:ascii="宋体" w:hAnsi="宋体" w:cs="宋体"/>
                <w:color w:val="000000"/>
                <w:szCs w:val="21"/>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5AFED18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CB7EF7E" w14:textId="77777777" w:rsidR="00A320E6" w:rsidRDefault="00000000" w:rsidP="00AE0286">
            <w:pPr>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鱼塘投料架</w:t>
            </w:r>
          </w:p>
        </w:tc>
        <w:tc>
          <w:tcPr>
            <w:tcW w:w="1509" w:type="dxa"/>
            <w:tcBorders>
              <w:top w:val="single" w:sz="4" w:space="0" w:color="000000"/>
              <w:left w:val="single" w:sz="4" w:space="0" w:color="000000"/>
              <w:bottom w:val="single" w:sz="4" w:space="0" w:color="000000"/>
              <w:right w:val="single" w:sz="4" w:space="0" w:color="000000"/>
            </w:tcBorders>
            <w:vAlign w:val="center"/>
          </w:tcPr>
          <w:p w14:paraId="376BA65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500元/个</w:t>
            </w:r>
          </w:p>
        </w:tc>
        <w:tc>
          <w:tcPr>
            <w:tcW w:w="1887" w:type="dxa"/>
            <w:tcBorders>
              <w:left w:val="single" w:sz="4" w:space="0" w:color="000000"/>
              <w:bottom w:val="single" w:sz="4" w:space="0" w:color="auto"/>
              <w:right w:val="single" w:sz="4" w:space="0" w:color="000000"/>
            </w:tcBorders>
            <w:noWrap/>
            <w:vAlign w:val="center"/>
          </w:tcPr>
          <w:p w14:paraId="37DA25B6" w14:textId="77777777" w:rsidR="00A320E6" w:rsidRDefault="00A320E6" w:rsidP="00AE0286">
            <w:pPr>
              <w:jc w:val="left"/>
              <w:rPr>
                <w:rFonts w:ascii="宋体" w:hAnsi="宋体" w:cs="宋体"/>
                <w:color w:val="000000"/>
                <w:szCs w:val="21"/>
              </w:rPr>
            </w:pPr>
          </w:p>
        </w:tc>
      </w:tr>
      <w:tr w:rsidR="00A320E6" w14:paraId="4BA17B13" w14:textId="77777777" w:rsidTr="008B03FA">
        <w:trPr>
          <w:trHeight w:val="312"/>
        </w:trPr>
        <w:tc>
          <w:tcPr>
            <w:tcW w:w="639" w:type="dxa"/>
            <w:vMerge w:val="restart"/>
            <w:tcBorders>
              <w:top w:val="single" w:sz="4" w:space="0" w:color="000000"/>
              <w:left w:val="single" w:sz="4" w:space="0" w:color="000000"/>
              <w:right w:val="single" w:sz="4" w:space="0" w:color="000000"/>
            </w:tcBorders>
            <w:vAlign w:val="center"/>
          </w:tcPr>
          <w:p w14:paraId="6F97FCF1"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690" w:type="dxa"/>
            <w:vMerge w:val="restart"/>
            <w:tcBorders>
              <w:top w:val="single" w:sz="4" w:space="0" w:color="000000"/>
              <w:left w:val="single" w:sz="4" w:space="0" w:color="000000"/>
              <w:right w:val="single" w:sz="4" w:space="0" w:color="000000"/>
            </w:tcBorders>
            <w:vAlign w:val="center"/>
          </w:tcPr>
          <w:p w14:paraId="34CF97D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电力通讯线路</w:t>
            </w:r>
          </w:p>
        </w:tc>
        <w:tc>
          <w:tcPr>
            <w:tcW w:w="3853" w:type="dxa"/>
            <w:tcBorders>
              <w:top w:val="single" w:sz="4" w:space="0" w:color="000000"/>
              <w:left w:val="single" w:sz="4" w:space="0" w:color="000000"/>
              <w:bottom w:val="single" w:sz="4" w:space="0" w:color="000000"/>
              <w:right w:val="single" w:sz="4" w:space="0" w:color="000000"/>
            </w:tcBorders>
            <w:vAlign w:val="center"/>
          </w:tcPr>
          <w:p w14:paraId="1B0121B2"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低压线路带线</w:t>
            </w:r>
          </w:p>
        </w:tc>
        <w:tc>
          <w:tcPr>
            <w:tcW w:w="1509" w:type="dxa"/>
            <w:tcBorders>
              <w:top w:val="single" w:sz="4" w:space="0" w:color="000000"/>
              <w:left w:val="single" w:sz="4" w:space="0" w:color="000000"/>
              <w:bottom w:val="single" w:sz="4" w:space="0" w:color="000000"/>
              <w:right w:val="single" w:sz="4" w:space="0" w:color="000000"/>
            </w:tcBorders>
            <w:vAlign w:val="center"/>
          </w:tcPr>
          <w:p w14:paraId="1576768B"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1050元/根（裸杆500元/根）</w:t>
            </w:r>
          </w:p>
        </w:tc>
        <w:tc>
          <w:tcPr>
            <w:tcW w:w="1887" w:type="dxa"/>
            <w:vMerge w:val="restart"/>
            <w:tcBorders>
              <w:top w:val="single" w:sz="4" w:space="0" w:color="auto"/>
              <w:left w:val="single" w:sz="4" w:space="0" w:color="auto"/>
              <w:right w:val="single" w:sz="4" w:space="0" w:color="auto"/>
            </w:tcBorders>
            <w:noWrap/>
            <w:vAlign w:val="center"/>
          </w:tcPr>
          <w:p w14:paraId="7CAE73E8"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包括电线等材料、损失及拆建工费。</w:t>
            </w:r>
          </w:p>
        </w:tc>
      </w:tr>
      <w:tr w:rsidR="00A320E6" w14:paraId="4C9A0588" w14:textId="77777777" w:rsidTr="008B03FA">
        <w:trPr>
          <w:trHeight w:val="312"/>
        </w:trPr>
        <w:tc>
          <w:tcPr>
            <w:tcW w:w="639" w:type="dxa"/>
            <w:vMerge/>
            <w:tcBorders>
              <w:left w:val="single" w:sz="4" w:space="0" w:color="000000"/>
              <w:bottom w:val="single" w:sz="4" w:space="0" w:color="auto"/>
              <w:right w:val="single" w:sz="4" w:space="0" w:color="000000"/>
            </w:tcBorders>
            <w:vAlign w:val="center"/>
          </w:tcPr>
          <w:p w14:paraId="0CFB620B" w14:textId="77777777" w:rsidR="00A320E6" w:rsidRDefault="00A320E6" w:rsidP="00AE0286">
            <w:pPr>
              <w:jc w:val="center"/>
              <w:rPr>
                <w:rFonts w:ascii="宋体" w:hAnsi="宋体" w:cs="宋体"/>
                <w:color w:val="000000"/>
                <w:szCs w:val="21"/>
              </w:rPr>
            </w:pPr>
          </w:p>
        </w:tc>
        <w:tc>
          <w:tcPr>
            <w:tcW w:w="690" w:type="dxa"/>
            <w:vMerge/>
            <w:tcBorders>
              <w:left w:val="single" w:sz="4" w:space="0" w:color="000000"/>
              <w:bottom w:val="single" w:sz="4" w:space="0" w:color="auto"/>
              <w:right w:val="single" w:sz="4" w:space="0" w:color="000000"/>
            </w:tcBorders>
            <w:vAlign w:val="center"/>
          </w:tcPr>
          <w:p w14:paraId="22ED072E"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A39389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通讯广播线路</w:t>
            </w:r>
          </w:p>
        </w:tc>
        <w:tc>
          <w:tcPr>
            <w:tcW w:w="1509" w:type="dxa"/>
            <w:tcBorders>
              <w:top w:val="single" w:sz="4" w:space="0" w:color="000000"/>
              <w:left w:val="single" w:sz="4" w:space="0" w:color="000000"/>
              <w:bottom w:val="single" w:sz="4" w:space="0" w:color="000000"/>
              <w:right w:val="single" w:sz="4" w:space="0" w:color="000000"/>
            </w:tcBorders>
            <w:vAlign w:val="center"/>
          </w:tcPr>
          <w:p w14:paraId="003DD52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1050元/根（裸杆500元/根）</w:t>
            </w:r>
          </w:p>
        </w:tc>
        <w:tc>
          <w:tcPr>
            <w:tcW w:w="1887" w:type="dxa"/>
            <w:vMerge/>
            <w:tcBorders>
              <w:left w:val="single" w:sz="4" w:space="0" w:color="auto"/>
              <w:bottom w:val="single" w:sz="4" w:space="0" w:color="auto"/>
              <w:right w:val="single" w:sz="4" w:space="0" w:color="auto"/>
            </w:tcBorders>
            <w:vAlign w:val="center"/>
          </w:tcPr>
          <w:p w14:paraId="5F25EA4A" w14:textId="77777777" w:rsidR="00A320E6" w:rsidRDefault="00A320E6" w:rsidP="00AE0286">
            <w:pPr>
              <w:rPr>
                <w:rFonts w:ascii="宋体" w:hAnsi="宋体" w:cs="宋体"/>
                <w:color w:val="000000"/>
                <w:szCs w:val="21"/>
              </w:rPr>
            </w:pPr>
          </w:p>
        </w:tc>
      </w:tr>
      <w:tr w:rsidR="00A320E6" w14:paraId="2A800B02"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4BD302CE"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791F6EDA"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45EC8F1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变压器</w:t>
            </w:r>
          </w:p>
        </w:tc>
        <w:tc>
          <w:tcPr>
            <w:tcW w:w="1509" w:type="dxa"/>
            <w:tcBorders>
              <w:top w:val="single" w:sz="4" w:space="0" w:color="000000"/>
              <w:left w:val="single" w:sz="4" w:space="0" w:color="000000"/>
              <w:bottom w:val="single" w:sz="4" w:space="0" w:color="000000"/>
              <w:right w:val="single" w:sz="4" w:space="0" w:color="000000"/>
            </w:tcBorders>
            <w:vAlign w:val="center"/>
          </w:tcPr>
          <w:p w14:paraId="1F3B375C"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5000元/台</w:t>
            </w:r>
          </w:p>
        </w:tc>
        <w:tc>
          <w:tcPr>
            <w:tcW w:w="1887" w:type="dxa"/>
            <w:vMerge/>
            <w:tcBorders>
              <w:top w:val="single" w:sz="4" w:space="0" w:color="auto"/>
              <w:left w:val="single" w:sz="4" w:space="0" w:color="auto"/>
              <w:bottom w:val="single" w:sz="4" w:space="0" w:color="auto"/>
              <w:right w:val="single" w:sz="4" w:space="0" w:color="auto"/>
            </w:tcBorders>
            <w:vAlign w:val="center"/>
          </w:tcPr>
          <w:p w14:paraId="3DC78682" w14:textId="77777777" w:rsidR="00A320E6" w:rsidRDefault="00A320E6" w:rsidP="00AE0286">
            <w:pPr>
              <w:rPr>
                <w:rFonts w:ascii="宋体" w:hAnsi="宋体" w:cs="宋体"/>
                <w:color w:val="000000"/>
                <w:szCs w:val="21"/>
              </w:rPr>
            </w:pPr>
          </w:p>
        </w:tc>
      </w:tr>
      <w:tr w:rsidR="00A320E6" w14:paraId="4BCA890F"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0D332724"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7E715AA1"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DAEC86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电缆</w:t>
            </w:r>
          </w:p>
        </w:tc>
        <w:tc>
          <w:tcPr>
            <w:tcW w:w="1509" w:type="dxa"/>
            <w:tcBorders>
              <w:top w:val="single" w:sz="4" w:space="0" w:color="000000"/>
              <w:left w:val="single" w:sz="4" w:space="0" w:color="000000"/>
              <w:bottom w:val="single" w:sz="4" w:space="0" w:color="000000"/>
              <w:right w:val="single" w:sz="4" w:space="0" w:color="000000"/>
            </w:tcBorders>
            <w:vAlign w:val="center"/>
          </w:tcPr>
          <w:p w14:paraId="154BD3D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3元/m</w:t>
            </w:r>
          </w:p>
        </w:tc>
        <w:tc>
          <w:tcPr>
            <w:tcW w:w="1887" w:type="dxa"/>
            <w:vMerge/>
            <w:tcBorders>
              <w:top w:val="single" w:sz="4" w:space="0" w:color="auto"/>
              <w:left w:val="single" w:sz="4" w:space="0" w:color="000000"/>
              <w:bottom w:val="single" w:sz="4" w:space="0" w:color="auto"/>
              <w:right w:val="single" w:sz="4" w:space="0" w:color="000000"/>
            </w:tcBorders>
            <w:vAlign w:val="center"/>
          </w:tcPr>
          <w:p w14:paraId="190ABB92" w14:textId="77777777" w:rsidR="00A320E6" w:rsidRDefault="00A320E6" w:rsidP="00AE0286">
            <w:pPr>
              <w:rPr>
                <w:rFonts w:ascii="宋体" w:hAnsi="宋体" w:cs="宋体"/>
                <w:color w:val="000000"/>
                <w:szCs w:val="21"/>
              </w:rPr>
            </w:pPr>
          </w:p>
        </w:tc>
      </w:tr>
      <w:tr w:rsidR="00A320E6" w14:paraId="11957F80"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33F8E70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6EC4DF6C"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砖窑</w:t>
            </w:r>
          </w:p>
        </w:tc>
        <w:tc>
          <w:tcPr>
            <w:tcW w:w="3853" w:type="dxa"/>
            <w:tcBorders>
              <w:top w:val="single" w:sz="4" w:space="0" w:color="000000"/>
              <w:left w:val="single" w:sz="4" w:space="0" w:color="000000"/>
              <w:bottom w:val="single" w:sz="4" w:space="0" w:color="000000"/>
              <w:right w:val="single" w:sz="4" w:space="0" w:color="000000"/>
            </w:tcBorders>
            <w:vAlign w:val="center"/>
          </w:tcPr>
          <w:p w14:paraId="11BC1C30"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18、20、22、32门轮窑</w:t>
            </w:r>
          </w:p>
        </w:tc>
        <w:tc>
          <w:tcPr>
            <w:tcW w:w="1509" w:type="dxa"/>
            <w:tcBorders>
              <w:top w:val="single" w:sz="4" w:space="0" w:color="000000"/>
              <w:left w:val="single" w:sz="4" w:space="0" w:color="000000"/>
              <w:bottom w:val="single" w:sz="4" w:space="0" w:color="000000"/>
              <w:right w:val="single" w:sz="4" w:space="0" w:color="000000"/>
            </w:tcBorders>
            <w:vAlign w:val="center"/>
          </w:tcPr>
          <w:p w14:paraId="78920AE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6375元/门</w:t>
            </w:r>
          </w:p>
        </w:tc>
        <w:tc>
          <w:tcPr>
            <w:tcW w:w="1887" w:type="dxa"/>
            <w:vMerge w:val="restart"/>
            <w:tcBorders>
              <w:top w:val="single" w:sz="4" w:space="0" w:color="auto"/>
              <w:left w:val="single" w:sz="4" w:space="0" w:color="000000"/>
              <w:bottom w:val="single" w:sz="4" w:space="0" w:color="auto"/>
              <w:right w:val="single" w:sz="4" w:space="0" w:color="000000"/>
            </w:tcBorders>
            <w:vAlign w:val="center"/>
          </w:tcPr>
          <w:p w14:paraId="15B9BD07"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报废的按照50%补偿。</w:t>
            </w:r>
          </w:p>
        </w:tc>
      </w:tr>
      <w:tr w:rsidR="00A320E6" w14:paraId="10A88839"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2F490FB1"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20EBCA0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0B12D8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老式土窑</w:t>
            </w:r>
          </w:p>
        </w:tc>
        <w:tc>
          <w:tcPr>
            <w:tcW w:w="1509" w:type="dxa"/>
            <w:tcBorders>
              <w:top w:val="single" w:sz="4" w:space="0" w:color="000000"/>
              <w:left w:val="single" w:sz="4" w:space="0" w:color="000000"/>
              <w:bottom w:val="single" w:sz="4" w:space="0" w:color="000000"/>
              <w:right w:val="single" w:sz="4" w:space="0" w:color="000000"/>
            </w:tcBorders>
            <w:vAlign w:val="center"/>
          </w:tcPr>
          <w:p w14:paraId="782C717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19000元/座</w:t>
            </w:r>
          </w:p>
        </w:tc>
        <w:tc>
          <w:tcPr>
            <w:tcW w:w="1887" w:type="dxa"/>
            <w:vMerge/>
            <w:tcBorders>
              <w:top w:val="single" w:sz="4" w:space="0" w:color="auto"/>
              <w:left w:val="single" w:sz="4" w:space="0" w:color="000000"/>
              <w:bottom w:val="single" w:sz="4" w:space="0" w:color="auto"/>
              <w:right w:val="single" w:sz="4" w:space="0" w:color="000000"/>
            </w:tcBorders>
            <w:vAlign w:val="center"/>
          </w:tcPr>
          <w:p w14:paraId="5C0A4290" w14:textId="77777777" w:rsidR="00A320E6" w:rsidRDefault="00A320E6" w:rsidP="00AE0286">
            <w:pPr>
              <w:rPr>
                <w:rFonts w:ascii="宋体" w:hAnsi="宋体" w:cs="宋体"/>
                <w:color w:val="000000"/>
                <w:szCs w:val="21"/>
              </w:rPr>
            </w:pPr>
          </w:p>
        </w:tc>
      </w:tr>
      <w:tr w:rsidR="00A320E6" w14:paraId="17D9262A"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2C7EBA7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14C527B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乔木</w:t>
            </w:r>
          </w:p>
        </w:tc>
        <w:tc>
          <w:tcPr>
            <w:tcW w:w="3853" w:type="dxa"/>
            <w:tcBorders>
              <w:top w:val="single" w:sz="4" w:space="0" w:color="000000"/>
              <w:left w:val="single" w:sz="4" w:space="0" w:color="000000"/>
              <w:bottom w:val="single" w:sz="4" w:space="0" w:color="000000"/>
              <w:right w:val="single" w:sz="4" w:space="0" w:color="000000"/>
            </w:tcBorders>
            <w:vAlign w:val="center"/>
          </w:tcPr>
          <w:p w14:paraId="6A90D32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胸径小于3厘米</w:t>
            </w:r>
          </w:p>
        </w:tc>
        <w:tc>
          <w:tcPr>
            <w:tcW w:w="1509" w:type="dxa"/>
            <w:tcBorders>
              <w:top w:val="single" w:sz="4" w:space="0" w:color="000000"/>
              <w:left w:val="single" w:sz="4" w:space="0" w:color="000000"/>
              <w:bottom w:val="single" w:sz="4" w:space="0" w:color="000000"/>
              <w:right w:val="single" w:sz="4" w:space="0" w:color="000000"/>
            </w:tcBorders>
            <w:vAlign w:val="center"/>
          </w:tcPr>
          <w:p w14:paraId="51011978"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5元/棵</w:t>
            </w:r>
          </w:p>
        </w:tc>
        <w:tc>
          <w:tcPr>
            <w:tcW w:w="1887" w:type="dxa"/>
            <w:vMerge w:val="restart"/>
            <w:tcBorders>
              <w:top w:val="single" w:sz="4" w:space="0" w:color="auto"/>
              <w:left w:val="single" w:sz="4" w:space="0" w:color="000000"/>
              <w:bottom w:val="single" w:sz="4" w:space="0" w:color="auto"/>
              <w:right w:val="single" w:sz="4" w:space="0" w:color="000000"/>
            </w:tcBorders>
            <w:vAlign w:val="center"/>
          </w:tcPr>
          <w:p w14:paraId="323AE111"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1.树归原主。2.特种用途林树木价格另议或由物价部门委托有资质的机构进行评估。</w:t>
            </w:r>
          </w:p>
        </w:tc>
      </w:tr>
      <w:tr w:rsidR="00A320E6" w14:paraId="1E2EB84E"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0099DCB3"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29B45E6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7973333"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胸径3-8厘米</w:t>
            </w:r>
          </w:p>
        </w:tc>
        <w:tc>
          <w:tcPr>
            <w:tcW w:w="1509" w:type="dxa"/>
            <w:tcBorders>
              <w:top w:val="single" w:sz="4" w:space="0" w:color="000000"/>
              <w:left w:val="single" w:sz="4" w:space="0" w:color="000000"/>
              <w:bottom w:val="single" w:sz="4" w:space="0" w:color="000000"/>
              <w:right w:val="single" w:sz="4" w:space="0" w:color="000000"/>
            </w:tcBorders>
            <w:vAlign w:val="center"/>
          </w:tcPr>
          <w:p w14:paraId="4E93E1F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30元/棵</w:t>
            </w:r>
          </w:p>
        </w:tc>
        <w:tc>
          <w:tcPr>
            <w:tcW w:w="1887" w:type="dxa"/>
            <w:vMerge/>
            <w:tcBorders>
              <w:top w:val="single" w:sz="4" w:space="0" w:color="auto"/>
              <w:left w:val="single" w:sz="4" w:space="0" w:color="000000"/>
              <w:bottom w:val="single" w:sz="4" w:space="0" w:color="auto"/>
              <w:right w:val="single" w:sz="4" w:space="0" w:color="000000"/>
            </w:tcBorders>
            <w:vAlign w:val="center"/>
          </w:tcPr>
          <w:p w14:paraId="1A5085EE" w14:textId="77777777" w:rsidR="00A320E6" w:rsidRDefault="00A320E6" w:rsidP="00AE0286">
            <w:pPr>
              <w:jc w:val="left"/>
              <w:rPr>
                <w:rFonts w:ascii="宋体" w:hAnsi="宋体" w:cs="宋体"/>
                <w:color w:val="000000"/>
                <w:szCs w:val="21"/>
              </w:rPr>
            </w:pPr>
          </w:p>
        </w:tc>
      </w:tr>
      <w:tr w:rsidR="00A320E6" w14:paraId="6790DF24"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01614EB3"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0D14CBA6"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1D54FA2"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胸径大于8厘米</w:t>
            </w:r>
          </w:p>
        </w:tc>
        <w:tc>
          <w:tcPr>
            <w:tcW w:w="1509" w:type="dxa"/>
            <w:tcBorders>
              <w:top w:val="single" w:sz="4" w:space="0" w:color="000000"/>
              <w:left w:val="single" w:sz="4" w:space="0" w:color="000000"/>
              <w:bottom w:val="single" w:sz="4" w:space="0" w:color="000000"/>
              <w:right w:val="single" w:sz="4" w:space="0" w:color="000000"/>
            </w:tcBorders>
            <w:vAlign w:val="center"/>
          </w:tcPr>
          <w:p w14:paraId="1F5CE543"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45元/棵</w:t>
            </w:r>
          </w:p>
        </w:tc>
        <w:tc>
          <w:tcPr>
            <w:tcW w:w="1887" w:type="dxa"/>
            <w:vMerge/>
            <w:tcBorders>
              <w:top w:val="single" w:sz="4" w:space="0" w:color="auto"/>
              <w:left w:val="single" w:sz="4" w:space="0" w:color="000000"/>
              <w:bottom w:val="single" w:sz="4" w:space="0" w:color="auto"/>
              <w:right w:val="single" w:sz="4" w:space="0" w:color="000000"/>
            </w:tcBorders>
            <w:vAlign w:val="center"/>
          </w:tcPr>
          <w:p w14:paraId="49D410AF" w14:textId="77777777" w:rsidR="00A320E6" w:rsidRDefault="00A320E6" w:rsidP="00AE0286">
            <w:pPr>
              <w:jc w:val="left"/>
              <w:rPr>
                <w:rFonts w:ascii="宋体" w:hAnsi="宋体" w:cs="宋体"/>
                <w:color w:val="000000"/>
                <w:szCs w:val="21"/>
              </w:rPr>
            </w:pPr>
          </w:p>
        </w:tc>
      </w:tr>
      <w:tr w:rsidR="00A320E6" w14:paraId="383294CB"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3BCD528D"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4EE4C95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灌木</w:t>
            </w:r>
          </w:p>
        </w:tc>
        <w:tc>
          <w:tcPr>
            <w:tcW w:w="3853" w:type="dxa"/>
            <w:tcBorders>
              <w:top w:val="single" w:sz="4" w:space="0" w:color="000000"/>
              <w:left w:val="single" w:sz="4" w:space="0" w:color="000000"/>
              <w:bottom w:val="single" w:sz="4" w:space="0" w:color="000000"/>
              <w:right w:val="single" w:sz="4" w:space="0" w:color="000000"/>
            </w:tcBorders>
            <w:vAlign w:val="center"/>
          </w:tcPr>
          <w:p w14:paraId="3A0CA11D"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一年生以内</w:t>
            </w:r>
          </w:p>
        </w:tc>
        <w:tc>
          <w:tcPr>
            <w:tcW w:w="1509" w:type="dxa"/>
            <w:tcBorders>
              <w:top w:val="single" w:sz="4" w:space="0" w:color="000000"/>
              <w:left w:val="single" w:sz="4" w:space="0" w:color="000000"/>
              <w:bottom w:val="single" w:sz="4" w:space="0" w:color="000000"/>
              <w:right w:val="single" w:sz="4" w:space="0" w:color="000000"/>
            </w:tcBorders>
            <w:vAlign w:val="center"/>
          </w:tcPr>
          <w:p w14:paraId="118DAA35"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5元/墩</w:t>
            </w:r>
          </w:p>
        </w:tc>
        <w:tc>
          <w:tcPr>
            <w:tcW w:w="1887" w:type="dxa"/>
            <w:vMerge w:val="restart"/>
            <w:tcBorders>
              <w:top w:val="single" w:sz="4" w:space="0" w:color="auto"/>
              <w:left w:val="single" w:sz="4" w:space="0" w:color="000000"/>
              <w:bottom w:val="single" w:sz="4" w:space="0" w:color="auto"/>
              <w:right w:val="single" w:sz="4" w:space="0" w:color="000000"/>
            </w:tcBorders>
            <w:vAlign w:val="center"/>
          </w:tcPr>
          <w:p w14:paraId="02C77079"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每墩出条数按10-20根计算。</w:t>
            </w:r>
          </w:p>
        </w:tc>
      </w:tr>
      <w:tr w:rsidR="00A320E6" w14:paraId="7E576607"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07830A7E"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4936269D"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D7440A2"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一年生以上</w:t>
            </w:r>
          </w:p>
        </w:tc>
        <w:tc>
          <w:tcPr>
            <w:tcW w:w="1509" w:type="dxa"/>
            <w:tcBorders>
              <w:top w:val="single" w:sz="4" w:space="0" w:color="000000"/>
              <w:left w:val="single" w:sz="4" w:space="0" w:color="000000"/>
              <w:bottom w:val="single" w:sz="4" w:space="0" w:color="000000"/>
              <w:right w:val="single" w:sz="4" w:space="0" w:color="000000"/>
            </w:tcBorders>
            <w:vAlign w:val="center"/>
          </w:tcPr>
          <w:p w14:paraId="2FE05A6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7元/墩</w:t>
            </w:r>
          </w:p>
        </w:tc>
        <w:tc>
          <w:tcPr>
            <w:tcW w:w="1887" w:type="dxa"/>
            <w:vMerge/>
            <w:tcBorders>
              <w:top w:val="single" w:sz="4" w:space="0" w:color="auto"/>
              <w:left w:val="single" w:sz="4" w:space="0" w:color="000000"/>
              <w:bottom w:val="single" w:sz="4" w:space="0" w:color="auto"/>
              <w:right w:val="single" w:sz="4" w:space="0" w:color="000000"/>
            </w:tcBorders>
            <w:vAlign w:val="center"/>
          </w:tcPr>
          <w:p w14:paraId="4CF8C2D6" w14:textId="77777777" w:rsidR="00A320E6" w:rsidRDefault="00A320E6" w:rsidP="00AE0286">
            <w:pPr>
              <w:jc w:val="left"/>
              <w:rPr>
                <w:rFonts w:ascii="宋体" w:hAnsi="宋体" w:cs="宋体"/>
                <w:color w:val="000000"/>
                <w:szCs w:val="21"/>
              </w:rPr>
            </w:pPr>
          </w:p>
        </w:tc>
      </w:tr>
      <w:tr w:rsidR="00A320E6" w14:paraId="6D16D4EC"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79F21606"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5743CB34"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苗圃</w:t>
            </w:r>
          </w:p>
        </w:tc>
        <w:tc>
          <w:tcPr>
            <w:tcW w:w="3853" w:type="dxa"/>
            <w:tcBorders>
              <w:top w:val="single" w:sz="4" w:space="0" w:color="000000"/>
              <w:left w:val="single" w:sz="4" w:space="0" w:color="000000"/>
              <w:bottom w:val="single" w:sz="4" w:space="0" w:color="000000"/>
              <w:right w:val="single" w:sz="4" w:space="0" w:color="000000"/>
            </w:tcBorders>
            <w:vAlign w:val="center"/>
          </w:tcPr>
          <w:p w14:paraId="5ED780C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3年内下（移栽，下同）</w:t>
            </w:r>
          </w:p>
        </w:tc>
        <w:tc>
          <w:tcPr>
            <w:tcW w:w="1509" w:type="dxa"/>
            <w:tcBorders>
              <w:top w:val="single" w:sz="4" w:space="0" w:color="000000"/>
              <w:left w:val="single" w:sz="4" w:space="0" w:color="000000"/>
              <w:bottom w:val="single" w:sz="4" w:space="0" w:color="000000"/>
              <w:right w:val="single" w:sz="4" w:space="0" w:color="000000"/>
            </w:tcBorders>
            <w:vAlign w:val="center"/>
          </w:tcPr>
          <w:p w14:paraId="0C751C6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2500元/亩</w:t>
            </w:r>
          </w:p>
        </w:tc>
        <w:tc>
          <w:tcPr>
            <w:tcW w:w="1887" w:type="dxa"/>
            <w:vMerge w:val="restart"/>
            <w:tcBorders>
              <w:top w:val="single" w:sz="4" w:space="0" w:color="auto"/>
              <w:left w:val="single" w:sz="4" w:space="0" w:color="000000"/>
              <w:bottom w:val="single" w:sz="4" w:space="0" w:color="000000"/>
              <w:right w:val="single" w:sz="4" w:space="0" w:color="000000"/>
            </w:tcBorders>
            <w:vAlign w:val="center"/>
          </w:tcPr>
          <w:p w14:paraId="03D06748" w14:textId="77777777" w:rsidR="00A320E6" w:rsidRDefault="00A320E6" w:rsidP="00AE0286">
            <w:pPr>
              <w:jc w:val="left"/>
              <w:rPr>
                <w:rFonts w:ascii="宋体" w:hAnsi="宋体" w:cs="宋体"/>
                <w:color w:val="000000"/>
                <w:szCs w:val="21"/>
              </w:rPr>
            </w:pPr>
          </w:p>
        </w:tc>
      </w:tr>
      <w:tr w:rsidR="00A320E6" w14:paraId="788CCECF"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1FF3628A"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571804E6"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4F80D14F"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3-5年</w:t>
            </w:r>
          </w:p>
        </w:tc>
        <w:tc>
          <w:tcPr>
            <w:tcW w:w="1509" w:type="dxa"/>
            <w:vMerge w:val="restart"/>
            <w:tcBorders>
              <w:top w:val="single" w:sz="4" w:space="0" w:color="000000"/>
              <w:left w:val="single" w:sz="4" w:space="0" w:color="000000"/>
              <w:bottom w:val="single" w:sz="4" w:space="0" w:color="000000"/>
              <w:right w:val="single" w:sz="4" w:space="0" w:color="000000"/>
            </w:tcBorders>
            <w:vAlign w:val="center"/>
          </w:tcPr>
          <w:p w14:paraId="1BEA90C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3500元/亩</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10C1DECB" w14:textId="77777777" w:rsidR="00A320E6" w:rsidRDefault="00A320E6" w:rsidP="00AE0286">
            <w:pPr>
              <w:jc w:val="left"/>
              <w:rPr>
                <w:rFonts w:ascii="宋体" w:hAnsi="宋体" w:cs="宋体"/>
                <w:color w:val="000000"/>
                <w:szCs w:val="21"/>
              </w:rPr>
            </w:pPr>
          </w:p>
        </w:tc>
      </w:tr>
      <w:tr w:rsidR="00A320E6" w14:paraId="4C0F5D52"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4CE6DCD3"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4FB26DC8"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B2A776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5年以上</w:t>
            </w:r>
          </w:p>
        </w:tc>
        <w:tc>
          <w:tcPr>
            <w:tcW w:w="1509" w:type="dxa"/>
            <w:vMerge/>
            <w:tcBorders>
              <w:top w:val="single" w:sz="4" w:space="0" w:color="000000"/>
              <w:left w:val="single" w:sz="4" w:space="0" w:color="000000"/>
              <w:bottom w:val="single" w:sz="4" w:space="0" w:color="auto"/>
              <w:right w:val="single" w:sz="4" w:space="0" w:color="000000"/>
            </w:tcBorders>
            <w:vAlign w:val="center"/>
          </w:tcPr>
          <w:p w14:paraId="7733C43E" w14:textId="77777777" w:rsidR="00A320E6" w:rsidRDefault="00A320E6" w:rsidP="00AE0286">
            <w:pPr>
              <w:jc w:val="center"/>
              <w:rPr>
                <w:rFonts w:ascii="宋体" w:hAnsi="宋体" w:cs="宋体"/>
                <w:color w:val="000000"/>
                <w:kern w:val="0"/>
                <w:szCs w:val="21"/>
                <w:lang w:bidi="ar"/>
              </w:rPr>
            </w:pPr>
          </w:p>
        </w:tc>
        <w:tc>
          <w:tcPr>
            <w:tcW w:w="1887" w:type="dxa"/>
            <w:vMerge/>
            <w:tcBorders>
              <w:top w:val="single" w:sz="4" w:space="0" w:color="000000"/>
              <w:left w:val="single" w:sz="4" w:space="0" w:color="000000"/>
              <w:bottom w:val="single" w:sz="4" w:space="0" w:color="auto"/>
              <w:right w:val="single" w:sz="4" w:space="0" w:color="000000"/>
            </w:tcBorders>
            <w:vAlign w:val="center"/>
          </w:tcPr>
          <w:p w14:paraId="17FC7B35" w14:textId="77777777" w:rsidR="00A320E6" w:rsidRDefault="00A320E6" w:rsidP="00AE0286">
            <w:pPr>
              <w:jc w:val="left"/>
              <w:rPr>
                <w:rFonts w:ascii="宋体" w:hAnsi="宋体" w:cs="宋体"/>
                <w:color w:val="000000"/>
                <w:szCs w:val="21"/>
              </w:rPr>
            </w:pPr>
          </w:p>
        </w:tc>
      </w:tr>
      <w:tr w:rsidR="00A320E6" w14:paraId="1BE13948"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047BEE0E"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21684BB5"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葡萄园</w:t>
            </w:r>
          </w:p>
        </w:tc>
        <w:tc>
          <w:tcPr>
            <w:tcW w:w="3853" w:type="dxa"/>
            <w:tcBorders>
              <w:top w:val="single" w:sz="4" w:space="0" w:color="000000"/>
              <w:left w:val="single" w:sz="4" w:space="0" w:color="000000"/>
              <w:bottom w:val="single" w:sz="4" w:space="0" w:color="000000"/>
              <w:right w:val="single" w:sz="4" w:space="0" w:color="auto"/>
            </w:tcBorders>
            <w:vAlign w:val="center"/>
          </w:tcPr>
          <w:p w14:paraId="392D1035"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幼龄</w:t>
            </w:r>
          </w:p>
        </w:tc>
        <w:tc>
          <w:tcPr>
            <w:tcW w:w="1509" w:type="dxa"/>
            <w:vMerge w:val="restart"/>
            <w:tcBorders>
              <w:top w:val="single" w:sz="4" w:space="0" w:color="auto"/>
              <w:left w:val="single" w:sz="4" w:space="0" w:color="auto"/>
              <w:bottom w:val="single" w:sz="4" w:space="0" w:color="auto"/>
              <w:right w:val="single" w:sz="4" w:space="0" w:color="auto"/>
            </w:tcBorders>
            <w:vAlign w:val="center"/>
          </w:tcPr>
          <w:p w14:paraId="10D3969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区分生长期20-60元/棵</w:t>
            </w:r>
          </w:p>
        </w:tc>
        <w:tc>
          <w:tcPr>
            <w:tcW w:w="1887" w:type="dxa"/>
            <w:vMerge w:val="restart"/>
            <w:tcBorders>
              <w:top w:val="single" w:sz="4" w:space="0" w:color="auto"/>
              <w:left w:val="single" w:sz="4" w:space="0" w:color="auto"/>
              <w:bottom w:val="single" w:sz="4" w:space="0" w:color="auto"/>
              <w:right w:val="single" w:sz="4" w:space="0" w:color="auto"/>
            </w:tcBorders>
            <w:vAlign w:val="center"/>
          </w:tcPr>
          <w:p w14:paraId="20454127"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1.科学密植，每亩不得超过305棵。2.树归原主。</w:t>
            </w:r>
          </w:p>
        </w:tc>
      </w:tr>
      <w:tr w:rsidR="00A320E6" w14:paraId="2B8DB2A6"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2A5F36E8"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21CA1B27"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auto"/>
            </w:tcBorders>
            <w:vAlign w:val="center"/>
          </w:tcPr>
          <w:p w14:paraId="61807BD6"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初果期</w:t>
            </w:r>
          </w:p>
        </w:tc>
        <w:tc>
          <w:tcPr>
            <w:tcW w:w="1509" w:type="dxa"/>
            <w:vMerge/>
            <w:tcBorders>
              <w:top w:val="single" w:sz="4" w:space="0" w:color="auto"/>
              <w:left w:val="single" w:sz="4" w:space="0" w:color="auto"/>
              <w:bottom w:val="single" w:sz="4" w:space="0" w:color="auto"/>
              <w:right w:val="single" w:sz="4" w:space="0" w:color="000000"/>
            </w:tcBorders>
            <w:vAlign w:val="center"/>
          </w:tcPr>
          <w:p w14:paraId="191BA453" w14:textId="77777777" w:rsidR="00A320E6" w:rsidRDefault="00A320E6" w:rsidP="00AE0286">
            <w:pPr>
              <w:jc w:val="center"/>
              <w:rPr>
                <w:rFonts w:ascii="宋体" w:hAnsi="宋体" w:cs="宋体"/>
                <w:color w:val="000000"/>
                <w:kern w:val="0"/>
                <w:szCs w:val="21"/>
                <w:lang w:bidi="ar"/>
              </w:rPr>
            </w:pPr>
          </w:p>
        </w:tc>
        <w:tc>
          <w:tcPr>
            <w:tcW w:w="1887" w:type="dxa"/>
            <w:vMerge/>
            <w:tcBorders>
              <w:top w:val="single" w:sz="4" w:space="0" w:color="auto"/>
              <w:left w:val="single" w:sz="4" w:space="0" w:color="000000"/>
              <w:bottom w:val="single" w:sz="4" w:space="0" w:color="auto"/>
              <w:right w:val="single" w:sz="4" w:space="0" w:color="auto"/>
            </w:tcBorders>
            <w:vAlign w:val="center"/>
          </w:tcPr>
          <w:p w14:paraId="547BC6FD" w14:textId="77777777" w:rsidR="00A320E6" w:rsidRDefault="00A320E6" w:rsidP="00AE0286">
            <w:pPr>
              <w:jc w:val="left"/>
              <w:rPr>
                <w:rFonts w:ascii="宋体" w:hAnsi="宋体" w:cs="宋体"/>
                <w:color w:val="000000"/>
                <w:szCs w:val="21"/>
              </w:rPr>
            </w:pPr>
          </w:p>
        </w:tc>
      </w:tr>
      <w:tr w:rsidR="00A320E6" w14:paraId="2E1AB60E"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760B62DE"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2DDCD35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auto"/>
            </w:tcBorders>
            <w:vAlign w:val="center"/>
          </w:tcPr>
          <w:p w14:paraId="0BA376D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盛果期</w:t>
            </w:r>
          </w:p>
        </w:tc>
        <w:tc>
          <w:tcPr>
            <w:tcW w:w="1509" w:type="dxa"/>
            <w:vMerge/>
            <w:tcBorders>
              <w:top w:val="single" w:sz="4" w:space="0" w:color="auto"/>
              <w:left w:val="single" w:sz="4" w:space="0" w:color="auto"/>
              <w:bottom w:val="single" w:sz="4" w:space="0" w:color="auto"/>
              <w:right w:val="single" w:sz="4" w:space="0" w:color="000000"/>
            </w:tcBorders>
            <w:vAlign w:val="center"/>
          </w:tcPr>
          <w:p w14:paraId="1913A4C0" w14:textId="77777777" w:rsidR="00A320E6" w:rsidRDefault="00A320E6" w:rsidP="00AE0286">
            <w:pPr>
              <w:jc w:val="center"/>
              <w:rPr>
                <w:rFonts w:ascii="宋体" w:hAnsi="宋体" w:cs="宋体"/>
                <w:color w:val="000000"/>
                <w:kern w:val="0"/>
                <w:szCs w:val="21"/>
                <w:lang w:bidi="ar"/>
              </w:rPr>
            </w:pPr>
          </w:p>
        </w:tc>
        <w:tc>
          <w:tcPr>
            <w:tcW w:w="1887" w:type="dxa"/>
            <w:vMerge/>
            <w:tcBorders>
              <w:top w:val="single" w:sz="4" w:space="0" w:color="auto"/>
              <w:left w:val="single" w:sz="4" w:space="0" w:color="000000"/>
              <w:bottom w:val="single" w:sz="4" w:space="0" w:color="auto"/>
              <w:right w:val="single" w:sz="4" w:space="0" w:color="auto"/>
            </w:tcBorders>
            <w:vAlign w:val="center"/>
          </w:tcPr>
          <w:p w14:paraId="21A41086" w14:textId="77777777" w:rsidR="00A320E6" w:rsidRDefault="00A320E6" w:rsidP="00AE0286">
            <w:pPr>
              <w:jc w:val="left"/>
              <w:rPr>
                <w:rFonts w:ascii="宋体" w:hAnsi="宋体" w:cs="宋体"/>
                <w:color w:val="000000"/>
                <w:szCs w:val="21"/>
              </w:rPr>
            </w:pPr>
          </w:p>
        </w:tc>
      </w:tr>
      <w:tr w:rsidR="00A320E6" w14:paraId="0A31A186"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51C6F49A"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58A296A7"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果树</w:t>
            </w:r>
          </w:p>
        </w:tc>
        <w:tc>
          <w:tcPr>
            <w:tcW w:w="3853" w:type="dxa"/>
            <w:tcBorders>
              <w:top w:val="single" w:sz="4" w:space="0" w:color="000000"/>
              <w:left w:val="single" w:sz="4" w:space="0" w:color="000000"/>
              <w:bottom w:val="single" w:sz="4" w:space="0" w:color="000000"/>
              <w:right w:val="single" w:sz="4" w:space="0" w:color="000000"/>
            </w:tcBorders>
            <w:vAlign w:val="center"/>
          </w:tcPr>
          <w:p w14:paraId="707A7548"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幼龄期</w:t>
            </w:r>
          </w:p>
        </w:tc>
        <w:tc>
          <w:tcPr>
            <w:tcW w:w="1509" w:type="dxa"/>
            <w:tcBorders>
              <w:top w:val="single" w:sz="4" w:space="0" w:color="auto"/>
              <w:left w:val="single" w:sz="4" w:space="0" w:color="000000"/>
              <w:bottom w:val="single" w:sz="4" w:space="0" w:color="000000"/>
              <w:right w:val="single" w:sz="4" w:space="0" w:color="000000"/>
            </w:tcBorders>
            <w:vAlign w:val="center"/>
          </w:tcPr>
          <w:p w14:paraId="24F24B96"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5元/棵</w:t>
            </w:r>
          </w:p>
        </w:tc>
        <w:tc>
          <w:tcPr>
            <w:tcW w:w="1887" w:type="dxa"/>
            <w:vMerge w:val="restart"/>
            <w:tcBorders>
              <w:top w:val="single" w:sz="4" w:space="0" w:color="auto"/>
              <w:left w:val="single" w:sz="4" w:space="0" w:color="000000"/>
              <w:bottom w:val="single" w:sz="4" w:space="0" w:color="000000"/>
              <w:right w:val="single" w:sz="4" w:space="0" w:color="000000"/>
            </w:tcBorders>
            <w:vAlign w:val="center"/>
          </w:tcPr>
          <w:p w14:paraId="7E4A79D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1.包括苹果、杏、桃、梨、枣、柿、山楂、樱桃、板栗等。2.树归原主。</w:t>
            </w:r>
          </w:p>
        </w:tc>
      </w:tr>
      <w:tr w:rsidR="00A320E6" w14:paraId="61005A56"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2D0E58F0"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1A76BF1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88C946A"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初果期</w:t>
            </w:r>
          </w:p>
        </w:tc>
        <w:tc>
          <w:tcPr>
            <w:tcW w:w="1509" w:type="dxa"/>
            <w:tcBorders>
              <w:top w:val="single" w:sz="4" w:space="0" w:color="000000"/>
              <w:left w:val="single" w:sz="4" w:space="0" w:color="000000"/>
              <w:bottom w:val="single" w:sz="4" w:space="0" w:color="000000"/>
              <w:right w:val="single" w:sz="4" w:space="0" w:color="000000"/>
            </w:tcBorders>
            <w:vAlign w:val="center"/>
          </w:tcPr>
          <w:p w14:paraId="24268AEA"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60元/棵</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75ABF5C4" w14:textId="77777777" w:rsidR="00A320E6" w:rsidRDefault="00A320E6" w:rsidP="00AE0286">
            <w:pPr>
              <w:jc w:val="left"/>
              <w:rPr>
                <w:rFonts w:ascii="宋体" w:hAnsi="宋体" w:cs="宋体"/>
                <w:color w:val="000000"/>
                <w:szCs w:val="21"/>
              </w:rPr>
            </w:pPr>
          </w:p>
        </w:tc>
      </w:tr>
      <w:tr w:rsidR="00A320E6" w14:paraId="0874ABB5"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65967214"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57A34520" w14:textId="77777777" w:rsidR="00A320E6" w:rsidRDefault="00A320E6" w:rsidP="00AE0286">
            <w:pPr>
              <w:jc w:val="center"/>
              <w:rPr>
                <w:rFonts w:ascii="宋体" w:hAnsi="宋体" w:cs="宋体"/>
                <w:color w:val="000000"/>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2D9FD0FD" w14:textId="77777777" w:rsidR="00A320E6" w:rsidRDefault="00000000" w:rsidP="00AE0286">
            <w:pPr>
              <w:jc w:val="left"/>
              <w:textAlignment w:val="center"/>
              <w:rPr>
                <w:rFonts w:ascii="宋体" w:hAnsi="宋体" w:cs="宋体"/>
                <w:color w:val="000000"/>
                <w:szCs w:val="21"/>
              </w:rPr>
            </w:pPr>
            <w:r>
              <w:rPr>
                <w:rFonts w:ascii="宋体" w:hAnsi="宋体" w:cs="宋体" w:hint="eastAsia"/>
                <w:color w:val="000000"/>
                <w:kern w:val="0"/>
                <w:szCs w:val="21"/>
                <w:lang w:bidi="ar"/>
              </w:rPr>
              <w:t>盛果期</w:t>
            </w:r>
          </w:p>
        </w:tc>
        <w:tc>
          <w:tcPr>
            <w:tcW w:w="1509" w:type="dxa"/>
            <w:tcBorders>
              <w:top w:val="single" w:sz="4" w:space="0" w:color="000000"/>
              <w:left w:val="single" w:sz="4" w:space="0" w:color="000000"/>
              <w:bottom w:val="single" w:sz="4" w:space="0" w:color="000000"/>
              <w:right w:val="single" w:sz="4" w:space="0" w:color="000000"/>
            </w:tcBorders>
            <w:vAlign w:val="center"/>
          </w:tcPr>
          <w:p w14:paraId="6721571E"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120元/棵</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0518189B" w14:textId="77777777" w:rsidR="00A320E6" w:rsidRDefault="00A320E6" w:rsidP="00AE0286">
            <w:pPr>
              <w:jc w:val="left"/>
              <w:rPr>
                <w:rFonts w:ascii="宋体" w:hAnsi="宋体" w:cs="宋体"/>
                <w:color w:val="000000"/>
                <w:szCs w:val="21"/>
              </w:rPr>
            </w:pPr>
          </w:p>
        </w:tc>
      </w:tr>
      <w:tr w:rsidR="00A320E6" w14:paraId="0EBED528" w14:textId="77777777" w:rsidTr="008B03FA">
        <w:trPr>
          <w:trHeight w:val="312"/>
        </w:trPr>
        <w:tc>
          <w:tcPr>
            <w:tcW w:w="639" w:type="dxa"/>
            <w:vMerge w:val="restart"/>
            <w:tcBorders>
              <w:top w:val="single" w:sz="4" w:space="0" w:color="auto"/>
              <w:left w:val="single" w:sz="4" w:space="0" w:color="000000"/>
              <w:bottom w:val="single" w:sz="4" w:space="0" w:color="auto"/>
              <w:right w:val="single" w:sz="4" w:space="0" w:color="000000"/>
            </w:tcBorders>
            <w:vAlign w:val="center"/>
          </w:tcPr>
          <w:p w14:paraId="7EEBF779"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690" w:type="dxa"/>
            <w:vMerge w:val="restart"/>
            <w:tcBorders>
              <w:top w:val="single" w:sz="4" w:space="0" w:color="auto"/>
              <w:left w:val="single" w:sz="4" w:space="0" w:color="000000"/>
              <w:bottom w:val="single" w:sz="4" w:space="0" w:color="auto"/>
              <w:right w:val="single" w:sz="4" w:space="0" w:color="000000"/>
            </w:tcBorders>
            <w:vAlign w:val="center"/>
          </w:tcPr>
          <w:p w14:paraId="3D81CA0E"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经济作物</w:t>
            </w:r>
          </w:p>
        </w:tc>
        <w:tc>
          <w:tcPr>
            <w:tcW w:w="3853" w:type="dxa"/>
            <w:tcBorders>
              <w:top w:val="single" w:sz="4" w:space="0" w:color="000000"/>
              <w:left w:val="single" w:sz="4" w:space="0" w:color="000000"/>
              <w:bottom w:val="single" w:sz="4" w:space="0" w:color="000000"/>
              <w:right w:val="single" w:sz="4" w:space="0" w:color="000000"/>
            </w:tcBorders>
            <w:vAlign w:val="center"/>
          </w:tcPr>
          <w:p w14:paraId="3731408C"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芦笋</w:t>
            </w:r>
          </w:p>
        </w:tc>
        <w:tc>
          <w:tcPr>
            <w:tcW w:w="1509" w:type="dxa"/>
            <w:tcBorders>
              <w:top w:val="single" w:sz="4" w:space="0" w:color="000000"/>
              <w:left w:val="single" w:sz="4" w:space="0" w:color="000000"/>
              <w:bottom w:val="single" w:sz="4" w:space="0" w:color="000000"/>
              <w:right w:val="single" w:sz="4" w:space="0" w:color="000000"/>
            </w:tcBorders>
            <w:vAlign w:val="center"/>
          </w:tcPr>
          <w:p w14:paraId="7785FCF1"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55元/㎡</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6A45B1B1" w14:textId="77777777" w:rsidR="00A320E6" w:rsidRDefault="00000000" w:rsidP="00AE0286">
            <w:pPr>
              <w:textAlignment w:val="center"/>
              <w:rPr>
                <w:rFonts w:ascii="宋体" w:hAnsi="宋体" w:cs="宋体"/>
                <w:color w:val="000000"/>
                <w:szCs w:val="21"/>
              </w:rPr>
            </w:pPr>
            <w:r>
              <w:rPr>
                <w:rFonts w:ascii="宋体" w:hAnsi="宋体" w:cs="宋体" w:hint="eastAsia"/>
                <w:color w:val="000000"/>
                <w:kern w:val="0"/>
                <w:szCs w:val="21"/>
                <w:lang w:bidi="ar"/>
              </w:rPr>
              <w:t>对于其他难以确定的经济作物由物价部门委托有资质的机构进行评估或认证。</w:t>
            </w:r>
          </w:p>
        </w:tc>
      </w:tr>
      <w:tr w:rsidR="00A320E6" w14:paraId="6A1C033D"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4A040AB1"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181AF3C2" w14:textId="77777777" w:rsidR="00A320E6" w:rsidRDefault="00A320E6" w:rsidP="00AE0286">
            <w:pPr>
              <w:jc w:val="center"/>
              <w:rPr>
                <w:rFonts w:ascii="宋体" w:hAnsi="宋体" w:cs="宋体"/>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D060994"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薄荷</w:t>
            </w:r>
          </w:p>
        </w:tc>
        <w:tc>
          <w:tcPr>
            <w:tcW w:w="1509" w:type="dxa"/>
            <w:tcBorders>
              <w:top w:val="single" w:sz="4" w:space="0" w:color="000000"/>
              <w:left w:val="single" w:sz="4" w:space="0" w:color="000000"/>
              <w:bottom w:val="single" w:sz="4" w:space="0" w:color="000000"/>
              <w:right w:val="single" w:sz="4" w:space="0" w:color="000000"/>
            </w:tcBorders>
            <w:vAlign w:val="center"/>
          </w:tcPr>
          <w:p w14:paraId="4BAA642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20元/㎡</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62D03F5F" w14:textId="77777777" w:rsidR="00A320E6" w:rsidRDefault="00A320E6" w:rsidP="00AE0286">
            <w:pPr>
              <w:rPr>
                <w:rFonts w:ascii="宋体" w:hAnsi="宋体" w:cs="宋体"/>
                <w:color w:val="000000"/>
                <w:szCs w:val="21"/>
              </w:rPr>
            </w:pPr>
          </w:p>
        </w:tc>
      </w:tr>
      <w:tr w:rsidR="00A320E6" w14:paraId="7D9C966B"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4FB5324C"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7557601A" w14:textId="77777777" w:rsidR="00A320E6" w:rsidRDefault="00A320E6" w:rsidP="00AE0286">
            <w:pPr>
              <w:jc w:val="center"/>
              <w:rPr>
                <w:rFonts w:ascii="宋体" w:hAnsi="宋体" w:cs="宋体"/>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340EC520"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芦苇</w:t>
            </w:r>
          </w:p>
        </w:tc>
        <w:tc>
          <w:tcPr>
            <w:tcW w:w="1509" w:type="dxa"/>
            <w:tcBorders>
              <w:top w:val="single" w:sz="4" w:space="0" w:color="000000"/>
              <w:left w:val="single" w:sz="4" w:space="0" w:color="000000"/>
              <w:bottom w:val="single" w:sz="4" w:space="0" w:color="000000"/>
              <w:right w:val="single" w:sz="4" w:space="0" w:color="000000"/>
            </w:tcBorders>
            <w:vAlign w:val="center"/>
          </w:tcPr>
          <w:p w14:paraId="35AD23E2"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400元/亩</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4E4664F9" w14:textId="77777777" w:rsidR="00A320E6" w:rsidRDefault="00A320E6" w:rsidP="00AE0286">
            <w:pPr>
              <w:rPr>
                <w:rFonts w:ascii="宋体" w:hAnsi="宋体" w:cs="宋体"/>
                <w:color w:val="000000"/>
                <w:szCs w:val="21"/>
              </w:rPr>
            </w:pPr>
          </w:p>
        </w:tc>
      </w:tr>
      <w:tr w:rsidR="00A320E6" w14:paraId="179B1F9C" w14:textId="77777777" w:rsidTr="008B03FA">
        <w:trPr>
          <w:trHeight w:val="312"/>
        </w:trPr>
        <w:tc>
          <w:tcPr>
            <w:tcW w:w="639" w:type="dxa"/>
            <w:vMerge/>
            <w:tcBorders>
              <w:top w:val="single" w:sz="4" w:space="0" w:color="auto"/>
              <w:left w:val="single" w:sz="4" w:space="0" w:color="000000"/>
              <w:bottom w:val="single" w:sz="4" w:space="0" w:color="auto"/>
              <w:right w:val="single" w:sz="4" w:space="0" w:color="000000"/>
            </w:tcBorders>
            <w:vAlign w:val="center"/>
          </w:tcPr>
          <w:p w14:paraId="7B4391A3" w14:textId="77777777" w:rsidR="00A320E6" w:rsidRDefault="00A320E6" w:rsidP="00AE0286">
            <w:pPr>
              <w:jc w:val="center"/>
              <w:rPr>
                <w:rFonts w:ascii="宋体" w:hAnsi="宋体" w:cs="宋体"/>
                <w:color w:val="000000"/>
                <w:szCs w:val="21"/>
              </w:rPr>
            </w:pPr>
          </w:p>
        </w:tc>
        <w:tc>
          <w:tcPr>
            <w:tcW w:w="690" w:type="dxa"/>
            <w:vMerge/>
            <w:tcBorders>
              <w:top w:val="single" w:sz="4" w:space="0" w:color="auto"/>
              <w:left w:val="single" w:sz="4" w:space="0" w:color="000000"/>
              <w:bottom w:val="single" w:sz="4" w:space="0" w:color="auto"/>
              <w:right w:val="single" w:sz="4" w:space="0" w:color="000000"/>
            </w:tcBorders>
            <w:vAlign w:val="center"/>
          </w:tcPr>
          <w:p w14:paraId="6A370356" w14:textId="77777777" w:rsidR="00A320E6" w:rsidRDefault="00A320E6" w:rsidP="00AE0286">
            <w:pPr>
              <w:jc w:val="center"/>
              <w:rPr>
                <w:rFonts w:ascii="宋体" w:hAnsi="宋体" w:cs="宋体"/>
                <w:szCs w:val="21"/>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B87F473"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大蒜</w:t>
            </w:r>
          </w:p>
        </w:tc>
        <w:tc>
          <w:tcPr>
            <w:tcW w:w="1509" w:type="dxa"/>
            <w:tcBorders>
              <w:top w:val="single" w:sz="4" w:space="0" w:color="000000"/>
              <w:left w:val="single" w:sz="4" w:space="0" w:color="000000"/>
              <w:bottom w:val="single" w:sz="4" w:space="0" w:color="000000"/>
              <w:right w:val="single" w:sz="4" w:space="0" w:color="000000"/>
            </w:tcBorders>
            <w:vAlign w:val="center"/>
          </w:tcPr>
          <w:p w14:paraId="09B9C370"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4000元/亩</w:t>
            </w:r>
          </w:p>
        </w:tc>
        <w:tc>
          <w:tcPr>
            <w:tcW w:w="1887" w:type="dxa"/>
            <w:vMerge/>
            <w:tcBorders>
              <w:top w:val="single" w:sz="4" w:space="0" w:color="000000"/>
              <w:left w:val="single" w:sz="4" w:space="0" w:color="000000"/>
              <w:bottom w:val="single" w:sz="4" w:space="0" w:color="000000"/>
              <w:right w:val="single" w:sz="4" w:space="0" w:color="000000"/>
            </w:tcBorders>
            <w:vAlign w:val="center"/>
          </w:tcPr>
          <w:p w14:paraId="368B4321" w14:textId="77777777" w:rsidR="00A320E6" w:rsidRDefault="00A320E6" w:rsidP="00AE0286">
            <w:pPr>
              <w:rPr>
                <w:rFonts w:ascii="宋体" w:hAnsi="宋体" w:cs="宋体"/>
                <w:color w:val="000000"/>
                <w:szCs w:val="21"/>
              </w:rPr>
            </w:pPr>
          </w:p>
        </w:tc>
      </w:tr>
      <w:tr w:rsidR="00A320E6" w14:paraId="655FE09A" w14:textId="77777777" w:rsidTr="008B03FA">
        <w:trPr>
          <w:trHeight w:val="312"/>
        </w:trPr>
        <w:tc>
          <w:tcPr>
            <w:tcW w:w="639" w:type="dxa"/>
            <w:tcBorders>
              <w:top w:val="single" w:sz="4" w:space="0" w:color="auto"/>
              <w:left w:val="single" w:sz="4" w:space="0" w:color="000000"/>
              <w:bottom w:val="single" w:sz="4" w:space="0" w:color="000000"/>
              <w:right w:val="single" w:sz="4" w:space="0" w:color="000000"/>
            </w:tcBorders>
            <w:vAlign w:val="center"/>
          </w:tcPr>
          <w:p w14:paraId="35185640" w14:textId="77777777" w:rsidR="00A320E6" w:rsidRDefault="00000000" w:rsidP="00AE0286">
            <w:pPr>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690" w:type="dxa"/>
            <w:tcBorders>
              <w:top w:val="single" w:sz="4" w:space="0" w:color="auto"/>
              <w:left w:val="single" w:sz="4" w:space="0" w:color="000000"/>
              <w:bottom w:val="single" w:sz="4" w:space="0" w:color="000000"/>
              <w:right w:val="single" w:sz="4" w:space="0" w:color="000000"/>
            </w:tcBorders>
            <w:vAlign w:val="center"/>
          </w:tcPr>
          <w:p w14:paraId="01B1A008" w14:textId="77777777" w:rsidR="00A320E6" w:rsidRDefault="00000000" w:rsidP="00AE0286">
            <w:pPr>
              <w:jc w:val="center"/>
              <w:textAlignment w:val="center"/>
              <w:rPr>
                <w:rFonts w:ascii="宋体" w:hAnsi="宋体" w:cs="宋体"/>
                <w:szCs w:val="21"/>
              </w:rPr>
            </w:pPr>
            <w:r>
              <w:rPr>
                <w:rFonts w:ascii="宋体" w:hAnsi="宋体" w:cs="宋体" w:hint="eastAsia"/>
                <w:color w:val="000000"/>
                <w:kern w:val="0"/>
                <w:szCs w:val="21"/>
                <w:lang w:bidi="ar"/>
              </w:rPr>
              <w:t>青苗</w:t>
            </w:r>
          </w:p>
        </w:tc>
        <w:tc>
          <w:tcPr>
            <w:tcW w:w="3853" w:type="dxa"/>
            <w:tcBorders>
              <w:top w:val="single" w:sz="4" w:space="0" w:color="000000"/>
              <w:left w:val="single" w:sz="4" w:space="0" w:color="000000"/>
              <w:bottom w:val="single" w:sz="4" w:space="0" w:color="000000"/>
              <w:right w:val="single" w:sz="4" w:space="0" w:color="000000"/>
            </w:tcBorders>
            <w:vAlign w:val="center"/>
          </w:tcPr>
          <w:p w14:paraId="16551106" w14:textId="77777777" w:rsidR="00A320E6" w:rsidRDefault="00000000" w:rsidP="00AE0286">
            <w:pPr>
              <w:jc w:val="left"/>
              <w:textAlignment w:val="center"/>
              <w:rPr>
                <w:rFonts w:ascii="宋体" w:hAnsi="宋体" w:cs="宋体"/>
                <w:szCs w:val="21"/>
              </w:rPr>
            </w:pPr>
            <w:r>
              <w:rPr>
                <w:rFonts w:ascii="宋体" w:hAnsi="宋体" w:cs="宋体" w:hint="eastAsia"/>
                <w:color w:val="000000"/>
                <w:kern w:val="0"/>
                <w:szCs w:val="21"/>
                <w:lang w:bidi="ar"/>
              </w:rPr>
              <w:t>粮食作物（小麦、玉米）</w:t>
            </w:r>
          </w:p>
        </w:tc>
        <w:tc>
          <w:tcPr>
            <w:tcW w:w="1509" w:type="dxa"/>
            <w:tcBorders>
              <w:top w:val="single" w:sz="4" w:space="0" w:color="000000"/>
              <w:left w:val="single" w:sz="4" w:space="0" w:color="000000"/>
              <w:bottom w:val="single" w:sz="4" w:space="0" w:color="000000"/>
              <w:right w:val="single" w:sz="4" w:space="0" w:color="000000"/>
            </w:tcBorders>
            <w:vAlign w:val="center"/>
          </w:tcPr>
          <w:p w14:paraId="587ADCE9" w14:textId="77777777" w:rsidR="00A320E6" w:rsidRDefault="00000000" w:rsidP="00AE0286">
            <w:pPr>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1800元/亩·季</w:t>
            </w:r>
          </w:p>
        </w:tc>
        <w:tc>
          <w:tcPr>
            <w:tcW w:w="1887" w:type="dxa"/>
            <w:tcBorders>
              <w:top w:val="single" w:sz="4" w:space="0" w:color="000000"/>
              <w:left w:val="single" w:sz="4" w:space="0" w:color="000000"/>
              <w:bottom w:val="single" w:sz="4" w:space="0" w:color="000000"/>
              <w:right w:val="single" w:sz="4" w:space="0" w:color="000000"/>
            </w:tcBorders>
            <w:vAlign w:val="center"/>
          </w:tcPr>
          <w:p w14:paraId="7C79BD4B" w14:textId="77777777" w:rsidR="00A320E6" w:rsidRDefault="00A320E6" w:rsidP="00AE0286">
            <w:pPr>
              <w:rPr>
                <w:rFonts w:ascii="宋体" w:hAnsi="宋体" w:cs="宋体"/>
                <w:color w:val="000000"/>
                <w:szCs w:val="21"/>
              </w:rPr>
            </w:pPr>
          </w:p>
        </w:tc>
      </w:tr>
    </w:tbl>
    <w:p w14:paraId="2A38659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509F0091"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1.其他未列出的地上附着物参照本标准中相近情况给予适当补偿。</w:t>
      </w:r>
    </w:p>
    <w:p w14:paraId="7EE58DEB"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2.难以参照的或被补偿人不接受本补偿标准的地上附着物，可委托有资质的机构进行评估或认证，按照评估或认证结果进行补偿。</w:t>
      </w:r>
    </w:p>
    <w:p w14:paraId="47826901"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3.农用地地上附着物和青苗补偿，除坟墓、电力通讯线路和井外，也可实行包干方式补偿。涉及果树的，补偿标准每亩不超过12000元；其他树木每亩补偿标准不超过8000元。林间青苗不再补偿。</w:t>
      </w:r>
    </w:p>
    <w:p w14:paraId="71033649"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4.自征收土地预公告发布之日起，抢种、抢栽的青苗和其他地上附着物，以及抢建的房屋等建（构）筑物不予补偿。</w:t>
      </w:r>
    </w:p>
    <w:p w14:paraId="23467014" w14:textId="77777777" w:rsidR="00A320E6" w:rsidRDefault="00000000" w:rsidP="00AE0286">
      <w:pPr>
        <w:pStyle w:val="a3"/>
        <w:spacing w:line="360" w:lineRule="auto"/>
        <w:ind w:firstLine="480"/>
        <w:jc w:val="left"/>
        <w:rPr>
          <w:rFonts w:ascii="宋体" w:hAnsi="宋体" w:cs="宋体"/>
          <w:kern w:val="0"/>
          <w:sz w:val="24"/>
        </w:rPr>
      </w:pPr>
      <w:r>
        <w:rPr>
          <w:rFonts w:ascii="宋体" w:hAnsi="宋体" w:cs="宋体" w:hint="eastAsia"/>
          <w:kern w:val="0"/>
          <w:sz w:val="24"/>
        </w:rPr>
        <w:t>5.国家和省确定的铁路、公路、机场、航道港口、水利工程、能源工程等重大基础设施项目征收土地地上附着物和青苗补偿等标准另有规定的，从其规定。</w:t>
      </w:r>
    </w:p>
    <w:p w14:paraId="604675EC" w14:textId="77777777" w:rsidR="00A320E6" w:rsidRDefault="00A320E6" w:rsidP="00AE0286">
      <w:pPr>
        <w:pStyle w:val="a3"/>
        <w:spacing w:line="360" w:lineRule="auto"/>
        <w:ind w:firstLine="480"/>
        <w:jc w:val="left"/>
        <w:rPr>
          <w:rFonts w:ascii="宋体" w:hAnsi="宋体" w:cs="宋体"/>
          <w:kern w:val="0"/>
          <w:sz w:val="24"/>
          <w:lang w:eastAsia="zh-Hans"/>
        </w:rPr>
      </w:pPr>
    </w:p>
    <w:p w14:paraId="0A26C397" w14:textId="77777777" w:rsidR="00A320E6" w:rsidRDefault="00000000" w:rsidP="00F67407">
      <w:pPr>
        <w:keepNext/>
        <w:spacing w:beforeLines="50" w:before="156" w:afterLines="20" w:after="62" w:line="360" w:lineRule="auto"/>
        <w:jc w:val="center"/>
        <w:outlineLvl w:val="2"/>
        <w:rPr>
          <w:b/>
          <w:bCs/>
          <w:sz w:val="24"/>
          <w:lang w:eastAsia="zh-Hans"/>
        </w:rPr>
      </w:pPr>
      <w:bookmarkStart w:id="121" w:name="_Toc112227423"/>
      <w:r>
        <w:rPr>
          <w:rFonts w:hint="eastAsia"/>
          <w:b/>
          <w:bCs/>
          <w:sz w:val="24"/>
          <w:lang w:eastAsia="zh-Hans"/>
        </w:rPr>
        <w:t>关于滨州市征地地上附着物和青苗补偿标准的批复</w:t>
      </w:r>
      <w:bookmarkEnd w:id="121"/>
    </w:p>
    <w:p w14:paraId="0C2A3E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滨州市自然资源和规划局、财政局：</w:t>
      </w:r>
    </w:p>
    <w:p w14:paraId="4B9BCD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你市《关于上报滨州市征地地上附着物和青苗补偿标准调整成果的请示》（滨自然资规呈〔2021〕644号）收悉。经研究，同意你市制定的征地地上附着物和青苗补偿标准（详见附件）。</w:t>
      </w:r>
    </w:p>
    <w:p w14:paraId="331CBC4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标准自批复之日起执行。</w:t>
      </w:r>
    </w:p>
    <w:p w14:paraId="706FCE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附件：滨州市征地地上附着物和青苗补偿标准</w:t>
      </w:r>
    </w:p>
    <w:p w14:paraId="0C633458"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                             山东省自然资源厅  山东省财政厅  </w:t>
      </w:r>
    </w:p>
    <w:p w14:paraId="54DBD561"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                                2022年1月6日</w:t>
      </w:r>
    </w:p>
    <w:p w14:paraId="1095DA09" w14:textId="77777777" w:rsidR="00A320E6" w:rsidRDefault="00000000" w:rsidP="00AE0286">
      <w:pPr>
        <w:ind w:leftChars="-337" w:left="-178" w:hangingChars="221" w:hanging="530"/>
        <w:rPr>
          <w:rFonts w:ascii="宋体" w:hAnsi="宋体" w:cs="宋体"/>
          <w:color w:val="000000"/>
          <w:kern w:val="0"/>
          <w:sz w:val="24"/>
          <w:szCs w:val="24"/>
        </w:rPr>
      </w:pPr>
      <w:r>
        <w:rPr>
          <w:rFonts w:ascii="宋体" w:hAnsi="宋体" w:cs="宋体" w:hint="eastAsia"/>
          <w:color w:val="000000"/>
          <w:kern w:val="0"/>
          <w:sz w:val="24"/>
          <w:szCs w:val="24"/>
        </w:rPr>
        <w:t>附件</w:t>
      </w:r>
    </w:p>
    <w:p w14:paraId="5FDA3F0B" w14:textId="77777777" w:rsidR="00A320E6" w:rsidRDefault="00000000" w:rsidP="00AE0286">
      <w:pPr>
        <w:jc w:val="center"/>
        <w:rPr>
          <w:rFonts w:ascii="宋体" w:hAnsi="宋体" w:cs="宋体"/>
          <w:sz w:val="24"/>
          <w:szCs w:val="24"/>
        </w:rPr>
      </w:pPr>
      <w:r>
        <w:rPr>
          <w:rFonts w:ascii="宋体" w:hAnsi="宋体" w:cs="宋体" w:hint="eastAsia"/>
          <w:bCs/>
          <w:color w:val="000000"/>
          <w:kern w:val="0"/>
          <w:sz w:val="24"/>
          <w:szCs w:val="24"/>
        </w:rPr>
        <w:t>滨州市征地地上附着物和青苗补偿标准</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846"/>
        <w:gridCol w:w="1153"/>
        <w:gridCol w:w="1057"/>
        <w:gridCol w:w="1844"/>
        <w:gridCol w:w="3156"/>
      </w:tblGrid>
      <w:tr w:rsidR="008B03FA" w14:paraId="14AF3964" w14:textId="77777777" w:rsidTr="008B03FA">
        <w:trPr>
          <w:trHeight w:val="312"/>
          <w:tblHeader/>
          <w:jc w:val="center"/>
        </w:trPr>
        <w:tc>
          <w:tcPr>
            <w:tcW w:w="389" w:type="pct"/>
            <w:shd w:val="clear" w:color="000000" w:fill="FFFFFF"/>
            <w:vAlign w:val="center"/>
          </w:tcPr>
          <w:p w14:paraId="52B1768A" w14:textId="77777777" w:rsidR="00A320E6" w:rsidRDefault="00000000" w:rsidP="00AE0286">
            <w:pPr>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484" w:type="pct"/>
            <w:shd w:val="clear" w:color="000000" w:fill="FFFFFF"/>
            <w:vAlign w:val="center"/>
          </w:tcPr>
          <w:p w14:paraId="7D1D7B66" w14:textId="77777777" w:rsidR="00A320E6" w:rsidRDefault="00000000" w:rsidP="00AE0286">
            <w:pPr>
              <w:jc w:val="center"/>
              <w:rPr>
                <w:rFonts w:ascii="宋体" w:hAnsi="宋体" w:cs="宋体"/>
                <w:b/>
                <w:bCs/>
                <w:color w:val="000000"/>
                <w:kern w:val="0"/>
                <w:szCs w:val="21"/>
              </w:rPr>
            </w:pPr>
            <w:r>
              <w:rPr>
                <w:rFonts w:ascii="宋体" w:hAnsi="宋体" w:cs="宋体" w:hint="eastAsia"/>
                <w:b/>
                <w:bCs/>
                <w:color w:val="000000"/>
                <w:kern w:val="0"/>
                <w:szCs w:val="21"/>
              </w:rPr>
              <w:t>名称</w:t>
            </w:r>
          </w:p>
        </w:tc>
        <w:tc>
          <w:tcPr>
            <w:tcW w:w="1265" w:type="pct"/>
            <w:gridSpan w:val="2"/>
            <w:shd w:val="clear" w:color="000000" w:fill="FFFFFF"/>
            <w:vAlign w:val="center"/>
          </w:tcPr>
          <w:p w14:paraId="6F13EE24" w14:textId="77777777" w:rsidR="00A320E6" w:rsidRDefault="00000000" w:rsidP="00AE0286">
            <w:pPr>
              <w:jc w:val="center"/>
              <w:rPr>
                <w:rFonts w:ascii="宋体" w:hAnsi="宋体" w:cs="宋体"/>
                <w:b/>
                <w:bCs/>
                <w:color w:val="000000"/>
                <w:kern w:val="0"/>
                <w:szCs w:val="21"/>
              </w:rPr>
            </w:pPr>
            <w:r>
              <w:rPr>
                <w:rFonts w:ascii="宋体" w:hAnsi="宋体" w:cs="宋体" w:hint="eastAsia"/>
                <w:b/>
                <w:bCs/>
                <w:color w:val="000000"/>
                <w:kern w:val="0"/>
                <w:szCs w:val="21"/>
              </w:rPr>
              <w:t>类别</w:t>
            </w:r>
          </w:p>
        </w:tc>
        <w:tc>
          <w:tcPr>
            <w:tcW w:w="1055" w:type="pct"/>
            <w:shd w:val="clear" w:color="000000" w:fill="FFFFFF"/>
            <w:vAlign w:val="center"/>
          </w:tcPr>
          <w:p w14:paraId="6AA3BF1B" w14:textId="77777777" w:rsidR="00A320E6" w:rsidRDefault="00000000" w:rsidP="00AE0286">
            <w:pPr>
              <w:jc w:val="center"/>
              <w:rPr>
                <w:rFonts w:ascii="宋体" w:hAnsi="宋体" w:cs="宋体"/>
                <w:b/>
                <w:bCs/>
                <w:color w:val="000000"/>
                <w:kern w:val="0"/>
                <w:szCs w:val="21"/>
              </w:rPr>
            </w:pPr>
            <w:r>
              <w:rPr>
                <w:rFonts w:ascii="宋体" w:hAnsi="宋体" w:cs="宋体" w:hint="eastAsia"/>
                <w:b/>
                <w:bCs/>
                <w:color w:val="000000"/>
                <w:kern w:val="0"/>
                <w:szCs w:val="21"/>
              </w:rPr>
              <w:t>补偿标准</w:t>
            </w:r>
          </w:p>
        </w:tc>
        <w:tc>
          <w:tcPr>
            <w:tcW w:w="1806" w:type="pct"/>
            <w:shd w:val="clear" w:color="000000" w:fill="FFFFFF"/>
            <w:vAlign w:val="center"/>
          </w:tcPr>
          <w:p w14:paraId="26E75B88" w14:textId="77777777" w:rsidR="00A320E6" w:rsidRDefault="00000000" w:rsidP="00AE0286">
            <w:pPr>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8B03FA" w14:paraId="36C85563" w14:textId="77777777" w:rsidTr="008B03FA">
        <w:trPr>
          <w:trHeight w:val="312"/>
          <w:jc w:val="center"/>
        </w:trPr>
        <w:tc>
          <w:tcPr>
            <w:tcW w:w="389" w:type="pct"/>
            <w:vMerge w:val="restart"/>
            <w:shd w:val="clear" w:color="000000" w:fill="FFFFFF"/>
            <w:vAlign w:val="center"/>
          </w:tcPr>
          <w:p w14:paraId="213961A9" w14:textId="77777777" w:rsidR="00A320E6" w:rsidRDefault="00000000" w:rsidP="00AE0286">
            <w:pPr>
              <w:jc w:val="center"/>
              <w:rPr>
                <w:rFonts w:ascii="宋体" w:hAnsi="宋体" w:cs="宋体"/>
                <w:kern w:val="0"/>
                <w:szCs w:val="21"/>
              </w:rPr>
            </w:pPr>
            <w:r>
              <w:rPr>
                <w:rFonts w:ascii="宋体" w:hAnsi="宋体" w:cs="宋体" w:hint="eastAsia"/>
                <w:kern w:val="0"/>
                <w:szCs w:val="21"/>
              </w:rPr>
              <w:t>1</w:t>
            </w:r>
          </w:p>
        </w:tc>
        <w:tc>
          <w:tcPr>
            <w:tcW w:w="484" w:type="pct"/>
            <w:vMerge w:val="restart"/>
            <w:shd w:val="clear" w:color="000000" w:fill="FFFFFF"/>
            <w:vAlign w:val="center"/>
          </w:tcPr>
          <w:p w14:paraId="316449F1" w14:textId="77777777" w:rsidR="00A320E6" w:rsidRDefault="00000000" w:rsidP="00AE0286">
            <w:pPr>
              <w:jc w:val="center"/>
              <w:rPr>
                <w:rFonts w:ascii="宋体" w:hAnsi="宋体" w:cs="宋体"/>
                <w:kern w:val="0"/>
                <w:szCs w:val="21"/>
              </w:rPr>
            </w:pPr>
            <w:r>
              <w:rPr>
                <w:rFonts w:ascii="宋体" w:hAnsi="宋体" w:cs="宋体" w:hint="eastAsia"/>
                <w:kern w:val="0"/>
                <w:szCs w:val="21"/>
              </w:rPr>
              <w:t>房屋</w:t>
            </w:r>
          </w:p>
        </w:tc>
        <w:tc>
          <w:tcPr>
            <w:tcW w:w="1265" w:type="pct"/>
            <w:gridSpan w:val="2"/>
            <w:shd w:val="clear" w:color="000000" w:fill="FFFFFF"/>
            <w:vAlign w:val="center"/>
          </w:tcPr>
          <w:p w14:paraId="6F756935" w14:textId="77777777" w:rsidR="00A320E6" w:rsidRDefault="00000000" w:rsidP="00AE0286">
            <w:pPr>
              <w:rPr>
                <w:rFonts w:ascii="宋体" w:hAnsi="宋体" w:cs="宋体"/>
                <w:kern w:val="0"/>
                <w:szCs w:val="21"/>
              </w:rPr>
            </w:pPr>
            <w:r>
              <w:rPr>
                <w:rFonts w:ascii="宋体" w:hAnsi="宋体" w:cs="宋体" w:hint="eastAsia"/>
                <w:kern w:val="0"/>
                <w:szCs w:val="21"/>
              </w:rPr>
              <w:t>乱石基、砖石墙、平顶或尖顶房</w:t>
            </w:r>
          </w:p>
        </w:tc>
        <w:tc>
          <w:tcPr>
            <w:tcW w:w="1055" w:type="pct"/>
            <w:shd w:val="clear" w:color="000000" w:fill="FFFFFF"/>
            <w:vAlign w:val="center"/>
          </w:tcPr>
          <w:p w14:paraId="0651FB1C" w14:textId="77777777" w:rsidR="00A320E6" w:rsidRDefault="00000000" w:rsidP="00AE0286">
            <w:pPr>
              <w:jc w:val="center"/>
              <w:rPr>
                <w:rFonts w:ascii="宋体" w:hAnsi="宋体" w:cs="宋体"/>
                <w:kern w:val="0"/>
                <w:szCs w:val="21"/>
              </w:rPr>
            </w:pPr>
            <w:r>
              <w:rPr>
                <w:rFonts w:ascii="宋体" w:hAnsi="宋体" w:cs="宋体" w:hint="eastAsia"/>
                <w:kern w:val="0"/>
                <w:szCs w:val="21"/>
              </w:rPr>
              <w:t>700-1100元/㎡</w:t>
            </w:r>
          </w:p>
        </w:tc>
        <w:tc>
          <w:tcPr>
            <w:tcW w:w="1806" w:type="pct"/>
            <w:vMerge w:val="restart"/>
            <w:shd w:val="clear" w:color="000000" w:fill="FFFFFF"/>
            <w:vAlign w:val="center"/>
          </w:tcPr>
          <w:p w14:paraId="121B2788" w14:textId="77777777" w:rsidR="00A320E6" w:rsidRDefault="00000000" w:rsidP="00AE0286">
            <w:pPr>
              <w:jc w:val="left"/>
              <w:rPr>
                <w:rFonts w:ascii="宋体" w:hAnsi="宋体" w:cs="宋体"/>
                <w:kern w:val="0"/>
                <w:szCs w:val="21"/>
              </w:rPr>
            </w:pPr>
            <w:r>
              <w:rPr>
                <w:rFonts w:ascii="宋体" w:hAnsi="宋体" w:cs="宋体" w:hint="eastAsia"/>
                <w:kern w:val="0"/>
                <w:szCs w:val="21"/>
              </w:rPr>
              <w:t>1.表中面积指建筑面积；</w:t>
            </w:r>
            <w:r>
              <w:rPr>
                <w:rFonts w:ascii="宋体" w:hAnsi="宋体" w:cs="宋体" w:hint="eastAsia"/>
                <w:kern w:val="0"/>
                <w:szCs w:val="21"/>
              </w:rPr>
              <w:br/>
              <w:t>2.具体补偿标准，根据房屋年限、用料、间道长度、檐高和宽度及装饰等因素，在本表规定的幅度内确定。</w:t>
            </w:r>
          </w:p>
        </w:tc>
      </w:tr>
      <w:tr w:rsidR="008B03FA" w14:paraId="7DF651B7" w14:textId="77777777" w:rsidTr="008B03FA">
        <w:trPr>
          <w:trHeight w:val="312"/>
          <w:jc w:val="center"/>
        </w:trPr>
        <w:tc>
          <w:tcPr>
            <w:tcW w:w="389" w:type="pct"/>
            <w:vMerge/>
            <w:vAlign w:val="center"/>
          </w:tcPr>
          <w:p w14:paraId="3E808DA8" w14:textId="77777777" w:rsidR="00A320E6" w:rsidRDefault="00A320E6" w:rsidP="00AE0286">
            <w:pPr>
              <w:jc w:val="left"/>
              <w:rPr>
                <w:rFonts w:ascii="宋体" w:hAnsi="宋体" w:cs="宋体"/>
                <w:kern w:val="0"/>
                <w:szCs w:val="21"/>
              </w:rPr>
            </w:pPr>
          </w:p>
        </w:tc>
        <w:tc>
          <w:tcPr>
            <w:tcW w:w="484" w:type="pct"/>
            <w:vMerge/>
            <w:vAlign w:val="center"/>
          </w:tcPr>
          <w:p w14:paraId="64C745F0"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4BD2F535" w14:textId="77777777" w:rsidR="00A320E6" w:rsidRDefault="00000000" w:rsidP="00AE0286">
            <w:pPr>
              <w:rPr>
                <w:rFonts w:ascii="宋体" w:hAnsi="宋体" w:cs="宋体"/>
                <w:kern w:val="0"/>
                <w:szCs w:val="21"/>
              </w:rPr>
            </w:pPr>
            <w:r>
              <w:rPr>
                <w:rFonts w:ascii="宋体" w:hAnsi="宋体" w:cs="宋体" w:hint="eastAsia"/>
                <w:kern w:val="0"/>
                <w:szCs w:val="21"/>
              </w:rPr>
              <w:t>乱石基、坯墙、木结构斜坡草或瓦屋顶</w:t>
            </w:r>
          </w:p>
        </w:tc>
        <w:tc>
          <w:tcPr>
            <w:tcW w:w="1055" w:type="pct"/>
            <w:shd w:val="clear" w:color="000000" w:fill="FFFFFF"/>
            <w:vAlign w:val="center"/>
          </w:tcPr>
          <w:p w14:paraId="7715D71B" w14:textId="77777777" w:rsidR="00A320E6" w:rsidRDefault="00000000" w:rsidP="00AE0286">
            <w:pPr>
              <w:jc w:val="center"/>
              <w:rPr>
                <w:rFonts w:ascii="宋体" w:hAnsi="宋体" w:cs="宋体"/>
                <w:kern w:val="0"/>
                <w:szCs w:val="21"/>
              </w:rPr>
            </w:pPr>
            <w:r>
              <w:rPr>
                <w:rFonts w:ascii="宋体" w:hAnsi="宋体" w:cs="宋体" w:hint="eastAsia"/>
                <w:kern w:val="0"/>
                <w:szCs w:val="21"/>
              </w:rPr>
              <w:t>450-750元/㎡</w:t>
            </w:r>
          </w:p>
        </w:tc>
        <w:tc>
          <w:tcPr>
            <w:tcW w:w="1806" w:type="pct"/>
            <w:vMerge/>
            <w:vAlign w:val="center"/>
          </w:tcPr>
          <w:p w14:paraId="1BEA1362" w14:textId="77777777" w:rsidR="00A320E6" w:rsidRDefault="00A320E6" w:rsidP="00AE0286">
            <w:pPr>
              <w:jc w:val="left"/>
              <w:rPr>
                <w:rFonts w:ascii="宋体" w:hAnsi="宋体" w:cs="宋体"/>
                <w:kern w:val="0"/>
                <w:szCs w:val="21"/>
              </w:rPr>
            </w:pPr>
          </w:p>
        </w:tc>
      </w:tr>
      <w:tr w:rsidR="008B03FA" w14:paraId="0F056429" w14:textId="77777777" w:rsidTr="008B03FA">
        <w:trPr>
          <w:trHeight w:val="312"/>
          <w:jc w:val="center"/>
        </w:trPr>
        <w:tc>
          <w:tcPr>
            <w:tcW w:w="389" w:type="pct"/>
            <w:vMerge/>
            <w:vAlign w:val="center"/>
          </w:tcPr>
          <w:p w14:paraId="6DA9E5BE" w14:textId="77777777" w:rsidR="00A320E6" w:rsidRDefault="00A320E6" w:rsidP="00AE0286">
            <w:pPr>
              <w:jc w:val="left"/>
              <w:rPr>
                <w:rFonts w:ascii="宋体" w:hAnsi="宋体" w:cs="宋体"/>
                <w:kern w:val="0"/>
                <w:szCs w:val="21"/>
              </w:rPr>
            </w:pPr>
          </w:p>
        </w:tc>
        <w:tc>
          <w:tcPr>
            <w:tcW w:w="484" w:type="pct"/>
            <w:vMerge/>
            <w:vAlign w:val="center"/>
          </w:tcPr>
          <w:p w14:paraId="29DFAB6D"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4C042C0" w14:textId="77777777" w:rsidR="00A320E6" w:rsidRDefault="00000000" w:rsidP="00AE0286">
            <w:pPr>
              <w:rPr>
                <w:rFonts w:ascii="宋体" w:hAnsi="宋体" w:cs="宋体"/>
                <w:kern w:val="0"/>
                <w:szCs w:val="21"/>
              </w:rPr>
            </w:pPr>
            <w:r>
              <w:rPr>
                <w:rFonts w:ascii="宋体" w:hAnsi="宋体" w:cs="宋体" w:hint="eastAsia"/>
                <w:kern w:val="0"/>
                <w:szCs w:val="21"/>
              </w:rPr>
              <w:t>砖垛、苇箔、草顶简易平房</w:t>
            </w:r>
          </w:p>
        </w:tc>
        <w:tc>
          <w:tcPr>
            <w:tcW w:w="1055" w:type="pct"/>
            <w:shd w:val="clear" w:color="000000" w:fill="FFFFFF"/>
            <w:vAlign w:val="center"/>
          </w:tcPr>
          <w:p w14:paraId="5ECD8488" w14:textId="77777777" w:rsidR="00A320E6" w:rsidRDefault="00000000" w:rsidP="00AE0286">
            <w:pPr>
              <w:jc w:val="center"/>
              <w:rPr>
                <w:rFonts w:ascii="宋体" w:hAnsi="宋体" w:cs="宋体"/>
                <w:kern w:val="0"/>
                <w:szCs w:val="21"/>
              </w:rPr>
            </w:pPr>
            <w:r>
              <w:rPr>
                <w:rFonts w:ascii="宋体" w:hAnsi="宋体" w:cs="宋体" w:hint="eastAsia"/>
                <w:kern w:val="0"/>
                <w:szCs w:val="21"/>
              </w:rPr>
              <w:t>300-500元/㎡</w:t>
            </w:r>
          </w:p>
        </w:tc>
        <w:tc>
          <w:tcPr>
            <w:tcW w:w="1806" w:type="pct"/>
            <w:vMerge/>
            <w:vAlign w:val="center"/>
          </w:tcPr>
          <w:p w14:paraId="0D624BDF" w14:textId="77777777" w:rsidR="00A320E6" w:rsidRDefault="00A320E6" w:rsidP="00AE0286">
            <w:pPr>
              <w:jc w:val="left"/>
              <w:rPr>
                <w:rFonts w:ascii="宋体" w:hAnsi="宋体" w:cs="宋体"/>
                <w:kern w:val="0"/>
                <w:szCs w:val="21"/>
              </w:rPr>
            </w:pPr>
          </w:p>
        </w:tc>
      </w:tr>
      <w:tr w:rsidR="008B03FA" w14:paraId="77768733" w14:textId="77777777" w:rsidTr="008B03FA">
        <w:trPr>
          <w:trHeight w:val="312"/>
          <w:jc w:val="center"/>
        </w:trPr>
        <w:tc>
          <w:tcPr>
            <w:tcW w:w="389" w:type="pct"/>
            <w:vMerge/>
            <w:vAlign w:val="center"/>
          </w:tcPr>
          <w:p w14:paraId="5CE02A92" w14:textId="77777777" w:rsidR="00A320E6" w:rsidRDefault="00A320E6" w:rsidP="00AE0286">
            <w:pPr>
              <w:jc w:val="left"/>
              <w:rPr>
                <w:rFonts w:ascii="宋体" w:hAnsi="宋体" w:cs="宋体"/>
                <w:kern w:val="0"/>
                <w:szCs w:val="21"/>
              </w:rPr>
            </w:pPr>
          </w:p>
        </w:tc>
        <w:tc>
          <w:tcPr>
            <w:tcW w:w="484" w:type="pct"/>
            <w:vMerge/>
            <w:vAlign w:val="center"/>
          </w:tcPr>
          <w:p w14:paraId="1ECE0D4A"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1E09916" w14:textId="77777777" w:rsidR="00A320E6" w:rsidRDefault="00000000" w:rsidP="00AE0286">
            <w:pPr>
              <w:rPr>
                <w:rFonts w:ascii="宋体" w:hAnsi="宋体" w:cs="宋体"/>
                <w:kern w:val="0"/>
                <w:szCs w:val="21"/>
              </w:rPr>
            </w:pPr>
            <w:r>
              <w:rPr>
                <w:rFonts w:ascii="宋体" w:hAnsi="宋体" w:cs="宋体" w:hint="eastAsia"/>
                <w:kern w:val="0"/>
                <w:szCs w:val="21"/>
              </w:rPr>
              <w:t>复合彩钢板房</w:t>
            </w:r>
          </w:p>
        </w:tc>
        <w:tc>
          <w:tcPr>
            <w:tcW w:w="1055" w:type="pct"/>
            <w:shd w:val="clear" w:color="000000" w:fill="FFFFFF"/>
            <w:vAlign w:val="center"/>
          </w:tcPr>
          <w:p w14:paraId="005DCC98" w14:textId="77777777" w:rsidR="00A320E6" w:rsidRDefault="00000000" w:rsidP="00AE0286">
            <w:pPr>
              <w:jc w:val="center"/>
              <w:rPr>
                <w:rFonts w:ascii="宋体" w:hAnsi="宋体" w:cs="宋体"/>
                <w:kern w:val="0"/>
                <w:szCs w:val="21"/>
              </w:rPr>
            </w:pPr>
            <w:r>
              <w:rPr>
                <w:rFonts w:ascii="宋体" w:hAnsi="宋体" w:cs="宋体" w:hint="eastAsia"/>
                <w:kern w:val="0"/>
                <w:szCs w:val="21"/>
              </w:rPr>
              <w:t>400-600元/㎡</w:t>
            </w:r>
          </w:p>
        </w:tc>
        <w:tc>
          <w:tcPr>
            <w:tcW w:w="1806" w:type="pct"/>
            <w:vMerge/>
            <w:vAlign w:val="center"/>
          </w:tcPr>
          <w:p w14:paraId="297E9067" w14:textId="77777777" w:rsidR="00A320E6" w:rsidRDefault="00A320E6" w:rsidP="00AE0286">
            <w:pPr>
              <w:jc w:val="left"/>
              <w:rPr>
                <w:rFonts w:ascii="宋体" w:hAnsi="宋体" w:cs="宋体"/>
                <w:kern w:val="0"/>
                <w:szCs w:val="21"/>
              </w:rPr>
            </w:pPr>
          </w:p>
        </w:tc>
      </w:tr>
      <w:tr w:rsidR="008B03FA" w14:paraId="5F01BFE0" w14:textId="77777777" w:rsidTr="008B03FA">
        <w:trPr>
          <w:trHeight w:val="312"/>
          <w:jc w:val="center"/>
        </w:trPr>
        <w:tc>
          <w:tcPr>
            <w:tcW w:w="389" w:type="pct"/>
            <w:vMerge/>
            <w:vAlign w:val="center"/>
          </w:tcPr>
          <w:p w14:paraId="192D9834" w14:textId="77777777" w:rsidR="00A320E6" w:rsidRDefault="00A320E6" w:rsidP="00AE0286">
            <w:pPr>
              <w:jc w:val="left"/>
              <w:rPr>
                <w:rFonts w:ascii="宋体" w:hAnsi="宋体" w:cs="宋体"/>
                <w:kern w:val="0"/>
                <w:szCs w:val="21"/>
              </w:rPr>
            </w:pPr>
          </w:p>
        </w:tc>
        <w:tc>
          <w:tcPr>
            <w:tcW w:w="484" w:type="pct"/>
            <w:vMerge/>
            <w:vAlign w:val="center"/>
          </w:tcPr>
          <w:p w14:paraId="0534D34B"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69A93E6" w14:textId="77777777" w:rsidR="00A320E6" w:rsidRDefault="00000000" w:rsidP="00AE0286">
            <w:pPr>
              <w:rPr>
                <w:rFonts w:ascii="宋体" w:hAnsi="宋体" w:cs="宋体"/>
                <w:kern w:val="0"/>
                <w:szCs w:val="21"/>
              </w:rPr>
            </w:pPr>
            <w:r>
              <w:rPr>
                <w:rFonts w:ascii="宋体" w:hAnsi="宋体" w:cs="宋体" w:hint="eastAsia"/>
                <w:kern w:val="0"/>
                <w:szCs w:val="21"/>
              </w:rPr>
              <w:t>单层彩钢板房</w:t>
            </w:r>
          </w:p>
        </w:tc>
        <w:tc>
          <w:tcPr>
            <w:tcW w:w="1055" w:type="pct"/>
            <w:shd w:val="clear" w:color="000000" w:fill="FFFFFF"/>
            <w:vAlign w:val="center"/>
          </w:tcPr>
          <w:p w14:paraId="0328CC7B" w14:textId="77777777" w:rsidR="00A320E6" w:rsidRDefault="00000000" w:rsidP="00AE0286">
            <w:pPr>
              <w:jc w:val="center"/>
              <w:rPr>
                <w:rFonts w:ascii="宋体" w:hAnsi="宋体" w:cs="宋体"/>
                <w:kern w:val="0"/>
                <w:szCs w:val="21"/>
              </w:rPr>
            </w:pPr>
            <w:r>
              <w:rPr>
                <w:rFonts w:ascii="宋体" w:hAnsi="宋体" w:cs="宋体" w:hint="eastAsia"/>
                <w:kern w:val="0"/>
                <w:szCs w:val="21"/>
              </w:rPr>
              <w:t>200-400元/㎡</w:t>
            </w:r>
          </w:p>
        </w:tc>
        <w:tc>
          <w:tcPr>
            <w:tcW w:w="1806" w:type="pct"/>
            <w:vMerge/>
            <w:vAlign w:val="center"/>
          </w:tcPr>
          <w:p w14:paraId="4F3929B4" w14:textId="77777777" w:rsidR="00A320E6" w:rsidRDefault="00A320E6" w:rsidP="00AE0286">
            <w:pPr>
              <w:jc w:val="left"/>
              <w:rPr>
                <w:rFonts w:ascii="宋体" w:hAnsi="宋体" w:cs="宋体"/>
                <w:kern w:val="0"/>
                <w:szCs w:val="21"/>
              </w:rPr>
            </w:pPr>
          </w:p>
        </w:tc>
      </w:tr>
      <w:tr w:rsidR="008B03FA" w14:paraId="703BC209" w14:textId="77777777" w:rsidTr="008B03FA">
        <w:trPr>
          <w:trHeight w:val="312"/>
          <w:jc w:val="center"/>
        </w:trPr>
        <w:tc>
          <w:tcPr>
            <w:tcW w:w="389" w:type="pct"/>
            <w:vMerge w:val="restart"/>
            <w:shd w:val="clear" w:color="000000" w:fill="FFFFFF"/>
            <w:vAlign w:val="center"/>
          </w:tcPr>
          <w:p w14:paraId="612ACAEA" w14:textId="77777777" w:rsidR="00A320E6" w:rsidRDefault="00000000" w:rsidP="00AE0286">
            <w:pPr>
              <w:jc w:val="center"/>
              <w:rPr>
                <w:rFonts w:ascii="宋体" w:hAnsi="宋体" w:cs="宋体"/>
                <w:kern w:val="0"/>
                <w:szCs w:val="21"/>
              </w:rPr>
            </w:pPr>
            <w:r>
              <w:rPr>
                <w:rFonts w:ascii="宋体" w:hAnsi="宋体" w:cs="宋体" w:hint="eastAsia"/>
                <w:kern w:val="0"/>
                <w:szCs w:val="21"/>
              </w:rPr>
              <w:t>2</w:t>
            </w:r>
          </w:p>
        </w:tc>
        <w:tc>
          <w:tcPr>
            <w:tcW w:w="484" w:type="pct"/>
            <w:vMerge w:val="restart"/>
            <w:shd w:val="clear" w:color="000000" w:fill="FFFFFF"/>
            <w:vAlign w:val="center"/>
          </w:tcPr>
          <w:p w14:paraId="41B76B58" w14:textId="77777777" w:rsidR="00A320E6" w:rsidRDefault="00000000" w:rsidP="00AE0286">
            <w:pPr>
              <w:jc w:val="center"/>
              <w:rPr>
                <w:rFonts w:ascii="宋体" w:hAnsi="宋体" w:cs="宋体"/>
                <w:kern w:val="0"/>
                <w:szCs w:val="21"/>
              </w:rPr>
            </w:pPr>
            <w:r>
              <w:rPr>
                <w:rFonts w:ascii="宋体" w:hAnsi="宋体" w:cs="宋体" w:hint="eastAsia"/>
                <w:kern w:val="0"/>
                <w:szCs w:val="21"/>
              </w:rPr>
              <w:t>围墙</w:t>
            </w:r>
          </w:p>
        </w:tc>
        <w:tc>
          <w:tcPr>
            <w:tcW w:w="1265" w:type="pct"/>
            <w:gridSpan w:val="2"/>
            <w:shd w:val="clear" w:color="000000" w:fill="FFFFFF"/>
            <w:vAlign w:val="center"/>
          </w:tcPr>
          <w:p w14:paraId="349DDDDF" w14:textId="77777777" w:rsidR="00A320E6" w:rsidRDefault="00000000" w:rsidP="00AE0286">
            <w:pPr>
              <w:rPr>
                <w:rFonts w:ascii="宋体" w:hAnsi="宋体" w:cs="宋体"/>
                <w:kern w:val="0"/>
                <w:szCs w:val="21"/>
              </w:rPr>
            </w:pPr>
            <w:r>
              <w:rPr>
                <w:rFonts w:ascii="宋体" w:hAnsi="宋体" w:cs="宋体" w:hint="eastAsia"/>
                <w:kern w:val="0"/>
                <w:szCs w:val="21"/>
              </w:rPr>
              <w:t>乱石基砖墙高1.5-2m</w:t>
            </w:r>
          </w:p>
        </w:tc>
        <w:tc>
          <w:tcPr>
            <w:tcW w:w="1055" w:type="pct"/>
            <w:shd w:val="clear" w:color="000000" w:fill="FFFFFF"/>
            <w:vAlign w:val="center"/>
          </w:tcPr>
          <w:p w14:paraId="275571C1" w14:textId="77777777" w:rsidR="00A320E6" w:rsidRDefault="00000000" w:rsidP="00AE0286">
            <w:pPr>
              <w:jc w:val="center"/>
              <w:rPr>
                <w:rFonts w:ascii="宋体" w:hAnsi="宋体" w:cs="宋体"/>
                <w:kern w:val="0"/>
                <w:szCs w:val="21"/>
              </w:rPr>
            </w:pPr>
            <w:r>
              <w:rPr>
                <w:rFonts w:ascii="宋体" w:hAnsi="宋体" w:cs="宋体" w:hint="eastAsia"/>
                <w:kern w:val="0"/>
                <w:szCs w:val="21"/>
              </w:rPr>
              <w:t>140-200元/m</w:t>
            </w:r>
          </w:p>
        </w:tc>
        <w:tc>
          <w:tcPr>
            <w:tcW w:w="1806" w:type="pct"/>
            <w:vMerge w:val="restart"/>
            <w:shd w:val="clear" w:color="000000" w:fill="FFFFFF"/>
            <w:vAlign w:val="center"/>
          </w:tcPr>
          <w:p w14:paraId="13F9C65E" w14:textId="77777777" w:rsidR="00A320E6" w:rsidRDefault="00A320E6" w:rsidP="00AE0286">
            <w:pPr>
              <w:rPr>
                <w:rFonts w:ascii="宋体" w:hAnsi="宋体" w:cs="宋体"/>
                <w:kern w:val="0"/>
                <w:szCs w:val="21"/>
              </w:rPr>
            </w:pPr>
          </w:p>
        </w:tc>
      </w:tr>
      <w:tr w:rsidR="008B03FA" w14:paraId="67DF23B5" w14:textId="77777777" w:rsidTr="008B03FA">
        <w:trPr>
          <w:trHeight w:val="312"/>
          <w:jc w:val="center"/>
        </w:trPr>
        <w:tc>
          <w:tcPr>
            <w:tcW w:w="389" w:type="pct"/>
            <w:vMerge/>
            <w:vAlign w:val="center"/>
          </w:tcPr>
          <w:p w14:paraId="3F8FD4D2" w14:textId="77777777" w:rsidR="00A320E6" w:rsidRDefault="00A320E6" w:rsidP="00AE0286">
            <w:pPr>
              <w:jc w:val="left"/>
              <w:rPr>
                <w:rFonts w:ascii="宋体" w:hAnsi="宋体" w:cs="宋体"/>
                <w:kern w:val="0"/>
                <w:szCs w:val="21"/>
              </w:rPr>
            </w:pPr>
          </w:p>
        </w:tc>
        <w:tc>
          <w:tcPr>
            <w:tcW w:w="484" w:type="pct"/>
            <w:vMerge/>
            <w:vAlign w:val="center"/>
          </w:tcPr>
          <w:p w14:paraId="0BE45861"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21F3DC8" w14:textId="77777777" w:rsidR="00A320E6" w:rsidRDefault="00000000" w:rsidP="00AE0286">
            <w:pPr>
              <w:rPr>
                <w:rFonts w:ascii="宋体" w:hAnsi="宋体" w:cs="宋体"/>
                <w:kern w:val="0"/>
                <w:szCs w:val="21"/>
              </w:rPr>
            </w:pPr>
            <w:r>
              <w:rPr>
                <w:rFonts w:ascii="宋体" w:hAnsi="宋体" w:cs="宋体" w:hint="eastAsia"/>
                <w:kern w:val="0"/>
                <w:szCs w:val="21"/>
              </w:rPr>
              <w:t>乱石基砖墙高2-2.5m</w:t>
            </w:r>
          </w:p>
        </w:tc>
        <w:tc>
          <w:tcPr>
            <w:tcW w:w="1055" w:type="pct"/>
            <w:shd w:val="clear" w:color="000000" w:fill="FFFFFF"/>
            <w:vAlign w:val="center"/>
          </w:tcPr>
          <w:p w14:paraId="1391F282" w14:textId="77777777" w:rsidR="00A320E6" w:rsidRDefault="00000000" w:rsidP="00AE0286">
            <w:pPr>
              <w:jc w:val="center"/>
              <w:rPr>
                <w:rFonts w:ascii="宋体" w:hAnsi="宋体" w:cs="宋体"/>
                <w:kern w:val="0"/>
                <w:szCs w:val="21"/>
              </w:rPr>
            </w:pPr>
            <w:r>
              <w:rPr>
                <w:rFonts w:ascii="宋体" w:hAnsi="宋体" w:cs="宋体" w:hint="eastAsia"/>
                <w:kern w:val="0"/>
                <w:szCs w:val="21"/>
              </w:rPr>
              <w:t>200-240元/m</w:t>
            </w:r>
          </w:p>
        </w:tc>
        <w:tc>
          <w:tcPr>
            <w:tcW w:w="1806" w:type="pct"/>
            <w:vMerge/>
            <w:vAlign w:val="center"/>
          </w:tcPr>
          <w:p w14:paraId="61111853" w14:textId="77777777" w:rsidR="00A320E6" w:rsidRDefault="00A320E6" w:rsidP="00AE0286">
            <w:pPr>
              <w:jc w:val="left"/>
              <w:rPr>
                <w:rFonts w:ascii="宋体" w:hAnsi="宋体" w:cs="宋体"/>
                <w:kern w:val="0"/>
                <w:szCs w:val="21"/>
              </w:rPr>
            </w:pPr>
          </w:p>
        </w:tc>
      </w:tr>
      <w:tr w:rsidR="008B03FA" w14:paraId="50FA6F80" w14:textId="77777777" w:rsidTr="008B03FA">
        <w:trPr>
          <w:trHeight w:val="312"/>
          <w:jc w:val="center"/>
        </w:trPr>
        <w:tc>
          <w:tcPr>
            <w:tcW w:w="389" w:type="pct"/>
            <w:vMerge/>
            <w:vAlign w:val="center"/>
          </w:tcPr>
          <w:p w14:paraId="7669C4BF" w14:textId="77777777" w:rsidR="00A320E6" w:rsidRDefault="00A320E6" w:rsidP="00AE0286">
            <w:pPr>
              <w:jc w:val="left"/>
              <w:rPr>
                <w:rFonts w:ascii="宋体" w:hAnsi="宋体" w:cs="宋体"/>
                <w:kern w:val="0"/>
                <w:szCs w:val="21"/>
              </w:rPr>
            </w:pPr>
          </w:p>
        </w:tc>
        <w:tc>
          <w:tcPr>
            <w:tcW w:w="484" w:type="pct"/>
            <w:vMerge/>
            <w:vAlign w:val="center"/>
          </w:tcPr>
          <w:p w14:paraId="52ADC61A"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F95B0E1" w14:textId="77777777" w:rsidR="00A320E6" w:rsidRDefault="00000000" w:rsidP="00AE0286">
            <w:pPr>
              <w:rPr>
                <w:rFonts w:ascii="宋体" w:hAnsi="宋体" w:cs="宋体"/>
                <w:kern w:val="0"/>
                <w:szCs w:val="21"/>
              </w:rPr>
            </w:pPr>
            <w:r>
              <w:rPr>
                <w:rFonts w:ascii="宋体" w:hAnsi="宋体" w:cs="宋体" w:hint="eastAsia"/>
                <w:kern w:val="0"/>
                <w:szCs w:val="21"/>
              </w:rPr>
              <w:t>乱石基砖墙高2.5m以上</w:t>
            </w:r>
          </w:p>
        </w:tc>
        <w:tc>
          <w:tcPr>
            <w:tcW w:w="1055" w:type="pct"/>
            <w:shd w:val="clear" w:color="000000" w:fill="FFFFFF"/>
            <w:vAlign w:val="center"/>
          </w:tcPr>
          <w:p w14:paraId="5CAF94FB" w14:textId="77777777" w:rsidR="00A320E6" w:rsidRDefault="00000000" w:rsidP="00AE0286">
            <w:pPr>
              <w:jc w:val="center"/>
              <w:rPr>
                <w:rFonts w:ascii="宋体" w:hAnsi="宋体" w:cs="宋体"/>
                <w:kern w:val="0"/>
                <w:szCs w:val="21"/>
              </w:rPr>
            </w:pPr>
            <w:r>
              <w:rPr>
                <w:rFonts w:ascii="宋体" w:hAnsi="宋体" w:cs="宋体" w:hint="eastAsia"/>
                <w:kern w:val="0"/>
                <w:szCs w:val="21"/>
              </w:rPr>
              <w:t>180-280元/m</w:t>
            </w:r>
          </w:p>
        </w:tc>
        <w:tc>
          <w:tcPr>
            <w:tcW w:w="1806" w:type="pct"/>
            <w:vMerge/>
            <w:vAlign w:val="center"/>
          </w:tcPr>
          <w:p w14:paraId="56F35B17" w14:textId="77777777" w:rsidR="00A320E6" w:rsidRDefault="00A320E6" w:rsidP="00AE0286">
            <w:pPr>
              <w:jc w:val="left"/>
              <w:rPr>
                <w:rFonts w:ascii="宋体" w:hAnsi="宋体" w:cs="宋体"/>
                <w:kern w:val="0"/>
                <w:szCs w:val="21"/>
              </w:rPr>
            </w:pPr>
          </w:p>
        </w:tc>
      </w:tr>
      <w:tr w:rsidR="008B03FA" w14:paraId="04091F23" w14:textId="77777777" w:rsidTr="008B03FA">
        <w:trPr>
          <w:trHeight w:val="312"/>
          <w:jc w:val="center"/>
        </w:trPr>
        <w:tc>
          <w:tcPr>
            <w:tcW w:w="389" w:type="pct"/>
            <w:vMerge/>
            <w:vAlign w:val="center"/>
          </w:tcPr>
          <w:p w14:paraId="32945BCA" w14:textId="77777777" w:rsidR="00A320E6" w:rsidRDefault="00A320E6" w:rsidP="00AE0286">
            <w:pPr>
              <w:jc w:val="left"/>
              <w:rPr>
                <w:rFonts w:ascii="宋体" w:hAnsi="宋体" w:cs="宋体"/>
                <w:kern w:val="0"/>
                <w:szCs w:val="21"/>
              </w:rPr>
            </w:pPr>
          </w:p>
        </w:tc>
        <w:tc>
          <w:tcPr>
            <w:tcW w:w="484" w:type="pct"/>
            <w:vMerge/>
            <w:vAlign w:val="center"/>
          </w:tcPr>
          <w:p w14:paraId="00922981"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24EFA88" w14:textId="77777777" w:rsidR="00A320E6" w:rsidRDefault="00000000" w:rsidP="00AE0286">
            <w:pPr>
              <w:rPr>
                <w:rFonts w:ascii="宋体" w:hAnsi="宋体" w:cs="宋体"/>
                <w:kern w:val="0"/>
                <w:szCs w:val="21"/>
              </w:rPr>
            </w:pPr>
            <w:r>
              <w:rPr>
                <w:rFonts w:ascii="宋体" w:hAnsi="宋体" w:cs="宋体" w:hint="eastAsia"/>
                <w:kern w:val="0"/>
                <w:szCs w:val="21"/>
              </w:rPr>
              <w:t>乱石基土坯墙高1.5m以上</w:t>
            </w:r>
          </w:p>
        </w:tc>
        <w:tc>
          <w:tcPr>
            <w:tcW w:w="1055" w:type="pct"/>
            <w:shd w:val="clear" w:color="000000" w:fill="FFFFFF"/>
            <w:vAlign w:val="center"/>
          </w:tcPr>
          <w:p w14:paraId="2AEDDD85" w14:textId="77777777" w:rsidR="00A320E6" w:rsidRDefault="00000000" w:rsidP="00AE0286">
            <w:pPr>
              <w:jc w:val="center"/>
              <w:rPr>
                <w:rFonts w:ascii="宋体" w:hAnsi="宋体" w:cs="宋体"/>
                <w:kern w:val="0"/>
                <w:szCs w:val="21"/>
              </w:rPr>
            </w:pPr>
            <w:r>
              <w:rPr>
                <w:rFonts w:ascii="宋体" w:hAnsi="宋体" w:cs="宋体" w:hint="eastAsia"/>
                <w:kern w:val="0"/>
                <w:szCs w:val="21"/>
              </w:rPr>
              <w:t>100-140元/m</w:t>
            </w:r>
          </w:p>
        </w:tc>
        <w:tc>
          <w:tcPr>
            <w:tcW w:w="1806" w:type="pct"/>
            <w:vMerge/>
            <w:vAlign w:val="center"/>
          </w:tcPr>
          <w:p w14:paraId="0257F971" w14:textId="77777777" w:rsidR="00A320E6" w:rsidRDefault="00A320E6" w:rsidP="00AE0286">
            <w:pPr>
              <w:jc w:val="left"/>
              <w:rPr>
                <w:rFonts w:ascii="宋体" w:hAnsi="宋体" w:cs="宋体"/>
                <w:kern w:val="0"/>
                <w:szCs w:val="21"/>
              </w:rPr>
            </w:pPr>
          </w:p>
        </w:tc>
      </w:tr>
      <w:tr w:rsidR="008B03FA" w14:paraId="7028E97D" w14:textId="77777777" w:rsidTr="008B03FA">
        <w:trPr>
          <w:trHeight w:val="312"/>
          <w:jc w:val="center"/>
        </w:trPr>
        <w:tc>
          <w:tcPr>
            <w:tcW w:w="389" w:type="pct"/>
            <w:vMerge/>
            <w:vAlign w:val="center"/>
          </w:tcPr>
          <w:p w14:paraId="6CFC2A97" w14:textId="77777777" w:rsidR="00A320E6" w:rsidRDefault="00A320E6" w:rsidP="00AE0286">
            <w:pPr>
              <w:jc w:val="left"/>
              <w:rPr>
                <w:rFonts w:ascii="宋体" w:hAnsi="宋体" w:cs="宋体"/>
                <w:kern w:val="0"/>
                <w:szCs w:val="21"/>
              </w:rPr>
            </w:pPr>
          </w:p>
        </w:tc>
        <w:tc>
          <w:tcPr>
            <w:tcW w:w="484" w:type="pct"/>
            <w:vMerge/>
            <w:vAlign w:val="center"/>
          </w:tcPr>
          <w:p w14:paraId="20FAC3C5"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4F351224" w14:textId="77777777" w:rsidR="00A320E6" w:rsidRDefault="00000000" w:rsidP="00AE0286">
            <w:pPr>
              <w:rPr>
                <w:rFonts w:ascii="宋体" w:hAnsi="宋体" w:cs="宋体"/>
                <w:kern w:val="0"/>
                <w:szCs w:val="21"/>
              </w:rPr>
            </w:pPr>
            <w:r>
              <w:rPr>
                <w:rFonts w:ascii="宋体" w:hAnsi="宋体" w:cs="宋体" w:hint="eastAsia"/>
                <w:kern w:val="0"/>
                <w:szCs w:val="21"/>
              </w:rPr>
              <w:t>铁栏围墙</w:t>
            </w:r>
          </w:p>
        </w:tc>
        <w:tc>
          <w:tcPr>
            <w:tcW w:w="1055" w:type="pct"/>
            <w:shd w:val="clear" w:color="000000" w:fill="FFFFFF"/>
            <w:vAlign w:val="center"/>
          </w:tcPr>
          <w:p w14:paraId="4205C40C" w14:textId="77777777" w:rsidR="00A320E6" w:rsidRDefault="00000000" w:rsidP="00AE0286">
            <w:pPr>
              <w:jc w:val="center"/>
              <w:rPr>
                <w:rFonts w:ascii="宋体" w:hAnsi="宋体" w:cs="宋体"/>
                <w:kern w:val="0"/>
                <w:szCs w:val="21"/>
              </w:rPr>
            </w:pPr>
            <w:r>
              <w:rPr>
                <w:rFonts w:ascii="宋体" w:hAnsi="宋体" w:cs="宋体" w:hint="eastAsia"/>
                <w:kern w:val="0"/>
                <w:szCs w:val="21"/>
              </w:rPr>
              <w:t>150-200元/㎡</w:t>
            </w:r>
          </w:p>
        </w:tc>
        <w:tc>
          <w:tcPr>
            <w:tcW w:w="1806" w:type="pct"/>
            <w:vMerge/>
            <w:vAlign w:val="center"/>
          </w:tcPr>
          <w:p w14:paraId="723ED972" w14:textId="77777777" w:rsidR="00A320E6" w:rsidRDefault="00A320E6" w:rsidP="00AE0286">
            <w:pPr>
              <w:jc w:val="left"/>
              <w:rPr>
                <w:rFonts w:ascii="宋体" w:hAnsi="宋体" w:cs="宋体"/>
                <w:kern w:val="0"/>
                <w:szCs w:val="21"/>
              </w:rPr>
            </w:pPr>
          </w:p>
        </w:tc>
      </w:tr>
      <w:tr w:rsidR="008B03FA" w14:paraId="7E3E36ED" w14:textId="77777777" w:rsidTr="008B03FA">
        <w:trPr>
          <w:trHeight w:val="312"/>
          <w:jc w:val="center"/>
        </w:trPr>
        <w:tc>
          <w:tcPr>
            <w:tcW w:w="389" w:type="pct"/>
            <w:vMerge/>
            <w:vAlign w:val="center"/>
          </w:tcPr>
          <w:p w14:paraId="6C926302" w14:textId="77777777" w:rsidR="00A320E6" w:rsidRDefault="00A320E6" w:rsidP="00AE0286">
            <w:pPr>
              <w:jc w:val="left"/>
              <w:rPr>
                <w:rFonts w:ascii="宋体" w:hAnsi="宋体" w:cs="宋体"/>
                <w:kern w:val="0"/>
                <w:szCs w:val="21"/>
              </w:rPr>
            </w:pPr>
          </w:p>
        </w:tc>
        <w:tc>
          <w:tcPr>
            <w:tcW w:w="484" w:type="pct"/>
            <w:vMerge/>
            <w:vAlign w:val="center"/>
          </w:tcPr>
          <w:p w14:paraId="46ED34A5"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5096D98" w14:textId="77777777" w:rsidR="00A320E6" w:rsidRDefault="00000000" w:rsidP="00AE0286">
            <w:pPr>
              <w:rPr>
                <w:rFonts w:ascii="宋体" w:hAnsi="宋体" w:cs="宋体"/>
                <w:kern w:val="0"/>
                <w:szCs w:val="21"/>
              </w:rPr>
            </w:pPr>
            <w:r>
              <w:rPr>
                <w:rFonts w:ascii="宋体" w:hAnsi="宋体" w:cs="宋体" w:hint="eastAsia"/>
                <w:kern w:val="0"/>
                <w:szCs w:val="21"/>
              </w:rPr>
              <w:t>铁丝网围墙</w:t>
            </w:r>
          </w:p>
        </w:tc>
        <w:tc>
          <w:tcPr>
            <w:tcW w:w="1055" w:type="pct"/>
            <w:shd w:val="clear" w:color="000000" w:fill="FFFFFF"/>
            <w:vAlign w:val="center"/>
          </w:tcPr>
          <w:p w14:paraId="25BE16EB" w14:textId="77777777" w:rsidR="00A320E6" w:rsidRDefault="00000000" w:rsidP="00AE0286">
            <w:pPr>
              <w:jc w:val="center"/>
              <w:rPr>
                <w:rFonts w:ascii="宋体" w:hAnsi="宋体" w:cs="宋体"/>
                <w:kern w:val="0"/>
                <w:szCs w:val="21"/>
              </w:rPr>
            </w:pPr>
            <w:r>
              <w:rPr>
                <w:rFonts w:ascii="宋体" w:hAnsi="宋体" w:cs="宋体" w:hint="eastAsia"/>
                <w:kern w:val="0"/>
                <w:szCs w:val="21"/>
              </w:rPr>
              <w:t>50-70/㎡</w:t>
            </w:r>
          </w:p>
        </w:tc>
        <w:tc>
          <w:tcPr>
            <w:tcW w:w="1806" w:type="pct"/>
            <w:vMerge/>
            <w:vAlign w:val="center"/>
          </w:tcPr>
          <w:p w14:paraId="0881FFC7" w14:textId="77777777" w:rsidR="00A320E6" w:rsidRDefault="00A320E6" w:rsidP="00AE0286">
            <w:pPr>
              <w:jc w:val="left"/>
              <w:rPr>
                <w:rFonts w:ascii="宋体" w:hAnsi="宋体" w:cs="宋体"/>
                <w:kern w:val="0"/>
                <w:szCs w:val="21"/>
              </w:rPr>
            </w:pPr>
          </w:p>
        </w:tc>
      </w:tr>
      <w:tr w:rsidR="008B03FA" w14:paraId="1050C80C" w14:textId="77777777" w:rsidTr="008B03FA">
        <w:trPr>
          <w:trHeight w:val="312"/>
          <w:jc w:val="center"/>
        </w:trPr>
        <w:tc>
          <w:tcPr>
            <w:tcW w:w="389" w:type="pct"/>
            <w:vMerge w:val="restart"/>
            <w:shd w:val="clear" w:color="000000" w:fill="FFFFFF"/>
            <w:vAlign w:val="center"/>
          </w:tcPr>
          <w:p w14:paraId="33CE26CC" w14:textId="77777777" w:rsidR="00A320E6" w:rsidRDefault="00000000" w:rsidP="00AE0286">
            <w:pPr>
              <w:jc w:val="center"/>
              <w:rPr>
                <w:rFonts w:ascii="宋体" w:hAnsi="宋体" w:cs="宋体"/>
                <w:kern w:val="0"/>
                <w:szCs w:val="21"/>
              </w:rPr>
            </w:pPr>
            <w:r>
              <w:rPr>
                <w:rFonts w:ascii="宋体" w:hAnsi="宋体" w:cs="宋体" w:hint="eastAsia"/>
                <w:kern w:val="0"/>
                <w:szCs w:val="21"/>
              </w:rPr>
              <w:t>3</w:t>
            </w:r>
          </w:p>
        </w:tc>
        <w:tc>
          <w:tcPr>
            <w:tcW w:w="484" w:type="pct"/>
            <w:vMerge w:val="restart"/>
            <w:shd w:val="clear" w:color="000000" w:fill="FFFFFF"/>
            <w:vAlign w:val="center"/>
          </w:tcPr>
          <w:p w14:paraId="06B32DF7" w14:textId="77777777" w:rsidR="00A320E6" w:rsidRDefault="00000000" w:rsidP="00AE0286">
            <w:pPr>
              <w:jc w:val="center"/>
              <w:rPr>
                <w:rFonts w:ascii="宋体" w:hAnsi="宋体" w:cs="宋体"/>
                <w:kern w:val="0"/>
                <w:szCs w:val="21"/>
              </w:rPr>
            </w:pPr>
            <w:r>
              <w:rPr>
                <w:rFonts w:ascii="宋体" w:hAnsi="宋体" w:cs="宋体" w:hint="eastAsia"/>
                <w:kern w:val="0"/>
                <w:szCs w:val="21"/>
              </w:rPr>
              <w:t>畜禽舍</w:t>
            </w:r>
          </w:p>
        </w:tc>
        <w:tc>
          <w:tcPr>
            <w:tcW w:w="1265" w:type="pct"/>
            <w:gridSpan w:val="2"/>
            <w:shd w:val="clear" w:color="000000" w:fill="FFFFFF"/>
            <w:vAlign w:val="center"/>
          </w:tcPr>
          <w:p w14:paraId="22F705A5" w14:textId="77777777" w:rsidR="00A320E6" w:rsidRDefault="00000000" w:rsidP="00AE0286">
            <w:pPr>
              <w:rPr>
                <w:rFonts w:ascii="宋体" w:hAnsi="宋体" w:cs="宋体"/>
                <w:kern w:val="0"/>
                <w:szCs w:val="21"/>
              </w:rPr>
            </w:pPr>
            <w:r>
              <w:rPr>
                <w:rFonts w:ascii="宋体" w:hAnsi="宋体" w:cs="宋体" w:hint="eastAsia"/>
                <w:kern w:val="0"/>
                <w:szCs w:val="21"/>
              </w:rPr>
              <w:t>砖混结构</w:t>
            </w:r>
          </w:p>
        </w:tc>
        <w:tc>
          <w:tcPr>
            <w:tcW w:w="1055" w:type="pct"/>
            <w:shd w:val="clear" w:color="000000" w:fill="FFFFFF"/>
            <w:vAlign w:val="center"/>
          </w:tcPr>
          <w:p w14:paraId="79A04528" w14:textId="77777777" w:rsidR="00A320E6" w:rsidRDefault="00000000" w:rsidP="00AE0286">
            <w:pPr>
              <w:jc w:val="center"/>
              <w:rPr>
                <w:rFonts w:ascii="宋体" w:hAnsi="宋体" w:cs="宋体"/>
                <w:kern w:val="0"/>
                <w:szCs w:val="21"/>
              </w:rPr>
            </w:pPr>
            <w:r>
              <w:rPr>
                <w:rFonts w:ascii="宋体" w:hAnsi="宋体" w:cs="宋体" w:hint="eastAsia"/>
                <w:kern w:val="0"/>
                <w:szCs w:val="21"/>
              </w:rPr>
              <w:t>300-400元/㎡</w:t>
            </w:r>
          </w:p>
        </w:tc>
        <w:tc>
          <w:tcPr>
            <w:tcW w:w="1806" w:type="pct"/>
            <w:vMerge w:val="restart"/>
            <w:shd w:val="clear" w:color="000000" w:fill="FFFFFF"/>
            <w:vAlign w:val="center"/>
          </w:tcPr>
          <w:p w14:paraId="148A14E8" w14:textId="77777777" w:rsidR="00A320E6" w:rsidRDefault="00000000" w:rsidP="00AE0286">
            <w:pPr>
              <w:rPr>
                <w:rFonts w:ascii="宋体" w:hAnsi="宋体" w:cs="宋体"/>
                <w:kern w:val="0"/>
                <w:szCs w:val="21"/>
              </w:rPr>
            </w:pPr>
            <w:r>
              <w:rPr>
                <w:rFonts w:ascii="宋体" w:hAnsi="宋体" w:cs="宋体" w:hint="eastAsia"/>
                <w:kern w:val="0"/>
                <w:szCs w:val="21"/>
              </w:rPr>
              <w:t>仅限于散户的普通畜禽舍，规模化畜禽养殖场（小区）委托具有资质的机构进行评估或认证。</w:t>
            </w:r>
          </w:p>
        </w:tc>
      </w:tr>
      <w:tr w:rsidR="008B03FA" w14:paraId="59581785" w14:textId="77777777" w:rsidTr="008B03FA">
        <w:trPr>
          <w:trHeight w:val="312"/>
          <w:jc w:val="center"/>
        </w:trPr>
        <w:tc>
          <w:tcPr>
            <w:tcW w:w="389" w:type="pct"/>
            <w:vMerge/>
            <w:vAlign w:val="center"/>
          </w:tcPr>
          <w:p w14:paraId="06173DF1" w14:textId="77777777" w:rsidR="00A320E6" w:rsidRDefault="00A320E6" w:rsidP="00AE0286">
            <w:pPr>
              <w:jc w:val="left"/>
              <w:rPr>
                <w:rFonts w:ascii="宋体" w:hAnsi="宋体" w:cs="宋体"/>
                <w:kern w:val="0"/>
                <w:szCs w:val="21"/>
              </w:rPr>
            </w:pPr>
          </w:p>
        </w:tc>
        <w:tc>
          <w:tcPr>
            <w:tcW w:w="484" w:type="pct"/>
            <w:vMerge/>
            <w:vAlign w:val="center"/>
          </w:tcPr>
          <w:p w14:paraId="44B00843"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3039D7A5" w14:textId="77777777" w:rsidR="00A320E6" w:rsidRDefault="00000000" w:rsidP="00AE0286">
            <w:pPr>
              <w:rPr>
                <w:rFonts w:ascii="宋体" w:hAnsi="宋体" w:cs="宋体"/>
                <w:kern w:val="0"/>
                <w:szCs w:val="21"/>
              </w:rPr>
            </w:pPr>
            <w:r>
              <w:rPr>
                <w:rFonts w:ascii="宋体" w:hAnsi="宋体" w:cs="宋体" w:hint="eastAsia"/>
                <w:kern w:val="0"/>
                <w:szCs w:val="21"/>
              </w:rPr>
              <w:t>简易结构</w:t>
            </w:r>
          </w:p>
        </w:tc>
        <w:tc>
          <w:tcPr>
            <w:tcW w:w="1055" w:type="pct"/>
            <w:shd w:val="clear" w:color="000000" w:fill="FFFFFF"/>
            <w:vAlign w:val="center"/>
          </w:tcPr>
          <w:p w14:paraId="36129E99" w14:textId="77777777" w:rsidR="00A320E6" w:rsidRDefault="00000000" w:rsidP="00AE0286">
            <w:pPr>
              <w:jc w:val="center"/>
              <w:rPr>
                <w:rFonts w:ascii="宋体" w:hAnsi="宋体" w:cs="宋体"/>
                <w:kern w:val="0"/>
                <w:szCs w:val="21"/>
              </w:rPr>
            </w:pPr>
            <w:r>
              <w:rPr>
                <w:rFonts w:ascii="宋体" w:hAnsi="宋体" w:cs="宋体" w:hint="eastAsia"/>
                <w:kern w:val="0"/>
                <w:szCs w:val="21"/>
              </w:rPr>
              <w:t>120-200元/㎡</w:t>
            </w:r>
          </w:p>
        </w:tc>
        <w:tc>
          <w:tcPr>
            <w:tcW w:w="1806" w:type="pct"/>
            <w:vMerge/>
            <w:vAlign w:val="center"/>
          </w:tcPr>
          <w:p w14:paraId="035B1C44" w14:textId="77777777" w:rsidR="00A320E6" w:rsidRDefault="00A320E6" w:rsidP="00AE0286">
            <w:pPr>
              <w:jc w:val="left"/>
              <w:rPr>
                <w:rFonts w:ascii="宋体" w:hAnsi="宋体" w:cs="宋体"/>
                <w:kern w:val="0"/>
                <w:szCs w:val="21"/>
              </w:rPr>
            </w:pPr>
          </w:p>
        </w:tc>
      </w:tr>
      <w:tr w:rsidR="008B03FA" w14:paraId="20698BE0" w14:textId="77777777" w:rsidTr="008B03FA">
        <w:trPr>
          <w:trHeight w:val="312"/>
          <w:jc w:val="center"/>
        </w:trPr>
        <w:tc>
          <w:tcPr>
            <w:tcW w:w="389" w:type="pct"/>
            <w:vMerge w:val="restart"/>
            <w:shd w:val="clear" w:color="000000" w:fill="FFFFFF"/>
            <w:vAlign w:val="center"/>
          </w:tcPr>
          <w:p w14:paraId="238B39B6" w14:textId="77777777" w:rsidR="00A320E6" w:rsidRDefault="00000000" w:rsidP="00AE0286">
            <w:pPr>
              <w:jc w:val="center"/>
              <w:rPr>
                <w:rFonts w:ascii="宋体" w:hAnsi="宋体" w:cs="宋体"/>
                <w:kern w:val="0"/>
                <w:szCs w:val="21"/>
              </w:rPr>
            </w:pPr>
            <w:r>
              <w:rPr>
                <w:rFonts w:ascii="宋体" w:hAnsi="宋体" w:cs="宋体" w:hint="eastAsia"/>
                <w:kern w:val="0"/>
                <w:szCs w:val="21"/>
              </w:rPr>
              <w:t>4</w:t>
            </w:r>
          </w:p>
        </w:tc>
        <w:tc>
          <w:tcPr>
            <w:tcW w:w="484" w:type="pct"/>
            <w:vMerge w:val="restart"/>
            <w:shd w:val="clear" w:color="000000" w:fill="FFFFFF"/>
            <w:vAlign w:val="center"/>
          </w:tcPr>
          <w:p w14:paraId="2F31C047" w14:textId="77777777" w:rsidR="00A320E6" w:rsidRDefault="00000000" w:rsidP="00AE0286">
            <w:pPr>
              <w:jc w:val="center"/>
              <w:rPr>
                <w:rFonts w:ascii="宋体" w:hAnsi="宋体" w:cs="宋体"/>
                <w:kern w:val="0"/>
                <w:szCs w:val="21"/>
              </w:rPr>
            </w:pPr>
            <w:r>
              <w:rPr>
                <w:rFonts w:ascii="宋体" w:hAnsi="宋体" w:cs="宋体" w:hint="eastAsia"/>
                <w:kern w:val="0"/>
                <w:szCs w:val="21"/>
              </w:rPr>
              <w:t>温室大棚</w:t>
            </w:r>
          </w:p>
        </w:tc>
        <w:tc>
          <w:tcPr>
            <w:tcW w:w="1265" w:type="pct"/>
            <w:gridSpan w:val="2"/>
            <w:shd w:val="clear" w:color="000000" w:fill="FFFFFF"/>
            <w:vAlign w:val="center"/>
          </w:tcPr>
          <w:p w14:paraId="22AA305F" w14:textId="77777777" w:rsidR="00A320E6" w:rsidRDefault="00000000" w:rsidP="00AE0286">
            <w:pPr>
              <w:rPr>
                <w:rFonts w:ascii="宋体" w:hAnsi="宋体" w:cs="宋体"/>
                <w:kern w:val="0"/>
                <w:szCs w:val="21"/>
              </w:rPr>
            </w:pPr>
            <w:r>
              <w:rPr>
                <w:rFonts w:ascii="宋体" w:hAnsi="宋体" w:cs="宋体" w:hint="eastAsia"/>
                <w:kern w:val="0"/>
                <w:szCs w:val="21"/>
              </w:rPr>
              <w:t>钢、砼骨架、玻璃顶</w:t>
            </w:r>
          </w:p>
        </w:tc>
        <w:tc>
          <w:tcPr>
            <w:tcW w:w="1055" w:type="pct"/>
            <w:shd w:val="clear" w:color="000000" w:fill="FFFFFF"/>
            <w:vAlign w:val="center"/>
          </w:tcPr>
          <w:p w14:paraId="760E7869" w14:textId="77777777" w:rsidR="00A320E6" w:rsidRDefault="00000000" w:rsidP="00AE0286">
            <w:pPr>
              <w:jc w:val="center"/>
              <w:rPr>
                <w:rFonts w:ascii="宋体" w:hAnsi="宋体" w:cs="宋体"/>
                <w:kern w:val="0"/>
                <w:szCs w:val="21"/>
              </w:rPr>
            </w:pPr>
            <w:r>
              <w:rPr>
                <w:rFonts w:ascii="宋体" w:hAnsi="宋体" w:cs="宋体" w:hint="eastAsia"/>
                <w:kern w:val="0"/>
                <w:szCs w:val="21"/>
              </w:rPr>
              <w:t>200-250元/㎡</w:t>
            </w:r>
          </w:p>
        </w:tc>
        <w:tc>
          <w:tcPr>
            <w:tcW w:w="1806" w:type="pct"/>
            <w:vMerge w:val="restart"/>
            <w:shd w:val="clear" w:color="000000" w:fill="FFFFFF"/>
            <w:vAlign w:val="center"/>
          </w:tcPr>
          <w:p w14:paraId="242E546C" w14:textId="77777777" w:rsidR="00A320E6" w:rsidRDefault="00000000" w:rsidP="00AE0286">
            <w:pPr>
              <w:rPr>
                <w:rFonts w:ascii="宋体" w:hAnsi="宋体" w:cs="宋体"/>
                <w:kern w:val="0"/>
                <w:szCs w:val="21"/>
              </w:rPr>
            </w:pPr>
            <w:r>
              <w:rPr>
                <w:rFonts w:ascii="宋体" w:hAnsi="宋体" w:cs="宋体" w:hint="eastAsia"/>
                <w:kern w:val="0"/>
                <w:szCs w:val="21"/>
              </w:rPr>
              <w:t>1、仅限普通温室大棚，高标准连栋智能温室委托具有资质的机构进行评估；2、旧料归原主。</w:t>
            </w:r>
          </w:p>
        </w:tc>
      </w:tr>
      <w:tr w:rsidR="008B03FA" w14:paraId="56543CA1" w14:textId="77777777" w:rsidTr="008B03FA">
        <w:trPr>
          <w:trHeight w:val="312"/>
          <w:jc w:val="center"/>
        </w:trPr>
        <w:tc>
          <w:tcPr>
            <w:tcW w:w="389" w:type="pct"/>
            <w:vMerge/>
            <w:vAlign w:val="center"/>
          </w:tcPr>
          <w:p w14:paraId="0C27E5A6" w14:textId="77777777" w:rsidR="00A320E6" w:rsidRDefault="00A320E6" w:rsidP="00AE0286">
            <w:pPr>
              <w:jc w:val="left"/>
              <w:rPr>
                <w:rFonts w:ascii="宋体" w:hAnsi="宋体" w:cs="宋体"/>
                <w:kern w:val="0"/>
                <w:szCs w:val="21"/>
              </w:rPr>
            </w:pPr>
          </w:p>
        </w:tc>
        <w:tc>
          <w:tcPr>
            <w:tcW w:w="484" w:type="pct"/>
            <w:vMerge/>
            <w:vAlign w:val="center"/>
          </w:tcPr>
          <w:p w14:paraId="71A1B98A"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457D1BA" w14:textId="77777777" w:rsidR="00A320E6" w:rsidRDefault="00000000" w:rsidP="00AE0286">
            <w:pPr>
              <w:rPr>
                <w:rFonts w:ascii="宋体" w:hAnsi="宋体" w:cs="宋体"/>
                <w:kern w:val="0"/>
                <w:szCs w:val="21"/>
              </w:rPr>
            </w:pPr>
            <w:r>
              <w:rPr>
                <w:rFonts w:ascii="宋体" w:hAnsi="宋体" w:cs="宋体" w:hint="eastAsia"/>
                <w:kern w:val="0"/>
                <w:szCs w:val="21"/>
              </w:rPr>
              <w:t>钢、砼骨架、塑料薄膜顶</w:t>
            </w:r>
          </w:p>
        </w:tc>
        <w:tc>
          <w:tcPr>
            <w:tcW w:w="1055" w:type="pct"/>
            <w:shd w:val="clear" w:color="000000" w:fill="FFFFFF"/>
            <w:vAlign w:val="center"/>
          </w:tcPr>
          <w:p w14:paraId="1815AA4F" w14:textId="77777777" w:rsidR="00A320E6" w:rsidRDefault="00000000" w:rsidP="00AE0286">
            <w:pPr>
              <w:jc w:val="center"/>
              <w:rPr>
                <w:rFonts w:ascii="宋体" w:hAnsi="宋体" w:cs="宋体"/>
                <w:kern w:val="0"/>
                <w:szCs w:val="21"/>
              </w:rPr>
            </w:pPr>
            <w:r>
              <w:rPr>
                <w:rFonts w:ascii="宋体" w:hAnsi="宋体" w:cs="宋体" w:hint="eastAsia"/>
                <w:kern w:val="0"/>
                <w:szCs w:val="21"/>
              </w:rPr>
              <w:t>150-200元/㎡</w:t>
            </w:r>
          </w:p>
        </w:tc>
        <w:tc>
          <w:tcPr>
            <w:tcW w:w="1806" w:type="pct"/>
            <w:vMerge/>
            <w:vAlign w:val="center"/>
          </w:tcPr>
          <w:p w14:paraId="12335518" w14:textId="77777777" w:rsidR="00A320E6" w:rsidRDefault="00A320E6" w:rsidP="00AE0286">
            <w:pPr>
              <w:jc w:val="left"/>
              <w:rPr>
                <w:rFonts w:ascii="宋体" w:hAnsi="宋体" w:cs="宋体"/>
                <w:kern w:val="0"/>
                <w:szCs w:val="21"/>
              </w:rPr>
            </w:pPr>
          </w:p>
        </w:tc>
      </w:tr>
      <w:tr w:rsidR="008B03FA" w14:paraId="5FBD0226" w14:textId="77777777" w:rsidTr="008B03FA">
        <w:trPr>
          <w:trHeight w:val="312"/>
          <w:jc w:val="center"/>
        </w:trPr>
        <w:tc>
          <w:tcPr>
            <w:tcW w:w="389" w:type="pct"/>
            <w:vMerge/>
            <w:vAlign w:val="center"/>
          </w:tcPr>
          <w:p w14:paraId="78A6CE31" w14:textId="77777777" w:rsidR="00A320E6" w:rsidRDefault="00A320E6" w:rsidP="00AE0286">
            <w:pPr>
              <w:jc w:val="left"/>
              <w:rPr>
                <w:rFonts w:ascii="宋体" w:hAnsi="宋体" w:cs="宋体"/>
                <w:kern w:val="0"/>
                <w:szCs w:val="21"/>
              </w:rPr>
            </w:pPr>
          </w:p>
        </w:tc>
        <w:tc>
          <w:tcPr>
            <w:tcW w:w="484" w:type="pct"/>
            <w:vMerge/>
            <w:vAlign w:val="center"/>
          </w:tcPr>
          <w:p w14:paraId="3241289C"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8BFB76D" w14:textId="77777777" w:rsidR="00A320E6" w:rsidRDefault="00000000" w:rsidP="00AE0286">
            <w:pPr>
              <w:rPr>
                <w:rFonts w:ascii="宋体" w:hAnsi="宋体" w:cs="宋体"/>
                <w:kern w:val="0"/>
                <w:szCs w:val="21"/>
              </w:rPr>
            </w:pPr>
            <w:r>
              <w:rPr>
                <w:rFonts w:ascii="宋体" w:hAnsi="宋体" w:cs="宋体" w:hint="eastAsia"/>
                <w:kern w:val="0"/>
                <w:szCs w:val="21"/>
              </w:rPr>
              <w:t>简易塑料薄膜棚（高度1m以上）</w:t>
            </w:r>
          </w:p>
        </w:tc>
        <w:tc>
          <w:tcPr>
            <w:tcW w:w="1055" w:type="pct"/>
            <w:shd w:val="clear" w:color="000000" w:fill="FFFFFF"/>
            <w:vAlign w:val="center"/>
          </w:tcPr>
          <w:p w14:paraId="3DEC8067" w14:textId="77777777" w:rsidR="00A320E6" w:rsidRDefault="00000000" w:rsidP="00AE0286">
            <w:pPr>
              <w:jc w:val="center"/>
              <w:rPr>
                <w:rFonts w:ascii="宋体" w:hAnsi="宋体" w:cs="宋体"/>
                <w:kern w:val="0"/>
                <w:szCs w:val="21"/>
              </w:rPr>
            </w:pPr>
            <w:r>
              <w:rPr>
                <w:rFonts w:ascii="宋体" w:hAnsi="宋体" w:cs="宋体" w:hint="eastAsia"/>
                <w:kern w:val="0"/>
                <w:szCs w:val="21"/>
              </w:rPr>
              <w:t>40-80元/㎡</w:t>
            </w:r>
          </w:p>
        </w:tc>
        <w:tc>
          <w:tcPr>
            <w:tcW w:w="1806" w:type="pct"/>
            <w:vMerge/>
            <w:vAlign w:val="center"/>
          </w:tcPr>
          <w:p w14:paraId="3506C4EA" w14:textId="77777777" w:rsidR="00A320E6" w:rsidRDefault="00A320E6" w:rsidP="00AE0286">
            <w:pPr>
              <w:jc w:val="left"/>
              <w:rPr>
                <w:rFonts w:ascii="宋体" w:hAnsi="宋体" w:cs="宋体"/>
                <w:kern w:val="0"/>
                <w:szCs w:val="21"/>
              </w:rPr>
            </w:pPr>
          </w:p>
        </w:tc>
      </w:tr>
      <w:tr w:rsidR="008B03FA" w14:paraId="03A580B0" w14:textId="77777777" w:rsidTr="008B03FA">
        <w:trPr>
          <w:trHeight w:val="312"/>
          <w:jc w:val="center"/>
        </w:trPr>
        <w:tc>
          <w:tcPr>
            <w:tcW w:w="389" w:type="pct"/>
            <w:vMerge/>
            <w:vAlign w:val="center"/>
          </w:tcPr>
          <w:p w14:paraId="71084E08" w14:textId="77777777" w:rsidR="00A320E6" w:rsidRDefault="00A320E6" w:rsidP="00AE0286">
            <w:pPr>
              <w:jc w:val="left"/>
              <w:rPr>
                <w:rFonts w:ascii="宋体" w:hAnsi="宋体" w:cs="宋体"/>
                <w:kern w:val="0"/>
                <w:szCs w:val="21"/>
              </w:rPr>
            </w:pPr>
          </w:p>
        </w:tc>
        <w:tc>
          <w:tcPr>
            <w:tcW w:w="484" w:type="pct"/>
            <w:vMerge/>
            <w:vAlign w:val="center"/>
          </w:tcPr>
          <w:p w14:paraId="66A68E20"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EA76055" w14:textId="77777777" w:rsidR="00A320E6" w:rsidRDefault="00000000" w:rsidP="00AE0286">
            <w:pPr>
              <w:rPr>
                <w:rFonts w:ascii="宋体" w:hAnsi="宋体" w:cs="宋体"/>
                <w:kern w:val="0"/>
                <w:szCs w:val="21"/>
              </w:rPr>
            </w:pPr>
            <w:r>
              <w:rPr>
                <w:rFonts w:ascii="宋体" w:hAnsi="宋体" w:cs="宋体" w:hint="eastAsia"/>
                <w:kern w:val="0"/>
                <w:szCs w:val="21"/>
              </w:rPr>
              <w:t>简易拱棚（高度1m以内）</w:t>
            </w:r>
          </w:p>
        </w:tc>
        <w:tc>
          <w:tcPr>
            <w:tcW w:w="1055" w:type="pct"/>
            <w:shd w:val="clear" w:color="000000" w:fill="FFFFFF"/>
            <w:vAlign w:val="center"/>
          </w:tcPr>
          <w:p w14:paraId="16275647" w14:textId="77777777" w:rsidR="00A320E6" w:rsidRDefault="00000000" w:rsidP="00AE0286">
            <w:pPr>
              <w:jc w:val="center"/>
              <w:rPr>
                <w:rFonts w:ascii="宋体" w:hAnsi="宋体" w:cs="宋体"/>
                <w:kern w:val="0"/>
                <w:szCs w:val="21"/>
              </w:rPr>
            </w:pPr>
            <w:r>
              <w:rPr>
                <w:rFonts w:ascii="宋体" w:hAnsi="宋体" w:cs="宋体" w:hint="eastAsia"/>
                <w:kern w:val="0"/>
                <w:szCs w:val="21"/>
              </w:rPr>
              <w:t>10-20元/㎡</w:t>
            </w:r>
          </w:p>
        </w:tc>
        <w:tc>
          <w:tcPr>
            <w:tcW w:w="1806" w:type="pct"/>
            <w:vMerge/>
            <w:vAlign w:val="center"/>
          </w:tcPr>
          <w:p w14:paraId="7E259A83" w14:textId="77777777" w:rsidR="00A320E6" w:rsidRDefault="00A320E6" w:rsidP="00AE0286">
            <w:pPr>
              <w:jc w:val="left"/>
              <w:rPr>
                <w:rFonts w:ascii="宋体" w:hAnsi="宋体" w:cs="宋体"/>
                <w:kern w:val="0"/>
                <w:szCs w:val="21"/>
              </w:rPr>
            </w:pPr>
          </w:p>
        </w:tc>
      </w:tr>
      <w:tr w:rsidR="008B03FA" w14:paraId="0877A018" w14:textId="77777777" w:rsidTr="008B03FA">
        <w:trPr>
          <w:trHeight w:val="312"/>
          <w:jc w:val="center"/>
        </w:trPr>
        <w:tc>
          <w:tcPr>
            <w:tcW w:w="389" w:type="pct"/>
            <w:vMerge w:val="restart"/>
            <w:shd w:val="clear" w:color="000000" w:fill="FFFFFF"/>
            <w:vAlign w:val="center"/>
          </w:tcPr>
          <w:p w14:paraId="7F46A564" w14:textId="77777777" w:rsidR="00A320E6" w:rsidRDefault="00000000" w:rsidP="00AE0286">
            <w:pPr>
              <w:jc w:val="center"/>
              <w:rPr>
                <w:rFonts w:ascii="宋体" w:hAnsi="宋体" w:cs="宋体"/>
                <w:kern w:val="0"/>
                <w:szCs w:val="21"/>
              </w:rPr>
            </w:pPr>
            <w:r>
              <w:rPr>
                <w:rFonts w:ascii="宋体" w:hAnsi="宋体" w:cs="宋体" w:hint="eastAsia"/>
                <w:kern w:val="0"/>
                <w:szCs w:val="21"/>
              </w:rPr>
              <w:t>5</w:t>
            </w:r>
          </w:p>
        </w:tc>
        <w:tc>
          <w:tcPr>
            <w:tcW w:w="484" w:type="pct"/>
            <w:vMerge w:val="restart"/>
            <w:shd w:val="clear" w:color="000000" w:fill="FFFFFF"/>
            <w:vAlign w:val="center"/>
          </w:tcPr>
          <w:p w14:paraId="5443FC24" w14:textId="77777777" w:rsidR="00A320E6" w:rsidRDefault="00000000" w:rsidP="00AE0286">
            <w:pPr>
              <w:jc w:val="center"/>
              <w:rPr>
                <w:rFonts w:ascii="宋体" w:hAnsi="宋体" w:cs="宋体"/>
                <w:kern w:val="0"/>
                <w:szCs w:val="21"/>
              </w:rPr>
            </w:pPr>
            <w:r>
              <w:rPr>
                <w:rFonts w:ascii="宋体" w:hAnsi="宋体" w:cs="宋体" w:hint="eastAsia"/>
                <w:kern w:val="0"/>
                <w:szCs w:val="21"/>
              </w:rPr>
              <w:t>小桥</w:t>
            </w:r>
          </w:p>
        </w:tc>
        <w:tc>
          <w:tcPr>
            <w:tcW w:w="1265" w:type="pct"/>
            <w:gridSpan w:val="2"/>
            <w:shd w:val="clear" w:color="000000" w:fill="FFFFFF"/>
            <w:vAlign w:val="center"/>
          </w:tcPr>
          <w:p w14:paraId="4F2CD302" w14:textId="77777777" w:rsidR="00A320E6" w:rsidRDefault="00000000" w:rsidP="00AE0286">
            <w:pPr>
              <w:rPr>
                <w:rFonts w:ascii="宋体" w:hAnsi="宋体" w:cs="宋体"/>
                <w:kern w:val="0"/>
                <w:szCs w:val="21"/>
              </w:rPr>
            </w:pPr>
            <w:r>
              <w:rPr>
                <w:rFonts w:ascii="宋体" w:hAnsi="宋体" w:cs="宋体" w:hint="eastAsia"/>
                <w:kern w:val="0"/>
                <w:szCs w:val="21"/>
              </w:rPr>
              <w:t>钢筋混凝土矩形板桥</w:t>
            </w:r>
          </w:p>
        </w:tc>
        <w:tc>
          <w:tcPr>
            <w:tcW w:w="1055" w:type="pct"/>
            <w:shd w:val="clear" w:color="000000" w:fill="FFFFFF"/>
            <w:vAlign w:val="center"/>
          </w:tcPr>
          <w:p w14:paraId="05A7DD14" w14:textId="77777777" w:rsidR="00A320E6" w:rsidRDefault="00000000" w:rsidP="00AE0286">
            <w:pPr>
              <w:jc w:val="center"/>
              <w:rPr>
                <w:rFonts w:ascii="宋体" w:hAnsi="宋体" w:cs="宋体"/>
                <w:kern w:val="0"/>
                <w:szCs w:val="21"/>
              </w:rPr>
            </w:pPr>
            <w:r>
              <w:rPr>
                <w:rFonts w:ascii="宋体" w:hAnsi="宋体" w:cs="宋体" w:hint="eastAsia"/>
                <w:kern w:val="0"/>
                <w:szCs w:val="21"/>
              </w:rPr>
              <w:t>1200-1600元/㎡</w:t>
            </w:r>
          </w:p>
        </w:tc>
        <w:tc>
          <w:tcPr>
            <w:tcW w:w="1806" w:type="pct"/>
            <w:vMerge w:val="restart"/>
            <w:shd w:val="clear" w:color="000000" w:fill="FFFFFF"/>
            <w:vAlign w:val="center"/>
          </w:tcPr>
          <w:p w14:paraId="13D90A95" w14:textId="77777777" w:rsidR="00A320E6" w:rsidRDefault="00000000" w:rsidP="00AE0286">
            <w:pPr>
              <w:rPr>
                <w:rFonts w:ascii="宋体" w:hAnsi="宋体" w:cs="宋体"/>
                <w:kern w:val="0"/>
                <w:szCs w:val="21"/>
              </w:rPr>
            </w:pPr>
            <w:r>
              <w:rPr>
                <w:rFonts w:ascii="宋体" w:hAnsi="宋体" w:cs="宋体" w:hint="eastAsia"/>
                <w:kern w:val="0"/>
                <w:szCs w:val="21"/>
              </w:rPr>
              <w:t>按桥面面积计算</w:t>
            </w:r>
          </w:p>
        </w:tc>
      </w:tr>
      <w:tr w:rsidR="008B03FA" w14:paraId="5224D53F" w14:textId="77777777" w:rsidTr="008B03FA">
        <w:trPr>
          <w:trHeight w:val="312"/>
          <w:jc w:val="center"/>
        </w:trPr>
        <w:tc>
          <w:tcPr>
            <w:tcW w:w="389" w:type="pct"/>
            <w:vMerge/>
            <w:vAlign w:val="center"/>
          </w:tcPr>
          <w:p w14:paraId="70456167" w14:textId="77777777" w:rsidR="00A320E6" w:rsidRDefault="00A320E6" w:rsidP="00AE0286">
            <w:pPr>
              <w:jc w:val="left"/>
              <w:rPr>
                <w:rFonts w:ascii="宋体" w:hAnsi="宋体" w:cs="宋体"/>
                <w:kern w:val="0"/>
                <w:szCs w:val="21"/>
              </w:rPr>
            </w:pPr>
          </w:p>
        </w:tc>
        <w:tc>
          <w:tcPr>
            <w:tcW w:w="484" w:type="pct"/>
            <w:vMerge/>
            <w:vAlign w:val="center"/>
          </w:tcPr>
          <w:p w14:paraId="30B69E76"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8E9DA06" w14:textId="77777777" w:rsidR="00A320E6" w:rsidRDefault="00000000" w:rsidP="00AE0286">
            <w:pPr>
              <w:rPr>
                <w:rFonts w:ascii="宋体" w:hAnsi="宋体" w:cs="宋体"/>
                <w:kern w:val="0"/>
                <w:szCs w:val="21"/>
              </w:rPr>
            </w:pPr>
            <w:r>
              <w:rPr>
                <w:rFonts w:ascii="宋体" w:hAnsi="宋体" w:cs="宋体" w:hint="eastAsia"/>
                <w:kern w:val="0"/>
                <w:szCs w:val="21"/>
              </w:rPr>
              <w:t>平坦石拱桥</w:t>
            </w:r>
          </w:p>
        </w:tc>
        <w:tc>
          <w:tcPr>
            <w:tcW w:w="1055" w:type="pct"/>
            <w:shd w:val="clear" w:color="000000" w:fill="FFFFFF"/>
            <w:vAlign w:val="center"/>
          </w:tcPr>
          <w:p w14:paraId="6E5E0B1E" w14:textId="77777777" w:rsidR="00A320E6" w:rsidRDefault="00000000" w:rsidP="00AE0286">
            <w:pPr>
              <w:jc w:val="center"/>
              <w:rPr>
                <w:rFonts w:ascii="宋体" w:hAnsi="宋体" w:cs="宋体"/>
                <w:kern w:val="0"/>
                <w:szCs w:val="21"/>
              </w:rPr>
            </w:pPr>
            <w:r>
              <w:rPr>
                <w:rFonts w:ascii="宋体" w:hAnsi="宋体" w:cs="宋体" w:hint="eastAsia"/>
                <w:kern w:val="0"/>
                <w:szCs w:val="21"/>
              </w:rPr>
              <w:t>1200-1400元/㎡</w:t>
            </w:r>
          </w:p>
        </w:tc>
        <w:tc>
          <w:tcPr>
            <w:tcW w:w="1806" w:type="pct"/>
            <w:vMerge/>
            <w:vAlign w:val="center"/>
          </w:tcPr>
          <w:p w14:paraId="28DD702A" w14:textId="77777777" w:rsidR="00A320E6" w:rsidRDefault="00A320E6" w:rsidP="00AE0286">
            <w:pPr>
              <w:jc w:val="left"/>
              <w:rPr>
                <w:rFonts w:ascii="宋体" w:hAnsi="宋体" w:cs="宋体"/>
                <w:kern w:val="0"/>
                <w:szCs w:val="21"/>
              </w:rPr>
            </w:pPr>
          </w:p>
        </w:tc>
      </w:tr>
      <w:tr w:rsidR="008B03FA" w14:paraId="36B6A7FF" w14:textId="77777777" w:rsidTr="008B03FA">
        <w:trPr>
          <w:trHeight w:val="312"/>
          <w:jc w:val="center"/>
        </w:trPr>
        <w:tc>
          <w:tcPr>
            <w:tcW w:w="389" w:type="pct"/>
            <w:vMerge/>
            <w:vAlign w:val="center"/>
          </w:tcPr>
          <w:p w14:paraId="6A15B17E" w14:textId="77777777" w:rsidR="00A320E6" w:rsidRDefault="00A320E6" w:rsidP="00AE0286">
            <w:pPr>
              <w:jc w:val="left"/>
              <w:rPr>
                <w:rFonts w:ascii="宋体" w:hAnsi="宋体" w:cs="宋体"/>
                <w:kern w:val="0"/>
                <w:szCs w:val="21"/>
              </w:rPr>
            </w:pPr>
          </w:p>
        </w:tc>
        <w:tc>
          <w:tcPr>
            <w:tcW w:w="484" w:type="pct"/>
            <w:vMerge/>
            <w:vAlign w:val="center"/>
          </w:tcPr>
          <w:p w14:paraId="5D472648"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D948D7F" w14:textId="77777777" w:rsidR="00A320E6" w:rsidRDefault="00000000" w:rsidP="00AE0286">
            <w:pPr>
              <w:rPr>
                <w:rFonts w:ascii="宋体" w:hAnsi="宋体" w:cs="宋体"/>
                <w:kern w:val="0"/>
                <w:szCs w:val="21"/>
              </w:rPr>
            </w:pPr>
            <w:r>
              <w:rPr>
                <w:rFonts w:ascii="宋体" w:hAnsi="宋体" w:cs="宋体" w:hint="eastAsia"/>
                <w:kern w:val="0"/>
                <w:szCs w:val="21"/>
              </w:rPr>
              <w:t>石拱桥</w:t>
            </w:r>
          </w:p>
        </w:tc>
        <w:tc>
          <w:tcPr>
            <w:tcW w:w="1055" w:type="pct"/>
            <w:shd w:val="clear" w:color="000000" w:fill="FFFFFF"/>
            <w:vAlign w:val="center"/>
          </w:tcPr>
          <w:p w14:paraId="170505D9" w14:textId="77777777" w:rsidR="00A320E6" w:rsidRDefault="00000000" w:rsidP="00AE0286">
            <w:pPr>
              <w:jc w:val="center"/>
              <w:rPr>
                <w:rFonts w:ascii="宋体" w:hAnsi="宋体" w:cs="宋体"/>
                <w:kern w:val="0"/>
                <w:szCs w:val="21"/>
              </w:rPr>
            </w:pPr>
            <w:r>
              <w:rPr>
                <w:rFonts w:ascii="宋体" w:hAnsi="宋体" w:cs="宋体" w:hint="eastAsia"/>
                <w:kern w:val="0"/>
                <w:szCs w:val="21"/>
              </w:rPr>
              <w:t>1800-2200元/㎡</w:t>
            </w:r>
          </w:p>
        </w:tc>
        <w:tc>
          <w:tcPr>
            <w:tcW w:w="1806" w:type="pct"/>
            <w:vMerge/>
            <w:vAlign w:val="center"/>
          </w:tcPr>
          <w:p w14:paraId="36BE1EF7" w14:textId="77777777" w:rsidR="00A320E6" w:rsidRDefault="00A320E6" w:rsidP="00AE0286">
            <w:pPr>
              <w:jc w:val="left"/>
              <w:rPr>
                <w:rFonts w:ascii="宋体" w:hAnsi="宋体" w:cs="宋体"/>
                <w:kern w:val="0"/>
                <w:szCs w:val="21"/>
              </w:rPr>
            </w:pPr>
          </w:p>
        </w:tc>
      </w:tr>
      <w:tr w:rsidR="008B03FA" w14:paraId="079B688A" w14:textId="77777777" w:rsidTr="008B03FA">
        <w:trPr>
          <w:trHeight w:val="312"/>
          <w:jc w:val="center"/>
        </w:trPr>
        <w:tc>
          <w:tcPr>
            <w:tcW w:w="389" w:type="pct"/>
            <w:vMerge w:val="restart"/>
            <w:shd w:val="clear" w:color="000000" w:fill="FFFFFF"/>
            <w:vAlign w:val="center"/>
          </w:tcPr>
          <w:p w14:paraId="1857B94E" w14:textId="77777777" w:rsidR="00A320E6" w:rsidRDefault="00000000" w:rsidP="00AE0286">
            <w:pPr>
              <w:jc w:val="center"/>
              <w:rPr>
                <w:rFonts w:ascii="宋体" w:hAnsi="宋体" w:cs="宋体"/>
                <w:kern w:val="0"/>
                <w:szCs w:val="21"/>
              </w:rPr>
            </w:pPr>
            <w:r>
              <w:rPr>
                <w:rFonts w:ascii="宋体" w:hAnsi="宋体" w:cs="宋体" w:hint="eastAsia"/>
                <w:kern w:val="0"/>
                <w:szCs w:val="21"/>
              </w:rPr>
              <w:t>6</w:t>
            </w:r>
          </w:p>
        </w:tc>
        <w:tc>
          <w:tcPr>
            <w:tcW w:w="484" w:type="pct"/>
            <w:vMerge w:val="restart"/>
            <w:shd w:val="clear" w:color="000000" w:fill="FFFFFF"/>
            <w:vAlign w:val="center"/>
          </w:tcPr>
          <w:p w14:paraId="786CACBD" w14:textId="77777777" w:rsidR="00A320E6" w:rsidRDefault="00000000" w:rsidP="00AE0286">
            <w:pPr>
              <w:jc w:val="center"/>
              <w:rPr>
                <w:rFonts w:ascii="宋体" w:hAnsi="宋体" w:cs="宋体"/>
                <w:kern w:val="0"/>
                <w:szCs w:val="21"/>
              </w:rPr>
            </w:pPr>
            <w:r>
              <w:rPr>
                <w:rFonts w:ascii="宋体" w:hAnsi="宋体" w:cs="宋体" w:hint="eastAsia"/>
                <w:kern w:val="0"/>
                <w:szCs w:val="21"/>
              </w:rPr>
              <w:t>涵洞</w:t>
            </w:r>
          </w:p>
        </w:tc>
        <w:tc>
          <w:tcPr>
            <w:tcW w:w="1265" w:type="pct"/>
            <w:gridSpan w:val="2"/>
            <w:shd w:val="clear" w:color="000000" w:fill="FFFFFF"/>
            <w:vAlign w:val="center"/>
          </w:tcPr>
          <w:p w14:paraId="7C2BD2D5" w14:textId="77777777" w:rsidR="00A320E6" w:rsidRDefault="00000000" w:rsidP="00AE0286">
            <w:pPr>
              <w:rPr>
                <w:rFonts w:ascii="宋体" w:hAnsi="宋体" w:cs="宋体"/>
                <w:kern w:val="0"/>
                <w:szCs w:val="21"/>
              </w:rPr>
            </w:pPr>
            <w:r>
              <w:rPr>
                <w:rFonts w:ascii="宋体" w:hAnsi="宋体" w:cs="宋体" w:hint="eastAsia"/>
                <w:kern w:val="0"/>
                <w:szCs w:val="21"/>
              </w:rPr>
              <w:t>石盖板涵跨径1-2m</w:t>
            </w:r>
          </w:p>
        </w:tc>
        <w:tc>
          <w:tcPr>
            <w:tcW w:w="1055" w:type="pct"/>
            <w:shd w:val="clear" w:color="000000" w:fill="FFFFFF"/>
            <w:vAlign w:val="center"/>
          </w:tcPr>
          <w:p w14:paraId="38441F1B" w14:textId="77777777" w:rsidR="00A320E6" w:rsidRDefault="00000000" w:rsidP="00AE0286">
            <w:pPr>
              <w:jc w:val="center"/>
              <w:rPr>
                <w:rFonts w:ascii="宋体" w:hAnsi="宋体" w:cs="宋体"/>
                <w:kern w:val="0"/>
                <w:szCs w:val="21"/>
              </w:rPr>
            </w:pPr>
            <w:r>
              <w:rPr>
                <w:rFonts w:ascii="宋体" w:hAnsi="宋体" w:cs="宋体" w:hint="eastAsia"/>
                <w:kern w:val="0"/>
                <w:szCs w:val="21"/>
              </w:rPr>
              <w:t>600-800元/m</w:t>
            </w:r>
          </w:p>
        </w:tc>
        <w:tc>
          <w:tcPr>
            <w:tcW w:w="1806" w:type="pct"/>
            <w:vMerge w:val="restart"/>
            <w:shd w:val="clear" w:color="000000" w:fill="FFFFFF"/>
            <w:vAlign w:val="center"/>
          </w:tcPr>
          <w:p w14:paraId="286A0DAD" w14:textId="77777777" w:rsidR="00A320E6" w:rsidRDefault="00A320E6" w:rsidP="00AE0286">
            <w:pPr>
              <w:rPr>
                <w:rFonts w:ascii="宋体" w:hAnsi="宋体" w:cs="宋体"/>
                <w:kern w:val="0"/>
                <w:szCs w:val="21"/>
              </w:rPr>
            </w:pPr>
          </w:p>
        </w:tc>
      </w:tr>
      <w:tr w:rsidR="008B03FA" w14:paraId="482B5072" w14:textId="77777777" w:rsidTr="008B03FA">
        <w:trPr>
          <w:trHeight w:val="312"/>
          <w:jc w:val="center"/>
        </w:trPr>
        <w:tc>
          <w:tcPr>
            <w:tcW w:w="389" w:type="pct"/>
            <w:vMerge/>
            <w:vAlign w:val="center"/>
          </w:tcPr>
          <w:p w14:paraId="70061C92" w14:textId="77777777" w:rsidR="00A320E6" w:rsidRDefault="00A320E6" w:rsidP="00AE0286">
            <w:pPr>
              <w:jc w:val="left"/>
              <w:rPr>
                <w:rFonts w:ascii="宋体" w:hAnsi="宋体" w:cs="宋体"/>
                <w:kern w:val="0"/>
                <w:szCs w:val="21"/>
              </w:rPr>
            </w:pPr>
          </w:p>
        </w:tc>
        <w:tc>
          <w:tcPr>
            <w:tcW w:w="484" w:type="pct"/>
            <w:vMerge/>
            <w:vAlign w:val="center"/>
          </w:tcPr>
          <w:p w14:paraId="3582EDD9"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7AEB6B61" w14:textId="77777777" w:rsidR="00A320E6" w:rsidRDefault="00000000" w:rsidP="00AE0286">
            <w:pPr>
              <w:rPr>
                <w:rFonts w:ascii="宋体" w:hAnsi="宋体" w:cs="宋体"/>
                <w:kern w:val="0"/>
                <w:szCs w:val="21"/>
              </w:rPr>
            </w:pPr>
            <w:r>
              <w:rPr>
                <w:rFonts w:ascii="宋体" w:hAnsi="宋体" w:cs="宋体" w:hint="eastAsia"/>
                <w:kern w:val="0"/>
                <w:szCs w:val="21"/>
              </w:rPr>
              <w:t>石拱涵跨径1-2m</w:t>
            </w:r>
          </w:p>
        </w:tc>
        <w:tc>
          <w:tcPr>
            <w:tcW w:w="1055" w:type="pct"/>
            <w:shd w:val="clear" w:color="000000" w:fill="FFFFFF"/>
            <w:vAlign w:val="center"/>
          </w:tcPr>
          <w:p w14:paraId="3483685E" w14:textId="77777777" w:rsidR="00A320E6" w:rsidRDefault="00000000" w:rsidP="00AE0286">
            <w:pPr>
              <w:jc w:val="center"/>
              <w:rPr>
                <w:rFonts w:ascii="宋体" w:hAnsi="宋体" w:cs="宋体"/>
                <w:kern w:val="0"/>
                <w:szCs w:val="21"/>
              </w:rPr>
            </w:pPr>
            <w:r>
              <w:rPr>
                <w:rFonts w:ascii="宋体" w:hAnsi="宋体" w:cs="宋体" w:hint="eastAsia"/>
                <w:kern w:val="0"/>
                <w:szCs w:val="21"/>
              </w:rPr>
              <w:t>1000-1600元/m</w:t>
            </w:r>
          </w:p>
        </w:tc>
        <w:tc>
          <w:tcPr>
            <w:tcW w:w="1806" w:type="pct"/>
            <w:vMerge/>
            <w:vAlign w:val="center"/>
          </w:tcPr>
          <w:p w14:paraId="3047A901" w14:textId="77777777" w:rsidR="00A320E6" w:rsidRDefault="00A320E6" w:rsidP="00AE0286">
            <w:pPr>
              <w:jc w:val="left"/>
              <w:rPr>
                <w:rFonts w:ascii="宋体" w:hAnsi="宋体" w:cs="宋体"/>
                <w:kern w:val="0"/>
                <w:szCs w:val="21"/>
              </w:rPr>
            </w:pPr>
          </w:p>
        </w:tc>
      </w:tr>
      <w:tr w:rsidR="008B03FA" w14:paraId="50DFFF5B" w14:textId="77777777" w:rsidTr="008B03FA">
        <w:trPr>
          <w:trHeight w:val="312"/>
          <w:jc w:val="center"/>
        </w:trPr>
        <w:tc>
          <w:tcPr>
            <w:tcW w:w="389" w:type="pct"/>
            <w:vMerge/>
            <w:vAlign w:val="center"/>
          </w:tcPr>
          <w:p w14:paraId="40BA1163" w14:textId="77777777" w:rsidR="00A320E6" w:rsidRDefault="00A320E6" w:rsidP="00AE0286">
            <w:pPr>
              <w:jc w:val="left"/>
              <w:rPr>
                <w:rFonts w:ascii="宋体" w:hAnsi="宋体" w:cs="宋体"/>
                <w:kern w:val="0"/>
                <w:szCs w:val="21"/>
              </w:rPr>
            </w:pPr>
          </w:p>
        </w:tc>
        <w:tc>
          <w:tcPr>
            <w:tcW w:w="484" w:type="pct"/>
            <w:vMerge/>
            <w:vAlign w:val="center"/>
          </w:tcPr>
          <w:p w14:paraId="3D39D2FD"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E600D72" w14:textId="77777777" w:rsidR="00A320E6" w:rsidRDefault="00000000" w:rsidP="00AE0286">
            <w:pPr>
              <w:rPr>
                <w:rFonts w:ascii="宋体" w:hAnsi="宋体" w:cs="宋体"/>
                <w:kern w:val="0"/>
                <w:szCs w:val="21"/>
              </w:rPr>
            </w:pPr>
            <w:r>
              <w:rPr>
                <w:rFonts w:ascii="宋体" w:hAnsi="宋体" w:cs="宋体" w:hint="eastAsia"/>
                <w:kern w:val="0"/>
                <w:szCs w:val="21"/>
              </w:rPr>
              <w:t>石拱涵跨径2-4m</w:t>
            </w:r>
          </w:p>
        </w:tc>
        <w:tc>
          <w:tcPr>
            <w:tcW w:w="1055" w:type="pct"/>
            <w:shd w:val="clear" w:color="000000" w:fill="FFFFFF"/>
            <w:vAlign w:val="center"/>
          </w:tcPr>
          <w:p w14:paraId="75F0D0F0" w14:textId="77777777" w:rsidR="00A320E6" w:rsidRDefault="00000000" w:rsidP="00AE0286">
            <w:pPr>
              <w:jc w:val="center"/>
              <w:rPr>
                <w:rFonts w:ascii="宋体" w:hAnsi="宋体" w:cs="宋体"/>
                <w:kern w:val="0"/>
                <w:szCs w:val="21"/>
              </w:rPr>
            </w:pPr>
            <w:r>
              <w:rPr>
                <w:rFonts w:ascii="宋体" w:hAnsi="宋体" w:cs="宋体" w:hint="eastAsia"/>
                <w:kern w:val="0"/>
                <w:szCs w:val="21"/>
              </w:rPr>
              <w:t>1600-2400元/m</w:t>
            </w:r>
          </w:p>
        </w:tc>
        <w:tc>
          <w:tcPr>
            <w:tcW w:w="1806" w:type="pct"/>
            <w:vMerge/>
            <w:vAlign w:val="center"/>
          </w:tcPr>
          <w:p w14:paraId="328C7136" w14:textId="77777777" w:rsidR="00A320E6" w:rsidRDefault="00A320E6" w:rsidP="00AE0286">
            <w:pPr>
              <w:jc w:val="left"/>
              <w:rPr>
                <w:rFonts w:ascii="宋体" w:hAnsi="宋体" w:cs="宋体"/>
                <w:kern w:val="0"/>
                <w:szCs w:val="21"/>
              </w:rPr>
            </w:pPr>
          </w:p>
        </w:tc>
      </w:tr>
      <w:tr w:rsidR="008B03FA" w14:paraId="47A66BD2" w14:textId="77777777" w:rsidTr="008B03FA">
        <w:trPr>
          <w:trHeight w:val="312"/>
          <w:jc w:val="center"/>
        </w:trPr>
        <w:tc>
          <w:tcPr>
            <w:tcW w:w="389" w:type="pct"/>
            <w:vMerge/>
            <w:vAlign w:val="center"/>
          </w:tcPr>
          <w:p w14:paraId="3C541EA0" w14:textId="77777777" w:rsidR="00A320E6" w:rsidRDefault="00A320E6" w:rsidP="00AE0286">
            <w:pPr>
              <w:jc w:val="left"/>
              <w:rPr>
                <w:rFonts w:ascii="宋体" w:hAnsi="宋体" w:cs="宋体"/>
                <w:kern w:val="0"/>
                <w:szCs w:val="21"/>
              </w:rPr>
            </w:pPr>
          </w:p>
        </w:tc>
        <w:tc>
          <w:tcPr>
            <w:tcW w:w="484" w:type="pct"/>
            <w:vMerge/>
            <w:vAlign w:val="center"/>
          </w:tcPr>
          <w:p w14:paraId="0227AE6E"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475B5E52" w14:textId="77777777" w:rsidR="00A320E6" w:rsidRDefault="00000000" w:rsidP="00AE0286">
            <w:pPr>
              <w:rPr>
                <w:rFonts w:ascii="宋体" w:hAnsi="宋体" w:cs="宋体"/>
                <w:kern w:val="0"/>
                <w:szCs w:val="21"/>
              </w:rPr>
            </w:pPr>
            <w:r>
              <w:rPr>
                <w:rFonts w:ascii="宋体" w:hAnsi="宋体" w:cs="宋体" w:hint="eastAsia"/>
                <w:kern w:val="0"/>
                <w:szCs w:val="21"/>
              </w:rPr>
              <w:t>钢筋混凝土圆管涵跨径1-2m</w:t>
            </w:r>
          </w:p>
        </w:tc>
        <w:tc>
          <w:tcPr>
            <w:tcW w:w="1055" w:type="pct"/>
            <w:shd w:val="clear" w:color="000000" w:fill="FFFFFF"/>
            <w:vAlign w:val="center"/>
          </w:tcPr>
          <w:p w14:paraId="173E37A7" w14:textId="77777777" w:rsidR="00A320E6" w:rsidRDefault="00000000" w:rsidP="00AE0286">
            <w:pPr>
              <w:jc w:val="center"/>
              <w:rPr>
                <w:rFonts w:ascii="宋体" w:hAnsi="宋体" w:cs="宋体"/>
                <w:kern w:val="0"/>
                <w:szCs w:val="21"/>
              </w:rPr>
            </w:pPr>
            <w:r>
              <w:rPr>
                <w:rFonts w:ascii="宋体" w:hAnsi="宋体" w:cs="宋体" w:hint="eastAsia"/>
                <w:kern w:val="0"/>
                <w:szCs w:val="21"/>
              </w:rPr>
              <w:t>1400-1800元/m</w:t>
            </w:r>
          </w:p>
        </w:tc>
        <w:tc>
          <w:tcPr>
            <w:tcW w:w="1806" w:type="pct"/>
            <w:vMerge/>
            <w:vAlign w:val="center"/>
          </w:tcPr>
          <w:p w14:paraId="48E9AD33" w14:textId="77777777" w:rsidR="00A320E6" w:rsidRDefault="00A320E6" w:rsidP="00AE0286">
            <w:pPr>
              <w:jc w:val="left"/>
              <w:rPr>
                <w:rFonts w:ascii="宋体" w:hAnsi="宋体" w:cs="宋体"/>
                <w:kern w:val="0"/>
                <w:szCs w:val="21"/>
              </w:rPr>
            </w:pPr>
          </w:p>
        </w:tc>
      </w:tr>
      <w:tr w:rsidR="008B03FA" w14:paraId="5F04DA97" w14:textId="77777777" w:rsidTr="008B03FA">
        <w:trPr>
          <w:trHeight w:val="312"/>
          <w:jc w:val="center"/>
        </w:trPr>
        <w:tc>
          <w:tcPr>
            <w:tcW w:w="389" w:type="pct"/>
            <w:vMerge/>
            <w:vAlign w:val="center"/>
          </w:tcPr>
          <w:p w14:paraId="56833F83" w14:textId="77777777" w:rsidR="00A320E6" w:rsidRDefault="00A320E6" w:rsidP="00AE0286">
            <w:pPr>
              <w:jc w:val="left"/>
              <w:rPr>
                <w:rFonts w:ascii="宋体" w:hAnsi="宋体" w:cs="宋体"/>
                <w:kern w:val="0"/>
                <w:szCs w:val="21"/>
              </w:rPr>
            </w:pPr>
          </w:p>
        </w:tc>
        <w:tc>
          <w:tcPr>
            <w:tcW w:w="484" w:type="pct"/>
            <w:vMerge/>
            <w:vAlign w:val="center"/>
          </w:tcPr>
          <w:p w14:paraId="042877D5"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F89E7CB" w14:textId="77777777" w:rsidR="00A320E6" w:rsidRDefault="00000000" w:rsidP="00AE0286">
            <w:pPr>
              <w:rPr>
                <w:rFonts w:ascii="宋体" w:hAnsi="宋体" w:cs="宋体"/>
                <w:kern w:val="0"/>
                <w:szCs w:val="21"/>
              </w:rPr>
            </w:pPr>
            <w:r>
              <w:rPr>
                <w:rFonts w:ascii="宋体" w:hAnsi="宋体" w:cs="宋体" w:hint="eastAsia"/>
                <w:kern w:val="0"/>
                <w:szCs w:val="21"/>
              </w:rPr>
              <w:t>钢筋混凝土圆管涵跨径2-3m</w:t>
            </w:r>
          </w:p>
        </w:tc>
        <w:tc>
          <w:tcPr>
            <w:tcW w:w="1055" w:type="pct"/>
            <w:shd w:val="clear" w:color="000000" w:fill="FFFFFF"/>
            <w:vAlign w:val="center"/>
          </w:tcPr>
          <w:p w14:paraId="088E202E" w14:textId="77777777" w:rsidR="00A320E6" w:rsidRDefault="00000000" w:rsidP="00AE0286">
            <w:pPr>
              <w:jc w:val="center"/>
              <w:rPr>
                <w:rFonts w:ascii="宋体" w:hAnsi="宋体" w:cs="宋体"/>
                <w:kern w:val="0"/>
                <w:szCs w:val="21"/>
              </w:rPr>
            </w:pPr>
            <w:r>
              <w:rPr>
                <w:rFonts w:ascii="宋体" w:hAnsi="宋体" w:cs="宋体" w:hint="eastAsia"/>
                <w:kern w:val="0"/>
                <w:szCs w:val="21"/>
              </w:rPr>
              <w:t>1800-2200元/m</w:t>
            </w:r>
          </w:p>
        </w:tc>
        <w:tc>
          <w:tcPr>
            <w:tcW w:w="1806" w:type="pct"/>
            <w:vMerge/>
            <w:vAlign w:val="center"/>
          </w:tcPr>
          <w:p w14:paraId="4F75387C" w14:textId="77777777" w:rsidR="00A320E6" w:rsidRDefault="00A320E6" w:rsidP="00AE0286">
            <w:pPr>
              <w:jc w:val="left"/>
              <w:rPr>
                <w:rFonts w:ascii="宋体" w:hAnsi="宋体" w:cs="宋体"/>
                <w:kern w:val="0"/>
                <w:szCs w:val="21"/>
              </w:rPr>
            </w:pPr>
          </w:p>
        </w:tc>
      </w:tr>
      <w:tr w:rsidR="008B03FA" w14:paraId="7F234D08" w14:textId="77777777" w:rsidTr="008B03FA">
        <w:trPr>
          <w:trHeight w:val="312"/>
          <w:jc w:val="center"/>
        </w:trPr>
        <w:tc>
          <w:tcPr>
            <w:tcW w:w="389" w:type="pct"/>
            <w:vMerge/>
            <w:vAlign w:val="center"/>
          </w:tcPr>
          <w:p w14:paraId="5842C21F" w14:textId="77777777" w:rsidR="00A320E6" w:rsidRDefault="00A320E6" w:rsidP="00AE0286">
            <w:pPr>
              <w:jc w:val="left"/>
              <w:rPr>
                <w:rFonts w:ascii="宋体" w:hAnsi="宋体" w:cs="宋体"/>
                <w:kern w:val="0"/>
                <w:szCs w:val="21"/>
              </w:rPr>
            </w:pPr>
          </w:p>
        </w:tc>
        <w:tc>
          <w:tcPr>
            <w:tcW w:w="484" w:type="pct"/>
            <w:vMerge/>
            <w:vAlign w:val="center"/>
          </w:tcPr>
          <w:p w14:paraId="141E155A"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125DB5C" w14:textId="77777777" w:rsidR="00A320E6" w:rsidRDefault="00000000" w:rsidP="00AE0286">
            <w:pPr>
              <w:rPr>
                <w:rFonts w:ascii="宋体" w:hAnsi="宋体" w:cs="宋体"/>
                <w:kern w:val="0"/>
                <w:szCs w:val="21"/>
              </w:rPr>
            </w:pPr>
            <w:r>
              <w:rPr>
                <w:rFonts w:ascii="宋体" w:hAnsi="宋体" w:cs="宋体" w:hint="eastAsia"/>
                <w:kern w:val="0"/>
                <w:szCs w:val="21"/>
              </w:rPr>
              <w:t>钢筋混凝土圆管涵跨径3-4m</w:t>
            </w:r>
          </w:p>
        </w:tc>
        <w:tc>
          <w:tcPr>
            <w:tcW w:w="1055" w:type="pct"/>
            <w:shd w:val="clear" w:color="000000" w:fill="FFFFFF"/>
            <w:vAlign w:val="center"/>
          </w:tcPr>
          <w:p w14:paraId="045D4512" w14:textId="77777777" w:rsidR="00A320E6" w:rsidRDefault="00000000" w:rsidP="00AE0286">
            <w:pPr>
              <w:jc w:val="center"/>
              <w:rPr>
                <w:rFonts w:ascii="宋体" w:hAnsi="宋体" w:cs="宋体"/>
                <w:kern w:val="0"/>
                <w:szCs w:val="21"/>
              </w:rPr>
            </w:pPr>
            <w:r>
              <w:rPr>
                <w:rFonts w:ascii="宋体" w:hAnsi="宋体" w:cs="宋体" w:hint="eastAsia"/>
                <w:kern w:val="0"/>
                <w:szCs w:val="21"/>
              </w:rPr>
              <w:t>2200-2600元/m</w:t>
            </w:r>
          </w:p>
        </w:tc>
        <w:tc>
          <w:tcPr>
            <w:tcW w:w="1806" w:type="pct"/>
            <w:vMerge/>
            <w:vAlign w:val="center"/>
          </w:tcPr>
          <w:p w14:paraId="092F858E" w14:textId="77777777" w:rsidR="00A320E6" w:rsidRDefault="00A320E6" w:rsidP="00AE0286">
            <w:pPr>
              <w:jc w:val="left"/>
              <w:rPr>
                <w:rFonts w:ascii="宋体" w:hAnsi="宋体" w:cs="宋体"/>
                <w:kern w:val="0"/>
                <w:szCs w:val="21"/>
              </w:rPr>
            </w:pPr>
          </w:p>
        </w:tc>
      </w:tr>
      <w:tr w:rsidR="008B03FA" w14:paraId="4F111AB9" w14:textId="77777777" w:rsidTr="008B03FA">
        <w:trPr>
          <w:trHeight w:val="312"/>
          <w:jc w:val="center"/>
        </w:trPr>
        <w:tc>
          <w:tcPr>
            <w:tcW w:w="389" w:type="pct"/>
            <w:vMerge/>
            <w:vAlign w:val="center"/>
          </w:tcPr>
          <w:p w14:paraId="084F31CF" w14:textId="77777777" w:rsidR="00A320E6" w:rsidRDefault="00A320E6" w:rsidP="00AE0286">
            <w:pPr>
              <w:jc w:val="left"/>
              <w:rPr>
                <w:rFonts w:ascii="宋体" w:hAnsi="宋体" w:cs="宋体"/>
                <w:kern w:val="0"/>
                <w:szCs w:val="21"/>
              </w:rPr>
            </w:pPr>
          </w:p>
        </w:tc>
        <w:tc>
          <w:tcPr>
            <w:tcW w:w="484" w:type="pct"/>
            <w:vMerge/>
            <w:vAlign w:val="center"/>
          </w:tcPr>
          <w:p w14:paraId="61367617"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15D2A6C" w14:textId="77777777" w:rsidR="00A320E6" w:rsidRDefault="00000000" w:rsidP="00AE0286">
            <w:pPr>
              <w:rPr>
                <w:rFonts w:ascii="宋体" w:hAnsi="宋体" w:cs="宋体"/>
                <w:kern w:val="0"/>
                <w:szCs w:val="21"/>
              </w:rPr>
            </w:pPr>
            <w:r>
              <w:rPr>
                <w:rFonts w:ascii="宋体" w:hAnsi="宋体" w:cs="宋体" w:hint="eastAsia"/>
                <w:kern w:val="0"/>
                <w:szCs w:val="21"/>
              </w:rPr>
              <w:t>钢筋混凝土盖板跨径1.5-3m</w:t>
            </w:r>
          </w:p>
        </w:tc>
        <w:tc>
          <w:tcPr>
            <w:tcW w:w="1055" w:type="pct"/>
            <w:shd w:val="clear" w:color="000000" w:fill="FFFFFF"/>
            <w:vAlign w:val="center"/>
          </w:tcPr>
          <w:p w14:paraId="6E313172" w14:textId="77777777" w:rsidR="00A320E6" w:rsidRDefault="00000000" w:rsidP="00AE0286">
            <w:pPr>
              <w:jc w:val="center"/>
              <w:rPr>
                <w:rFonts w:ascii="宋体" w:hAnsi="宋体" w:cs="宋体"/>
                <w:kern w:val="0"/>
                <w:szCs w:val="21"/>
              </w:rPr>
            </w:pPr>
            <w:r>
              <w:rPr>
                <w:rFonts w:ascii="宋体" w:hAnsi="宋体" w:cs="宋体" w:hint="eastAsia"/>
                <w:kern w:val="0"/>
                <w:szCs w:val="21"/>
              </w:rPr>
              <w:t>1500-2000元/m</w:t>
            </w:r>
          </w:p>
        </w:tc>
        <w:tc>
          <w:tcPr>
            <w:tcW w:w="1806" w:type="pct"/>
            <w:vMerge/>
            <w:vAlign w:val="center"/>
          </w:tcPr>
          <w:p w14:paraId="7042D5CD" w14:textId="77777777" w:rsidR="00A320E6" w:rsidRDefault="00A320E6" w:rsidP="00AE0286">
            <w:pPr>
              <w:jc w:val="left"/>
              <w:rPr>
                <w:rFonts w:ascii="宋体" w:hAnsi="宋体" w:cs="宋体"/>
                <w:kern w:val="0"/>
                <w:szCs w:val="21"/>
              </w:rPr>
            </w:pPr>
          </w:p>
        </w:tc>
      </w:tr>
      <w:tr w:rsidR="008B03FA" w14:paraId="7FC4DF35" w14:textId="77777777" w:rsidTr="008B03FA">
        <w:trPr>
          <w:trHeight w:val="312"/>
          <w:jc w:val="center"/>
        </w:trPr>
        <w:tc>
          <w:tcPr>
            <w:tcW w:w="389" w:type="pct"/>
            <w:vMerge/>
            <w:vAlign w:val="center"/>
          </w:tcPr>
          <w:p w14:paraId="5E3B11C8" w14:textId="77777777" w:rsidR="00A320E6" w:rsidRDefault="00A320E6" w:rsidP="00AE0286">
            <w:pPr>
              <w:jc w:val="left"/>
              <w:rPr>
                <w:rFonts w:ascii="宋体" w:hAnsi="宋体" w:cs="宋体"/>
                <w:kern w:val="0"/>
                <w:szCs w:val="21"/>
              </w:rPr>
            </w:pPr>
          </w:p>
        </w:tc>
        <w:tc>
          <w:tcPr>
            <w:tcW w:w="484" w:type="pct"/>
            <w:vMerge/>
            <w:vAlign w:val="center"/>
          </w:tcPr>
          <w:p w14:paraId="1B26190C"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F9BB0B6" w14:textId="77777777" w:rsidR="00A320E6" w:rsidRDefault="00000000" w:rsidP="00AE0286">
            <w:pPr>
              <w:rPr>
                <w:rFonts w:ascii="宋体" w:hAnsi="宋体" w:cs="宋体"/>
                <w:kern w:val="0"/>
                <w:szCs w:val="21"/>
              </w:rPr>
            </w:pPr>
            <w:r>
              <w:rPr>
                <w:rFonts w:ascii="宋体" w:hAnsi="宋体" w:cs="宋体" w:hint="eastAsia"/>
                <w:kern w:val="0"/>
                <w:szCs w:val="21"/>
              </w:rPr>
              <w:t>钢筋混凝土盖板跨径3-4m</w:t>
            </w:r>
          </w:p>
        </w:tc>
        <w:tc>
          <w:tcPr>
            <w:tcW w:w="1055" w:type="pct"/>
            <w:shd w:val="clear" w:color="000000" w:fill="FFFFFF"/>
            <w:vAlign w:val="center"/>
          </w:tcPr>
          <w:p w14:paraId="32D6F74E" w14:textId="77777777" w:rsidR="00A320E6" w:rsidRDefault="00000000" w:rsidP="00AE0286">
            <w:pPr>
              <w:jc w:val="center"/>
              <w:rPr>
                <w:rFonts w:ascii="宋体" w:hAnsi="宋体" w:cs="宋体"/>
                <w:kern w:val="0"/>
                <w:szCs w:val="21"/>
              </w:rPr>
            </w:pPr>
            <w:r>
              <w:rPr>
                <w:rFonts w:ascii="宋体" w:hAnsi="宋体" w:cs="宋体" w:hint="eastAsia"/>
                <w:kern w:val="0"/>
                <w:szCs w:val="21"/>
              </w:rPr>
              <w:t>2000-2500元/m</w:t>
            </w:r>
          </w:p>
        </w:tc>
        <w:tc>
          <w:tcPr>
            <w:tcW w:w="1806" w:type="pct"/>
            <w:vMerge/>
            <w:vAlign w:val="center"/>
          </w:tcPr>
          <w:p w14:paraId="7BDA4638" w14:textId="77777777" w:rsidR="00A320E6" w:rsidRDefault="00A320E6" w:rsidP="00AE0286">
            <w:pPr>
              <w:jc w:val="left"/>
              <w:rPr>
                <w:rFonts w:ascii="宋体" w:hAnsi="宋体" w:cs="宋体"/>
                <w:kern w:val="0"/>
                <w:szCs w:val="21"/>
              </w:rPr>
            </w:pPr>
          </w:p>
        </w:tc>
      </w:tr>
      <w:tr w:rsidR="008B03FA" w14:paraId="4B2D0964" w14:textId="77777777" w:rsidTr="008B03FA">
        <w:trPr>
          <w:trHeight w:val="312"/>
          <w:jc w:val="center"/>
        </w:trPr>
        <w:tc>
          <w:tcPr>
            <w:tcW w:w="389" w:type="pct"/>
            <w:shd w:val="clear" w:color="000000" w:fill="FFFFFF"/>
            <w:vAlign w:val="center"/>
          </w:tcPr>
          <w:p w14:paraId="3EB3E0AD" w14:textId="77777777" w:rsidR="00A320E6" w:rsidRDefault="00000000" w:rsidP="00AE0286">
            <w:pPr>
              <w:jc w:val="center"/>
              <w:rPr>
                <w:rFonts w:ascii="宋体" w:hAnsi="宋体" w:cs="宋体"/>
                <w:kern w:val="0"/>
                <w:szCs w:val="21"/>
              </w:rPr>
            </w:pPr>
            <w:r>
              <w:rPr>
                <w:rFonts w:ascii="宋体" w:hAnsi="宋体" w:cs="宋体" w:hint="eastAsia"/>
                <w:kern w:val="0"/>
                <w:szCs w:val="21"/>
              </w:rPr>
              <w:t>7</w:t>
            </w:r>
          </w:p>
        </w:tc>
        <w:tc>
          <w:tcPr>
            <w:tcW w:w="484" w:type="pct"/>
            <w:shd w:val="clear" w:color="000000" w:fill="FFFFFF"/>
            <w:vAlign w:val="center"/>
          </w:tcPr>
          <w:p w14:paraId="15BF2065" w14:textId="77777777" w:rsidR="00A320E6" w:rsidRDefault="00000000" w:rsidP="00AE0286">
            <w:pPr>
              <w:jc w:val="center"/>
              <w:rPr>
                <w:rFonts w:ascii="宋体" w:hAnsi="宋体" w:cs="宋体"/>
                <w:kern w:val="0"/>
                <w:szCs w:val="21"/>
              </w:rPr>
            </w:pPr>
            <w:r>
              <w:rPr>
                <w:rFonts w:ascii="宋体" w:hAnsi="宋体" w:cs="宋体" w:hint="eastAsia"/>
                <w:kern w:val="0"/>
                <w:szCs w:val="21"/>
              </w:rPr>
              <w:t>台田石堰</w:t>
            </w:r>
          </w:p>
        </w:tc>
        <w:tc>
          <w:tcPr>
            <w:tcW w:w="1265" w:type="pct"/>
            <w:gridSpan w:val="2"/>
            <w:shd w:val="clear" w:color="000000" w:fill="FFFFFF"/>
            <w:vAlign w:val="center"/>
          </w:tcPr>
          <w:p w14:paraId="604A8A79" w14:textId="77777777" w:rsidR="00A320E6" w:rsidRDefault="00000000" w:rsidP="00AE0286">
            <w:pPr>
              <w:jc w:val="left"/>
              <w:rPr>
                <w:rFonts w:ascii="宋体" w:hAnsi="宋体" w:cs="宋体"/>
                <w:kern w:val="0"/>
                <w:szCs w:val="21"/>
              </w:rPr>
            </w:pPr>
            <w:r>
              <w:rPr>
                <w:rFonts w:ascii="宋体" w:hAnsi="宋体" w:cs="宋体" w:hint="eastAsia"/>
                <w:kern w:val="0"/>
                <w:szCs w:val="21"/>
              </w:rPr>
              <w:t>1米以下</w:t>
            </w:r>
          </w:p>
        </w:tc>
        <w:tc>
          <w:tcPr>
            <w:tcW w:w="1055" w:type="pct"/>
            <w:shd w:val="clear" w:color="000000" w:fill="FFFFFF"/>
            <w:vAlign w:val="center"/>
          </w:tcPr>
          <w:p w14:paraId="26AF1E3F" w14:textId="77777777" w:rsidR="00A320E6" w:rsidRDefault="00000000" w:rsidP="00AE0286">
            <w:pPr>
              <w:jc w:val="center"/>
              <w:rPr>
                <w:rFonts w:ascii="宋体" w:hAnsi="宋体" w:cs="宋体"/>
                <w:kern w:val="0"/>
                <w:szCs w:val="21"/>
              </w:rPr>
            </w:pPr>
            <w:r>
              <w:rPr>
                <w:rFonts w:ascii="宋体" w:hAnsi="宋体" w:cs="宋体" w:hint="eastAsia"/>
                <w:kern w:val="0"/>
                <w:szCs w:val="21"/>
              </w:rPr>
              <w:t>80-120元/㎡</w:t>
            </w:r>
          </w:p>
        </w:tc>
        <w:tc>
          <w:tcPr>
            <w:tcW w:w="1806" w:type="pct"/>
            <w:shd w:val="clear" w:color="000000" w:fill="FFFFFF"/>
            <w:vAlign w:val="center"/>
          </w:tcPr>
          <w:p w14:paraId="27282C02" w14:textId="77777777" w:rsidR="00A320E6" w:rsidRDefault="00A320E6" w:rsidP="00AE0286">
            <w:pPr>
              <w:rPr>
                <w:rFonts w:ascii="宋体" w:hAnsi="宋体" w:cs="宋体"/>
                <w:kern w:val="0"/>
                <w:szCs w:val="21"/>
              </w:rPr>
            </w:pPr>
          </w:p>
        </w:tc>
      </w:tr>
      <w:tr w:rsidR="008B03FA" w14:paraId="256A0483" w14:textId="77777777" w:rsidTr="008B03FA">
        <w:trPr>
          <w:trHeight w:val="312"/>
          <w:jc w:val="center"/>
        </w:trPr>
        <w:tc>
          <w:tcPr>
            <w:tcW w:w="389" w:type="pct"/>
            <w:vMerge w:val="restart"/>
            <w:shd w:val="clear" w:color="000000" w:fill="FFFFFF"/>
            <w:vAlign w:val="center"/>
          </w:tcPr>
          <w:p w14:paraId="19CE11CE" w14:textId="77777777" w:rsidR="00A320E6" w:rsidRDefault="00000000" w:rsidP="00AE0286">
            <w:pPr>
              <w:jc w:val="center"/>
              <w:rPr>
                <w:rFonts w:ascii="宋体" w:hAnsi="宋体" w:cs="宋体"/>
                <w:kern w:val="0"/>
                <w:szCs w:val="21"/>
              </w:rPr>
            </w:pPr>
            <w:r>
              <w:rPr>
                <w:rFonts w:ascii="宋体" w:hAnsi="宋体" w:cs="宋体" w:hint="eastAsia"/>
                <w:kern w:val="0"/>
                <w:szCs w:val="21"/>
              </w:rPr>
              <w:t>8</w:t>
            </w:r>
          </w:p>
        </w:tc>
        <w:tc>
          <w:tcPr>
            <w:tcW w:w="484" w:type="pct"/>
            <w:vMerge w:val="restart"/>
            <w:shd w:val="clear" w:color="000000" w:fill="FFFFFF"/>
            <w:vAlign w:val="center"/>
          </w:tcPr>
          <w:p w14:paraId="118DC276" w14:textId="77777777" w:rsidR="00A320E6" w:rsidRDefault="00000000" w:rsidP="00AE0286">
            <w:pPr>
              <w:jc w:val="center"/>
              <w:rPr>
                <w:rFonts w:ascii="宋体" w:hAnsi="宋体" w:cs="宋体"/>
                <w:kern w:val="0"/>
                <w:szCs w:val="21"/>
              </w:rPr>
            </w:pPr>
            <w:r>
              <w:rPr>
                <w:rFonts w:ascii="宋体" w:hAnsi="宋体" w:cs="宋体" w:hint="eastAsia"/>
                <w:kern w:val="0"/>
                <w:szCs w:val="21"/>
              </w:rPr>
              <w:t>水渠、水池</w:t>
            </w:r>
          </w:p>
        </w:tc>
        <w:tc>
          <w:tcPr>
            <w:tcW w:w="1265" w:type="pct"/>
            <w:gridSpan w:val="2"/>
            <w:shd w:val="clear" w:color="000000" w:fill="FFFFFF"/>
            <w:vAlign w:val="center"/>
          </w:tcPr>
          <w:p w14:paraId="0669EC4E" w14:textId="77777777" w:rsidR="00A320E6" w:rsidRDefault="00000000" w:rsidP="00AE0286">
            <w:pPr>
              <w:rPr>
                <w:rFonts w:ascii="宋体" w:hAnsi="宋体" w:cs="宋体"/>
                <w:kern w:val="0"/>
                <w:szCs w:val="21"/>
              </w:rPr>
            </w:pPr>
            <w:r>
              <w:rPr>
                <w:rFonts w:ascii="宋体" w:hAnsi="宋体" w:cs="宋体" w:hint="eastAsia"/>
                <w:kern w:val="0"/>
                <w:szCs w:val="21"/>
              </w:rPr>
              <w:t>土筑水渠、水池</w:t>
            </w:r>
          </w:p>
        </w:tc>
        <w:tc>
          <w:tcPr>
            <w:tcW w:w="1055" w:type="pct"/>
            <w:shd w:val="clear" w:color="000000" w:fill="FFFFFF"/>
            <w:vAlign w:val="center"/>
          </w:tcPr>
          <w:p w14:paraId="289B3219" w14:textId="77777777" w:rsidR="00A320E6" w:rsidRDefault="00000000" w:rsidP="00AE0286">
            <w:pPr>
              <w:jc w:val="center"/>
              <w:rPr>
                <w:rFonts w:ascii="宋体" w:hAnsi="宋体" w:cs="宋体"/>
                <w:kern w:val="0"/>
                <w:szCs w:val="21"/>
              </w:rPr>
            </w:pPr>
            <w:r>
              <w:rPr>
                <w:rFonts w:ascii="宋体" w:hAnsi="宋体" w:cs="宋体" w:hint="eastAsia"/>
                <w:kern w:val="0"/>
                <w:szCs w:val="21"/>
              </w:rPr>
              <w:t>15-25元/m³</w:t>
            </w:r>
          </w:p>
        </w:tc>
        <w:tc>
          <w:tcPr>
            <w:tcW w:w="1806" w:type="pct"/>
            <w:vMerge w:val="restart"/>
            <w:shd w:val="clear" w:color="000000" w:fill="FFFFFF"/>
            <w:vAlign w:val="center"/>
          </w:tcPr>
          <w:p w14:paraId="64DDA0AD" w14:textId="77777777" w:rsidR="00A320E6" w:rsidRDefault="00000000" w:rsidP="00AE0286">
            <w:pPr>
              <w:jc w:val="left"/>
              <w:rPr>
                <w:rFonts w:ascii="宋体" w:hAnsi="宋体" w:cs="宋体"/>
                <w:kern w:val="0"/>
                <w:szCs w:val="21"/>
              </w:rPr>
            </w:pPr>
            <w:r>
              <w:rPr>
                <w:rFonts w:ascii="宋体" w:hAnsi="宋体" w:cs="宋体" w:hint="eastAsia"/>
                <w:kern w:val="0"/>
                <w:szCs w:val="21"/>
              </w:rPr>
              <w:t>1.包含土石方费用；</w:t>
            </w:r>
            <w:r>
              <w:rPr>
                <w:rFonts w:ascii="宋体" w:hAnsi="宋体" w:cs="宋体" w:hint="eastAsia"/>
                <w:kern w:val="0"/>
                <w:szCs w:val="21"/>
              </w:rPr>
              <w:br/>
              <w:t>2.封闭水池另加封闭成本。</w:t>
            </w:r>
          </w:p>
        </w:tc>
      </w:tr>
      <w:tr w:rsidR="008B03FA" w14:paraId="55989D1C" w14:textId="77777777" w:rsidTr="008B03FA">
        <w:trPr>
          <w:trHeight w:val="312"/>
          <w:jc w:val="center"/>
        </w:trPr>
        <w:tc>
          <w:tcPr>
            <w:tcW w:w="389" w:type="pct"/>
            <w:vMerge/>
            <w:vAlign w:val="center"/>
          </w:tcPr>
          <w:p w14:paraId="6F3BCC23" w14:textId="77777777" w:rsidR="00A320E6" w:rsidRDefault="00A320E6" w:rsidP="00AE0286">
            <w:pPr>
              <w:jc w:val="left"/>
              <w:rPr>
                <w:rFonts w:ascii="宋体" w:hAnsi="宋体" w:cs="宋体"/>
                <w:kern w:val="0"/>
                <w:szCs w:val="21"/>
              </w:rPr>
            </w:pPr>
          </w:p>
        </w:tc>
        <w:tc>
          <w:tcPr>
            <w:tcW w:w="484" w:type="pct"/>
            <w:vMerge/>
            <w:vAlign w:val="center"/>
          </w:tcPr>
          <w:p w14:paraId="64133D8B"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12CEDD0" w14:textId="77777777" w:rsidR="00A320E6" w:rsidRDefault="00000000" w:rsidP="00AE0286">
            <w:pPr>
              <w:rPr>
                <w:rFonts w:ascii="宋体" w:hAnsi="宋体" w:cs="宋体"/>
                <w:kern w:val="0"/>
                <w:szCs w:val="21"/>
              </w:rPr>
            </w:pPr>
            <w:r>
              <w:rPr>
                <w:rFonts w:ascii="宋体" w:hAnsi="宋体" w:cs="宋体" w:hint="eastAsia"/>
                <w:kern w:val="0"/>
                <w:szCs w:val="21"/>
              </w:rPr>
              <w:t>石砌水渠、水池</w:t>
            </w:r>
          </w:p>
        </w:tc>
        <w:tc>
          <w:tcPr>
            <w:tcW w:w="1055" w:type="pct"/>
            <w:shd w:val="clear" w:color="000000" w:fill="FFFFFF"/>
            <w:vAlign w:val="center"/>
          </w:tcPr>
          <w:p w14:paraId="43AC291E" w14:textId="77777777" w:rsidR="00A320E6" w:rsidRDefault="00000000" w:rsidP="00AE0286">
            <w:pPr>
              <w:jc w:val="center"/>
              <w:rPr>
                <w:rFonts w:ascii="宋体" w:hAnsi="宋体" w:cs="宋体"/>
                <w:kern w:val="0"/>
                <w:szCs w:val="21"/>
              </w:rPr>
            </w:pPr>
            <w:r>
              <w:rPr>
                <w:rFonts w:ascii="宋体" w:hAnsi="宋体" w:cs="宋体" w:hint="eastAsia"/>
                <w:kern w:val="0"/>
                <w:szCs w:val="21"/>
              </w:rPr>
              <w:t>150-200元/m³</w:t>
            </w:r>
          </w:p>
        </w:tc>
        <w:tc>
          <w:tcPr>
            <w:tcW w:w="1806" w:type="pct"/>
            <w:vMerge/>
            <w:vAlign w:val="center"/>
          </w:tcPr>
          <w:p w14:paraId="3EB23499" w14:textId="77777777" w:rsidR="00A320E6" w:rsidRDefault="00A320E6" w:rsidP="00AE0286">
            <w:pPr>
              <w:jc w:val="left"/>
              <w:rPr>
                <w:rFonts w:ascii="宋体" w:hAnsi="宋体" w:cs="宋体"/>
                <w:kern w:val="0"/>
                <w:szCs w:val="21"/>
              </w:rPr>
            </w:pPr>
          </w:p>
        </w:tc>
      </w:tr>
      <w:tr w:rsidR="008B03FA" w14:paraId="4BEA922E" w14:textId="77777777" w:rsidTr="008B03FA">
        <w:trPr>
          <w:trHeight w:val="312"/>
          <w:jc w:val="center"/>
        </w:trPr>
        <w:tc>
          <w:tcPr>
            <w:tcW w:w="389" w:type="pct"/>
            <w:vMerge/>
            <w:vAlign w:val="center"/>
          </w:tcPr>
          <w:p w14:paraId="5AD0189B" w14:textId="77777777" w:rsidR="00A320E6" w:rsidRDefault="00A320E6" w:rsidP="00AE0286">
            <w:pPr>
              <w:jc w:val="left"/>
              <w:rPr>
                <w:rFonts w:ascii="宋体" w:hAnsi="宋体" w:cs="宋体"/>
                <w:kern w:val="0"/>
                <w:szCs w:val="21"/>
              </w:rPr>
            </w:pPr>
          </w:p>
        </w:tc>
        <w:tc>
          <w:tcPr>
            <w:tcW w:w="484" w:type="pct"/>
            <w:vMerge/>
            <w:vAlign w:val="center"/>
          </w:tcPr>
          <w:p w14:paraId="7C4CDF8D"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2C291DFC" w14:textId="77777777" w:rsidR="00A320E6" w:rsidRDefault="00000000" w:rsidP="00AE0286">
            <w:pPr>
              <w:rPr>
                <w:rFonts w:ascii="宋体" w:hAnsi="宋体" w:cs="宋体"/>
                <w:kern w:val="0"/>
                <w:szCs w:val="21"/>
              </w:rPr>
            </w:pPr>
            <w:r>
              <w:rPr>
                <w:rFonts w:ascii="宋体" w:hAnsi="宋体" w:cs="宋体" w:hint="eastAsia"/>
                <w:kern w:val="0"/>
                <w:szCs w:val="21"/>
              </w:rPr>
              <w:t>砖砌水渠、水池</w:t>
            </w:r>
          </w:p>
        </w:tc>
        <w:tc>
          <w:tcPr>
            <w:tcW w:w="1055" w:type="pct"/>
            <w:shd w:val="clear" w:color="000000" w:fill="FFFFFF"/>
            <w:vAlign w:val="center"/>
          </w:tcPr>
          <w:p w14:paraId="40700677" w14:textId="77777777" w:rsidR="00A320E6" w:rsidRDefault="00000000" w:rsidP="00AE0286">
            <w:pPr>
              <w:jc w:val="center"/>
              <w:rPr>
                <w:rFonts w:ascii="宋体" w:hAnsi="宋体" w:cs="宋体"/>
                <w:kern w:val="0"/>
                <w:szCs w:val="21"/>
              </w:rPr>
            </w:pPr>
            <w:r>
              <w:rPr>
                <w:rFonts w:ascii="宋体" w:hAnsi="宋体" w:cs="宋体" w:hint="eastAsia"/>
                <w:kern w:val="0"/>
                <w:szCs w:val="21"/>
              </w:rPr>
              <w:t>160-220元/m³</w:t>
            </w:r>
          </w:p>
        </w:tc>
        <w:tc>
          <w:tcPr>
            <w:tcW w:w="1806" w:type="pct"/>
            <w:vMerge/>
            <w:vAlign w:val="center"/>
          </w:tcPr>
          <w:p w14:paraId="24B4ECBB" w14:textId="77777777" w:rsidR="00A320E6" w:rsidRDefault="00A320E6" w:rsidP="00AE0286">
            <w:pPr>
              <w:jc w:val="left"/>
              <w:rPr>
                <w:rFonts w:ascii="宋体" w:hAnsi="宋体" w:cs="宋体"/>
                <w:kern w:val="0"/>
                <w:szCs w:val="21"/>
              </w:rPr>
            </w:pPr>
          </w:p>
        </w:tc>
      </w:tr>
      <w:tr w:rsidR="008B03FA" w14:paraId="7F038906" w14:textId="77777777" w:rsidTr="008B03FA">
        <w:trPr>
          <w:trHeight w:val="312"/>
          <w:jc w:val="center"/>
        </w:trPr>
        <w:tc>
          <w:tcPr>
            <w:tcW w:w="389" w:type="pct"/>
            <w:vMerge w:val="restart"/>
            <w:shd w:val="clear" w:color="000000" w:fill="FFFFFF"/>
            <w:vAlign w:val="center"/>
          </w:tcPr>
          <w:p w14:paraId="00F6DD29" w14:textId="77777777" w:rsidR="00A320E6" w:rsidRDefault="00000000" w:rsidP="00AE0286">
            <w:pPr>
              <w:jc w:val="center"/>
              <w:rPr>
                <w:rFonts w:ascii="宋体" w:hAnsi="宋体" w:cs="宋体"/>
                <w:kern w:val="0"/>
                <w:szCs w:val="21"/>
              </w:rPr>
            </w:pPr>
            <w:r>
              <w:rPr>
                <w:rFonts w:ascii="宋体" w:hAnsi="宋体" w:cs="宋体" w:hint="eastAsia"/>
                <w:kern w:val="0"/>
                <w:szCs w:val="21"/>
              </w:rPr>
              <w:t>9</w:t>
            </w:r>
          </w:p>
        </w:tc>
        <w:tc>
          <w:tcPr>
            <w:tcW w:w="484" w:type="pct"/>
            <w:vMerge w:val="restart"/>
            <w:shd w:val="clear" w:color="000000" w:fill="FFFFFF"/>
            <w:vAlign w:val="center"/>
          </w:tcPr>
          <w:p w14:paraId="198F1755" w14:textId="77777777" w:rsidR="00A320E6" w:rsidRDefault="00000000" w:rsidP="00AE0286">
            <w:pPr>
              <w:jc w:val="center"/>
              <w:rPr>
                <w:rFonts w:ascii="宋体" w:hAnsi="宋体" w:cs="宋体"/>
                <w:kern w:val="0"/>
                <w:szCs w:val="21"/>
              </w:rPr>
            </w:pPr>
            <w:r>
              <w:rPr>
                <w:rFonts w:ascii="宋体" w:hAnsi="宋体" w:cs="宋体" w:hint="eastAsia"/>
                <w:kern w:val="0"/>
                <w:szCs w:val="21"/>
              </w:rPr>
              <w:t>道路</w:t>
            </w:r>
          </w:p>
        </w:tc>
        <w:tc>
          <w:tcPr>
            <w:tcW w:w="1265" w:type="pct"/>
            <w:gridSpan w:val="2"/>
            <w:shd w:val="clear" w:color="000000" w:fill="FFFFFF"/>
            <w:vAlign w:val="center"/>
          </w:tcPr>
          <w:p w14:paraId="217EDC84" w14:textId="77777777" w:rsidR="00A320E6" w:rsidRDefault="00000000" w:rsidP="00AE0286">
            <w:pPr>
              <w:rPr>
                <w:rFonts w:ascii="宋体" w:hAnsi="宋体" w:cs="宋体"/>
                <w:kern w:val="0"/>
                <w:szCs w:val="21"/>
              </w:rPr>
            </w:pPr>
            <w:r>
              <w:rPr>
                <w:rFonts w:ascii="宋体" w:hAnsi="宋体" w:cs="宋体" w:hint="eastAsia"/>
                <w:kern w:val="0"/>
                <w:szCs w:val="21"/>
              </w:rPr>
              <w:t>沥青路面</w:t>
            </w:r>
          </w:p>
        </w:tc>
        <w:tc>
          <w:tcPr>
            <w:tcW w:w="1055" w:type="pct"/>
            <w:shd w:val="clear" w:color="000000" w:fill="FFFFFF"/>
            <w:vAlign w:val="center"/>
          </w:tcPr>
          <w:p w14:paraId="1ADE819E" w14:textId="77777777" w:rsidR="00A320E6" w:rsidRDefault="00000000" w:rsidP="00AE0286">
            <w:pPr>
              <w:jc w:val="center"/>
              <w:rPr>
                <w:rFonts w:ascii="宋体" w:hAnsi="宋体" w:cs="宋体"/>
                <w:kern w:val="0"/>
                <w:szCs w:val="21"/>
              </w:rPr>
            </w:pPr>
            <w:r>
              <w:rPr>
                <w:rFonts w:ascii="宋体" w:hAnsi="宋体" w:cs="宋体" w:hint="eastAsia"/>
                <w:kern w:val="0"/>
                <w:szCs w:val="21"/>
              </w:rPr>
              <w:t>100-150元/㎡</w:t>
            </w:r>
          </w:p>
        </w:tc>
        <w:tc>
          <w:tcPr>
            <w:tcW w:w="1806" w:type="pct"/>
            <w:vMerge w:val="restart"/>
            <w:shd w:val="clear" w:color="000000" w:fill="FFFFFF"/>
            <w:vAlign w:val="center"/>
          </w:tcPr>
          <w:p w14:paraId="651F5B6E" w14:textId="77777777" w:rsidR="00A320E6" w:rsidRDefault="00A320E6" w:rsidP="00AE0286">
            <w:pPr>
              <w:jc w:val="center"/>
              <w:rPr>
                <w:rFonts w:ascii="宋体" w:hAnsi="宋体" w:cs="宋体"/>
                <w:kern w:val="0"/>
                <w:szCs w:val="21"/>
              </w:rPr>
            </w:pPr>
          </w:p>
        </w:tc>
      </w:tr>
      <w:tr w:rsidR="008B03FA" w14:paraId="29737C66" w14:textId="77777777" w:rsidTr="008B03FA">
        <w:trPr>
          <w:trHeight w:val="312"/>
          <w:jc w:val="center"/>
        </w:trPr>
        <w:tc>
          <w:tcPr>
            <w:tcW w:w="389" w:type="pct"/>
            <w:vMerge/>
            <w:vAlign w:val="center"/>
          </w:tcPr>
          <w:p w14:paraId="45ACAFA7" w14:textId="77777777" w:rsidR="00A320E6" w:rsidRDefault="00A320E6" w:rsidP="00AE0286">
            <w:pPr>
              <w:jc w:val="left"/>
              <w:rPr>
                <w:rFonts w:ascii="宋体" w:hAnsi="宋体" w:cs="宋体"/>
                <w:kern w:val="0"/>
                <w:szCs w:val="21"/>
              </w:rPr>
            </w:pPr>
          </w:p>
        </w:tc>
        <w:tc>
          <w:tcPr>
            <w:tcW w:w="484" w:type="pct"/>
            <w:vMerge/>
            <w:vAlign w:val="center"/>
          </w:tcPr>
          <w:p w14:paraId="0CDB78E8"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ABA0A96" w14:textId="77777777" w:rsidR="00A320E6" w:rsidRDefault="00000000" w:rsidP="00AE0286">
            <w:pPr>
              <w:rPr>
                <w:rFonts w:ascii="宋体" w:hAnsi="宋体" w:cs="宋体"/>
                <w:kern w:val="0"/>
                <w:szCs w:val="21"/>
              </w:rPr>
            </w:pPr>
            <w:r>
              <w:rPr>
                <w:rFonts w:ascii="宋体" w:hAnsi="宋体" w:cs="宋体" w:hint="eastAsia"/>
                <w:kern w:val="0"/>
                <w:szCs w:val="21"/>
              </w:rPr>
              <w:t>混凝土路面</w:t>
            </w:r>
          </w:p>
        </w:tc>
        <w:tc>
          <w:tcPr>
            <w:tcW w:w="1055" w:type="pct"/>
            <w:shd w:val="clear" w:color="000000" w:fill="FFFFFF"/>
            <w:vAlign w:val="center"/>
          </w:tcPr>
          <w:p w14:paraId="2E350013" w14:textId="77777777" w:rsidR="00A320E6" w:rsidRDefault="00000000" w:rsidP="00AE0286">
            <w:pPr>
              <w:jc w:val="center"/>
              <w:rPr>
                <w:rFonts w:ascii="宋体" w:hAnsi="宋体" w:cs="宋体"/>
                <w:kern w:val="0"/>
                <w:szCs w:val="21"/>
              </w:rPr>
            </w:pPr>
            <w:r>
              <w:rPr>
                <w:rFonts w:ascii="宋体" w:hAnsi="宋体" w:cs="宋体" w:hint="eastAsia"/>
                <w:kern w:val="0"/>
                <w:szCs w:val="21"/>
              </w:rPr>
              <w:t>120-150元/㎡</w:t>
            </w:r>
          </w:p>
        </w:tc>
        <w:tc>
          <w:tcPr>
            <w:tcW w:w="1806" w:type="pct"/>
            <w:vMerge/>
            <w:vAlign w:val="center"/>
          </w:tcPr>
          <w:p w14:paraId="42509BBD" w14:textId="77777777" w:rsidR="00A320E6" w:rsidRDefault="00A320E6" w:rsidP="00AE0286">
            <w:pPr>
              <w:jc w:val="left"/>
              <w:rPr>
                <w:rFonts w:ascii="宋体" w:hAnsi="宋体" w:cs="宋体"/>
                <w:kern w:val="0"/>
                <w:szCs w:val="21"/>
              </w:rPr>
            </w:pPr>
          </w:p>
        </w:tc>
      </w:tr>
      <w:tr w:rsidR="008B03FA" w14:paraId="7AEB19BF" w14:textId="77777777" w:rsidTr="008B03FA">
        <w:trPr>
          <w:trHeight w:val="312"/>
          <w:jc w:val="center"/>
        </w:trPr>
        <w:tc>
          <w:tcPr>
            <w:tcW w:w="389" w:type="pct"/>
            <w:vMerge/>
            <w:vAlign w:val="center"/>
          </w:tcPr>
          <w:p w14:paraId="4E782D9F" w14:textId="77777777" w:rsidR="00A320E6" w:rsidRDefault="00A320E6" w:rsidP="00AE0286">
            <w:pPr>
              <w:jc w:val="left"/>
              <w:rPr>
                <w:rFonts w:ascii="宋体" w:hAnsi="宋体" w:cs="宋体"/>
                <w:kern w:val="0"/>
                <w:szCs w:val="21"/>
              </w:rPr>
            </w:pPr>
          </w:p>
        </w:tc>
        <w:tc>
          <w:tcPr>
            <w:tcW w:w="484" w:type="pct"/>
            <w:vMerge/>
            <w:vAlign w:val="center"/>
          </w:tcPr>
          <w:p w14:paraId="737AFB0F"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4FFE6788" w14:textId="77777777" w:rsidR="00A320E6" w:rsidRDefault="00000000" w:rsidP="00AE0286">
            <w:pPr>
              <w:rPr>
                <w:rFonts w:ascii="宋体" w:hAnsi="宋体" w:cs="宋体"/>
                <w:kern w:val="0"/>
                <w:szCs w:val="21"/>
              </w:rPr>
            </w:pPr>
            <w:r>
              <w:rPr>
                <w:rFonts w:ascii="宋体" w:hAnsi="宋体" w:cs="宋体" w:hint="eastAsia"/>
                <w:kern w:val="0"/>
                <w:szCs w:val="21"/>
              </w:rPr>
              <w:t>砖铺路、地面</w:t>
            </w:r>
          </w:p>
        </w:tc>
        <w:tc>
          <w:tcPr>
            <w:tcW w:w="1055" w:type="pct"/>
            <w:shd w:val="clear" w:color="000000" w:fill="FFFFFF"/>
            <w:vAlign w:val="center"/>
          </w:tcPr>
          <w:p w14:paraId="6DD6BAA0" w14:textId="77777777" w:rsidR="00A320E6" w:rsidRDefault="00000000" w:rsidP="00AE0286">
            <w:pPr>
              <w:jc w:val="center"/>
              <w:rPr>
                <w:rFonts w:ascii="宋体" w:hAnsi="宋体" w:cs="宋体"/>
                <w:kern w:val="0"/>
                <w:szCs w:val="21"/>
              </w:rPr>
            </w:pPr>
            <w:r>
              <w:rPr>
                <w:rFonts w:ascii="宋体" w:hAnsi="宋体" w:cs="宋体" w:hint="eastAsia"/>
                <w:kern w:val="0"/>
                <w:szCs w:val="21"/>
              </w:rPr>
              <w:t>60-80元/㎡</w:t>
            </w:r>
          </w:p>
        </w:tc>
        <w:tc>
          <w:tcPr>
            <w:tcW w:w="1806" w:type="pct"/>
            <w:vMerge/>
            <w:vAlign w:val="center"/>
          </w:tcPr>
          <w:p w14:paraId="61C26D61" w14:textId="77777777" w:rsidR="00A320E6" w:rsidRDefault="00A320E6" w:rsidP="00AE0286">
            <w:pPr>
              <w:jc w:val="left"/>
              <w:rPr>
                <w:rFonts w:ascii="宋体" w:hAnsi="宋体" w:cs="宋体"/>
                <w:kern w:val="0"/>
                <w:szCs w:val="21"/>
              </w:rPr>
            </w:pPr>
          </w:p>
        </w:tc>
      </w:tr>
      <w:tr w:rsidR="008B03FA" w14:paraId="7154D219" w14:textId="77777777" w:rsidTr="008B03FA">
        <w:trPr>
          <w:trHeight w:val="312"/>
          <w:jc w:val="center"/>
        </w:trPr>
        <w:tc>
          <w:tcPr>
            <w:tcW w:w="389" w:type="pct"/>
            <w:vMerge/>
            <w:vAlign w:val="center"/>
          </w:tcPr>
          <w:p w14:paraId="2847A9BA" w14:textId="77777777" w:rsidR="00A320E6" w:rsidRDefault="00A320E6" w:rsidP="00AE0286">
            <w:pPr>
              <w:jc w:val="left"/>
              <w:rPr>
                <w:rFonts w:ascii="宋体" w:hAnsi="宋体" w:cs="宋体"/>
                <w:kern w:val="0"/>
                <w:szCs w:val="21"/>
              </w:rPr>
            </w:pPr>
          </w:p>
        </w:tc>
        <w:tc>
          <w:tcPr>
            <w:tcW w:w="484" w:type="pct"/>
            <w:vMerge/>
            <w:vAlign w:val="center"/>
          </w:tcPr>
          <w:p w14:paraId="6047096E"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20419808" w14:textId="77777777" w:rsidR="00A320E6" w:rsidRDefault="00000000" w:rsidP="00AE0286">
            <w:pPr>
              <w:rPr>
                <w:rFonts w:ascii="宋体" w:hAnsi="宋体" w:cs="宋体"/>
                <w:kern w:val="0"/>
                <w:szCs w:val="21"/>
              </w:rPr>
            </w:pPr>
            <w:r>
              <w:rPr>
                <w:rFonts w:ascii="宋体" w:hAnsi="宋体" w:cs="宋体" w:hint="eastAsia"/>
                <w:kern w:val="0"/>
                <w:szCs w:val="21"/>
              </w:rPr>
              <w:t>人工土路</w:t>
            </w:r>
          </w:p>
        </w:tc>
        <w:tc>
          <w:tcPr>
            <w:tcW w:w="1055" w:type="pct"/>
            <w:shd w:val="clear" w:color="000000" w:fill="FFFFFF"/>
            <w:vAlign w:val="center"/>
          </w:tcPr>
          <w:p w14:paraId="0F7220EF" w14:textId="77777777" w:rsidR="00A320E6" w:rsidRDefault="00000000" w:rsidP="00AE0286">
            <w:pPr>
              <w:jc w:val="center"/>
              <w:rPr>
                <w:rFonts w:ascii="宋体" w:hAnsi="宋体" w:cs="宋体"/>
                <w:kern w:val="0"/>
                <w:szCs w:val="21"/>
              </w:rPr>
            </w:pPr>
            <w:r>
              <w:rPr>
                <w:rFonts w:ascii="宋体" w:hAnsi="宋体" w:cs="宋体" w:hint="eastAsia"/>
                <w:kern w:val="0"/>
                <w:szCs w:val="21"/>
              </w:rPr>
              <w:t>20-30元/㎡</w:t>
            </w:r>
          </w:p>
        </w:tc>
        <w:tc>
          <w:tcPr>
            <w:tcW w:w="1806" w:type="pct"/>
            <w:vMerge/>
            <w:vAlign w:val="center"/>
          </w:tcPr>
          <w:p w14:paraId="286622E1" w14:textId="77777777" w:rsidR="00A320E6" w:rsidRDefault="00A320E6" w:rsidP="00AE0286">
            <w:pPr>
              <w:jc w:val="left"/>
              <w:rPr>
                <w:rFonts w:ascii="宋体" w:hAnsi="宋体" w:cs="宋体"/>
                <w:kern w:val="0"/>
                <w:szCs w:val="21"/>
              </w:rPr>
            </w:pPr>
          </w:p>
        </w:tc>
      </w:tr>
      <w:tr w:rsidR="008B03FA" w14:paraId="29050426" w14:textId="77777777" w:rsidTr="008B03FA">
        <w:trPr>
          <w:trHeight w:val="312"/>
          <w:jc w:val="center"/>
        </w:trPr>
        <w:tc>
          <w:tcPr>
            <w:tcW w:w="389" w:type="pct"/>
            <w:vMerge w:val="restart"/>
            <w:shd w:val="clear" w:color="000000" w:fill="FFFFFF"/>
            <w:vAlign w:val="center"/>
          </w:tcPr>
          <w:p w14:paraId="5E0D0A68" w14:textId="77777777" w:rsidR="00A320E6" w:rsidRDefault="00000000" w:rsidP="00AE0286">
            <w:pPr>
              <w:jc w:val="center"/>
              <w:rPr>
                <w:rFonts w:ascii="宋体" w:hAnsi="宋体" w:cs="宋体"/>
                <w:kern w:val="0"/>
                <w:szCs w:val="21"/>
              </w:rPr>
            </w:pPr>
            <w:r>
              <w:rPr>
                <w:rFonts w:ascii="宋体" w:hAnsi="宋体" w:cs="宋体" w:hint="eastAsia"/>
                <w:kern w:val="0"/>
                <w:szCs w:val="21"/>
              </w:rPr>
              <w:t>10</w:t>
            </w:r>
          </w:p>
        </w:tc>
        <w:tc>
          <w:tcPr>
            <w:tcW w:w="484" w:type="pct"/>
            <w:vMerge w:val="restart"/>
            <w:shd w:val="clear" w:color="000000" w:fill="FFFFFF"/>
            <w:vAlign w:val="center"/>
          </w:tcPr>
          <w:p w14:paraId="35552567" w14:textId="77777777" w:rsidR="00A320E6" w:rsidRDefault="00000000" w:rsidP="00AE0286">
            <w:pPr>
              <w:jc w:val="center"/>
              <w:rPr>
                <w:rFonts w:ascii="宋体" w:hAnsi="宋体" w:cs="宋体"/>
                <w:kern w:val="0"/>
                <w:szCs w:val="21"/>
              </w:rPr>
            </w:pPr>
            <w:r>
              <w:rPr>
                <w:rFonts w:ascii="宋体" w:hAnsi="宋体" w:cs="宋体" w:hint="eastAsia"/>
                <w:kern w:val="0"/>
                <w:szCs w:val="21"/>
              </w:rPr>
              <w:t>水井</w:t>
            </w:r>
          </w:p>
        </w:tc>
        <w:tc>
          <w:tcPr>
            <w:tcW w:w="1265" w:type="pct"/>
            <w:gridSpan w:val="2"/>
            <w:shd w:val="clear" w:color="000000" w:fill="FFFFFF"/>
            <w:vAlign w:val="center"/>
          </w:tcPr>
          <w:p w14:paraId="1E88B04B" w14:textId="77777777" w:rsidR="00A320E6" w:rsidRDefault="00000000" w:rsidP="00AE0286">
            <w:pPr>
              <w:rPr>
                <w:rFonts w:ascii="宋体" w:hAnsi="宋体" w:cs="宋体"/>
                <w:kern w:val="0"/>
                <w:szCs w:val="21"/>
              </w:rPr>
            </w:pPr>
            <w:r>
              <w:rPr>
                <w:rFonts w:ascii="宋体" w:hAnsi="宋体" w:cs="宋体" w:hint="eastAsia"/>
                <w:kern w:val="0"/>
                <w:szCs w:val="21"/>
              </w:rPr>
              <w:t>手压井</w:t>
            </w:r>
          </w:p>
        </w:tc>
        <w:tc>
          <w:tcPr>
            <w:tcW w:w="1055" w:type="pct"/>
            <w:shd w:val="clear" w:color="000000" w:fill="FFFFFF"/>
            <w:vAlign w:val="center"/>
          </w:tcPr>
          <w:p w14:paraId="7CDFF8D8" w14:textId="77777777" w:rsidR="00A320E6" w:rsidRDefault="00000000" w:rsidP="00AE0286">
            <w:pPr>
              <w:jc w:val="center"/>
              <w:rPr>
                <w:rFonts w:ascii="宋体" w:hAnsi="宋体" w:cs="宋体"/>
                <w:kern w:val="0"/>
                <w:szCs w:val="21"/>
              </w:rPr>
            </w:pPr>
            <w:r>
              <w:rPr>
                <w:rFonts w:ascii="宋体" w:hAnsi="宋体" w:cs="宋体" w:hint="eastAsia"/>
                <w:kern w:val="0"/>
                <w:szCs w:val="21"/>
              </w:rPr>
              <w:t>500元/眼</w:t>
            </w:r>
          </w:p>
        </w:tc>
        <w:tc>
          <w:tcPr>
            <w:tcW w:w="1806" w:type="pct"/>
            <w:vMerge w:val="restart"/>
            <w:shd w:val="clear" w:color="000000" w:fill="FFFFFF"/>
            <w:vAlign w:val="center"/>
          </w:tcPr>
          <w:p w14:paraId="375A813D" w14:textId="77777777" w:rsidR="00A320E6" w:rsidRDefault="00000000" w:rsidP="00AE0286">
            <w:pPr>
              <w:rPr>
                <w:rFonts w:ascii="宋体" w:hAnsi="宋体" w:cs="宋体"/>
                <w:kern w:val="0"/>
                <w:szCs w:val="21"/>
              </w:rPr>
            </w:pPr>
            <w:r>
              <w:rPr>
                <w:rFonts w:ascii="宋体" w:hAnsi="宋体" w:cs="宋体" w:hint="eastAsia"/>
                <w:kern w:val="0"/>
                <w:szCs w:val="21"/>
              </w:rPr>
              <w:t>1.水井补偿包括开凿工程、用料及用工等费用；</w:t>
            </w:r>
          </w:p>
          <w:p w14:paraId="261CC3EC" w14:textId="77777777" w:rsidR="00A320E6" w:rsidRDefault="00000000" w:rsidP="00AE0286">
            <w:pPr>
              <w:rPr>
                <w:rFonts w:ascii="宋体" w:hAnsi="宋体" w:cs="宋体"/>
                <w:kern w:val="0"/>
                <w:szCs w:val="21"/>
              </w:rPr>
            </w:pPr>
            <w:r>
              <w:rPr>
                <w:rFonts w:ascii="宋体" w:hAnsi="宋体" w:cs="宋体" w:hint="eastAsia"/>
                <w:kern w:val="0"/>
                <w:szCs w:val="21"/>
              </w:rPr>
              <w:t>2.废、枯井按同类井补偿标准30-50%补偿；</w:t>
            </w:r>
          </w:p>
          <w:p w14:paraId="38950881" w14:textId="77777777" w:rsidR="00A320E6" w:rsidRDefault="00000000" w:rsidP="00AE0286">
            <w:pPr>
              <w:rPr>
                <w:rFonts w:ascii="宋体" w:hAnsi="宋体" w:cs="宋体"/>
                <w:kern w:val="0"/>
                <w:szCs w:val="21"/>
              </w:rPr>
            </w:pPr>
            <w:r>
              <w:rPr>
                <w:rFonts w:ascii="宋体" w:hAnsi="宋体" w:cs="宋体" w:hint="eastAsia"/>
                <w:kern w:val="0"/>
                <w:szCs w:val="21"/>
              </w:rPr>
              <w:t>3.机井按井深分段计算补偿；</w:t>
            </w:r>
          </w:p>
          <w:p w14:paraId="4874198D" w14:textId="77777777" w:rsidR="00A320E6" w:rsidRDefault="00000000" w:rsidP="00AE0286">
            <w:pPr>
              <w:jc w:val="left"/>
              <w:rPr>
                <w:rFonts w:ascii="宋体" w:hAnsi="宋体" w:cs="宋体"/>
                <w:kern w:val="0"/>
                <w:szCs w:val="21"/>
              </w:rPr>
            </w:pPr>
            <w:r>
              <w:rPr>
                <w:rFonts w:ascii="宋体" w:hAnsi="宋体" w:cs="宋体" w:hint="eastAsia"/>
                <w:kern w:val="0"/>
                <w:szCs w:val="21"/>
              </w:rPr>
              <w:t>4.水井密度控制在合理范围内。</w:t>
            </w:r>
          </w:p>
        </w:tc>
      </w:tr>
      <w:tr w:rsidR="008B03FA" w14:paraId="70CB413F" w14:textId="77777777" w:rsidTr="008B03FA">
        <w:trPr>
          <w:trHeight w:val="312"/>
          <w:jc w:val="center"/>
        </w:trPr>
        <w:tc>
          <w:tcPr>
            <w:tcW w:w="389" w:type="pct"/>
            <w:vMerge/>
            <w:vAlign w:val="center"/>
          </w:tcPr>
          <w:p w14:paraId="407CFC0C" w14:textId="77777777" w:rsidR="00A320E6" w:rsidRDefault="00A320E6" w:rsidP="00AE0286">
            <w:pPr>
              <w:jc w:val="left"/>
              <w:rPr>
                <w:rFonts w:ascii="宋体" w:hAnsi="宋体" w:cs="宋体"/>
                <w:kern w:val="0"/>
                <w:szCs w:val="21"/>
              </w:rPr>
            </w:pPr>
          </w:p>
        </w:tc>
        <w:tc>
          <w:tcPr>
            <w:tcW w:w="484" w:type="pct"/>
            <w:vMerge/>
            <w:vAlign w:val="center"/>
          </w:tcPr>
          <w:p w14:paraId="15DE34D3"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89D3BAD" w14:textId="77777777" w:rsidR="00A320E6" w:rsidRDefault="00000000" w:rsidP="00AE0286">
            <w:pPr>
              <w:rPr>
                <w:rFonts w:ascii="宋体" w:hAnsi="宋体" w:cs="宋体"/>
                <w:kern w:val="0"/>
                <w:szCs w:val="21"/>
              </w:rPr>
            </w:pPr>
            <w:r>
              <w:rPr>
                <w:rFonts w:ascii="宋体" w:hAnsi="宋体" w:cs="宋体" w:hint="eastAsia"/>
                <w:kern w:val="0"/>
                <w:szCs w:val="21"/>
              </w:rPr>
              <w:t>土井：直径1.2m</w:t>
            </w:r>
          </w:p>
        </w:tc>
        <w:tc>
          <w:tcPr>
            <w:tcW w:w="1055" w:type="pct"/>
            <w:shd w:val="clear" w:color="000000" w:fill="FFFFFF"/>
            <w:vAlign w:val="center"/>
          </w:tcPr>
          <w:p w14:paraId="13071818" w14:textId="77777777" w:rsidR="00A320E6" w:rsidRDefault="00000000" w:rsidP="00AE0286">
            <w:pPr>
              <w:jc w:val="center"/>
              <w:rPr>
                <w:rFonts w:ascii="宋体" w:hAnsi="宋体" w:cs="宋体"/>
                <w:kern w:val="0"/>
                <w:szCs w:val="21"/>
              </w:rPr>
            </w:pPr>
            <w:r>
              <w:rPr>
                <w:rFonts w:ascii="宋体" w:hAnsi="宋体" w:cs="宋体" w:hint="eastAsia"/>
                <w:kern w:val="0"/>
                <w:szCs w:val="21"/>
              </w:rPr>
              <w:t>150-200元/m</w:t>
            </w:r>
          </w:p>
        </w:tc>
        <w:tc>
          <w:tcPr>
            <w:tcW w:w="1806" w:type="pct"/>
            <w:vMerge/>
            <w:shd w:val="clear" w:color="000000" w:fill="FFFFFF"/>
            <w:vAlign w:val="center"/>
          </w:tcPr>
          <w:p w14:paraId="123405B2" w14:textId="77777777" w:rsidR="00A320E6" w:rsidRDefault="00A320E6" w:rsidP="00AE0286">
            <w:pPr>
              <w:jc w:val="left"/>
              <w:rPr>
                <w:rFonts w:ascii="宋体" w:hAnsi="宋体" w:cs="宋体"/>
                <w:kern w:val="0"/>
                <w:szCs w:val="21"/>
              </w:rPr>
            </w:pPr>
          </w:p>
        </w:tc>
      </w:tr>
      <w:tr w:rsidR="008B03FA" w14:paraId="7755CEBB" w14:textId="77777777" w:rsidTr="008B03FA">
        <w:trPr>
          <w:trHeight w:val="312"/>
          <w:jc w:val="center"/>
        </w:trPr>
        <w:tc>
          <w:tcPr>
            <w:tcW w:w="389" w:type="pct"/>
            <w:vMerge/>
            <w:vAlign w:val="center"/>
          </w:tcPr>
          <w:p w14:paraId="409307F2" w14:textId="77777777" w:rsidR="00A320E6" w:rsidRDefault="00A320E6" w:rsidP="00AE0286">
            <w:pPr>
              <w:jc w:val="left"/>
              <w:rPr>
                <w:rFonts w:ascii="宋体" w:hAnsi="宋体" w:cs="宋体"/>
                <w:kern w:val="0"/>
                <w:szCs w:val="21"/>
              </w:rPr>
            </w:pPr>
          </w:p>
        </w:tc>
        <w:tc>
          <w:tcPr>
            <w:tcW w:w="484" w:type="pct"/>
            <w:vMerge/>
            <w:vAlign w:val="center"/>
          </w:tcPr>
          <w:p w14:paraId="63A4A4B5" w14:textId="77777777" w:rsidR="00A320E6" w:rsidRDefault="00A320E6" w:rsidP="00AE0286">
            <w:pPr>
              <w:jc w:val="left"/>
              <w:rPr>
                <w:rFonts w:ascii="宋体" w:hAnsi="宋体" w:cs="宋体"/>
                <w:kern w:val="0"/>
                <w:szCs w:val="21"/>
              </w:rPr>
            </w:pPr>
          </w:p>
        </w:tc>
        <w:tc>
          <w:tcPr>
            <w:tcW w:w="660" w:type="pct"/>
            <w:vMerge w:val="restart"/>
            <w:shd w:val="clear" w:color="000000" w:fill="FFFFFF"/>
            <w:vAlign w:val="center"/>
          </w:tcPr>
          <w:p w14:paraId="3E4F8CC5" w14:textId="77777777" w:rsidR="00A320E6" w:rsidRDefault="00000000" w:rsidP="00AE0286">
            <w:pPr>
              <w:jc w:val="center"/>
              <w:rPr>
                <w:rFonts w:ascii="宋体" w:hAnsi="宋体" w:cs="宋体"/>
                <w:kern w:val="0"/>
                <w:szCs w:val="21"/>
              </w:rPr>
            </w:pPr>
            <w:r>
              <w:rPr>
                <w:rFonts w:ascii="宋体" w:hAnsi="宋体" w:cs="宋体" w:hint="eastAsia"/>
                <w:kern w:val="0"/>
                <w:szCs w:val="21"/>
              </w:rPr>
              <w:t>机井</w:t>
            </w:r>
          </w:p>
        </w:tc>
        <w:tc>
          <w:tcPr>
            <w:tcW w:w="604" w:type="pct"/>
            <w:shd w:val="clear" w:color="000000" w:fill="FFFFFF"/>
            <w:vAlign w:val="center"/>
          </w:tcPr>
          <w:p w14:paraId="0CD83351" w14:textId="77777777" w:rsidR="00A320E6" w:rsidRDefault="00000000" w:rsidP="00AE0286">
            <w:pPr>
              <w:rPr>
                <w:rFonts w:ascii="宋体" w:hAnsi="宋体" w:cs="宋体"/>
                <w:kern w:val="0"/>
                <w:szCs w:val="21"/>
              </w:rPr>
            </w:pPr>
            <w:r>
              <w:rPr>
                <w:rFonts w:ascii="宋体" w:hAnsi="宋体" w:cs="宋体" w:hint="eastAsia"/>
                <w:kern w:val="0"/>
                <w:szCs w:val="21"/>
              </w:rPr>
              <w:t>深20-50m</w:t>
            </w:r>
          </w:p>
        </w:tc>
        <w:tc>
          <w:tcPr>
            <w:tcW w:w="1055" w:type="pct"/>
            <w:shd w:val="clear" w:color="000000" w:fill="FFFFFF"/>
            <w:vAlign w:val="center"/>
          </w:tcPr>
          <w:p w14:paraId="5D35646B" w14:textId="77777777" w:rsidR="00A320E6" w:rsidRDefault="00000000" w:rsidP="00AE0286">
            <w:pPr>
              <w:jc w:val="center"/>
              <w:rPr>
                <w:rFonts w:ascii="宋体" w:hAnsi="宋体" w:cs="宋体"/>
                <w:kern w:val="0"/>
                <w:szCs w:val="21"/>
              </w:rPr>
            </w:pPr>
            <w:r>
              <w:rPr>
                <w:rFonts w:ascii="宋体" w:hAnsi="宋体" w:cs="宋体" w:hint="eastAsia"/>
                <w:kern w:val="0"/>
                <w:szCs w:val="21"/>
              </w:rPr>
              <w:t>200-250元/m</w:t>
            </w:r>
          </w:p>
        </w:tc>
        <w:tc>
          <w:tcPr>
            <w:tcW w:w="1806" w:type="pct"/>
            <w:vMerge/>
            <w:shd w:val="clear" w:color="000000" w:fill="FFFFFF"/>
            <w:vAlign w:val="center"/>
          </w:tcPr>
          <w:p w14:paraId="645A4D56" w14:textId="77777777" w:rsidR="00A320E6" w:rsidRDefault="00A320E6" w:rsidP="00AE0286">
            <w:pPr>
              <w:jc w:val="left"/>
              <w:rPr>
                <w:rFonts w:ascii="宋体" w:hAnsi="宋体" w:cs="宋体"/>
                <w:kern w:val="0"/>
                <w:szCs w:val="21"/>
              </w:rPr>
            </w:pPr>
          </w:p>
        </w:tc>
      </w:tr>
      <w:tr w:rsidR="008B03FA" w14:paraId="2C7A80A1" w14:textId="77777777" w:rsidTr="008B03FA">
        <w:trPr>
          <w:trHeight w:val="312"/>
          <w:jc w:val="center"/>
        </w:trPr>
        <w:tc>
          <w:tcPr>
            <w:tcW w:w="389" w:type="pct"/>
            <w:vMerge/>
            <w:vAlign w:val="center"/>
          </w:tcPr>
          <w:p w14:paraId="31E8CAC1" w14:textId="77777777" w:rsidR="00A320E6" w:rsidRDefault="00A320E6" w:rsidP="00AE0286">
            <w:pPr>
              <w:jc w:val="left"/>
              <w:rPr>
                <w:rFonts w:ascii="宋体" w:hAnsi="宋体" w:cs="宋体"/>
                <w:kern w:val="0"/>
                <w:szCs w:val="21"/>
              </w:rPr>
            </w:pPr>
          </w:p>
        </w:tc>
        <w:tc>
          <w:tcPr>
            <w:tcW w:w="484" w:type="pct"/>
            <w:vMerge/>
            <w:vAlign w:val="center"/>
          </w:tcPr>
          <w:p w14:paraId="4AB71A77" w14:textId="77777777" w:rsidR="00A320E6" w:rsidRDefault="00A320E6" w:rsidP="00AE0286">
            <w:pPr>
              <w:jc w:val="left"/>
              <w:rPr>
                <w:rFonts w:ascii="宋体" w:hAnsi="宋体" w:cs="宋体"/>
                <w:kern w:val="0"/>
                <w:szCs w:val="21"/>
              </w:rPr>
            </w:pPr>
          </w:p>
        </w:tc>
        <w:tc>
          <w:tcPr>
            <w:tcW w:w="660" w:type="pct"/>
            <w:vMerge/>
            <w:vAlign w:val="center"/>
          </w:tcPr>
          <w:p w14:paraId="6D7F2497" w14:textId="77777777" w:rsidR="00A320E6" w:rsidRDefault="00A320E6" w:rsidP="00AE0286">
            <w:pPr>
              <w:jc w:val="left"/>
              <w:rPr>
                <w:rFonts w:ascii="宋体" w:hAnsi="宋体" w:cs="宋体"/>
                <w:kern w:val="0"/>
                <w:szCs w:val="21"/>
              </w:rPr>
            </w:pPr>
          </w:p>
        </w:tc>
        <w:tc>
          <w:tcPr>
            <w:tcW w:w="604" w:type="pct"/>
            <w:shd w:val="clear" w:color="000000" w:fill="FFFFFF"/>
            <w:vAlign w:val="center"/>
          </w:tcPr>
          <w:p w14:paraId="41AB9B22" w14:textId="77777777" w:rsidR="00A320E6" w:rsidRDefault="00000000" w:rsidP="00AE0286">
            <w:pPr>
              <w:rPr>
                <w:rFonts w:ascii="宋体" w:hAnsi="宋体" w:cs="宋体"/>
                <w:kern w:val="0"/>
                <w:szCs w:val="21"/>
              </w:rPr>
            </w:pPr>
            <w:r>
              <w:rPr>
                <w:rFonts w:ascii="宋体" w:hAnsi="宋体" w:cs="宋体" w:hint="eastAsia"/>
                <w:kern w:val="0"/>
                <w:szCs w:val="21"/>
              </w:rPr>
              <w:t>深50-100m</w:t>
            </w:r>
          </w:p>
        </w:tc>
        <w:tc>
          <w:tcPr>
            <w:tcW w:w="1055" w:type="pct"/>
            <w:shd w:val="clear" w:color="000000" w:fill="FFFFFF"/>
            <w:vAlign w:val="center"/>
          </w:tcPr>
          <w:p w14:paraId="6F6B3EF1" w14:textId="77777777" w:rsidR="00A320E6" w:rsidRDefault="00000000" w:rsidP="00AE0286">
            <w:pPr>
              <w:jc w:val="center"/>
              <w:rPr>
                <w:rFonts w:ascii="宋体" w:hAnsi="宋体" w:cs="宋体"/>
                <w:kern w:val="0"/>
                <w:szCs w:val="21"/>
              </w:rPr>
            </w:pPr>
            <w:r>
              <w:rPr>
                <w:rFonts w:ascii="宋体" w:hAnsi="宋体" w:cs="宋体" w:hint="eastAsia"/>
                <w:kern w:val="0"/>
                <w:szCs w:val="21"/>
              </w:rPr>
              <w:t>250-320元/m</w:t>
            </w:r>
          </w:p>
        </w:tc>
        <w:tc>
          <w:tcPr>
            <w:tcW w:w="1806" w:type="pct"/>
            <w:vMerge/>
            <w:shd w:val="clear" w:color="000000" w:fill="FFFFFF"/>
            <w:vAlign w:val="center"/>
          </w:tcPr>
          <w:p w14:paraId="005A8A5B" w14:textId="77777777" w:rsidR="00A320E6" w:rsidRDefault="00A320E6" w:rsidP="00AE0286">
            <w:pPr>
              <w:jc w:val="left"/>
              <w:rPr>
                <w:rFonts w:ascii="宋体" w:hAnsi="宋体" w:cs="宋体"/>
                <w:kern w:val="0"/>
                <w:szCs w:val="21"/>
              </w:rPr>
            </w:pPr>
          </w:p>
        </w:tc>
      </w:tr>
      <w:tr w:rsidR="008B03FA" w14:paraId="7E9E50BE" w14:textId="77777777" w:rsidTr="008B03FA">
        <w:trPr>
          <w:trHeight w:val="312"/>
          <w:jc w:val="center"/>
        </w:trPr>
        <w:tc>
          <w:tcPr>
            <w:tcW w:w="389" w:type="pct"/>
            <w:vMerge/>
            <w:vAlign w:val="center"/>
          </w:tcPr>
          <w:p w14:paraId="72A56379" w14:textId="77777777" w:rsidR="00A320E6" w:rsidRDefault="00A320E6" w:rsidP="00AE0286">
            <w:pPr>
              <w:jc w:val="left"/>
              <w:rPr>
                <w:rFonts w:ascii="宋体" w:hAnsi="宋体" w:cs="宋体"/>
                <w:kern w:val="0"/>
                <w:szCs w:val="21"/>
              </w:rPr>
            </w:pPr>
          </w:p>
        </w:tc>
        <w:tc>
          <w:tcPr>
            <w:tcW w:w="484" w:type="pct"/>
            <w:vMerge/>
            <w:vAlign w:val="center"/>
          </w:tcPr>
          <w:p w14:paraId="4DE61004" w14:textId="77777777" w:rsidR="00A320E6" w:rsidRDefault="00A320E6" w:rsidP="00AE0286">
            <w:pPr>
              <w:jc w:val="left"/>
              <w:rPr>
                <w:rFonts w:ascii="宋体" w:hAnsi="宋体" w:cs="宋体"/>
                <w:kern w:val="0"/>
                <w:szCs w:val="21"/>
              </w:rPr>
            </w:pPr>
          </w:p>
        </w:tc>
        <w:tc>
          <w:tcPr>
            <w:tcW w:w="660" w:type="pct"/>
            <w:vMerge/>
            <w:vAlign w:val="center"/>
          </w:tcPr>
          <w:p w14:paraId="0E015B6C" w14:textId="77777777" w:rsidR="00A320E6" w:rsidRDefault="00A320E6" w:rsidP="00AE0286">
            <w:pPr>
              <w:jc w:val="left"/>
              <w:rPr>
                <w:rFonts w:ascii="宋体" w:hAnsi="宋体" w:cs="宋体"/>
                <w:kern w:val="0"/>
                <w:szCs w:val="21"/>
              </w:rPr>
            </w:pPr>
          </w:p>
        </w:tc>
        <w:tc>
          <w:tcPr>
            <w:tcW w:w="604" w:type="pct"/>
            <w:shd w:val="clear" w:color="000000" w:fill="FFFFFF"/>
            <w:vAlign w:val="center"/>
          </w:tcPr>
          <w:p w14:paraId="651CFC46" w14:textId="77777777" w:rsidR="00A320E6" w:rsidRDefault="00000000" w:rsidP="00AE0286">
            <w:pPr>
              <w:rPr>
                <w:rFonts w:ascii="宋体" w:hAnsi="宋体" w:cs="宋体"/>
                <w:kern w:val="0"/>
                <w:szCs w:val="21"/>
              </w:rPr>
            </w:pPr>
            <w:r>
              <w:rPr>
                <w:rFonts w:ascii="宋体" w:hAnsi="宋体" w:cs="宋体" w:hint="eastAsia"/>
                <w:kern w:val="0"/>
                <w:szCs w:val="21"/>
              </w:rPr>
              <w:t>深100-250m</w:t>
            </w:r>
          </w:p>
        </w:tc>
        <w:tc>
          <w:tcPr>
            <w:tcW w:w="1055" w:type="pct"/>
            <w:shd w:val="clear" w:color="000000" w:fill="FFFFFF"/>
            <w:vAlign w:val="center"/>
          </w:tcPr>
          <w:p w14:paraId="2406F28E" w14:textId="77777777" w:rsidR="00A320E6" w:rsidRDefault="00000000" w:rsidP="00AE0286">
            <w:pPr>
              <w:jc w:val="center"/>
              <w:rPr>
                <w:rFonts w:ascii="宋体" w:hAnsi="宋体" w:cs="宋体"/>
                <w:kern w:val="0"/>
                <w:szCs w:val="21"/>
              </w:rPr>
            </w:pPr>
            <w:r>
              <w:rPr>
                <w:rFonts w:ascii="宋体" w:hAnsi="宋体" w:cs="宋体" w:hint="eastAsia"/>
                <w:kern w:val="0"/>
                <w:szCs w:val="21"/>
              </w:rPr>
              <w:t>320-400元/m</w:t>
            </w:r>
          </w:p>
        </w:tc>
        <w:tc>
          <w:tcPr>
            <w:tcW w:w="1806" w:type="pct"/>
            <w:vMerge/>
            <w:shd w:val="clear" w:color="000000" w:fill="FFFFFF"/>
            <w:vAlign w:val="center"/>
          </w:tcPr>
          <w:p w14:paraId="3994055B" w14:textId="77777777" w:rsidR="00A320E6" w:rsidRDefault="00A320E6" w:rsidP="00AE0286">
            <w:pPr>
              <w:jc w:val="left"/>
              <w:rPr>
                <w:rFonts w:ascii="宋体" w:hAnsi="宋体" w:cs="宋体"/>
                <w:kern w:val="0"/>
                <w:szCs w:val="21"/>
              </w:rPr>
            </w:pPr>
          </w:p>
        </w:tc>
      </w:tr>
      <w:tr w:rsidR="008B03FA" w14:paraId="7293802F" w14:textId="77777777" w:rsidTr="008B03FA">
        <w:trPr>
          <w:trHeight w:val="312"/>
          <w:jc w:val="center"/>
        </w:trPr>
        <w:tc>
          <w:tcPr>
            <w:tcW w:w="389" w:type="pct"/>
            <w:vMerge/>
            <w:vAlign w:val="center"/>
          </w:tcPr>
          <w:p w14:paraId="1A8C7D51" w14:textId="77777777" w:rsidR="00A320E6" w:rsidRDefault="00A320E6" w:rsidP="00AE0286">
            <w:pPr>
              <w:jc w:val="left"/>
              <w:rPr>
                <w:rFonts w:ascii="宋体" w:hAnsi="宋体" w:cs="宋体"/>
                <w:kern w:val="0"/>
                <w:szCs w:val="21"/>
              </w:rPr>
            </w:pPr>
          </w:p>
        </w:tc>
        <w:tc>
          <w:tcPr>
            <w:tcW w:w="484" w:type="pct"/>
            <w:vMerge/>
            <w:vAlign w:val="center"/>
          </w:tcPr>
          <w:p w14:paraId="1AB03C4F" w14:textId="77777777" w:rsidR="00A320E6" w:rsidRDefault="00A320E6" w:rsidP="00AE0286">
            <w:pPr>
              <w:jc w:val="left"/>
              <w:rPr>
                <w:rFonts w:ascii="宋体" w:hAnsi="宋体" w:cs="宋体"/>
                <w:kern w:val="0"/>
                <w:szCs w:val="21"/>
              </w:rPr>
            </w:pPr>
          </w:p>
        </w:tc>
        <w:tc>
          <w:tcPr>
            <w:tcW w:w="660" w:type="pct"/>
            <w:vMerge/>
            <w:vAlign w:val="center"/>
          </w:tcPr>
          <w:p w14:paraId="760658CB" w14:textId="77777777" w:rsidR="00A320E6" w:rsidRDefault="00A320E6" w:rsidP="00AE0286">
            <w:pPr>
              <w:jc w:val="left"/>
              <w:rPr>
                <w:rFonts w:ascii="宋体" w:hAnsi="宋体" w:cs="宋体"/>
                <w:kern w:val="0"/>
                <w:szCs w:val="21"/>
              </w:rPr>
            </w:pPr>
          </w:p>
        </w:tc>
        <w:tc>
          <w:tcPr>
            <w:tcW w:w="604" w:type="pct"/>
            <w:shd w:val="clear" w:color="000000" w:fill="FFFFFF"/>
            <w:vAlign w:val="center"/>
          </w:tcPr>
          <w:p w14:paraId="6C89697E" w14:textId="77777777" w:rsidR="00A320E6" w:rsidRDefault="00000000" w:rsidP="00AE0286">
            <w:pPr>
              <w:rPr>
                <w:rFonts w:ascii="宋体" w:hAnsi="宋体" w:cs="宋体"/>
                <w:kern w:val="0"/>
                <w:szCs w:val="21"/>
              </w:rPr>
            </w:pPr>
            <w:r>
              <w:rPr>
                <w:rFonts w:ascii="宋体" w:hAnsi="宋体" w:cs="宋体" w:hint="eastAsia"/>
                <w:kern w:val="0"/>
                <w:szCs w:val="21"/>
              </w:rPr>
              <w:t>深250m以上</w:t>
            </w:r>
          </w:p>
        </w:tc>
        <w:tc>
          <w:tcPr>
            <w:tcW w:w="1055" w:type="pct"/>
            <w:shd w:val="clear" w:color="000000" w:fill="FFFFFF"/>
            <w:vAlign w:val="center"/>
          </w:tcPr>
          <w:p w14:paraId="6EA0E974" w14:textId="77777777" w:rsidR="00A320E6" w:rsidRDefault="00000000" w:rsidP="00AE0286">
            <w:pPr>
              <w:jc w:val="center"/>
              <w:rPr>
                <w:rFonts w:ascii="宋体" w:hAnsi="宋体" w:cs="宋体"/>
                <w:kern w:val="0"/>
                <w:szCs w:val="21"/>
              </w:rPr>
            </w:pPr>
            <w:r>
              <w:rPr>
                <w:rFonts w:ascii="宋体" w:hAnsi="宋体" w:cs="宋体" w:hint="eastAsia"/>
                <w:kern w:val="0"/>
                <w:szCs w:val="21"/>
              </w:rPr>
              <w:t>400-500元/m</w:t>
            </w:r>
          </w:p>
        </w:tc>
        <w:tc>
          <w:tcPr>
            <w:tcW w:w="1806" w:type="pct"/>
            <w:vMerge/>
            <w:shd w:val="clear" w:color="000000" w:fill="FFFFFF"/>
            <w:vAlign w:val="center"/>
          </w:tcPr>
          <w:p w14:paraId="2E28E986" w14:textId="77777777" w:rsidR="00A320E6" w:rsidRDefault="00A320E6" w:rsidP="00AE0286">
            <w:pPr>
              <w:jc w:val="left"/>
              <w:rPr>
                <w:rFonts w:ascii="宋体" w:hAnsi="宋体" w:cs="宋体"/>
                <w:kern w:val="0"/>
                <w:szCs w:val="21"/>
              </w:rPr>
            </w:pPr>
          </w:p>
        </w:tc>
      </w:tr>
      <w:tr w:rsidR="008B03FA" w14:paraId="34450C28" w14:textId="77777777" w:rsidTr="008B03FA">
        <w:trPr>
          <w:trHeight w:val="312"/>
          <w:jc w:val="center"/>
        </w:trPr>
        <w:tc>
          <w:tcPr>
            <w:tcW w:w="389" w:type="pct"/>
            <w:vMerge w:val="restart"/>
            <w:shd w:val="clear" w:color="000000" w:fill="FFFFFF"/>
            <w:vAlign w:val="center"/>
          </w:tcPr>
          <w:p w14:paraId="1FA9885B" w14:textId="77777777" w:rsidR="00A320E6" w:rsidRDefault="00000000" w:rsidP="00AE0286">
            <w:pPr>
              <w:jc w:val="center"/>
              <w:rPr>
                <w:rFonts w:ascii="宋体" w:hAnsi="宋体" w:cs="宋体"/>
                <w:kern w:val="0"/>
                <w:szCs w:val="21"/>
              </w:rPr>
            </w:pPr>
            <w:r>
              <w:rPr>
                <w:rFonts w:ascii="宋体" w:hAnsi="宋体" w:cs="宋体" w:hint="eastAsia"/>
                <w:kern w:val="0"/>
                <w:szCs w:val="21"/>
              </w:rPr>
              <w:t>11</w:t>
            </w:r>
          </w:p>
        </w:tc>
        <w:tc>
          <w:tcPr>
            <w:tcW w:w="484" w:type="pct"/>
            <w:vMerge w:val="restart"/>
            <w:shd w:val="clear" w:color="000000" w:fill="FFFFFF"/>
            <w:vAlign w:val="center"/>
          </w:tcPr>
          <w:p w14:paraId="45E0D982" w14:textId="77777777" w:rsidR="00A320E6" w:rsidRDefault="00000000" w:rsidP="00AE0286">
            <w:pPr>
              <w:jc w:val="center"/>
              <w:rPr>
                <w:rFonts w:ascii="宋体" w:hAnsi="宋体" w:cs="宋体"/>
                <w:kern w:val="0"/>
                <w:szCs w:val="21"/>
              </w:rPr>
            </w:pPr>
            <w:r>
              <w:rPr>
                <w:rFonts w:ascii="宋体" w:hAnsi="宋体" w:cs="宋体" w:hint="eastAsia"/>
                <w:kern w:val="0"/>
                <w:szCs w:val="21"/>
              </w:rPr>
              <w:t>乔木</w:t>
            </w:r>
          </w:p>
        </w:tc>
        <w:tc>
          <w:tcPr>
            <w:tcW w:w="1265" w:type="pct"/>
            <w:gridSpan w:val="2"/>
            <w:shd w:val="clear" w:color="000000" w:fill="FFFFFF"/>
            <w:vAlign w:val="center"/>
          </w:tcPr>
          <w:p w14:paraId="5E0530E2" w14:textId="77777777" w:rsidR="00A320E6" w:rsidRDefault="00000000" w:rsidP="00AE0286">
            <w:pPr>
              <w:rPr>
                <w:rFonts w:ascii="宋体" w:hAnsi="宋体" w:cs="宋体"/>
                <w:kern w:val="0"/>
                <w:szCs w:val="21"/>
              </w:rPr>
            </w:pPr>
            <w:r>
              <w:rPr>
                <w:rFonts w:ascii="宋体" w:hAnsi="宋体" w:cs="宋体" w:hint="eastAsia"/>
                <w:kern w:val="0"/>
                <w:szCs w:val="21"/>
              </w:rPr>
              <w:t>胸径小于5cm（幼树，松柏树小于3cm）</w:t>
            </w:r>
          </w:p>
        </w:tc>
        <w:tc>
          <w:tcPr>
            <w:tcW w:w="1055" w:type="pct"/>
            <w:shd w:val="clear" w:color="000000" w:fill="FFFFFF"/>
            <w:vAlign w:val="center"/>
          </w:tcPr>
          <w:p w14:paraId="08313415" w14:textId="77777777" w:rsidR="00A320E6" w:rsidRDefault="00000000" w:rsidP="00AE0286">
            <w:pPr>
              <w:jc w:val="center"/>
              <w:rPr>
                <w:rFonts w:ascii="宋体" w:hAnsi="宋体" w:cs="宋体"/>
                <w:kern w:val="0"/>
                <w:szCs w:val="21"/>
              </w:rPr>
            </w:pPr>
            <w:r>
              <w:rPr>
                <w:rFonts w:ascii="宋体" w:hAnsi="宋体" w:cs="宋体" w:hint="eastAsia"/>
                <w:kern w:val="0"/>
                <w:szCs w:val="21"/>
              </w:rPr>
              <w:t>10-15元/株</w:t>
            </w:r>
          </w:p>
        </w:tc>
        <w:tc>
          <w:tcPr>
            <w:tcW w:w="1806" w:type="pct"/>
            <w:vMerge w:val="restart"/>
            <w:shd w:val="clear" w:color="000000" w:fill="FFFFFF"/>
            <w:vAlign w:val="center"/>
          </w:tcPr>
          <w:p w14:paraId="62A7C545" w14:textId="77777777" w:rsidR="00A320E6" w:rsidRDefault="00000000" w:rsidP="00AE0286">
            <w:pPr>
              <w:rPr>
                <w:rFonts w:ascii="宋体" w:hAnsi="宋体" w:cs="宋体"/>
                <w:kern w:val="0"/>
                <w:szCs w:val="21"/>
              </w:rPr>
            </w:pPr>
            <w:r>
              <w:rPr>
                <w:rFonts w:ascii="宋体" w:hAnsi="宋体" w:cs="宋体" w:hint="eastAsia"/>
                <w:kern w:val="0"/>
                <w:szCs w:val="21"/>
              </w:rPr>
              <w:t>1.乔木指用材林种，沿海防护林基干林带、山丘地区防护林乔木补偿标准可提高40-60%，绿化等特种用途林树木价格按专业机构评估价格补偿；</w:t>
            </w:r>
          </w:p>
          <w:p w14:paraId="5947D862" w14:textId="77777777" w:rsidR="00A320E6" w:rsidRDefault="00000000" w:rsidP="00AE0286">
            <w:pPr>
              <w:rPr>
                <w:rFonts w:ascii="宋体" w:hAnsi="宋体" w:cs="宋体"/>
                <w:kern w:val="0"/>
                <w:szCs w:val="21"/>
              </w:rPr>
            </w:pPr>
            <w:r>
              <w:rPr>
                <w:rFonts w:ascii="宋体" w:hAnsi="宋体" w:cs="宋体" w:hint="eastAsia"/>
                <w:kern w:val="0"/>
                <w:szCs w:val="21"/>
              </w:rPr>
              <w:t>2.树归原主。</w:t>
            </w:r>
          </w:p>
        </w:tc>
      </w:tr>
      <w:tr w:rsidR="008B03FA" w14:paraId="6408525E" w14:textId="77777777" w:rsidTr="008B03FA">
        <w:trPr>
          <w:trHeight w:val="312"/>
          <w:jc w:val="center"/>
        </w:trPr>
        <w:tc>
          <w:tcPr>
            <w:tcW w:w="389" w:type="pct"/>
            <w:vMerge/>
            <w:vAlign w:val="center"/>
          </w:tcPr>
          <w:p w14:paraId="57F02B3A" w14:textId="77777777" w:rsidR="00A320E6" w:rsidRDefault="00A320E6" w:rsidP="00AE0286">
            <w:pPr>
              <w:jc w:val="left"/>
              <w:rPr>
                <w:rFonts w:ascii="宋体" w:hAnsi="宋体" w:cs="宋体"/>
                <w:kern w:val="0"/>
                <w:szCs w:val="21"/>
              </w:rPr>
            </w:pPr>
          </w:p>
        </w:tc>
        <w:tc>
          <w:tcPr>
            <w:tcW w:w="484" w:type="pct"/>
            <w:vMerge/>
            <w:vAlign w:val="center"/>
          </w:tcPr>
          <w:p w14:paraId="33B741F6"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86A57CE" w14:textId="77777777" w:rsidR="00A320E6" w:rsidRDefault="00000000" w:rsidP="00AE0286">
            <w:pPr>
              <w:rPr>
                <w:rFonts w:ascii="宋体" w:hAnsi="宋体" w:cs="宋体"/>
                <w:kern w:val="0"/>
                <w:szCs w:val="21"/>
              </w:rPr>
            </w:pPr>
            <w:r>
              <w:rPr>
                <w:rFonts w:ascii="宋体" w:hAnsi="宋体" w:cs="宋体" w:hint="eastAsia"/>
                <w:kern w:val="0"/>
                <w:szCs w:val="21"/>
              </w:rPr>
              <w:t>胸径5-10cm（松柏树3-6cm）（不含）</w:t>
            </w:r>
          </w:p>
        </w:tc>
        <w:tc>
          <w:tcPr>
            <w:tcW w:w="1055" w:type="pct"/>
            <w:shd w:val="clear" w:color="000000" w:fill="FFFFFF"/>
            <w:vAlign w:val="center"/>
          </w:tcPr>
          <w:p w14:paraId="42B740B8" w14:textId="77777777" w:rsidR="00A320E6" w:rsidRDefault="00000000" w:rsidP="00AE0286">
            <w:pPr>
              <w:jc w:val="center"/>
              <w:rPr>
                <w:rFonts w:ascii="宋体" w:hAnsi="宋体" w:cs="宋体"/>
                <w:kern w:val="0"/>
                <w:szCs w:val="21"/>
              </w:rPr>
            </w:pPr>
            <w:r>
              <w:rPr>
                <w:rFonts w:ascii="宋体" w:hAnsi="宋体" w:cs="宋体" w:hint="eastAsia"/>
                <w:kern w:val="0"/>
                <w:szCs w:val="21"/>
              </w:rPr>
              <w:t>60-80元/株</w:t>
            </w:r>
          </w:p>
        </w:tc>
        <w:tc>
          <w:tcPr>
            <w:tcW w:w="1806" w:type="pct"/>
            <w:vMerge/>
            <w:vAlign w:val="center"/>
          </w:tcPr>
          <w:p w14:paraId="0B3AA63E" w14:textId="77777777" w:rsidR="00A320E6" w:rsidRDefault="00A320E6" w:rsidP="00AE0286">
            <w:pPr>
              <w:jc w:val="left"/>
              <w:rPr>
                <w:rFonts w:ascii="宋体" w:hAnsi="宋体" w:cs="宋体"/>
                <w:kern w:val="0"/>
                <w:szCs w:val="21"/>
              </w:rPr>
            </w:pPr>
          </w:p>
        </w:tc>
      </w:tr>
      <w:tr w:rsidR="008B03FA" w14:paraId="08465862" w14:textId="77777777" w:rsidTr="008B03FA">
        <w:trPr>
          <w:trHeight w:val="312"/>
          <w:jc w:val="center"/>
        </w:trPr>
        <w:tc>
          <w:tcPr>
            <w:tcW w:w="389" w:type="pct"/>
            <w:vMerge/>
            <w:vAlign w:val="center"/>
          </w:tcPr>
          <w:p w14:paraId="2E4CC2AE" w14:textId="77777777" w:rsidR="00A320E6" w:rsidRDefault="00A320E6" w:rsidP="00AE0286">
            <w:pPr>
              <w:jc w:val="left"/>
              <w:rPr>
                <w:rFonts w:ascii="宋体" w:hAnsi="宋体" w:cs="宋体"/>
                <w:kern w:val="0"/>
                <w:szCs w:val="21"/>
              </w:rPr>
            </w:pPr>
          </w:p>
        </w:tc>
        <w:tc>
          <w:tcPr>
            <w:tcW w:w="484" w:type="pct"/>
            <w:vMerge/>
            <w:vAlign w:val="center"/>
          </w:tcPr>
          <w:p w14:paraId="51D56194"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20D58D7" w14:textId="77777777" w:rsidR="00A320E6" w:rsidRDefault="00000000" w:rsidP="00AE0286">
            <w:pPr>
              <w:rPr>
                <w:rFonts w:ascii="宋体" w:hAnsi="宋体" w:cs="宋体"/>
                <w:kern w:val="0"/>
                <w:szCs w:val="21"/>
              </w:rPr>
            </w:pPr>
            <w:r>
              <w:rPr>
                <w:rFonts w:ascii="宋体" w:hAnsi="宋体" w:cs="宋体" w:hint="eastAsia"/>
                <w:kern w:val="0"/>
                <w:szCs w:val="21"/>
              </w:rPr>
              <w:t>胸径10-20cm（松柏树6-10cm）</w:t>
            </w:r>
          </w:p>
        </w:tc>
        <w:tc>
          <w:tcPr>
            <w:tcW w:w="1055" w:type="pct"/>
            <w:shd w:val="clear" w:color="000000" w:fill="FFFFFF"/>
            <w:vAlign w:val="center"/>
          </w:tcPr>
          <w:p w14:paraId="5515DD10" w14:textId="77777777" w:rsidR="00A320E6" w:rsidRDefault="00000000" w:rsidP="00AE0286">
            <w:pPr>
              <w:jc w:val="center"/>
              <w:rPr>
                <w:rFonts w:ascii="宋体" w:hAnsi="宋体" w:cs="宋体"/>
                <w:kern w:val="0"/>
                <w:szCs w:val="21"/>
              </w:rPr>
            </w:pPr>
            <w:r>
              <w:rPr>
                <w:rFonts w:ascii="宋体" w:hAnsi="宋体" w:cs="宋体" w:hint="eastAsia"/>
                <w:kern w:val="0"/>
                <w:szCs w:val="21"/>
              </w:rPr>
              <w:t>80-100元/株</w:t>
            </w:r>
          </w:p>
        </w:tc>
        <w:tc>
          <w:tcPr>
            <w:tcW w:w="1806" w:type="pct"/>
            <w:vMerge/>
            <w:vAlign w:val="center"/>
          </w:tcPr>
          <w:p w14:paraId="42CE880E" w14:textId="77777777" w:rsidR="00A320E6" w:rsidRDefault="00A320E6" w:rsidP="00AE0286">
            <w:pPr>
              <w:jc w:val="left"/>
              <w:rPr>
                <w:rFonts w:ascii="宋体" w:hAnsi="宋体" w:cs="宋体"/>
                <w:kern w:val="0"/>
                <w:szCs w:val="21"/>
              </w:rPr>
            </w:pPr>
          </w:p>
        </w:tc>
      </w:tr>
      <w:tr w:rsidR="008B03FA" w14:paraId="64F1F423" w14:textId="77777777" w:rsidTr="008B03FA">
        <w:trPr>
          <w:trHeight w:val="312"/>
          <w:jc w:val="center"/>
        </w:trPr>
        <w:tc>
          <w:tcPr>
            <w:tcW w:w="389" w:type="pct"/>
            <w:vMerge/>
            <w:vAlign w:val="center"/>
          </w:tcPr>
          <w:p w14:paraId="0DB94C2C" w14:textId="77777777" w:rsidR="00A320E6" w:rsidRDefault="00A320E6" w:rsidP="00AE0286">
            <w:pPr>
              <w:jc w:val="left"/>
              <w:rPr>
                <w:rFonts w:ascii="宋体" w:hAnsi="宋体" w:cs="宋体"/>
                <w:kern w:val="0"/>
                <w:szCs w:val="21"/>
              </w:rPr>
            </w:pPr>
          </w:p>
        </w:tc>
        <w:tc>
          <w:tcPr>
            <w:tcW w:w="484" w:type="pct"/>
            <w:vMerge/>
            <w:vAlign w:val="center"/>
          </w:tcPr>
          <w:p w14:paraId="18ABD9AD"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3CA8357" w14:textId="77777777" w:rsidR="00A320E6" w:rsidRDefault="00000000" w:rsidP="00AE0286">
            <w:pPr>
              <w:rPr>
                <w:rFonts w:ascii="宋体" w:hAnsi="宋体" w:cs="宋体"/>
                <w:kern w:val="0"/>
                <w:szCs w:val="21"/>
              </w:rPr>
            </w:pPr>
            <w:r>
              <w:rPr>
                <w:rFonts w:ascii="宋体" w:hAnsi="宋体" w:cs="宋体" w:hint="eastAsia"/>
                <w:kern w:val="0"/>
                <w:szCs w:val="21"/>
              </w:rPr>
              <w:t>胸径大于20cm（松柏树10cm）以上成材树</w:t>
            </w:r>
          </w:p>
        </w:tc>
        <w:tc>
          <w:tcPr>
            <w:tcW w:w="1055" w:type="pct"/>
            <w:shd w:val="clear" w:color="000000" w:fill="FFFFFF"/>
            <w:vAlign w:val="center"/>
          </w:tcPr>
          <w:p w14:paraId="5B1D4AA4" w14:textId="77777777" w:rsidR="00A320E6" w:rsidRDefault="00000000" w:rsidP="00AE0286">
            <w:pPr>
              <w:jc w:val="center"/>
              <w:rPr>
                <w:rFonts w:ascii="宋体" w:hAnsi="宋体" w:cs="宋体"/>
                <w:kern w:val="0"/>
                <w:szCs w:val="21"/>
              </w:rPr>
            </w:pPr>
            <w:r>
              <w:rPr>
                <w:rFonts w:ascii="宋体" w:hAnsi="宋体" w:cs="宋体" w:hint="eastAsia"/>
                <w:kern w:val="0"/>
                <w:szCs w:val="21"/>
              </w:rPr>
              <w:t>150元/株</w:t>
            </w:r>
          </w:p>
        </w:tc>
        <w:tc>
          <w:tcPr>
            <w:tcW w:w="1806" w:type="pct"/>
            <w:vMerge/>
            <w:vAlign w:val="center"/>
          </w:tcPr>
          <w:p w14:paraId="0DC54B99" w14:textId="77777777" w:rsidR="00A320E6" w:rsidRDefault="00A320E6" w:rsidP="00AE0286">
            <w:pPr>
              <w:jc w:val="left"/>
              <w:rPr>
                <w:rFonts w:ascii="宋体" w:hAnsi="宋体" w:cs="宋体"/>
                <w:kern w:val="0"/>
                <w:szCs w:val="21"/>
              </w:rPr>
            </w:pPr>
          </w:p>
        </w:tc>
      </w:tr>
      <w:tr w:rsidR="008B03FA" w14:paraId="36ACE7AD" w14:textId="77777777" w:rsidTr="008B03FA">
        <w:trPr>
          <w:trHeight w:val="312"/>
          <w:jc w:val="center"/>
        </w:trPr>
        <w:tc>
          <w:tcPr>
            <w:tcW w:w="389" w:type="pct"/>
            <w:vMerge w:val="restart"/>
            <w:shd w:val="clear" w:color="000000" w:fill="FFFFFF"/>
            <w:vAlign w:val="center"/>
          </w:tcPr>
          <w:p w14:paraId="312FCE77" w14:textId="77777777" w:rsidR="00A320E6" w:rsidRDefault="00000000" w:rsidP="00AE0286">
            <w:pPr>
              <w:jc w:val="center"/>
              <w:rPr>
                <w:rFonts w:ascii="宋体" w:hAnsi="宋体" w:cs="宋体"/>
                <w:kern w:val="0"/>
                <w:szCs w:val="21"/>
              </w:rPr>
            </w:pPr>
            <w:r>
              <w:rPr>
                <w:rFonts w:ascii="宋体" w:hAnsi="宋体" w:cs="宋体" w:hint="eastAsia"/>
                <w:kern w:val="0"/>
                <w:szCs w:val="21"/>
              </w:rPr>
              <w:t>12</w:t>
            </w:r>
          </w:p>
        </w:tc>
        <w:tc>
          <w:tcPr>
            <w:tcW w:w="484" w:type="pct"/>
            <w:vMerge w:val="restart"/>
            <w:shd w:val="clear" w:color="000000" w:fill="FFFFFF"/>
            <w:vAlign w:val="center"/>
          </w:tcPr>
          <w:p w14:paraId="1210665A" w14:textId="77777777" w:rsidR="00A320E6" w:rsidRDefault="00000000" w:rsidP="00AE0286">
            <w:pPr>
              <w:jc w:val="center"/>
              <w:rPr>
                <w:rFonts w:ascii="宋体" w:hAnsi="宋体" w:cs="宋体"/>
                <w:kern w:val="0"/>
                <w:szCs w:val="21"/>
              </w:rPr>
            </w:pPr>
            <w:r>
              <w:rPr>
                <w:rFonts w:ascii="宋体" w:hAnsi="宋体" w:cs="宋体" w:hint="eastAsia"/>
                <w:kern w:val="0"/>
                <w:szCs w:val="21"/>
              </w:rPr>
              <w:t>果树</w:t>
            </w:r>
          </w:p>
        </w:tc>
        <w:tc>
          <w:tcPr>
            <w:tcW w:w="1265" w:type="pct"/>
            <w:gridSpan w:val="2"/>
            <w:shd w:val="clear" w:color="000000" w:fill="FFFFFF"/>
            <w:vAlign w:val="center"/>
          </w:tcPr>
          <w:p w14:paraId="1A334A3D" w14:textId="77777777" w:rsidR="00A320E6" w:rsidRDefault="00000000" w:rsidP="00AE0286">
            <w:pPr>
              <w:rPr>
                <w:rFonts w:ascii="宋体" w:hAnsi="宋体" w:cs="宋体"/>
                <w:kern w:val="0"/>
                <w:szCs w:val="21"/>
              </w:rPr>
            </w:pPr>
            <w:r>
              <w:rPr>
                <w:rFonts w:ascii="宋体" w:hAnsi="宋体" w:cs="宋体" w:hint="eastAsia"/>
                <w:kern w:val="0"/>
                <w:szCs w:val="21"/>
              </w:rPr>
              <w:t>苗木</w:t>
            </w:r>
          </w:p>
        </w:tc>
        <w:tc>
          <w:tcPr>
            <w:tcW w:w="1055" w:type="pct"/>
            <w:shd w:val="clear" w:color="000000" w:fill="FFFFFF"/>
            <w:vAlign w:val="center"/>
          </w:tcPr>
          <w:p w14:paraId="3CB3BAD6" w14:textId="77777777" w:rsidR="00A320E6" w:rsidRDefault="00000000" w:rsidP="00AE0286">
            <w:pPr>
              <w:jc w:val="center"/>
              <w:rPr>
                <w:rFonts w:ascii="宋体" w:hAnsi="宋体" w:cs="宋体"/>
                <w:kern w:val="0"/>
                <w:szCs w:val="21"/>
              </w:rPr>
            </w:pPr>
            <w:r>
              <w:rPr>
                <w:rFonts w:ascii="宋体" w:hAnsi="宋体" w:cs="宋体" w:hint="eastAsia"/>
                <w:kern w:val="0"/>
                <w:szCs w:val="21"/>
              </w:rPr>
              <w:t>5-7元/株</w:t>
            </w:r>
          </w:p>
        </w:tc>
        <w:tc>
          <w:tcPr>
            <w:tcW w:w="1806" w:type="pct"/>
            <w:vMerge w:val="restart"/>
            <w:shd w:val="clear" w:color="000000" w:fill="FFFFFF"/>
            <w:vAlign w:val="center"/>
          </w:tcPr>
          <w:p w14:paraId="561371D1" w14:textId="77777777" w:rsidR="00A320E6" w:rsidRDefault="00000000" w:rsidP="00AE0286">
            <w:pPr>
              <w:jc w:val="left"/>
              <w:rPr>
                <w:rFonts w:ascii="宋体" w:hAnsi="宋体" w:cs="宋体"/>
                <w:kern w:val="0"/>
                <w:szCs w:val="21"/>
              </w:rPr>
            </w:pPr>
            <w:r>
              <w:rPr>
                <w:rFonts w:ascii="宋体" w:hAnsi="宋体" w:cs="宋体" w:hint="eastAsia"/>
                <w:kern w:val="0"/>
                <w:szCs w:val="21"/>
              </w:rPr>
              <w:t>1.果树包括：苹果、梨、桃、杏、核桃、樱桃、柿、枣等树种；</w:t>
            </w:r>
          </w:p>
          <w:p w14:paraId="4302431B" w14:textId="77777777" w:rsidR="00A320E6" w:rsidRDefault="00000000" w:rsidP="00AE0286">
            <w:pPr>
              <w:jc w:val="left"/>
              <w:rPr>
                <w:rFonts w:ascii="宋体" w:hAnsi="宋体" w:cs="宋体"/>
                <w:kern w:val="0"/>
                <w:szCs w:val="21"/>
              </w:rPr>
            </w:pPr>
            <w:r>
              <w:rPr>
                <w:rFonts w:ascii="宋体" w:hAnsi="宋体" w:cs="宋体" w:hint="eastAsia"/>
                <w:kern w:val="0"/>
                <w:szCs w:val="21"/>
              </w:rPr>
              <w:t>2.果树应按农林部门确定的合理密度栽植，一般每亩不超过111棵，超出部分不予计算（不含苗木）；</w:t>
            </w:r>
          </w:p>
          <w:p w14:paraId="48D53707" w14:textId="77777777" w:rsidR="00A320E6" w:rsidRDefault="00000000" w:rsidP="00AE0286">
            <w:pPr>
              <w:jc w:val="left"/>
              <w:rPr>
                <w:rFonts w:ascii="宋体" w:hAnsi="宋体" w:cs="宋体"/>
                <w:kern w:val="0"/>
                <w:szCs w:val="21"/>
              </w:rPr>
            </w:pPr>
            <w:r>
              <w:rPr>
                <w:rFonts w:ascii="宋体" w:hAnsi="宋体" w:cs="宋体" w:hint="eastAsia"/>
                <w:kern w:val="0"/>
                <w:szCs w:val="21"/>
              </w:rPr>
              <w:t>3.树归原主。</w:t>
            </w:r>
          </w:p>
        </w:tc>
      </w:tr>
      <w:tr w:rsidR="008B03FA" w14:paraId="0C8DB7CB" w14:textId="77777777" w:rsidTr="008B03FA">
        <w:trPr>
          <w:trHeight w:val="312"/>
          <w:jc w:val="center"/>
        </w:trPr>
        <w:tc>
          <w:tcPr>
            <w:tcW w:w="389" w:type="pct"/>
            <w:vMerge/>
            <w:vAlign w:val="center"/>
          </w:tcPr>
          <w:p w14:paraId="2240B36A" w14:textId="77777777" w:rsidR="00A320E6" w:rsidRDefault="00A320E6" w:rsidP="00AE0286">
            <w:pPr>
              <w:jc w:val="left"/>
              <w:rPr>
                <w:rFonts w:ascii="宋体" w:hAnsi="宋体" w:cs="宋体"/>
                <w:kern w:val="0"/>
                <w:szCs w:val="21"/>
              </w:rPr>
            </w:pPr>
          </w:p>
        </w:tc>
        <w:tc>
          <w:tcPr>
            <w:tcW w:w="484" w:type="pct"/>
            <w:vMerge/>
            <w:vAlign w:val="center"/>
          </w:tcPr>
          <w:p w14:paraId="272F9BA3"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872838B" w14:textId="77777777" w:rsidR="00A320E6" w:rsidRDefault="00000000" w:rsidP="00AE0286">
            <w:pPr>
              <w:rPr>
                <w:rFonts w:ascii="宋体" w:hAnsi="宋体" w:cs="宋体"/>
                <w:kern w:val="0"/>
                <w:szCs w:val="21"/>
              </w:rPr>
            </w:pPr>
            <w:r>
              <w:rPr>
                <w:rFonts w:ascii="宋体" w:hAnsi="宋体" w:cs="宋体" w:hint="eastAsia"/>
                <w:kern w:val="0"/>
                <w:szCs w:val="21"/>
              </w:rPr>
              <w:t>幼龄期（区分树种）</w:t>
            </w:r>
          </w:p>
        </w:tc>
        <w:tc>
          <w:tcPr>
            <w:tcW w:w="1055" w:type="pct"/>
            <w:shd w:val="clear" w:color="000000" w:fill="FFFFFF"/>
            <w:vAlign w:val="center"/>
          </w:tcPr>
          <w:p w14:paraId="0C2D68B4" w14:textId="77777777" w:rsidR="00A320E6" w:rsidRDefault="00000000" w:rsidP="00AE0286">
            <w:pPr>
              <w:jc w:val="center"/>
              <w:rPr>
                <w:rFonts w:ascii="宋体" w:hAnsi="宋体" w:cs="宋体"/>
                <w:kern w:val="0"/>
                <w:szCs w:val="21"/>
              </w:rPr>
            </w:pPr>
            <w:r>
              <w:rPr>
                <w:rFonts w:ascii="宋体" w:hAnsi="宋体" w:cs="宋体" w:hint="eastAsia"/>
                <w:kern w:val="0"/>
                <w:szCs w:val="21"/>
              </w:rPr>
              <w:t>50-80元/株</w:t>
            </w:r>
          </w:p>
        </w:tc>
        <w:tc>
          <w:tcPr>
            <w:tcW w:w="1806" w:type="pct"/>
            <w:vMerge/>
            <w:vAlign w:val="center"/>
          </w:tcPr>
          <w:p w14:paraId="451688DF" w14:textId="77777777" w:rsidR="00A320E6" w:rsidRDefault="00A320E6" w:rsidP="00AE0286">
            <w:pPr>
              <w:jc w:val="left"/>
              <w:rPr>
                <w:rFonts w:ascii="宋体" w:hAnsi="宋体" w:cs="宋体"/>
                <w:kern w:val="0"/>
                <w:szCs w:val="21"/>
              </w:rPr>
            </w:pPr>
          </w:p>
        </w:tc>
      </w:tr>
      <w:tr w:rsidR="008B03FA" w14:paraId="3931A016" w14:textId="77777777" w:rsidTr="008B03FA">
        <w:trPr>
          <w:trHeight w:val="312"/>
          <w:jc w:val="center"/>
        </w:trPr>
        <w:tc>
          <w:tcPr>
            <w:tcW w:w="389" w:type="pct"/>
            <w:vMerge/>
            <w:vAlign w:val="center"/>
          </w:tcPr>
          <w:p w14:paraId="33D0A5FD" w14:textId="77777777" w:rsidR="00A320E6" w:rsidRDefault="00A320E6" w:rsidP="00AE0286">
            <w:pPr>
              <w:jc w:val="left"/>
              <w:rPr>
                <w:rFonts w:ascii="宋体" w:hAnsi="宋体" w:cs="宋体"/>
                <w:kern w:val="0"/>
                <w:szCs w:val="21"/>
              </w:rPr>
            </w:pPr>
          </w:p>
        </w:tc>
        <w:tc>
          <w:tcPr>
            <w:tcW w:w="484" w:type="pct"/>
            <w:vMerge/>
            <w:vAlign w:val="center"/>
          </w:tcPr>
          <w:p w14:paraId="667C9A13"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52FA976" w14:textId="77777777" w:rsidR="00A320E6" w:rsidRDefault="00000000" w:rsidP="00AE0286">
            <w:pPr>
              <w:rPr>
                <w:rFonts w:ascii="宋体" w:hAnsi="宋体" w:cs="宋体"/>
                <w:kern w:val="0"/>
                <w:szCs w:val="21"/>
              </w:rPr>
            </w:pPr>
            <w:r>
              <w:rPr>
                <w:rFonts w:ascii="宋体" w:hAnsi="宋体" w:cs="宋体" w:hint="eastAsia"/>
                <w:kern w:val="0"/>
                <w:szCs w:val="21"/>
              </w:rPr>
              <w:t>初果期（区分树种）</w:t>
            </w:r>
          </w:p>
        </w:tc>
        <w:tc>
          <w:tcPr>
            <w:tcW w:w="1055" w:type="pct"/>
            <w:shd w:val="clear" w:color="000000" w:fill="FFFFFF"/>
            <w:vAlign w:val="center"/>
          </w:tcPr>
          <w:p w14:paraId="2084F68D" w14:textId="77777777" w:rsidR="00A320E6" w:rsidRDefault="00000000" w:rsidP="00AE0286">
            <w:pPr>
              <w:jc w:val="center"/>
              <w:rPr>
                <w:rFonts w:ascii="宋体" w:hAnsi="宋体" w:cs="宋体"/>
                <w:kern w:val="0"/>
                <w:szCs w:val="21"/>
              </w:rPr>
            </w:pPr>
            <w:r>
              <w:rPr>
                <w:rFonts w:ascii="宋体" w:hAnsi="宋体" w:cs="宋体" w:hint="eastAsia"/>
                <w:kern w:val="0"/>
                <w:szCs w:val="21"/>
              </w:rPr>
              <w:t>250-350元/株</w:t>
            </w:r>
          </w:p>
        </w:tc>
        <w:tc>
          <w:tcPr>
            <w:tcW w:w="1806" w:type="pct"/>
            <w:vMerge/>
            <w:vAlign w:val="center"/>
          </w:tcPr>
          <w:p w14:paraId="27F33B2B" w14:textId="77777777" w:rsidR="00A320E6" w:rsidRDefault="00A320E6" w:rsidP="00AE0286">
            <w:pPr>
              <w:jc w:val="left"/>
              <w:rPr>
                <w:rFonts w:ascii="宋体" w:hAnsi="宋体" w:cs="宋体"/>
                <w:kern w:val="0"/>
                <w:szCs w:val="21"/>
              </w:rPr>
            </w:pPr>
          </w:p>
        </w:tc>
      </w:tr>
      <w:tr w:rsidR="008B03FA" w14:paraId="53F6C745" w14:textId="77777777" w:rsidTr="008B03FA">
        <w:trPr>
          <w:trHeight w:val="312"/>
          <w:jc w:val="center"/>
        </w:trPr>
        <w:tc>
          <w:tcPr>
            <w:tcW w:w="389" w:type="pct"/>
            <w:vMerge/>
            <w:vAlign w:val="center"/>
          </w:tcPr>
          <w:p w14:paraId="3FD74010" w14:textId="77777777" w:rsidR="00A320E6" w:rsidRDefault="00A320E6" w:rsidP="00AE0286">
            <w:pPr>
              <w:jc w:val="left"/>
              <w:rPr>
                <w:rFonts w:ascii="宋体" w:hAnsi="宋体" w:cs="宋体"/>
                <w:kern w:val="0"/>
                <w:szCs w:val="21"/>
              </w:rPr>
            </w:pPr>
          </w:p>
        </w:tc>
        <w:tc>
          <w:tcPr>
            <w:tcW w:w="484" w:type="pct"/>
            <w:vMerge/>
            <w:vAlign w:val="center"/>
          </w:tcPr>
          <w:p w14:paraId="3FC17802"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7C25C887" w14:textId="77777777" w:rsidR="00A320E6" w:rsidRDefault="00000000" w:rsidP="00AE0286">
            <w:pPr>
              <w:rPr>
                <w:rFonts w:ascii="宋体" w:hAnsi="宋体" w:cs="宋体"/>
                <w:kern w:val="0"/>
                <w:szCs w:val="21"/>
              </w:rPr>
            </w:pPr>
            <w:r>
              <w:rPr>
                <w:rFonts w:ascii="宋体" w:hAnsi="宋体" w:cs="宋体" w:hint="eastAsia"/>
                <w:kern w:val="0"/>
                <w:szCs w:val="21"/>
              </w:rPr>
              <w:t>盛果期（区分树种）</w:t>
            </w:r>
          </w:p>
        </w:tc>
        <w:tc>
          <w:tcPr>
            <w:tcW w:w="1055" w:type="pct"/>
            <w:shd w:val="clear" w:color="000000" w:fill="FFFFFF"/>
            <w:vAlign w:val="center"/>
          </w:tcPr>
          <w:p w14:paraId="508AE126" w14:textId="77777777" w:rsidR="00A320E6" w:rsidRDefault="00000000" w:rsidP="00AE0286">
            <w:pPr>
              <w:jc w:val="center"/>
              <w:rPr>
                <w:rFonts w:ascii="宋体" w:hAnsi="宋体" w:cs="宋体"/>
                <w:kern w:val="0"/>
                <w:szCs w:val="21"/>
              </w:rPr>
            </w:pPr>
            <w:r>
              <w:rPr>
                <w:rFonts w:ascii="宋体" w:hAnsi="宋体" w:cs="宋体" w:hint="eastAsia"/>
                <w:kern w:val="0"/>
                <w:szCs w:val="21"/>
              </w:rPr>
              <w:t>350-550元/株</w:t>
            </w:r>
          </w:p>
        </w:tc>
        <w:tc>
          <w:tcPr>
            <w:tcW w:w="1806" w:type="pct"/>
            <w:vMerge/>
            <w:vAlign w:val="center"/>
          </w:tcPr>
          <w:p w14:paraId="7AEC3D40" w14:textId="77777777" w:rsidR="00A320E6" w:rsidRDefault="00A320E6" w:rsidP="00AE0286">
            <w:pPr>
              <w:jc w:val="left"/>
              <w:rPr>
                <w:rFonts w:ascii="宋体" w:hAnsi="宋体" w:cs="宋体"/>
                <w:kern w:val="0"/>
                <w:szCs w:val="21"/>
              </w:rPr>
            </w:pPr>
          </w:p>
        </w:tc>
      </w:tr>
      <w:tr w:rsidR="008B03FA" w14:paraId="07015156" w14:textId="77777777" w:rsidTr="008B03FA">
        <w:trPr>
          <w:trHeight w:val="312"/>
          <w:jc w:val="center"/>
        </w:trPr>
        <w:tc>
          <w:tcPr>
            <w:tcW w:w="389" w:type="pct"/>
            <w:vMerge/>
            <w:vAlign w:val="center"/>
          </w:tcPr>
          <w:p w14:paraId="3D478832" w14:textId="77777777" w:rsidR="00A320E6" w:rsidRDefault="00A320E6" w:rsidP="00AE0286">
            <w:pPr>
              <w:jc w:val="left"/>
              <w:rPr>
                <w:rFonts w:ascii="宋体" w:hAnsi="宋体" w:cs="宋体"/>
                <w:kern w:val="0"/>
                <w:szCs w:val="21"/>
              </w:rPr>
            </w:pPr>
          </w:p>
        </w:tc>
        <w:tc>
          <w:tcPr>
            <w:tcW w:w="484" w:type="pct"/>
            <w:vMerge/>
            <w:vAlign w:val="center"/>
          </w:tcPr>
          <w:p w14:paraId="7C40AFBE"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8A2F419" w14:textId="77777777" w:rsidR="00A320E6" w:rsidRDefault="00000000" w:rsidP="00AE0286">
            <w:pPr>
              <w:rPr>
                <w:rFonts w:ascii="宋体" w:hAnsi="宋体" w:cs="宋体"/>
                <w:kern w:val="0"/>
                <w:szCs w:val="21"/>
              </w:rPr>
            </w:pPr>
            <w:r>
              <w:rPr>
                <w:rFonts w:ascii="宋体" w:hAnsi="宋体" w:cs="宋体" w:hint="eastAsia"/>
                <w:kern w:val="0"/>
                <w:szCs w:val="21"/>
              </w:rPr>
              <w:t>衰老期（区分树种）</w:t>
            </w:r>
          </w:p>
        </w:tc>
        <w:tc>
          <w:tcPr>
            <w:tcW w:w="1055" w:type="pct"/>
            <w:shd w:val="clear" w:color="000000" w:fill="FFFFFF"/>
            <w:vAlign w:val="center"/>
          </w:tcPr>
          <w:p w14:paraId="7E7B4875" w14:textId="77777777" w:rsidR="00A320E6" w:rsidRDefault="00000000" w:rsidP="00AE0286">
            <w:pPr>
              <w:jc w:val="center"/>
              <w:rPr>
                <w:rFonts w:ascii="宋体" w:hAnsi="宋体" w:cs="宋体"/>
                <w:kern w:val="0"/>
                <w:szCs w:val="21"/>
              </w:rPr>
            </w:pPr>
            <w:r>
              <w:rPr>
                <w:rFonts w:ascii="宋体" w:hAnsi="宋体" w:cs="宋体" w:hint="eastAsia"/>
                <w:kern w:val="0"/>
                <w:szCs w:val="21"/>
              </w:rPr>
              <w:t>150-300元/株</w:t>
            </w:r>
          </w:p>
        </w:tc>
        <w:tc>
          <w:tcPr>
            <w:tcW w:w="1806" w:type="pct"/>
            <w:vMerge/>
            <w:vAlign w:val="center"/>
          </w:tcPr>
          <w:p w14:paraId="5A97A77D" w14:textId="77777777" w:rsidR="00A320E6" w:rsidRDefault="00A320E6" w:rsidP="00AE0286">
            <w:pPr>
              <w:jc w:val="left"/>
              <w:rPr>
                <w:rFonts w:ascii="宋体" w:hAnsi="宋体" w:cs="宋体"/>
                <w:kern w:val="0"/>
                <w:szCs w:val="21"/>
              </w:rPr>
            </w:pPr>
          </w:p>
        </w:tc>
      </w:tr>
      <w:tr w:rsidR="008B03FA" w14:paraId="5EE171B6" w14:textId="77777777" w:rsidTr="008B03FA">
        <w:trPr>
          <w:trHeight w:val="312"/>
          <w:jc w:val="center"/>
        </w:trPr>
        <w:tc>
          <w:tcPr>
            <w:tcW w:w="389" w:type="pct"/>
            <w:vMerge w:val="restart"/>
            <w:shd w:val="clear" w:color="000000" w:fill="FFFFFF"/>
            <w:vAlign w:val="center"/>
          </w:tcPr>
          <w:p w14:paraId="589A0B6F" w14:textId="77777777" w:rsidR="00A320E6" w:rsidRDefault="00000000" w:rsidP="00AE0286">
            <w:pPr>
              <w:jc w:val="center"/>
              <w:rPr>
                <w:rFonts w:ascii="宋体" w:hAnsi="宋体" w:cs="宋体"/>
                <w:kern w:val="0"/>
                <w:szCs w:val="21"/>
              </w:rPr>
            </w:pPr>
            <w:r>
              <w:rPr>
                <w:rFonts w:ascii="宋体" w:hAnsi="宋体" w:cs="宋体" w:hint="eastAsia"/>
                <w:kern w:val="0"/>
                <w:szCs w:val="21"/>
              </w:rPr>
              <w:t>13</w:t>
            </w:r>
          </w:p>
        </w:tc>
        <w:tc>
          <w:tcPr>
            <w:tcW w:w="484" w:type="pct"/>
            <w:vMerge w:val="restart"/>
            <w:shd w:val="clear" w:color="000000" w:fill="FFFFFF"/>
            <w:vAlign w:val="center"/>
          </w:tcPr>
          <w:p w14:paraId="28B58E32" w14:textId="77777777" w:rsidR="00A320E6" w:rsidRDefault="00000000" w:rsidP="00AE0286">
            <w:pPr>
              <w:jc w:val="center"/>
              <w:rPr>
                <w:rFonts w:ascii="宋体" w:hAnsi="宋体" w:cs="宋体"/>
                <w:kern w:val="0"/>
                <w:szCs w:val="21"/>
              </w:rPr>
            </w:pPr>
            <w:r>
              <w:rPr>
                <w:rFonts w:ascii="宋体" w:hAnsi="宋体" w:cs="宋体" w:hint="eastAsia"/>
                <w:kern w:val="0"/>
                <w:szCs w:val="21"/>
              </w:rPr>
              <w:t>葡萄</w:t>
            </w:r>
          </w:p>
        </w:tc>
        <w:tc>
          <w:tcPr>
            <w:tcW w:w="1265" w:type="pct"/>
            <w:gridSpan w:val="2"/>
            <w:shd w:val="clear" w:color="auto" w:fill="auto"/>
            <w:vAlign w:val="center"/>
          </w:tcPr>
          <w:p w14:paraId="581CEB14" w14:textId="77777777" w:rsidR="00A320E6" w:rsidRDefault="00000000" w:rsidP="00AE0286">
            <w:pPr>
              <w:jc w:val="left"/>
              <w:rPr>
                <w:rFonts w:ascii="宋体" w:hAnsi="宋体" w:cs="宋体"/>
                <w:kern w:val="0"/>
                <w:szCs w:val="21"/>
              </w:rPr>
            </w:pPr>
            <w:r>
              <w:rPr>
                <w:rFonts w:ascii="宋体" w:hAnsi="宋体" w:cs="宋体" w:hint="eastAsia"/>
                <w:kern w:val="0"/>
                <w:szCs w:val="21"/>
              </w:rPr>
              <w:t>幼龄期（1年生）</w:t>
            </w:r>
          </w:p>
        </w:tc>
        <w:tc>
          <w:tcPr>
            <w:tcW w:w="1055" w:type="pct"/>
            <w:shd w:val="clear" w:color="auto" w:fill="auto"/>
            <w:vAlign w:val="center"/>
          </w:tcPr>
          <w:p w14:paraId="68735314" w14:textId="77777777" w:rsidR="00A320E6" w:rsidRDefault="00000000" w:rsidP="00AE0286">
            <w:pPr>
              <w:jc w:val="center"/>
              <w:rPr>
                <w:rFonts w:ascii="宋体" w:hAnsi="宋体" w:cs="宋体"/>
                <w:kern w:val="0"/>
                <w:szCs w:val="21"/>
              </w:rPr>
            </w:pPr>
            <w:r>
              <w:rPr>
                <w:rFonts w:ascii="宋体" w:hAnsi="宋体" w:cs="宋体" w:hint="eastAsia"/>
                <w:kern w:val="0"/>
                <w:szCs w:val="21"/>
              </w:rPr>
              <w:t>3300-6600元/亩</w:t>
            </w:r>
          </w:p>
        </w:tc>
        <w:tc>
          <w:tcPr>
            <w:tcW w:w="1806" w:type="pct"/>
            <w:shd w:val="clear" w:color="auto" w:fill="auto"/>
            <w:vAlign w:val="center"/>
          </w:tcPr>
          <w:p w14:paraId="2B4706ED" w14:textId="77777777" w:rsidR="00A320E6" w:rsidRDefault="00000000" w:rsidP="00AE0286">
            <w:pPr>
              <w:jc w:val="left"/>
              <w:rPr>
                <w:rFonts w:ascii="宋体" w:hAnsi="宋体" w:cs="宋体"/>
                <w:kern w:val="0"/>
                <w:szCs w:val="21"/>
              </w:rPr>
            </w:pPr>
            <w:r>
              <w:rPr>
                <w:rFonts w:ascii="宋体" w:hAnsi="宋体" w:cs="宋体" w:hint="eastAsia"/>
                <w:kern w:val="0"/>
                <w:szCs w:val="21"/>
              </w:rPr>
              <w:t>每亩不足330棵的，按10-20元/棵计算（含架材），树归原主。</w:t>
            </w:r>
          </w:p>
        </w:tc>
      </w:tr>
      <w:tr w:rsidR="00A320E6" w14:paraId="5EE0DC7E" w14:textId="77777777" w:rsidTr="008B03FA">
        <w:trPr>
          <w:trHeight w:val="312"/>
          <w:jc w:val="center"/>
        </w:trPr>
        <w:tc>
          <w:tcPr>
            <w:tcW w:w="389" w:type="pct"/>
            <w:vMerge/>
            <w:vAlign w:val="center"/>
          </w:tcPr>
          <w:p w14:paraId="09D43521" w14:textId="77777777" w:rsidR="00A320E6" w:rsidRDefault="00A320E6" w:rsidP="00AE0286">
            <w:pPr>
              <w:jc w:val="left"/>
              <w:rPr>
                <w:rFonts w:ascii="宋体" w:hAnsi="宋体" w:cs="宋体"/>
                <w:kern w:val="0"/>
                <w:szCs w:val="21"/>
              </w:rPr>
            </w:pPr>
          </w:p>
        </w:tc>
        <w:tc>
          <w:tcPr>
            <w:tcW w:w="484" w:type="pct"/>
            <w:vMerge/>
            <w:vAlign w:val="center"/>
          </w:tcPr>
          <w:p w14:paraId="2D06D695" w14:textId="77777777" w:rsidR="00A320E6" w:rsidRDefault="00A320E6" w:rsidP="00AE0286">
            <w:pPr>
              <w:jc w:val="left"/>
              <w:rPr>
                <w:rFonts w:ascii="宋体" w:hAnsi="宋体" w:cs="宋体"/>
                <w:kern w:val="0"/>
                <w:szCs w:val="21"/>
              </w:rPr>
            </w:pPr>
          </w:p>
        </w:tc>
        <w:tc>
          <w:tcPr>
            <w:tcW w:w="1265" w:type="pct"/>
            <w:gridSpan w:val="2"/>
            <w:shd w:val="clear" w:color="auto" w:fill="auto"/>
            <w:vAlign w:val="center"/>
          </w:tcPr>
          <w:p w14:paraId="7A62D051" w14:textId="77777777" w:rsidR="00A320E6" w:rsidRDefault="00000000" w:rsidP="00AE0286">
            <w:pPr>
              <w:jc w:val="left"/>
              <w:rPr>
                <w:rFonts w:ascii="宋体" w:hAnsi="宋体" w:cs="宋体"/>
                <w:kern w:val="0"/>
                <w:szCs w:val="21"/>
              </w:rPr>
            </w:pPr>
            <w:r>
              <w:rPr>
                <w:rFonts w:ascii="宋体" w:hAnsi="宋体" w:cs="宋体" w:hint="eastAsia"/>
                <w:kern w:val="0"/>
                <w:szCs w:val="21"/>
              </w:rPr>
              <w:t>初果期（2年生）</w:t>
            </w:r>
          </w:p>
        </w:tc>
        <w:tc>
          <w:tcPr>
            <w:tcW w:w="1055" w:type="pct"/>
            <w:shd w:val="clear" w:color="auto" w:fill="auto"/>
            <w:vAlign w:val="center"/>
          </w:tcPr>
          <w:p w14:paraId="3BDEAA7D" w14:textId="77777777" w:rsidR="00A320E6" w:rsidRDefault="00000000" w:rsidP="00AE0286">
            <w:pPr>
              <w:jc w:val="center"/>
              <w:rPr>
                <w:rFonts w:ascii="宋体" w:hAnsi="宋体" w:cs="宋体"/>
                <w:kern w:val="0"/>
                <w:szCs w:val="21"/>
              </w:rPr>
            </w:pPr>
            <w:r>
              <w:rPr>
                <w:rFonts w:ascii="宋体" w:hAnsi="宋体" w:cs="宋体" w:hint="eastAsia"/>
                <w:kern w:val="0"/>
                <w:szCs w:val="21"/>
              </w:rPr>
              <w:t>6600－13200元/亩</w:t>
            </w:r>
          </w:p>
        </w:tc>
        <w:tc>
          <w:tcPr>
            <w:tcW w:w="1806" w:type="pct"/>
            <w:shd w:val="clear" w:color="auto" w:fill="auto"/>
            <w:vAlign w:val="center"/>
          </w:tcPr>
          <w:p w14:paraId="683F4903" w14:textId="77777777" w:rsidR="00A320E6" w:rsidRDefault="00000000" w:rsidP="00AE0286">
            <w:pPr>
              <w:jc w:val="left"/>
              <w:rPr>
                <w:rFonts w:ascii="宋体" w:hAnsi="宋体" w:cs="宋体"/>
                <w:kern w:val="0"/>
                <w:szCs w:val="21"/>
              </w:rPr>
            </w:pPr>
            <w:r>
              <w:rPr>
                <w:rFonts w:ascii="宋体" w:hAnsi="宋体" w:cs="宋体" w:hint="eastAsia"/>
                <w:kern w:val="0"/>
                <w:szCs w:val="21"/>
              </w:rPr>
              <w:t>每亩不足330棵的，按20-40元/棵计算（含架材），树归原主。</w:t>
            </w:r>
          </w:p>
        </w:tc>
      </w:tr>
      <w:tr w:rsidR="00A320E6" w14:paraId="24055EAC" w14:textId="77777777" w:rsidTr="008B03FA">
        <w:trPr>
          <w:trHeight w:val="312"/>
          <w:jc w:val="center"/>
        </w:trPr>
        <w:tc>
          <w:tcPr>
            <w:tcW w:w="389" w:type="pct"/>
            <w:vMerge/>
            <w:vAlign w:val="center"/>
          </w:tcPr>
          <w:p w14:paraId="7377B6E5" w14:textId="77777777" w:rsidR="00A320E6" w:rsidRDefault="00A320E6" w:rsidP="00AE0286">
            <w:pPr>
              <w:jc w:val="left"/>
              <w:rPr>
                <w:rFonts w:ascii="宋体" w:hAnsi="宋体" w:cs="宋体"/>
                <w:kern w:val="0"/>
                <w:szCs w:val="21"/>
              </w:rPr>
            </w:pPr>
          </w:p>
        </w:tc>
        <w:tc>
          <w:tcPr>
            <w:tcW w:w="484" w:type="pct"/>
            <w:vMerge/>
            <w:vAlign w:val="center"/>
          </w:tcPr>
          <w:p w14:paraId="52B06953" w14:textId="77777777" w:rsidR="00A320E6" w:rsidRDefault="00A320E6" w:rsidP="00AE0286">
            <w:pPr>
              <w:jc w:val="left"/>
              <w:rPr>
                <w:rFonts w:ascii="宋体" w:hAnsi="宋体" w:cs="宋体"/>
                <w:kern w:val="0"/>
                <w:szCs w:val="21"/>
              </w:rPr>
            </w:pPr>
          </w:p>
        </w:tc>
        <w:tc>
          <w:tcPr>
            <w:tcW w:w="1265" w:type="pct"/>
            <w:gridSpan w:val="2"/>
            <w:shd w:val="clear" w:color="auto" w:fill="auto"/>
            <w:vAlign w:val="center"/>
          </w:tcPr>
          <w:p w14:paraId="54C571FD" w14:textId="77777777" w:rsidR="00A320E6" w:rsidRDefault="00000000" w:rsidP="00AE0286">
            <w:pPr>
              <w:jc w:val="left"/>
              <w:rPr>
                <w:rFonts w:ascii="宋体" w:hAnsi="宋体" w:cs="宋体"/>
                <w:kern w:val="0"/>
                <w:szCs w:val="21"/>
              </w:rPr>
            </w:pPr>
            <w:r>
              <w:rPr>
                <w:rFonts w:ascii="宋体" w:hAnsi="宋体" w:cs="宋体" w:hint="eastAsia"/>
                <w:kern w:val="0"/>
                <w:szCs w:val="21"/>
              </w:rPr>
              <w:t>盛果期（3-5年生）</w:t>
            </w:r>
          </w:p>
        </w:tc>
        <w:tc>
          <w:tcPr>
            <w:tcW w:w="1055" w:type="pct"/>
            <w:shd w:val="clear" w:color="auto" w:fill="auto"/>
            <w:vAlign w:val="center"/>
          </w:tcPr>
          <w:p w14:paraId="35B2D2C6" w14:textId="77777777" w:rsidR="00A320E6" w:rsidRDefault="00000000" w:rsidP="00AE0286">
            <w:pPr>
              <w:jc w:val="center"/>
              <w:rPr>
                <w:rFonts w:ascii="宋体" w:hAnsi="宋体" w:cs="宋体"/>
                <w:kern w:val="0"/>
                <w:szCs w:val="21"/>
              </w:rPr>
            </w:pPr>
            <w:r>
              <w:rPr>
                <w:rFonts w:ascii="宋体" w:hAnsi="宋体" w:cs="宋体" w:hint="eastAsia"/>
                <w:kern w:val="0"/>
                <w:szCs w:val="21"/>
              </w:rPr>
              <w:t>13200－19800元/亩</w:t>
            </w:r>
          </w:p>
        </w:tc>
        <w:tc>
          <w:tcPr>
            <w:tcW w:w="1806" w:type="pct"/>
            <w:shd w:val="clear" w:color="auto" w:fill="auto"/>
            <w:vAlign w:val="center"/>
          </w:tcPr>
          <w:p w14:paraId="284CC3EF" w14:textId="77777777" w:rsidR="00A320E6" w:rsidRDefault="00000000" w:rsidP="00AE0286">
            <w:pPr>
              <w:jc w:val="left"/>
              <w:rPr>
                <w:rFonts w:ascii="宋体" w:hAnsi="宋体" w:cs="宋体"/>
                <w:kern w:val="0"/>
                <w:szCs w:val="21"/>
              </w:rPr>
            </w:pPr>
            <w:r>
              <w:rPr>
                <w:rFonts w:ascii="宋体" w:hAnsi="宋体" w:cs="宋体" w:hint="eastAsia"/>
                <w:kern w:val="0"/>
                <w:szCs w:val="21"/>
              </w:rPr>
              <w:t>每亩不足330棵的，按40-60元/棵计算（含架材），树归原主。</w:t>
            </w:r>
          </w:p>
        </w:tc>
      </w:tr>
      <w:tr w:rsidR="00A320E6" w14:paraId="7EC6EA1E" w14:textId="77777777" w:rsidTr="008B03FA">
        <w:trPr>
          <w:trHeight w:val="312"/>
          <w:jc w:val="center"/>
        </w:trPr>
        <w:tc>
          <w:tcPr>
            <w:tcW w:w="389" w:type="pct"/>
            <w:vMerge/>
            <w:vAlign w:val="center"/>
          </w:tcPr>
          <w:p w14:paraId="7D0DC4D2" w14:textId="77777777" w:rsidR="00A320E6" w:rsidRDefault="00A320E6" w:rsidP="00AE0286">
            <w:pPr>
              <w:jc w:val="left"/>
              <w:rPr>
                <w:rFonts w:ascii="宋体" w:hAnsi="宋体" w:cs="宋体"/>
                <w:kern w:val="0"/>
                <w:szCs w:val="21"/>
              </w:rPr>
            </w:pPr>
          </w:p>
        </w:tc>
        <w:tc>
          <w:tcPr>
            <w:tcW w:w="484" w:type="pct"/>
            <w:vMerge/>
            <w:vAlign w:val="center"/>
          </w:tcPr>
          <w:p w14:paraId="1444B26A" w14:textId="77777777" w:rsidR="00A320E6" w:rsidRDefault="00A320E6" w:rsidP="00AE0286">
            <w:pPr>
              <w:jc w:val="left"/>
              <w:rPr>
                <w:rFonts w:ascii="宋体" w:hAnsi="宋体" w:cs="宋体"/>
                <w:kern w:val="0"/>
                <w:szCs w:val="21"/>
              </w:rPr>
            </w:pPr>
          </w:p>
        </w:tc>
        <w:tc>
          <w:tcPr>
            <w:tcW w:w="1265" w:type="pct"/>
            <w:gridSpan w:val="2"/>
            <w:shd w:val="clear" w:color="auto" w:fill="auto"/>
            <w:vAlign w:val="center"/>
          </w:tcPr>
          <w:p w14:paraId="2A7D4561" w14:textId="77777777" w:rsidR="00A320E6" w:rsidRDefault="00000000" w:rsidP="00AE0286">
            <w:pPr>
              <w:jc w:val="left"/>
              <w:rPr>
                <w:rFonts w:ascii="宋体" w:hAnsi="宋体" w:cs="宋体"/>
                <w:kern w:val="0"/>
                <w:szCs w:val="21"/>
              </w:rPr>
            </w:pPr>
            <w:r>
              <w:rPr>
                <w:rFonts w:ascii="宋体" w:hAnsi="宋体" w:cs="宋体" w:hint="eastAsia"/>
                <w:kern w:val="0"/>
                <w:szCs w:val="21"/>
              </w:rPr>
              <w:t>衰老期（5年以上生）</w:t>
            </w:r>
          </w:p>
        </w:tc>
        <w:tc>
          <w:tcPr>
            <w:tcW w:w="1055" w:type="pct"/>
            <w:shd w:val="clear" w:color="auto" w:fill="auto"/>
            <w:vAlign w:val="center"/>
          </w:tcPr>
          <w:p w14:paraId="22DB6EE9" w14:textId="77777777" w:rsidR="00A320E6" w:rsidRDefault="00000000" w:rsidP="00AE0286">
            <w:pPr>
              <w:jc w:val="center"/>
              <w:rPr>
                <w:rFonts w:ascii="宋体" w:hAnsi="宋体" w:cs="宋体"/>
                <w:kern w:val="0"/>
                <w:szCs w:val="21"/>
              </w:rPr>
            </w:pPr>
            <w:r>
              <w:rPr>
                <w:rFonts w:ascii="宋体" w:hAnsi="宋体" w:cs="宋体" w:hint="eastAsia"/>
                <w:kern w:val="0"/>
                <w:szCs w:val="21"/>
              </w:rPr>
              <w:t>6600）主。原主。元/亩</w:t>
            </w:r>
          </w:p>
        </w:tc>
        <w:tc>
          <w:tcPr>
            <w:tcW w:w="1806" w:type="pct"/>
            <w:shd w:val="clear" w:color="auto" w:fill="auto"/>
            <w:vAlign w:val="center"/>
          </w:tcPr>
          <w:p w14:paraId="573A9DDC" w14:textId="77777777" w:rsidR="00A320E6" w:rsidRDefault="00000000" w:rsidP="00AE0286">
            <w:pPr>
              <w:jc w:val="left"/>
              <w:rPr>
                <w:rFonts w:ascii="宋体" w:hAnsi="宋体" w:cs="宋体"/>
                <w:kern w:val="0"/>
                <w:szCs w:val="21"/>
              </w:rPr>
            </w:pPr>
            <w:r>
              <w:rPr>
                <w:rFonts w:ascii="宋体" w:hAnsi="宋体" w:cs="宋体" w:hint="eastAsia"/>
                <w:kern w:val="0"/>
                <w:szCs w:val="21"/>
              </w:rPr>
              <w:t>每亩不足330棵的，按40-20元/棵计算（含架材），树归原主。</w:t>
            </w:r>
          </w:p>
        </w:tc>
      </w:tr>
      <w:tr w:rsidR="008B03FA" w14:paraId="408A8C52" w14:textId="77777777" w:rsidTr="008B03FA">
        <w:trPr>
          <w:trHeight w:val="312"/>
          <w:jc w:val="center"/>
        </w:trPr>
        <w:tc>
          <w:tcPr>
            <w:tcW w:w="389" w:type="pct"/>
            <w:vMerge w:val="restart"/>
            <w:shd w:val="clear" w:color="000000" w:fill="FFFFFF"/>
            <w:vAlign w:val="center"/>
          </w:tcPr>
          <w:p w14:paraId="30108200" w14:textId="77777777" w:rsidR="00A320E6" w:rsidRDefault="00000000" w:rsidP="00AE0286">
            <w:pPr>
              <w:jc w:val="center"/>
              <w:rPr>
                <w:rFonts w:ascii="宋体" w:hAnsi="宋体" w:cs="宋体"/>
                <w:kern w:val="0"/>
                <w:szCs w:val="21"/>
              </w:rPr>
            </w:pPr>
            <w:r>
              <w:rPr>
                <w:rFonts w:ascii="宋体" w:hAnsi="宋体" w:cs="宋体" w:hint="eastAsia"/>
                <w:kern w:val="0"/>
                <w:szCs w:val="21"/>
              </w:rPr>
              <w:t>14</w:t>
            </w:r>
          </w:p>
        </w:tc>
        <w:tc>
          <w:tcPr>
            <w:tcW w:w="484" w:type="pct"/>
            <w:vMerge w:val="restart"/>
            <w:shd w:val="clear" w:color="000000" w:fill="FFFFFF"/>
            <w:vAlign w:val="center"/>
          </w:tcPr>
          <w:p w14:paraId="045812A5" w14:textId="77777777" w:rsidR="00A320E6" w:rsidRDefault="00000000" w:rsidP="00AE0286">
            <w:pPr>
              <w:jc w:val="center"/>
              <w:rPr>
                <w:rFonts w:ascii="宋体" w:hAnsi="宋体" w:cs="宋体"/>
                <w:kern w:val="0"/>
                <w:szCs w:val="21"/>
              </w:rPr>
            </w:pPr>
            <w:r>
              <w:rPr>
                <w:rFonts w:ascii="宋体" w:hAnsi="宋体" w:cs="宋体" w:hint="eastAsia"/>
                <w:kern w:val="0"/>
                <w:szCs w:val="21"/>
              </w:rPr>
              <w:t>灌木</w:t>
            </w:r>
          </w:p>
        </w:tc>
        <w:tc>
          <w:tcPr>
            <w:tcW w:w="1265" w:type="pct"/>
            <w:gridSpan w:val="2"/>
            <w:shd w:val="clear" w:color="000000" w:fill="FFFFFF"/>
            <w:vAlign w:val="center"/>
          </w:tcPr>
          <w:p w14:paraId="41CFF2D9" w14:textId="77777777" w:rsidR="00A320E6" w:rsidRDefault="00000000" w:rsidP="00AE0286">
            <w:pPr>
              <w:rPr>
                <w:rFonts w:ascii="宋体" w:hAnsi="宋体" w:cs="宋体"/>
                <w:kern w:val="0"/>
                <w:szCs w:val="21"/>
              </w:rPr>
            </w:pPr>
            <w:r>
              <w:rPr>
                <w:rFonts w:ascii="宋体" w:hAnsi="宋体" w:cs="宋体" w:hint="eastAsia"/>
                <w:kern w:val="0"/>
                <w:szCs w:val="21"/>
              </w:rPr>
              <w:t>2年生以内</w:t>
            </w:r>
          </w:p>
        </w:tc>
        <w:tc>
          <w:tcPr>
            <w:tcW w:w="1055" w:type="pct"/>
            <w:shd w:val="clear" w:color="000000" w:fill="FFFFFF"/>
            <w:vAlign w:val="center"/>
          </w:tcPr>
          <w:p w14:paraId="61A43D6E" w14:textId="77777777" w:rsidR="00A320E6" w:rsidRDefault="00000000" w:rsidP="00AE0286">
            <w:pPr>
              <w:jc w:val="center"/>
              <w:rPr>
                <w:rFonts w:ascii="宋体" w:hAnsi="宋体" w:cs="宋体"/>
                <w:kern w:val="0"/>
                <w:szCs w:val="21"/>
              </w:rPr>
            </w:pPr>
            <w:r>
              <w:rPr>
                <w:rFonts w:ascii="宋体" w:hAnsi="宋体" w:cs="宋体" w:hint="eastAsia"/>
                <w:kern w:val="0"/>
                <w:szCs w:val="21"/>
              </w:rPr>
              <w:t>10-15元/墩</w:t>
            </w:r>
          </w:p>
        </w:tc>
        <w:tc>
          <w:tcPr>
            <w:tcW w:w="1806" w:type="pct"/>
            <w:vMerge w:val="restart"/>
            <w:shd w:val="clear" w:color="000000" w:fill="FFFFFF"/>
            <w:vAlign w:val="center"/>
          </w:tcPr>
          <w:p w14:paraId="74D5938D" w14:textId="77777777" w:rsidR="00A320E6" w:rsidRDefault="00000000" w:rsidP="00AE0286">
            <w:pPr>
              <w:rPr>
                <w:rFonts w:ascii="宋体" w:hAnsi="宋体" w:cs="宋体"/>
                <w:kern w:val="0"/>
                <w:szCs w:val="21"/>
              </w:rPr>
            </w:pPr>
            <w:r>
              <w:rPr>
                <w:rFonts w:ascii="宋体" w:hAnsi="宋体" w:cs="宋体" w:hint="eastAsia"/>
                <w:kern w:val="0"/>
                <w:szCs w:val="21"/>
              </w:rPr>
              <w:t>每墩出条数按10-20根计算，树归原主。</w:t>
            </w:r>
          </w:p>
        </w:tc>
      </w:tr>
      <w:tr w:rsidR="008B03FA" w14:paraId="0D7135D5" w14:textId="77777777" w:rsidTr="008B03FA">
        <w:trPr>
          <w:trHeight w:val="312"/>
          <w:jc w:val="center"/>
        </w:trPr>
        <w:tc>
          <w:tcPr>
            <w:tcW w:w="389" w:type="pct"/>
            <w:vMerge/>
            <w:vAlign w:val="center"/>
          </w:tcPr>
          <w:p w14:paraId="1E36089F" w14:textId="77777777" w:rsidR="00A320E6" w:rsidRDefault="00A320E6" w:rsidP="00AE0286">
            <w:pPr>
              <w:jc w:val="left"/>
              <w:rPr>
                <w:rFonts w:ascii="宋体" w:hAnsi="宋体" w:cs="宋体"/>
                <w:kern w:val="0"/>
                <w:szCs w:val="21"/>
              </w:rPr>
            </w:pPr>
          </w:p>
        </w:tc>
        <w:tc>
          <w:tcPr>
            <w:tcW w:w="484" w:type="pct"/>
            <w:vMerge/>
            <w:vAlign w:val="center"/>
          </w:tcPr>
          <w:p w14:paraId="19F585A5"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7B14C229" w14:textId="77777777" w:rsidR="00A320E6" w:rsidRDefault="00000000" w:rsidP="00AE0286">
            <w:pPr>
              <w:rPr>
                <w:rFonts w:ascii="宋体" w:hAnsi="宋体" w:cs="宋体"/>
                <w:kern w:val="0"/>
                <w:szCs w:val="21"/>
              </w:rPr>
            </w:pPr>
            <w:r>
              <w:rPr>
                <w:rFonts w:ascii="宋体" w:hAnsi="宋体" w:cs="宋体" w:hint="eastAsia"/>
                <w:kern w:val="0"/>
                <w:szCs w:val="21"/>
              </w:rPr>
              <w:t>2年生以上</w:t>
            </w:r>
          </w:p>
        </w:tc>
        <w:tc>
          <w:tcPr>
            <w:tcW w:w="1055" w:type="pct"/>
            <w:shd w:val="clear" w:color="000000" w:fill="FFFFFF"/>
            <w:vAlign w:val="center"/>
          </w:tcPr>
          <w:p w14:paraId="66699A13" w14:textId="77777777" w:rsidR="00A320E6" w:rsidRDefault="00000000" w:rsidP="00AE0286">
            <w:pPr>
              <w:jc w:val="center"/>
              <w:rPr>
                <w:rFonts w:ascii="宋体" w:hAnsi="宋体" w:cs="宋体"/>
                <w:kern w:val="0"/>
                <w:szCs w:val="21"/>
              </w:rPr>
            </w:pPr>
            <w:r>
              <w:rPr>
                <w:rFonts w:ascii="宋体" w:hAnsi="宋体" w:cs="宋体" w:hint="eastAsia"/>
                <w:kern w:val="0"/>
                <w:szCs w:val="21"/>
              </w:rPr>
              <w:t>15-20元/墩</w:t>
            </w:r>
          </w:p>
        </w:tc>
        <w:tc>
          <w:tcPr>
            <w:tcW w:w="1806" w:type="pct"/>
            <w:vMerge/>
            <w:vAlign w:val="center"/>
          </w:tcPr>
          <w:p w14:paraId="7C48BC6A" w14:textId="77777777" w:rsidR="00A320E6" w:rsidRDefault="00A320E6" w:rsidP="00AE0286">
            <w:pPr>
              <w:jc w:val="left"/>
              <w:rPr>
                <w:rFonts w:ascii="宋体" w:hAnsi="宋体" w:cs="宋体"/>
                <w:kern w:val="0"/>
                <w:szCs w:val="21"/>
              </w:rPr>
            </w:pPr>
          </w:p>
        </w:tc>
      </w:tr>
      <w:tr w:rsidR="008B03FA" w14:paraId="4981559A" w14:textId="77777777" w:rsidTr="008B03FA">
        <w:trPr>
          <w:trHeight w:val="312"/>
          <w:jc w:val="center"/>
        </w:trPr>
        <w:tc>
          <w:tcPr>
            <w:tcW w:w="389" w:type="pct"/>
            <w:vMerge w:val="restart"/>
            <w:shd w:val="clear" w:color="000000" w:fill="FFFFFF"/>
            <w:vAlign w:val="center"/>
          </w:tcPr>
          <w:p w14:paraId="4B2AE1A7" w14:textId="77777777" w:rsidR="00A320E6" w:rsidRDefault="00000000" w:rsidP="00AE0286">
            <w:pPr>
              <w:jc w:val="center"/>
              <w:rPr>
                <w:rFonts w:ascii="宋体" w:hAnsi="宋体" w:cs="宋体"/>
                <w:kern w:val="0"/>
                <w:szCs w:val="21"/>
              </w:rPr>
            </w:pPr>
            <w:r>
              <w:rPr>
                <w:rFonts w:ascii="宋体" w:hAnsi="宋体" w:cs="宋体" w:hint="eastAsia"/>
                <w:kern w:val="0"/>
                <w:szCs w:val="21"/>
              </w:rPr>
              <w:t>15</w:t>
            </w:r>
          </w:p>
        </w:tc>
        <w:tc>
          <w:tcPr>
            <w:tcW w:w="484" w:type="pct"/>
            <w:vMerge w:val="restart"/>
            <w:shd w:val="clear" w:color="000000" w:fill="FFFFFF"/>
            <w:vAlign w:val="center"/>
          </w:tcPr>
          <w:p w14:paraId="471FA320" w14:textId="77777777" w:rsidR="00A320E6" w:rsidRDefault="00000000" w:rsidP="00AE0286">
            <w:pPr>
              <w:jc w:val="center"/>
              <w:rPr>
                <w:rFonts w:ascii="宋体" w:hAnsi="宋体" w:cs="宋体"/>
                <w:kern w:val="0"/>
                <w:szCs w:val="21"/>
              </w:rPr>
            </w:pPr>
            <w:r>
              <w:rPr>
                <w:rFonts w:ascii="宋体" w:hAnsi="宋体" w:cs="宋体" w:hint="eastAsia"/>
                <w:kern w:val="0"/>
                <w:szCs w:val="21"/>
              </w:rPr>
              <w:t>苗圃、苗木</w:t>
            </w:r>
          </w:p>
        </w:tc>
        <w:tc>
          <w:tcPr>
            <w:tcW w:w="1265" w:type="pct"/>
            <w:gridSpan w:val="2"/>
            <w:shd w:val="clear" w:color="000000" w:fill="FFFFFF"/>
            <w:vAlign w:val="center"/>
          </w:tcPr>
          <w:p w14:paraId="23C1EC33" w14:textId="77777777" w:rsidR="00A320E6" w:rsidRDefault="00000000" w:rsidP="00AE0286">
            <w:pPr>
              <w:rPr>
                <w:rFonts w:ascii="宋体" w:hAnsi="宋体" w:cs="宋体"/>
                <w:kern w:val="0"/>
                <w:szCs w:val="21"/>
              </w:rPr>
            </w:pPr>
            <w:r>
              <w:rPr>
                <w:rFonts w:ascii="宋体" w:hAnsi="宋体" w:cs="宋体" w:hint="eastAsia"/>
                <w:kern w:val="0"/>
                <w:szCs w:val="21"/>
              </w:rPr>
              <w:t>1年以内</w:t>
            </w:r>
          </w:p>
        </w:tc>
        <w:tc>
          <w:tcPr>
            <w:tcW w:w="1055" w:type="pct"/>
            <w:shd w:val="clear" w:color="000000" w:fill="FFFFFF"/>
            <w:vAlign w:val="center"/>
          </w:tcPr>
          <w:p w14:paraId="618F37BE" w14:textId="77777777" w:rsidR="00A320E6" w:rsidRDefault="00000000" w:rsidP="00AE0286">
            <w:pPr>
              <w:jc w:val="center"/>
              <w:rPr>
                <w:rFonts w:ascii="宋体" w:hAnsi="宋体" w:cs="宋体"/>
                <w:kern w:val="0"/>
                <w:szCs w:val="21"/>
              </w:rPr>
            </w:pPr>
            <w:r>
              <w:rPr>
                <w:rFonts w:ascii="宋体" w:hAnsi="宋体" w:cs="宋体" w:hint="eastAsia"/>
                <w:kern w:val="0"/>
                <w:szCs w:val="21"/>
              </w:rPr>
              <w:t>3000元/亩</w:t>
            </w:r>
          </w:p>
        </w:tc>
        <w:tc>
          <w:tcPr>
            <w:tcW w:w="1806" w:type="pct"/>
            <w:vMerge w:val="restart"/>
            <w:shd w:val="clear" w:color="000000" w:fill="FFFFFF"/>
            <w:vAlign w:val="center"/>
          </w:tcPr>
          <w:p w14:paraId="4E5A5E59" w14:textId="77777777" w:rsidR="00A320E6" w:rsidRDefault="00000000" w:rsidP="00AE0286">
            <w:pPr>
              <w:rPr>
                <w:rFonts w:ascii="宋体" w:hAnsi="宋体" w:cs="宋体"/>
                <w:kern w:val="0"/>
                <w:szCs w:val="21"/>
              </w:rPr>
            </w:pPr>
            <w:r>
              <w:rPr>
                <w:rFonts w:ascii="宋体" w:hAnsi="宋体" w:cs="宋体" w:hint="eastAsia"/>
                <w:kern w:val="0"/>
                <w:szCs w:val="21"/>
              </w:rPr>
              <w:t>1.含苗木树种及培育、移栽等各种损失；</w:t>
            </w:r>
          </w:p>
          <w:p w14:paraId="7BE24C81" w14:textId="77777777" w:rsidR="00A320E6" w:rsidRDefault="00000000" w:rsidP="00AE0286">
            <w:pPr>
              <w:rPr>
                <w:rFonts w:ascii="宋体" w:hAnsi="宋体" w:cs="宋体"/>
                <w:kern w:val="0"/>
                <w:szCs w:val="21"/>
              </w:rPr>
            </w:pPr>
            <w:r>
              <w:rPr>
                <w:rFonts w:ascii="宋体" w:hAnsi="宋体" w:cs="宋体" w:hint="eastAsia"/>
                <w:kern w:val="0"/>
                <w:szCs w:val="21"/>
              </w:rPr>
              <w:t>2.建有大棚的，参照相应的温室补偿标准计算；</w:t>
            </w:r>
          </w:p>
          <w:p w14:paraId="339DD857" w14:textId="77777777" w:rsidR="00A320E6" w:rsidRDefault="00000000" w:rsidP="00AE0286">
            <w:pPr>
              <w:rPr>
                <w:rFonts w:ascii="宋体" w:hAnsi="宋体" w:cs="宋体"/>
                <w:kern w:val="0"/>
                <w:szCs w:val="21"/>
              </w:rPr>
            </w:pPr>
            <w:r>
              <w:rPr>
                <w:rFonts w:ascii="宋体" w:hAnsi="宋体" w:cs="宋体" w:hint="eastAsia"/>
                <w:kern w:val="0"/>
                <w:szCs w:val="21"/>
              </w:rPr>
              <w:t>3.树归原主。</w:t>
            </w:r>
          </w:p>
        </w:tc>
      </w:tr>
      <w:tr w:rsidR="008B03FA" w14:paraId="0C1A06C5" w14:textId="77777777" w:rsidTr="008B03FA">
        <w:trPr>
          <w:trHeight w:val="312"/>
          <w:jc w:val="center"/>
        </w:trPr>
        <w:tc>
          <w:tcPr>
            <w:tcW w:w="389" w:type="pct"/>
            <w:vMerge/>
            <w:vAlign w:val="center"/>
          </w:tcPr>
          <w:p w14:paraId="01BDC02D" w14:textId="77777777" w:rsidR="00A320E6" w:rsidRDefault="00A320E6" w:rsidP="00AE0286">
            <w:pPr>
              <w:jc w:val="left"/>
              <w:rPr>
                <w:rFonts w:ascii="宋体" w:hAnsi="宋体" w:cs="宋体"/>
                <w:kern w:val="0"/>
                <w:szCs w:val="21"/>
              </w:rPr>
            </w:pPr>
          </w:p>
        </w:tc>
        <w:tc>
          <w:tcPr>
            <w:tcW w:w="484" w:type="pct"/>
            <w:vMerge/>
            <w:vAlign w:val="center"/>
          </w:tcPr>
          <w:p w14:paraId="67823FE8"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ADAA504" w14:textId="77777777" w:rsidR="00A320E6" w:rsidRDefault="00000000" w:rsidP="00AE0286">
            <w:pPr>
              <w:rPr>
                <w:rFonts w:ascii="宋体" w:hAnsi="宋体" w:cs="宋体"/>
                <w:kern w:val="0"/>
                <w:szCs w:val="21"/>
              </w:rPr>
            </w:pPr>
            <w:r>
              <w:rPr>
                <w:rFonts w:ascii="宋体" w:hAnsi="宋体" w:cs="宋体" w:hint="eastAsia"/>
                <w:kern w:val="0"/>
                <w:szCs w:val="21"/>
              </w:rPr>
              <w:t>1-3年</w:t>
            </w:r>
          </w:p>
        </w:tc>
        <w:tc>
          <w:tcPr>
            <w:tcW w:w="1055" w:type="pct"/>
            <w:shd w:val="clear" w:color="000000" w:fill="FFFFFF"/>
            <w:vAlign w:val="center"/>
          </w:tcPr>
          <w:p w14:paraId="00F94CFE" w14:textId="77777777" w:rsidR="00A320E6" w:rsidRDefault="00000000" w:rsidP="00AE0286">
            <w:pPr>
              <w:jc w:val="center"/>
              <w:rPr>
                <w:rFonts w:ascii="宋体" w:hAnsi="宋体" w:cs="宋体"/>
                <w:kern w:val="0"/>
                <w:szCs w:val="21"/>
              </w:rPr>
            </w:pPr>
            <w:r>
              <w:rPr>
                <w:rFonts w:ascii="宋体" w:hAnsi="宋体" w:cs="宋体" w:hint="eastAsia"/>
                <w:kern w:val="0"/>
                <w:szCs w:val="21"/>
              </w:rPr>
              <w:t>3000-6000元/亩</w:t>
            </w:r>
          </w:p>
        </w:tc>
        <w:tc>
          <w:tcPr>
            <w:tcW w:w="1806" w:type="pct"/>
            <w:vMerge/>
            <w:shd w:val="clear" w:color="000000" w:fill="FFFFFF"/>
            <w:vAlign w:val="center"/>
          </w:tcPr>
          <w:p w14:paraId="770B6B23" w14:textId="77777777" w:rsidR="00A320E6" w:rsidRDefault="00A320E6" w:rsidP="00AE0286">
            <w:pPr>
              <w:rPr>
                <w:rFonts w:ascii="宋体" w:hAnsi="宋体" w:cs="宋体"/>
                <w:kern w:val="0"/>
                <w:szCs w:val="21"/>
              </w:rPr>
            </w:pPr>
          </w:p>
        </w:tc>
      </w:tr>
      <w:tr w:rsidR="008B03FA" w14:paraId="4D84B4F4" w14:textId="77777777" w:rsidTr="008B03FA">
        <w:trPr>
          <w:trHeight w:val="312"/>
          <w:jc w:val="center"/>
        </w:trPr>
        <w:tc>
          <w:tcPr>
            <w:tcW w:w="389" w:type="pct"/>
            <w:vMerge/>
            <w:vAlign w:val="center"/>
          </w:tcPr>
          <w:p w14:paraId="5D82658B" w14:textId="77777777" w:rsidR="00A320E6" w:rsidRDefault="00A320E6" w:rsidP="00AE0286">
            <w:pPr>
              <w:jc w:val="left"/>
              <w:rPr>
                <w:rFonts w:ascii="宋体" w:hAnsi="宋体" w:cs="宋体"/>
                <w:kern w:val="0"/>
                <w:szCs w:val="21"/>
              </w:rPr>
            </w:pPr>
          </w:p>
        </w:tc>
        <w:tc>
          <w:tcPr>
            <w:tcW w:w="484" w:type="pct"/>
            <w:vMerge/>
            <w:vAlign w:val="center"/>
          </w:tcPr>
          <w:p w14:paraId="6E7E6540"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1FF4DB4" w14:textId="77777777" w:rsidR="00A320E6" w:rsidRDefault="00000000" w:rsidP="00AE0286">
            <w:pPr>
              <w:rPr>
                <w:rFonts w:ascii="宋体" w:hAnsi="宋体" w:cs="宋体"/>
                <w:kern w:val="0"/>
                <w:szCs w:val="21"/>
              </w:rPr>
            </w:pPr>
            <w:r>
              <w:rPr>
                <w:rFonts w:ascii="宋体" w:hAnsi="宋体" w:cs="宋体" w:hint="eastAsia"/>
                <w:kern w:val="0"/>
                <w:szCs w:val="21"/>
              </w:rPr>
              <w:t>3年以上</w:t>
            </w:r>
          </w:p>
        </w:tc>
        <w:tc>
          <w:tcPr>
            <w:tcW w:w="1055" w:type="pct"/>
            <w:shd w:val="clear" w:color="000000" w:fill="FFFFFF"/>
            <w:vAlign w:val="center"/>
          </w:tcPr>
          <w:p w14:paraId="3A5492D6" w14:textId="77777777" w:rsidR="00A320E6" w:rsidRDefault="00000000" w:rsidP="00AE0286">
            <w:pPr>
              <w:jc w:val="center"/>
              <w:rPr>
                <w:rFonts w:ascii="宋体" w:hAnsi="宋体" w:cs="宋体"/>
                <w:kern w:val="0"/>
                <w:szCs w:val="21"/>
              </w:rPr>
            </w:pPr>
            <w:r>
              <w:rPr>
                <w:rFonts w:ascii="宋体" w:hAnsi="宋体" w:cs="宋体" w:hint="eastAsia"/>
                <w:kern w:val="0"/>
                <w:szCs w:val="21"/>
              </w:rPr>
              <w:t>6000-9000元/亩</w:t>
            </w:r>
          </w:p>
        </w:tc>
        <w:tc>
          <w:tcPr>
            <w:tcW w:w="1806" w:type="pct"/>
            <w:vMerge/>
            <w:shd w:val="clear" w:color="000000" w:fill="FFFFFF"/>
            <w:vAlign w:val="center"/>
          </w:tcPr>
          <w:p w14:paraId="5991E82C" w14:textId="77777777" w:rsidR="00A320E6" w:rsidRDefault="00A320E6" w:rsidP="00AE0286">
            <w:pPr>
              <w:jc w:val="left"/>
              <w:rPr>
                <w:rFonts w:ascii="宋体" w:hAnsi="宋体" w:cs="宋体"/>
                <w:kern w:val="0"/>
                <w:szCs w:val="21"/>
              </w:rPr>
            </w:pPr>
          </w:p>
        </w:tc>
      </w:tr>
      <w:tr w:rsidR="008B03FA" w14:paraId="71653DB3" w14:textId="77777777" w:rsidTr="008B03FA">
        <w:trPr>
          <w:trHeight w:val="312"/>
          <w:jc w:val="center"/>
        </w:trPr>
        <w:tc>
          <w:tcPr>
            <w:tcW w:w="389" w:type="pct"/>
            <w:vMerge w:val="restart"/>
            <w:shd w:val="clear" w:color="000000" w:fill="FFFFFF"/>
            <w:vAlign w:val="center"/>
          </w:tcPr>
          <w:p w14:paraId="771ECDBA" w14:textId="77777777" w:rsidR="00A320E6" w:rsidRDefault="00000000" w:rsidP="00AE0286">
            <w:pPr>
              <w:jc w:val="center"/>
              <w:rPr>
                <w:rFonts w:ascii="宋体" w:hAnsi="宋体" w:cs="宋体"/>
                <w:kern w:val="0"/>
                <w:szCs w:val="21"/>
              </w:rPr>
            </w:pPr>
            <w:r>
              <w:rPr>
                <w:rFonts w:ascii="宋体" w:hAnsi="宋体" w:cs="宋体" w:hint="eastAsia"/>
                <w:kern w:val="0"/>
                <w:szCs w:val="21"/>
              </w:rPr>
              <w:t>16</w:t>
            </w:r>
          </w:p>
        </w:tc>
        <w:tc>
          <w:tcPr>
            <w:tcW w:w="484" w:type="pct"/>
            <w:vMerge w:val="restart"/>
            <w:shd w:val="clear" w:color="000000" w:fill="FFFFFF"/>
            <w:vAlign w:val="center"/>
          </w:tcPr>
          <w:p w14:paraId="73C757A5" w14:textId="77777777" w:rsidR="00A320E6" w:rsidRDefault="00000000" w:rsidP="00AE0286">
            <w:pPr>
              <w:jc w:val="center"/>
              <w:rPr>
                <w:rFonts w:ascii="宋体" w:hAnsi="宋体" w:cs="宋体"/>
                <w:kern w:val="0"/>
                <w:szCs w:val="21"/>
              </w:rPr>
            </w:pPr>
            <w:r>
              <w:rPr>
                <w:rFonts w:ascii="宋体" w:hAnsi="宋体" w:cs="宋体" w:hint="eastAsia"/>
                <w:kern w:val="0"/>
                <w:szCs w:val="21"/>
              </w:rPr>
              <w:t>桑园</w:t>
            </w:r>
          </w:p>
        </w:tc>
        <w:tc>
          <w:tcPr>
            <w:tcW w:w="1265" w:type="pct"/>
            <w:gridSpan w:val="2"/>
            <w:shd w:val="clear" w:color="000000" w:fill="FFFFFF"/>
            <w:vAlign w:val="center"/>
          </w:tcPr>
          <w:p w14:paraId="417A578B" w14:textId="77777777" w:rsidR="00A320E6" w:rsidRDefault="00000000" w:rsidP="00AE0286">
            <w:pPr>
              <w:rPr>
                <w:rFonts w:ascii="宋体" w:hAnsi="宋体" w:cs="宋体"/>
                <w:kern w:val="0"/>
                <w:szCs w:val="21"/>
              </w:rPr>
            </w:pPr>
            <w:r>
              <w:rPr>
                <w:rFonts w:ascii="宋体" w:hAnsi="宋体" w:cs="宋体" w:hint="eastAsia"/>
                <w:kern w:val="0"/>
                <w:szCs w:val="21"/>
              </w:rPr>
              <w:t>1年生以内</w:t>
            </w:r>
          </w:p>
        </w:tc>
        <w:tc>
          <w:tcPr>
            <w:tcW w:w="1055" w:type="pct"/>
            <w:shd w:val="clear" w:color="000000" w:fill="FFFFFF"/>
            <w:vAlign w:val="center"/>
          </w:tcPr>
          <w:p w14:paraId="0D7D3A0E" w14:textId="77777777" w:rsidR="00A320E6" w:rsidRDefault="00000000" w:rsidP="00AE0286">
            <w:pPr>
              <w:jc w:val="center"/>
              <w:rPr>
                <w:rFonts w:ascii="宋体" w:hAnsi="宋体" w:cs="宋体"/>
                <w:kern w:val="0"/>
                <w:szCs w:val="21"/>
              </w:rPr>
            </w:pPr>
            <w:r>
              <w:rPr>
                <w:rFonts w:ascii="宋体" w:hAnsi="宋体" w:cs="宋体" w:hint="eastAsia"/>
                <w:kern w:val="0"/>
                <w:szCs w:val="21"/>
              </w:rPr>
              <w:t>4000-6000元/亩</w:t>
            </w:r>
          </w:p>
        </w:tc>
        <w:tc>
          <w:tcPr>
            <w:tcW w:w="1806" w:type="pct"/>
            <w:vMerge w:val="restart"/>
            <w:shd w:val="clear" w:color="000000" w:fill="FFFFFF"/>
            <w:vAlign w:val="center"/>
          </w:tcPr>
          <w:p w14:paraId="1828D44D" w14:textId="77777777" w:rsidR="00A320E6" w:rsidRDefault="00000000" w:rsidP="00AE0286">
            <w:pPr>
              <w:rPr>
                <w:rFonts w:ascii="宋体" w:hAnsi="宋体" w:cs="宋体"/>
                <w:kern w:val="0"/>
                <w:szCs w:val="21"/>
              </w:rPr>
            </w:pPr>
            <w:r>
              <w:rPr>
                <w:rFonts w:ascii="宋体" w:hAnsi="宋体" w:cs="宋体" w:hint="eastAsia"/>
                <w:kern w:val="0"/>
                <w:szCs w:val="21"/>
              </w:rPr>
              <w:t>树归原主</w:t>
            </w:r>
          </w:p>
        </w:tc>
      </w:tr>
      <w:tr w:rsidR="008B03FA" w14:paraId="1E9554C1" w14:textId="77777777" w:rsidTr="008B03FA">
        <w:trPr>
          <w:trHeight w:val="312"/>
          <w:jc w:val="center"/>
        </w:trPr>
        <w:tc>
          <w:tcPr>
            <w:tcW w:w="389" w:type="pct"/>
            <w:vMerge/>
            <w:vAlign w:val="center"/>
          </w:tcPr>
          <w:p w14:paraId="53FCF0EA" w14:textId="77777777" w:rsidR="00A320E6" w:rsidRDefault="00A320E6" w:rsidP="00AE0286">
            <w:pPr>
              <w:jc w:val="left"/>
              <w:rPr>
                <w:rFonts w:ascii="宋体" w:hAnsi="宋体" w:cs="宋体"/>
                <w:kern w:val="0"/>
                <w:szCs w:val="21"/>
              </w:rPr>
            </w:pPr>
          </w:p>
        </w:tc>
        <w:tc>
          <w:tcPr>
            <w:tcW w:w="484" w:type="pct"/>
            <w:vMerge/>
            <w:vAlign w:val="center"/>
          </w:tcPr>
          <w:p w14:paraId="29B328A3"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592AB0B5" w14:textId="77777777" w:rsidR="00A320E6" w:rsidRDefault="00000000" w:rsidP="00AE0286">
            <w:pPr>
              <w:rPr>
                <w:rFonts w:ascii="宋体" w:hAnsi="宋体" w:cs="宋体"/>
                <w:kern w:val="0"/>
                <w:szCs w:val="21"/>
              </w:rPr>
            </w:pPr>
            <w:r>
              <w:rPr>
                <w:rFonts w:ascii="宋体" w:hAnsi="宋体" w:cs="宋体" w:hint="eastAsia"/>
                <w:kern w:val="0"/>
                <w:szCs w:val="21"/>
              </w:rPr>
              <w:t>1-3年（含1年）</w:t>
            </w:r>
          </w:p>
        </w:tc>
        <w:tc>
          <w:tcPr>
            <w:tcW w:w="1055" w:type="pct"/>
            <w:shd w:val="clear" w:color="000000" w:fill="FFFFFF"/>
            <w:vAlign w:val="center"/>
          </w:tcPr>
          <w:p w14:paraId="55C9F222" w14:textId="77777777" w:rsidR="00A320E6" w:rsidRDefault="00000000" w:rsidP="00AE0286">
            <w:pPr>
              <w:jc w:val="center"/>
              <w:rPr>
                <w:rFonts w:ascii="宋体" w:hAnsi="宋体" w:cs="宋体"/>
                <w:kern w:val="0"/>
                <w:szCs w:val="21"/>
              </w:rPr>
            </w:pPr>
            <w:r>
              <w:rPr>
                <w:rFonts w:ascii="宋体" w:hAnsi="宋体" w:cs="宋体" w:hint="eastAsia"/>
                <w:kern w:val="0"/>
                <w:szCs w:val="21"/>
              </w:rPr>
              <w:t>6000-7500元/亩</w:t>
            </w:r>
          </w:p>
        </w:tc>
        <w:tc>
          <w:tcPr>
            <w:tcW w:w="1806" w:type="pct"/>
            <w:vMerge/>
            <w:vAlign w:val="center"/>
          </w:tcPr>
          <w:p w14:paraId="3F5AEF26" w14:textId="77777777" w:rsidR="00A320E6" w:rsidRDefault="00A320E6" w:rsidP="00AE0286">
            <w:pPr>
              <w:jc w:val="left"/>
              <w:rPr>
                <w:rFonts w:ascii="宋体" w:hAnsi="宋体" w:cs="宋体"/>
                <w:kern w:val="0"/>
                <w:szCs w:val="21"/>
              </w:rPr>
            </w:pPr>
          </w:p>
        </w:tc>
      </w:tr>
      <w:tr w:rsidR="008B03FA" w14:paraId="365541F9" w14:textId="77777777" w:rsidTr="008B03FA">
        <w:trPr>
          <w:trHeight w:val="312"/>
          <w:jc w:val="center"/>
        </w:trPr>
        <w:tc>
          <w:tcPr>
            <w:tcW w:w="389" w:type="pct"/>
            <w:vMerge/>
            <w:vAlign w:val="center"/>
          </w:tcPr>
          <w:p w14:paraId="61E142AF" w14:textId="77777777" w:rsidR="00A320E6" w:rsidRDefault="00A320E6" w:rsidP="00AE0286">
            <w:pPr>
              <w:jc w:val="left"/>
              <w:rPr>
                <w:rFonts w:ascii="宋体" w:hAnsi="宋体" w:cs="宋体"/>
                <w:kern w:val="0"/>
                <w:szCs w:val="21"/>
              </w:rPr>
            </w:pPr>
          </w:p>
        </w:tc>
        <w:tc>
          <w:tcPr>
            <w:tcW w:w="484" w:type="pct"/>
            <w:vMerge/>
            <w:vAlign w:val="center"/>
          </w:tcPr>
          <w:p w14:paraId="19C813DC"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2BAEA20F" w14:textId="77777777" w:rsidR="00A320E6" w:rsidRDefault="00000000" w:rsidP="00AE0286">
            <w:pPr>
              <w:rPr>
                <w:rFonts w:ascii="宋体" w:hAnsi="宋体" w:cs="宋体"/>
                <w:kern w:val="0"/>
                <w:szCs w:val="21"/>
              </w:rPr>
            </w:pPr>
            <w:r>
              <w:rPr>
                <w:rFonts w:ascii="宋体" w:hAnsi="宋体" w:cs="宋体" w:hint="eastAsia"/>
                <w:kern w:val="0"/>
                <w:szCs w:val="21"/>
              </w:rPr>
              <w:t>3年生及以上</w:t>
            </w:r>
          </w:p>
        </w:tc>
        <w:tc>
          <w:tcPr>
            <w:tcW w:w="1055" w:type="pct"/>
            <w:shd w:val="clear" w:color="000000" w:fill="FFFFFF"/>
            <w:vAlign w:val="center"/>
          </w:tcPr>
          <w:p w14:paraId="658BE9B2" w14:textId="77777777" w:rsidR="00A320E6" w:rsidRDefault="00000000" w:rsidP="00AE0286">
            <w:pPr>
              <w:jc w:val="center"/>
              <w:rPr>
                <w:rFonts w:ascii="宋体" w:hAnsi="宋体" w:cs="宋体"/>
                <w:kern w:val="0"/>
                <w:szCs w:val="21"/>
              </w:rPr>
            </w:pPr>
            <w:r>
              <w:rPr>
                <w:rFonts w:ascii="宋体" w:hAnsi="宋体" w:cs="宋体" w:hint="eastAsia"/>
                <w:kern w:val="0"/>
                <w:szCs w:val="21"/>
              </w:rPr>
              <w:t>6500-8500元/亩</w:t>
            </w:r>
          </w:p>
        </w:tc>
        <w:tc>
          <w:tcPr>
            <w:tcW w:w="1806" w:type="pct"/>
            <w:vMerge/>
            <w:vAlign w:val="center"/>
          </w:tcPr>
          <w:p w14:paraId="4391401C" w14:textId="77777777" w:rsidR="00A320E6" w:rsidRDefault="00A320E6" w:rsidP="00AE0286">
            <w:pPr>
              <w:jc w:val="left"/>
              <w:rPr>
                <w:rFonts w:ascii="宋体" w:hAnsi="宋体" w:cs="宋体"/>
                <w:kern w:val="0"/>
                <w:szCs w:val="21"/>
              </w:rPr>
            </w:pPr>
          </w:p>
        </w:tc>
      </w:tr>
      <w:tr w:rsidR="008B03FA" w14:paraId="3FE8A00B" w14:textId="77777777" w:rsidTr="008B03FA">
        <w:trPr>
          <w:trHeight w:val="312"/>
          <w:jc w:val="center"/>
        </w:trPr>
        <w:tc>
          <w:tcPr>
            <w:tcW w:w="389" w:type="pct"/>
            <w:vMerge w:val="restart"/>
            <w:shd w:val="clear" w:color="000000" w:fill="FFFFFF"/>
            <w:vAlign w:val="center"/>
          </w:tcPr>
          <w:p w14:paraId="7FD0B216" w14:textId="77777777" w:rsidR="00A320E6" w:rsidRDefault="00000000" w:rsidP="00AE0286">
            <w:pPr>
              <w:jc w:val="center"/>
              <w:rPr>
                <w:rFonts w:ascii="宋体" w:hAnsi="宋体" w:cs="宋体"/>
                <w:kern w:val="0"/>
                <w:szCs w:val="21"/>
              </w:rPr>
            </w:pPr>
            <w:r>
              <w:rPr>
                <w:rFonts w:ascii="宋体" w:hAnsi="宋体" w:cs="宋体" w:hint="eastAsia"/>
                <w:kern w:val="0"/>
                <w:szCs w:val="21"/>
              </w:rPr>
              <w:t>17</w:t>
            </w:r>
          </w:p>
        </w:tc>
        <w:tc>
          <w:tcPr>
            <w:tcW w:w="484" w:type="pct"/>
            <w:vMerge w:val="restart"/>
            <w:shd w:val="clear" w:color="000000" w:fill="FFFFFF"/>
            <w:vAlign w:val="center"/>
          </w:tcPr>
          <w:p w14:paraId="044D04E2" w14:textId="77777777" w:rsidR="00A320E6" w:rsidRDefault="00000000" w:rsidP="00AE0286">
            <w:pPr>
              <w:jc w:val="center"/>
              <w:rPr>
                <w:rFonts w:ascii="宋体" w:hAnsi="宋体" w:cs="宋体"/>
                <w:kern w:val="0"/>
                <w:szCs w:val="21"/>
              </w:rPr>
            </w:pPr>
            <w:r>
              <w:rPr>
                <w:rFonts w:ascii="宋体" w:hAnsi="宋体" w:cs="宋体" w:hint="eastAsia"/>
                <w:kern w:val="0"/>
                <w:szCs w:val="21"/>
              </w:rPr>
              <w:t>淡水水塘</w:t>
            </w:r>
          </w:p>
        </w:tc>
        <w:tc>
          <w:tcPr>
            <w:tcW w:w="1265" w:type="pct"/>
            <w:gridSpan w:val="2"/>
            <w:shd w:val="clear" w:color="000000" w:fill="FFFFFF"/>
            <w:vAlign w:val="center"/>
          </w:tcPr>
          <w:p w14:paraId="19C11491" w14:textId="77777777" w:rsidR="00A320E6" w:rsidRDefault="00000000" w:rsidP="00AE0286">
            <w:pPr>
              <w:rPr>
                <w:rFonts w:ascii="宋体" w:hAnsi="宋体" w:cs="宋体"/>
                <w:kern w:val="0"/>
                <w:szCs w:val="21"/>
              </w:rPr>
            </w:pPr>
            <w:r>
              <w:rPr>
                <w:rFonts w:ascii="宋体" w:hAnsi="宋体" w:cs="宋体" w:hint="eastAsia"/>
                <w:kern w:val="0"/>
                <w:szCs w:val="21"/>
              </w:rPr>
              <w:t>土筑池塘</w:t>
            </w:r>
          </w:p>
        </w:tc>
        <w:tc>
          <w:tcPr>
            <w:tcW w:w="1055" w:type="pct"/>
            <w:shd w:val="clear" w:color="000000" w:fill="FFFFFF"/>
            <w:vAlign w:val="center"/>
          </w:tcPr>
          <w:p w14:paraId="1F3EB693" w14:textId="77777777" w:rsidR="00A320E6" w:rsidRDefault="00000000" w:rsidP="00AE0286">
            <w:pPr>
              <w:jc w:val="center"/>
              <w:rPr>
                <w:rFonts w:ascii="宋体" w:hAnsi="宋体" w:cs="宋体"/>
                <w:kern w:val="0"/>
                <w:szCs w:val="21"/>
              </w:rPr>
            </w:pPr>
            <w:r>
              <w:rPr>
                <w:rFonts w:ascii="宋体" w:hAnsi="宋体" w:cs="宋体" w:hint="eastAsia"/>
                <w:kern w:val="0"/>
                <w:szCs w:val="21"/>
              </w:rPr>
              <w:t>6000-10000元/亩</w:t>
            </w:r>
          </w:p>
        </w:tc>
        <w:tc>
          <w:tcPr>
            <w:tcW w:w="1806" w:type="pct"/>
            <w:vMerge w:val="restart"/>
            <w:shd w:val="clear" w:color="000000" w:fill="FFFFFF"/>
            <w:vAlign w:val="center"/>
          </w:tcPr>
          <w:p w14:paraId="43EEEC36" w14:textId="77777777" w:rsidR="00A320E6" w:rsidRDefault="00000000" w:rsidP="00AE0286">
            <w:pPr>
              <w:rPr>
                <w:rFonts w:ascii="宋体" w:hAnsi="宋体" w:cs="宋体"/>
                <w:kern w:val="0"/>
                <w:szCs w:val="21"/>
              </w:rPr>
            </w:pPr>
            <w:r>
              <w:rPr>
                <w:rFonts w:ascii="宋体" w:hAnsi="宋体" w:cs="宋体" w:hint="eastAsia"/>
                <w:kern w:val="0"/>
                <w:szCs w:val="21"/>
              </w:rPr>
              <w:t>含鱼苗虾苗等损失，鱼苗虾苗等归原主。</w:t>
            </w:r>
          </w:p>
        </w:tc>
      </w:tr>
      <w:tr w:rsidR="008B03FA" w14:paraId="40C1C407" w14:textId="77777777" w:rsidTr="008B03FA">
        <w:trPr>
          <w:trHeight w:val="312"/>
          <w:jc w:val="center"/>
        </w:trPr>
        <w:tc>
          <w:tcPr>
            <w:tcW w:w="389" w:type="pct"/>
            <w:vMerge/>
            <w:vAlign w:val="center"/>
          </w:tcPr>
          <w:p w14:paraId="5A50AA53" w14:textId="77777777" w:rsidR="00A320E6" w:rsidRDefault="00A320E6" w:rsidP="00AE0286">
            <w:pPr>
              <w:jc w:val="left"/>
              <w:rPr>
                <w:rFonts w:ascii="宋体" w:hAnsi="宋体" w:cs="宋体"/>
                <w:kern w:val="0"/>
                <w:szCs w:val="21"/>
              </w:rPr>
            </w:pPr>
          </w:p>
        </w:tc>
        <w:tc>
          <w:tcPr>
            <w:tcW w:w="484" w:type="pct"/>
            <w:vMerge/>
            <w:vAlign w:val="center"/>
          </w:tcPr>
          <w:p w14:paraId="63A3144E"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24EF298" w14:textId="77777777" w:rsidR="00A320E6" w:rsidRDefault="00000000" w:rsidP="00AE0286">
            <w:pPr>
              <w:rPr>
                <w:rFonts w:ascii="宋体" w:hAnsi="宋体" w:cs="宋体"/>
                <w:kern w:val="0"/>
                <w:szCs w:val="21"/>
              </w:rPr>
            </w:pPr>
            <w:r>
              <w:rPr>
                <w:rFonts w:ascii="宋体" w:hAnsi="宋体" w:cs="宋体" w:hint="eastAsia"/>
                <w:kern w:val="0"/>
                <w:szCs w:val="21"/>
              </w:rPr>
              <w:t>石砌（砖砌）池塘</w:t>
            </w:r>
          </w:p>
        </w:tc>
        <w:tc>
          <w:tcPr>
            <w:tcW w:w="1055" w:type="pct"/>
            <w:shd w:val="clear" w:color="000000" w:fill="FFFFFF"/>
            <w:vAlign w:val="center"/>
          </w:tcPr>
          <w:p w14:paraId="29BD672B" w14:textId="77777777" w:rsidR="00A320E6" w:rsidRDefault="00000000" w:rsidP="00AE0286">
            <w:pPr>
              <w:jc w:val="center"/>
              <w:rPr>
                <w:rFonts w:ascii="宋体" w:hAnsi="宋体" w:cs="宋体"/>
                <w:kern w:val="0"/>
                <w:szCs w:val="21"/>
              </w:rPr>
            </w:pPr>
            <w:r>
              <w:rPr>
                <w:rFonts w:ascii="宋体" w:hAnsi="宋体" w:cs="宋体" w:hint="eastAsia"/>
                <w:kern w:val="0"/>
                <w:szCs w:val="21"/>
              </w:rPr>
              <w:t>10000-14000元/亩</w:t>
            </w:r>
          </w:p>
        </w:tc>
        <w:tc>
          <w:tcPr>
            <w:tcW w:w="1806" w:type="pct"/>
            <w:vMerge/>
            <w:vAlign w:val="center"/>
          </w:tcPr>
          <w:p w14:paraId="622BAE12" w14:textId="77777777" w:rsidR="00A320E6" w:rsidRDefault="00A320E6" w:rsidP="00AE0286">
            <w:pPr>
              <w:jc w:val="left"/>
              <w:rPr>
                <w:rFonts w:ascii="宋体" w:hAnsi="宋体" w:cs="宋体"/>
                <w:kern w:val="0"/>
                <w:szCs w:val="21"/>
              </w:rPr>
            </w:pPr>
          </w:p>
        </w:tc>
      </w:tr>
      <w:tr w:rsidR="008B03FA" w14:paraId="48DB571E" w14:textId="77777777" w:rsidTr="008B03FA">
        <w:trPr>
          <w:trHeight w:val="312"/>
          <w:jc w:val="center"/>
        </w:trPr>
        <w:tc>
          <w:tcPr>
            <w:tcW w:w="389" w:type="pct"/>
            <w:vMerge w:val="restart"/>
            <w:shd w:val="clear" w:color="000000" w:fill="FFFFFF"/>
            <w:vAlign w:val="center"/>
          </w:tcPr>
          <w:p w14:paraId="648A1210" w14:textId="77777777" w:rsidR="00A320E6" w:rsidRDefault="00000000" w:rsidP="00AE0286">
            <w:pPr>
              <w:jc w:val="center"/>
              <w:rPr>
                <w:rFonts w:ascii="宋体" w:hAnsi="宋体" w:cs="宋体"/>
                <w:kern w:val="0"/>
                <w:szCs w:val="21"/>
              </w:rPr>
            </w:pPr>
            <w:r>
              <w:rPr>
                <w:rFonts w:ascii="宋体" w:hAnsi="宋体" w:cs="宋体" w:hint="eastAsia"/>
                <w:kern w:val="0"/>
                <w:szCs w:val="21"/>
              </w:rPr>
              <w:t>18</w:t>
            </w:r>
          </w:p>
        </w:tc>
        <w:tc>
          <w:tcPr>
            <w:tcW w:w="484" w:type="pct"/>
            <w:vMerge w:val="restart"/>
            <w:shd w:val="clear" w:color="000000" w:fill="FFFFFF"/>
            <w:vAlign w:val="center"/>
          </w:tcPr>
          <w:p w14:paraId="1FE3E1A1" w14:textId="77777777" w:rsidR="00A320E6" w:rsidRDefault="00000000" w:rsidP="00AE0286">
            <w:pPr>
              <w:jc w:val="center"/>
              <w:rPr>
                <w:rFonts w:ascii="宋体" w:hAnsi="宋体" w:cs="宋体"/>
                <w:kern w:val="0"/>
                <w:szCs w:val="21"/>
              </w:rPr>
            </w:pPr>
            <w:r>
              <w:rPr>
                <w:rFonts w:ascii="宋体" w:hAnsi="宋体" w:cs="宋体" w:hint="eastAsia"/>
                <w:kern w:val="0"/>
                <w:szCs w:val="21"/>
              </w:rPr>
              <w:t>藕塘</w:t>
            </w:r>
          </w:p>
        </w:tc>
        <w:tc>
          <w:tcPr>
            <w:tcW w:w="1265" w:type="pct"/>
            <w:gridSpan w:val="2"/>
            <w:shd w:val="clear" w:color="000000" w:fill="FFFFFF"/>
            <w:vAlign w:val="center"/>
          </w:tcPr>
          <w:p w14:paraId="0453B3F6" w14:textId="77777777" w:rsidR="00A320E6" w:rsidRDefault="00000000" w:rsidP="00AE0286">
            <w:pPr>
              <w:rPr>
                <w:rFonts w:ascii="宋体" w:hAnsi="宋体" w:cs="宋体"/>
                <w:kern w:val="0"/>
                <w:szCs w:val="21"/>
              </w:rPr>
            </w:pPr>
            <w:r>
              <w:rPr>
                <w:rFonts w:ascii="宋体" w:hAnsi="宋体" w:cs="宋体" w:hint="eastAsia"/>
                <w:kern w:val="0"/>
                <w:szCs w:val="21"/>
              </w:rPr>
              <w:t>土筑藕塘</w:t>
            </w:r>
          </w:p>
        </w:tc>
        <w:tc>
          <w:tcPr>
            <w:tcW w:w="1055" w:type="pct"/>
            <w:shd w:val="clear" w:color="000000" w:fill="FFFFFF"/>
            <w:vAlign w:val="center"/>
          </w:tcPr>
          <w:p w14:paraId="1A2B8902" w14:textId="77777777" w:rsidR="00A320E6" w:rsidRDefault="00000000" w:rsidP="00AE0286">
            <w:pPr>
              <w:jc w:val="center"/>
              <w:rPr>
                <w:rFonts w:ascii="宋体" w:hAnsi="宋体" w:cs="宋体"/>
                <w:kern w:val="0"/>
                <w:szCs w:val="21"/>
              </w:rPr>
            </w:pPr>
            <w:r>
              <w:rPr>
                <w:rFonts w:ascii="宋体" w:hAnsi="宋体" w:cs="宋体" w:hint="eastAsia"/>
                <w:kern w:val="0"/>
                <w:szCs w:val="21"/>
              </w:rPr>
              <w:t>6000-10000元/亩</w:t>
            </w:r>
          </w:p>
        </w:tc>
        <w:tc>
          <w:tcPr>
            <w:tcW w:w="1806" w:type="pct"/>
            <w:vMerge w:val="restart"/>
            <w:shd w:val="clear" w:color="000000" w:fill="FFFFFF"/>
            <w:vAlign w:val="center"/>
          </w:tcPr>
          <w:p w14:paraId="1333E4C0" w14:textId="77777777" w:rsidR="00A320E6" w:rsidRDefault="00000000" w:rsidP="00AE0286">
            <w:pPr>
              <w:rPr>
                <w:rFonts w:ascii="宋体" w:hAnsi="宋体" w:cs="宋体"/>
                <w:kern w:val="0"/>
                <w:szCs w:val="21"/>
              </w:rPr>
            </w:pPr>
            <w:r>
              <w:rPr>
                <w:rFonts w:ascii="宋体" w:hAnsi="宋体" w:cs="宋体" w:hint="eastAsia"/>
                <w:kern w:val="0"/>
                <w:szCs w:val="21"/>
              </w:rPr>
              <w:t>含藕苗损失，藕苗归原主。</w:t>
            </w:r>
          </w:p>
        </w:tc>
      </w:tr>
      <w:tr w:rsidR="008B03FA" w14:paraId="45D1C773" w14:textId="77777777" w:rsidTr="008B03FA">
        <w:trPr>
          <w:trHeight w:val="312"/>
          <w:jc w:val="center"/>
        </w:trPr>
        <w:tc>
          <w:tcPr>
            <w:tcW w:w="389" w:type="pct"/>
            <w:vMerge/>
            <w:vAlign w:val="center"/>
          </w:tcPr>
          <w:p w14:paraId="21A9EAAC" w14:textId="77777777" w:rsidR="00A320E6" w:rsidRDefault="00A320E6" w:rsidP="00AE0286">
            <w:pPr>
              <w:jc w:val="left"/>
              <w:rPr>
                <w:rFonts w:ascii="宋体" w:hAnsi="宋体" w:cs="宋体"/>
                <w:kern w:val="0"/>
                <w:szCs w:val="21"/>
              </w:rPr>
            </w:pPr>
          </w:p>
        </w:tc>
        <w:tc>
          <w:tcPr>
            <w:tcW w:w="484" w:type="pct"/>
            <w:vMerge/>
            <w:vAlign w:val="center"/>
          </w:tcPr>
          <w:p w14:paraId="0E9C9AFC"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28F26880" w14:textId="77777777" w:rsidR="00A320E6" w:rsidRDefault="00000000" w:rsidP="00AE0286">
            <w:pPr>
              <w:rPr>
                <w:rFonts w:ascii="宋体" w:hAnsi="宋体" w:cs="宋体"/>
                <w:kern w:val="0"/>
                <w:szCs w:val="21"/>
              </w:rPr>
            </w:pPr>
            <w:r>
              <w:rPr>
                <w:rFonts w:ascii="宋体" w:hAnsi="宋体" w:cs="宋体" w:hint="eastAsia"/>
                <w:kern w:val="0"/>
                <w:szCs w:val="21"/>
              </w:rPr>
              <w:t>石砌（砖砌）藕塘</w:t>
            </w:r>
          </w:p>
        </w:tc>
        <w:tc>
          <w:tcPr>
            <w:tcW w:w="1055" w:type="pct"/>
            <w:shd w:val="clear" w:color="000000" w:fill="FFFFFF"/>
            <w:vAlign w:val="center"/>
          </w:tcPr>
          <w:p w14:paraId="769FBDC1" w14:textId="77777777" w:rsidR="00A320E6" w:rsidRDefault="00000000" w:rsidP="00AE0286">
            <w:pPr>
              <w:jc w:val="center"/>
              <w:rPr>
                <w:rFonts w:ascii="宋体" w:hAnsi="宋体" w:cs="宋体"/>
                <w:kern w:val="0"/>
                <w:szCs w:val="21"/>
              </w:rPr>
            </w:pPr>
            <w:r>
              <w:rPr>
                <w:rFonts w:ascii="宋体" w:hAnsi="宋体" w:cs="宋体" w:hint="eastAsia"/>
                <w:kern w:val="0"/>
                <w:szCs w:val="21"/>
              </w:rPr>
              <w:t>10000-14000元/亩</w:t>
            </w:r>
          </w:p>
        </w:tc>
        <w:tc>
          <w:tcPr>
            <w:tcW w:w="1806" w:type="pct"/>
            <w:vMerge/>
            <w:vAlign w:val="center"/>
          </w:tcPr>
          <w:p w14:paraId="693F8B59" w14:textId="77777777" w:rsidR="00A320E6" w:rsidRDefault="00A320E6" w:rsidP="00AE0286">
            <w:pPr>
              <w:jc w:val="left"/>
              <w:rPr>
                <w:rFonts w:ascii="宋体" w:hAnsi="宋体" w:cs="宋体"/>
                <w:kern w:val="0"/>
                <w:szCs w:val="21"/>
              </w:rPr>
            </w:pPr>
          </w:p>
        </w:tc>
      </w:tr>
      <w:tr w:rsidR="008B03FA" w14:paraId="33C015BD" w14:textId="77777777" w:rsidTr="008B03FA">
        <w:trPr>
          <w:trHeight w:val="312"/>
          <w:jc w:val="center"/>
        </w:trPr>
        <w:tc>
          <w:tcPr>
            <w:tcW w:w="389" w:type="pct"/>
            <w:shd w:val="clear" w:color="000000" w:fill="FFFFFF"/>
            <w:vAlign w:val="center"/>
          </w:tcPr>
          <w:p w14:paraId="1BDD52C2" w14:textId="77777777" w:rsidR="00A320E6" w:rsidRDefault="00000000" w:rsidP="00AE0286">
            <w:pPr>
              <w:jc w:val="center"/>
              <w:rPr>
                <w:rFonts w:ascii="宋体" w:hAnsi="宋体" w:cs="宋体"/>
                <w:kern w:val="0"/>
                <w:szCs w:val="21"/>
              </w:rPr>
            </w:pPr>
            <w:r>
              <w:rPr>
                <w:rFonts w:ascii="宋体" w:hAnsi="宋体" w:cs="宋体" w:hint="eastAsia"/>
                <w:kern w:val="0"/>
                <w:szCs w:val="21"/>
              </w:rPr>
              <w:t>19</w:t>
            </w:r>
          </w:p>
        </w:tc>
        <w:tc>
          <w:tcPr>
            <w:tcW w:w="484" w:type="pct"/>
            <w:shd w:val="clear" w:color="000000" w:fill="FFFFFF"/>
            <w:vAlign w:val="center"/>
          </w:tcPr>
          <w:p w14:paraId="14BC9700" w14:textId="77777777" w:rsidR="00A320E6" w:rsidRDefault="00000000" w:rsidP="00AE0286">
            <w:pPr>
              <w:jc w:val="center"/>
              <w:rPr>
                <w:rFonts w:ascii="宋体" w:hAnsi="宋体" w:cs="宋体"/>
                <w:kern w:val="0"/>
                <w:szCs w:val="21"/>
              </w:rPr>
            </w:pPr>
            <w:r>
              <w:rPr>
                <w:rFonts w:ascii="宋体" w:hAnsi="宋体" w:cs="宋体" w:hint="eastAsia"/>
                <w:kern w:val="0"/>
                <w:szCs w:val="21"/>
              </w:rPr>
              <w:t>苇田</w:t>
            </w:r>
          </w:p>
        </w:tc>
        <w:tc>
          <w:tcPr>
            <w:tcW w:w="1265" w:type="pct"/>
            <w:gridSpan w:val="2"/>
            <w:shd w:val="clear" w:color="000000" w:fill="FFFFFF"/>
            <w:vAlign w:val="center"/>
          </w:tcPr>
          <w:p w14:paraId="21F98928" w14:textId="77777777" w:rsidR="00A320E6" w:rsidRDefault="00000000" w:rsidP="00AE0286">
            <w:pPr>
              <w:rPr>
                <w:rFonts w:ascii="宋体" w:hAnsi="宋体" w:cs="宋体"/>
                <w:kern w:val="0"/>
                <w:szCs w:val="21"/>
              </w:rPr>
            </w:pPr>
            <w:r>
              <w:rPr>
                <w:rFonts w:ascii="宋体" w:hAnsi="宋体" w:cs="宋体" w:hint="eastAsia"/>
                <w:kern w:val="0"/>
                <w:szCs w:val="21"/>
              </w:rPr>
              <w:t xml:space="preserve">　</w:t>
            </w:r>
          </w:p>
        </w:tc>
        <w:tc>
          <w:tcPr>
            <w:tcW w:w="1055" w:type="pct"/>
            <w:shd w:val="clear" w:color="000000" w:fill="FFFFFF"/>
            <w:vAlign w:val="center"/>
          </w:tcPr>
          <w:p w14:paraId="7D0F992C" w14:textId="77777777" w:rsidR="00A320E6" w:rsidRDefault="00000000" w:rsidP="00AE0286">
            <w:pPr>
              <w:jc w:val="center"/>
              <w:rPr>
                <w:rFonts w:ascii="宋体" w:hAnsi="宋体" w:cs="宋体"/>
                <w:kern w:val="0"/>
                <w:szCs w:val="21"/>
              </w:rPr>
            </w:pPr>
            <w:r>
              <w:rPr>
                <w:rFonts w:ascii="宋体" w:hAnsi="宋体" w:cs="宋体" w:hint="eastAsia"/>
                <w:kern w:val="0"/>
                <w:szCs w:val="21"/>
              </w:rPr>
              <w:t>900-1200元/亩</w:t>
            </w:r>
          </w:p>
        </w:tc>
        <w:tc>
          <w:tcPr>
            <w:tcW w:w="1806" w:type="pct"/>
            <w:shd w:val="clear" w:color="000000" w:fill="FFFFFF"/>
            <w:vAlign w:val="center"/>
          </w:tcPr>
          <w:p w14:paraId="5A741E6D" w14:textId="77777777" w:rsidR="00A320E6" w:rsidRDefault="00A320E6" w:rsidP="00AE0286">
            <w:pPr>
              <w:rPr>
                <w:rFonts w:ascii="宋体" w:hAnsi="宋体" w:cs="宋体"/>
                <w:kern w:val="0"/>
                <w:szCs w:val="21"/>
              </w:rPr>
            </w:pPr>
          </w:p>
        </w:tc>
      </w:tr>
      <w:tr w:rsidR="008B03FA" w14:paraId="1DCF7102" w14:textId="77777777" w:rsidTr="008B03FA">
        <w:trPr>
          <w:trHeight w:val="312"/>
          <w:jc w:val="center"/>
        </w:trPr>
        <w:tc>
          <w:tcPr>
            <w:tcW w:w="389" w:type="pct"/>
            <w:shd w:val="clear" w:color="000000" w:fill="FFFFFF"/>
            <w:noWrap/>
            <w:vAlign w:val="center"/>
          </w:tcPr>
          <w:p w14:paraId="6B0EBAD7" w14:textId="77777777" w:rsidR="00A320E6" w:rsidRDefault="00000000" w:rsidP="00AE0286">
            <w:pPr>
              <w:jc w:val="center"/>
              <w:rPr>
                <w:rFonts w:ascii="宋体" w:hAnsi="宋体" w:cs="宋体"/>
                <w:kern w:val="0"/>
                <w:szCs w:val="21"/>
              </w:rPr>
            </w:pPr>
            <w:r>
              <w:rPr>
                <w:rFonts w:ascii="宋体" w:hAnsi="宋体" w:cs="宋体" w:hint="eastAsia"/>
                <w:kern w:val="0"/>
                <w:szCs w:val="21"/>
              </w:rPr>
              <w:t>20</w:t>
            </w:r>
          </w:p>
        </w:tc>
        <w:tc>
          <w:tcPr>
            <w:tcW w:w="484" w:type="pct"/>
            <w:shd w:val="clear" w:color="000000" w:fill="FFFFFF"/>
            <w:vAlign w:val="center"/>
          </w:tcPr>
          <w:p w14:paraId="2F22B960" w14:textId="77777777" w:rsidR="00A320E6" w:rsidRDefault="00000000" w:rsidP="00AE0286">
            <w:pPr>
              <w:jc w:val="center"/>
              <w:rPr>
                <w:rFonts w:ascii="宋体" w:hAnsi="宋体" w:cs="宋体"/>
                <w:kern w:val="0"/>
                <w:szCs w:val="21"/>
              </w:rPr>
            </w:pPr>
            <w:r>
              <w:rPr>
                <w:rFonts w:ascii="宋体" w:hAnsi="宋体" w:cs="宋体" w:hint="eastAsia"/>
                <w:kern w:val="0"/>
                <w:szCs w:val="21"/>
              </w:rPr>
              <w:t>海水水塘</w:t>
            </w:r>
          </w:p>
        </w:tc>
        <w:tc>
          <w:tcPr>
            <w:tcW w:w="1265" w:type="pct"/>
            <w:gridSpan w:val="2"/>
            <w:shd w:val="clear" w:color="000000" w:fill="FFFFFF"/>
            <w:noWrap/>
            <w:vAlign w:val="center"/>
          </w:tcPr>
          <w:p w14:paraId="622E67AC" w14:textId="77777777" w:rsidR="00A320E6" w:rsidRDefault="00000000" w:rsidP="00AE0286">
            <w:pPr>
              <w:rPr>
                <w:rFonts w:ascii="宋体" w:hAnsi="宋体" w:cs="宋体"/>
                <w:kern w:val="0"/>
                <w:szCs w:val="21"/>
              </w:rPr>
            </w:pPr>
            <w:r>
              <w:rPr>
                <w:rFonts w:ascii="宋体" w:hAnsi="宋体" w:cs="宋体" w:hint="eastAsia"/>
                <w:kern w:val="0"/>
                <w:szCs w:val="21"/>
              </w:rPr>
              <w:t xml:space="preserve">　</w:t>
            </w:r>
          </w:p>
        </w:tc>
        <w:tc>
          <w:tcPr>
            <w:tcW w:w="1055" w:type="pct"/>
            <w:shd w:val="clear" w:color="000000" w:fill="FFFFFF"/>
            <w:noWrap/>
            <w:vAlign w:val="center"/>
          </w:tcPr>
          <w:p w14:paraId="294C1C7C" w14:textId="77777777" w:rsidR="00A320E6" w:rsidRDefault="00000000" w:rsidP="00AE0286">
            <w:pPr>
              <w:jc w:val="center"/>
              <w:rPr>
                <w:rFonts w:ascii="宋体" w:hAnsi="宋体" w:cs="宋体"/>
                <w:kern w:val="0"/>
                <w:szCs w:val="21"/>
              </w:rPr>
            </w:pPr>
            <w:r>
              <w:rPr>
                <w:rFonts w:ascii="宋体" w:hAnsi="宋体" w:cs="宋体" w:hint="eastAsia"/>
                <w:kern w:val="0"/>
                <w:szCs w:val="21"/>
              </w:rPr>
              <w:t>4000-5000元/亩</w:t>
            </w:r>
          </w:p>
        </w:tc>
        <w:tc>
          <w:tcPr>
            <w:tcW w:w="1806" w:type="pct"/>
            <w:shd w:val="clear" w:color="000000" w:fill="FFFFFF"/>
            <w:noWrap/>
            <w:vAlign w:val="center"/>
          </w:tcPr>
          <w:p w14:paraId="67ED8335" w14:textId="77777777" w:rsidR="00A320E6" w:rsidRDefault="00000000" w:rsidP="00AE0286">
            <w:pPr>
              <w:rPr>
                <w:rFonts w:ascii="宋体" w:hAnsi="宋体" w:cs="宋体"/>
                <w:kern w:val="0"/>
                <w:szCs w:val="21"/>
              </w:rPr>
            </w:pPr>
            <w:r>
              <w:rPr>
                <w:rFonts w:ascii="宋体" w:hAnsi="宋体" w:cs="宋体" w:hint="eastAsia"/>
                <w:kern w:val="0"/>
                <w:szCs w:val="21"/>
              </w:rPr>
              <w:t>含虾苗等损失，虾苗等归原主。</w:t>
            </w:r>
          </w:p>
        </w:tc>
      </w:tr>
      <w:tr w:rsidR="008B03FA" w14:paraId="58663B11" w14:textId="77777777" w:rsidTr="008B03FA">
        <w:trPr>
          <w:trHeight w:val="312"/>
          <w:jc w:val="center"/>
        </w:trPr>
        <w:tc>
          <w:tcPr>
            <w:tcW w:w="389" w:type="pct"/>
            <w:vMerge w:val="restart"/>
            <w:shd w:val="clear" w:color="000000" w:fill="FFFFFF"/>
            <w:noWrap/>
            <w:vAlign w:val="center"/>
          </w:tcPr>
          <w:p w14:paraId="3A2F0AA8" w14:textId="77777777" w:rsidR="00A320E6" w:rsidRDefault="00000000" w:rsidP="00AE0286">
            <w:pPr>
              <w:jc w:val="center"/>
              <w:rPr>
                <w:rFonts w:ascii="宋体" w:hAnsi="宋体" w:cs="宋体"/>
                <w:kern w:val="0"/>
                <w:szCs w:val="21"/>
              </w:rPr>
            </w:pPr>
            <w:r>
              <w:rPr>
                <w:rFonts w:ascii="宋体" w:hAnsi="宋体" w:cs="宋体" w:hint="eastAsia"/>
                <w:kern w:val="0"/>
                <w:szCs w:val="21"/>
              </w:rPr>
              <w:t>21</w:t>
            </w:r>
          </w:p>
        </w:tc>
        <w:tc>
          <w:tcPr>
            <w:tcW w:w="484" w:type="pct"/>
            <w:vMerge w:val="restart"/>
            <w:shd w:val="clear" w:color="000000" w:fill="FFFFFF"/>
            <w:noWrap/>
            <w:vAlign w:val="center"/>
          </w:tcPr>
          <w:p w14:paraId="39B899F6" w14:textId="77777777" w:rsidR="00A320E6" w:rsidRDefault="00000000" w:rsidP="00AE0286">
            <w:pPr>
              <w:jc w:val="center"/>
              <w:rPr>
                <w:rFonts w:ascii="宋体" w:hAnsi="宋体" w:cs="宋体"/>
                <w:kern w:val="0"/>
                <w:szCs w:val="21"/>
              </w:rPr>
            </w:pPr>
            <w:r>
              <w:rPr>
                <w:rFonts w:ascii="宋体" w:hAnsi="宋体" w:cs="宋体" w:hint="eastAsia"/>
                <w:kern w:val="0"/>
                <w:szCs w:val="21"/>
              </w:rPr>
              <w:t>晒盐池</w:t>
            </w:r>
          </w:p>
        </w:tc>
        <w:tc>
          <w:tcPr>
            <w:tcW w:w="1265" w:type="pct"/>
            <w:gridSpan w:val="2"/>
            <w:shd w:val="clear" w:color="000000" w:fill="FFFFFF"/>
            <w:vAlign w:val="center"/>
          </w:tcPr>
          <w:p w14:paraId="79F73E6B" w14:textId="77777777" w:rsidR="00A320E6" w:rsidRDefault="00000000" w:rsidP="00AE0286">
            <w:pPr>
              <w:rPr>
                <w:rFonts w:ascii="宋体" w:hAnsi="宋体" w:cs="宋体"/>
                <w:kern w:val="0"/>
                <w:szCs w:val="21"/>
              </w:rPr>
            </w:pPr>
            <w:r>
              <w:rPr>
                <w:rFonts w:ascii="宋体" w:hAnsi="宋体" w:cs="宋体" w:hint="eastAsia"/>
                <w:kern w:val="0"/>
                <w:szCs w:val="21"/>
              </w:rPr>
              <w:t>蒸发池</w:t>
            </w:r>
          </w:p>
        </w:tc>
        <w:tc>
          <w:tcPr>
            <w:tcW w:w="1055" w:type="pct"/>
            <w:shd w:val="clear" w:color="000000" w:fill="FFFFFF"/>
            <w:noWrap/>
            <w:vAlign w:val="center"/>
          </w:tcPr>
          <w:p w14:paraId="1D2276B9" w14:textId="77777777" w:rsidR="00A320E6" w:rsidRDefault="00000000" w:rsidP="00AE0286">
            <w:pPr>
              <w:jc w:val="center"/>
              <w:rPr>
                <w:rFonts w:ascii="宋体" w:hAnsi="宋体" w:cs="宋体"/>
                <w:kern w:val="0"/>
                <w:szCs w:val="21"/>
              </w:rPr>
            </w:pPr>
            <w:r>
              <w:rPr>
                <w:rFonts w:ascii="宋体" w:hAnsi="宋体" w:cs="宋体" w:hint="eastAsia"/>
                <w:kern w:val="0"/>
                <w:szCs w:val="21"/>
              </w:rPr>
              <w:t>2500-3500元/亩</w:t>
            </w:r>
          </w:p>
        </w:tc>
        <w:tc>
          <w:tcPr>
            <w:tcW w:w="1806" w:type="pct"/>
            <w:vMerge w:val="restart"/>
            <w:shd w:val="clear" w:color="000000" w:fill="FFFFFF"/>
            <w:noWrap/>
            <w:vAlign w:val="center"/>
          </w:tcPr>
          <w:p w14:paraId="4E3167C1" w14:textId="77777777" w:rsidR="00A320E6" w:rsidRDefault="00A320E6" w:rsidP="00AE0286">
            <w:pPr>
              <w:rPr>
                <w:rFonts w:ascii="宋体" w:hAnsi="宋体" w:cs="宋体"/>
                <w:kern w:val="0"/>
                <w:szCs w:val="21"/>
              </w:rPr>
            </w:pPr>
          </w:p>
        </w:tc>
      </w:tr>
      <w:tr w:rsidR="008B03FA" w14:paraId="1C4F24AB" w14:textId="77777777" w:rsidTr="008B03FA">
        <w:trPr>
          <w:trHeight w:val="312"/>
          <w:jc w:val="center"/>
        </w:trPr>
        <w:tc>
          <w:tcPr>
            <w:tcW w:w="389" w:type="pct"/>
            <w:vMerge/>
            <w:vAlign w:val="center"/>
          </w:tcPr>
          <w:p w14:paraId="64F4E0DA" w14:textId="77777777" w:rsidR="00A320E6" w:rsidRDefault="00A320E6" w:rsidP="00AE0286">
            <w:pPr>
              <w:jc w:val="left"/>
              <w:rPr>
                <w:rFonts w:ascii="宋体" w:hAnsi="宋体" w:cs="宋体"/>
                <w:kern w:val="0"/>
                <w:szCs w:val="21"/>
              </w:rPr>
            </w:pPr>
          </w:p>
        </w:tc>
        <w:tc>
          <w:tcPr>
            <w:tcW w:w="484" w:type="pct"/>
            <w:vMerge/>
            <w:vAlign w:val="center"/>
          </w:tcPr>
          <w:p w14:paraId="2162F7B2"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CC51BBD" w14:textId="77777777" w:rsidR="00A320E6" w:rsidRDefault="00000000" w:rsidP="00AE0286">
            <w:pPr>
              <w:rPr>
                <w:rFonts w:ascii="宋体" w:hAnsi="宋体" w:cs="宋体"/>
                <w:kern w:val="0"/>
                <w:szCs w:val="21"/>
              </w:rPr>
            </w:pPr>
            <w:r>
              <w:rPr>
                <w:rFonts w:ascii="宋体" w:hAnsi="宋体" w:cs="宋体" w:hint="eastAsia"/>
                <w:kern w:val="0"/>
                <w:szCs w:val="21"/>
              </w:rPr>
              <w:t>结晶池</w:t>
            </w:r>
          </w:p>
        </w:tc>
        <w:tc>
          <w:tcPr>
            <w:tcW w:w="1055" w:type="pct"/>
            <w:shd w:val="clear" w:color="000000" w:fill="FFFFFF"/>
            <w:noWrap/>
            <w:vAlign w:val="center"/>
          </w:tcPr>
          <w:p w14:paraId="60C604B7" w14:textId="77777777" w:rsidR="00A320E6" w:rsidRDefault="00000000" w:rsidP="00AE0286">
            <w:pPr>
              <w:jc w:val="center"/>
              <w:rPr>
                <w:rFonts w:ascii="宋体" w:hAnsi="宋体" w:cs="宋体"/>
                <w:kern w:val="0"/>
                <w:szCs w:val="21"/>
              </w:rPr>
            </w:pPr>
            <w:r>
              <w:rPr>
                <w:rFonts w:ascii="宋体" w:hAnsi="宋体" w:cs="宋体" w:hint="eastAsia"/>
                <w:kern w:val="0"/>
                <w:szCs w:val="21"/>
              </w:rPr>
              <w:t>9000-11000元/亩</w:t>
            </w:r>
          </w:p>
        </w:tc>
        <w:tc>
          <w:tcPr>
            <w:tcW w:w="1806" w:type="pct"/>
            <w:vMerge/>
            <w:shd w:val="clear" w:color="000000" w:fill="FFFFFF"/>
            <w:noWrap/>
            <w:vAlign w:val="center"/>
          </w:tcPr>
          <w:p w14:paraId="27AFBF6B" w14:textId="77777777" w:rsidR="00A320E6" w:rsidRDefault="00A320E6" w:rsidP="00AE0286">
            <w:pPr>
              <w:rPr>
                <w:rFonts w:ascii="宋体" w:hAnsi="宋体" w:cs="宋体"/>
                <w:kern w:val="0"/>
                <w:szCs w:val="21"/>
              </w:rPr>
            </w:pPr>
          </w:p>
        </w:tc>
      </w:tr>
      <w:tr w:rsidR="008B03FA" w14:paraId="1103B2E8" w14:textId="77777777" w:rsidTr="008B03FA">
        <w:trPr>
          <w:trHeight w:val="312"/>
          <w:jc w:val="center"/>
        </w:trPr>
        <w:tc>
          <w:tcPr>
            <w:tcW w:w="389" w:type="pct"/>
            <w:vMerge w:val="restart"/>
            <w:shd w:val="clear" w:color="000000" w:fill="FFFFFF"/>
            <w:vAlign w:val="center"/>
          </w:tcPr>
          <w:p w14:paraId="233E81D3" w14:textId="77777777" w:rsidR="00A320E6" w:rsidRDefault="00000000" w:rsidP="00AE0286">
            <w:pPr>
              <w:jc w:val="center"/>
              <w:rPr>
                <w:rFonts w:ascii="宋体" w:hAnsi="宋体" w:cs="宋体"/>
                <w:kern w:val="0"/>
                <w:szCs w:val="21"/>
              </w:rPr>
            </w:pPr>
            <w:r>
              <w:rPr>
                <w:rFonts w:ascii="宋体" w:hAnsi="宋体" w:cs="宋体" w:hint="eastAsia"/>
                <w:kern w:val="0"/>
                <w:szCs w:val="21"/>
              </w:rPr>
              <w:t>22</w:t>
            </w:r>
          </w:p>
        </w:tc>
        <w:tc>
          <w:tcPr>
            <w:tcW w:w="484" w:type="pct"/>
            <w:vMerge w:val="restart"/>
            <w:shd w:val="clear" w:color="000000" w:fill="FFFFFF"/>
            <w:vAlign w:val="center"/>
          </w:tcPr>
          <w:p w14:paraId="30073CFE" w14:textId="77777777" w:rsidR="00A320E6" w:rsidRDefault="00000000" w:rsidP="00AE0286">
            <w:pPr>
              <w:jc w:val="center"/>
              <w:rPr>
                <w:rFonts w:ascii="宋体" w:hAnsi="宋体" w:cs="宋体"/>
                <w:kern w:val="0"/>
                <w:szCs w:val="21"/>
              </w:rPr>
            </w:pPr>
            <w:r>
              <w:rPr>
                <w:rFonts w:ascii="宋体" w:hAnsi="宋体" w:cs="宋体" w:hint="eastAsia"/>
                <w:kern w:val="0"/>
                <w:szCs w:val="21"/>
              </w:rPr>
              <w:t>砖窑</w:t>
            </w:r>
          </w:p>
        </w:tc>
        <w:tc>
          <w:tcPr>
            <w:tcW w:w="1265" w:type="pct"/>
            <w:gridSpan w:val="2"/>
            <w:shd w:val="clear" w:color="000000" w:fill="FFFFFF"/>
            <w:vAlign w:val="center"/>
          </w:tcPr>
          <w:p w14:paraId="20BB9EBD" w14:textId="77777777" w:rsidR="00A320E6" w:rsidRDefault="00000000" w:rsidP="00AE0286">
            <w:pPr>
              <w:rPr>
                <w:rFonts w:ascii="宋体" w:hAnsi="宋体" w:cs="宋体"/>
                <w:kern w:val="0"/>
                <w:szCs w:val="21"/>
              </w:rPr>
            </w:pPr>
            <w:r>
              <w:rPr>
                <w:rFonts w:ascii="宋体" w:hAnsi="宋体" w:cs="宋体" w:hint="eastAsia"/>
                <w:kern w:val="0"/>
                <w:szCs w:val="21"/>
              </w:rPr>
              <w:t>18、20、22、32门轮窑</w:t>
            </w:r>
          </w:p>
        </w:tc>
        <w:tc>
          <w:tcPr>
            <w:tcW w:w="1055" w:type="pct"/>
            <w:shd w:val="clear" w:color="000000" w:fill="FFFFFF"/>
            <w:vAlign w:val="center"/>
          </w:tcPr>
          <w:p w14:paraId="58C5708E" w14:textId="77777777" w:rsidR="00A320E6" w:rsidRDefault="00000000" w:rsidP="00AE0286">
            <w:pPr>
              <w:jc w:val="center"/>
              <w:rPr>
                <w:rFonts w:ascii="宋体" w:hAnsi="宋体" w:cs="宋体"/>
                <w:kern w:val="0"/>
                <w:szCs w:val="21"/>
              </w:rPr>
            </w:pPr>
            <w:r>
              <w:rPr>
                <w:rFonts w:ascii="宋体" w:hAnsi="宋体" w:cs="宋体" w:hint="eastAsia"/>
                <w:kern w:val="0"/>
                <w:szCs w:val="21"/>
              </w:rPr>
              <w:t>7000-10000元/门</w:t>
            </w:r>
          </w:p>
        </w:tc>
        <w:tc>
          <w:tcPr>
            <w:tcW w:w="1806" w:type="pct"/>
            <w:shd w:val="clear" w:color="000000" w:fill="FFFFFF"/>
            <w:vAlign w:val="center"/>
          </w:tcPr>
          <w:p w14:paraId="297BE4C2" w14:textId="77777777" w:rsidR="00A320E6" w:rsidRDefault="00000000" w:rsidP="00AE0286">
            <w:pPr>
              <w:rPr>
                <w:rFonts w:ascii="宋体" w:hAnsi="宋体" w:cs="宋体"/>
                <w:kern w:val="0"/>
                <w:szCs w:val="21"/>
              </w:rPr>
            </w:pPr>
            <w:r>
              <w:rPr>
                <w:rFonts w:ascii="宋体" w:hAnsi="宋体" w:cs="宋体" w:hint="eastAsia"/>
                <w:kern w:val="0"/>
                <w:szCs w:val="21"/>
              </w:rPr>
              <w:t>包括烟囱</w:t>
            </w:r>
          </w:p>
        </w:tc>
      </w:tr>
      <w:tr w:rsidR="008B03FA" w14:paraId="364BAE66" w14:textId="77777777" w:rsidTr="008B03FA">
        <w:trPr>
          <w:trHeight w:val="312"/>
          <w:jc w:val="center"/>
        </w:trPr>
        <w:tc>
          <w:tcPr>
            <w:tcW w:w="389" w:type="pct"/>
            <w:vMerge/>
            <w:vAlign w:val="center"/>
          </w:tcPr>
          <w:p w14:paraId="55F32C3F" w14:textId="77777777" w:rsidR="00A320E6" w:rsidRDefault="00A320E6" w:rsidP="00AE0286">
            <w:pPr>
              <w:jc w:val="left"/>
              <w:rPr>
                <w:rFonts w:ascii="宋体" w:hAnsi="宋体" w:cs="宋体"/>
                <w:kern w:val="0"/>
                <w:szCs w:val="21"/>
              </w:rPr>
            </w:pPr>
          </w:p>
        </w:tc>
        <w:tc>
          <w:tcPr>
            <w:tcW w:w="484" w:type="pct"/>
            <w:vMerge/>
            <w:vAlign w:val="center"/>
          </w:tcPr>
          <w:p w14:paraId="6CF54F0A"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19E630E4" w14:textId="77777777" w:rsidR="00A320E6" w:rsidRDefault="00000000" w:rsidP="00AE0286">
            <w:pPr>
              <w:rPr>
                <w:rFonts w:ascii="宋体" w:hAnsi="宋体" w:cs="宋体"/>
                <w:kern w:val="0"/>
                <w:szCs w:val="21"/>
              </w:rPr>
            </w:pPr>
            <w:r>
              <w:rPr>
                <w:rFonts w:ascii="宋体" w:hAnsi="宋体" w:cs="宋体" w:hint="eastAsia"/>
                <w:kern w:val="0"/>
                <w:szCs w:val="21"/>
              </w:rPr>
              <w:t>老式土窑</w:t>
            </w:r>
          </w:p>
        </w:tc>
        <w:tc>
          <w:tcPr>
            <w:tcW w:w="1055" w:type="pct"/>
            <w:shd w:val="clear" w:color="000000" w:fill="FFFFFF"/>
            <w:vAlign w:val="center"/>
          </w:tcPr>
          <w:p w14:paraId="2EEE50DA" w14:textId="77777777" w:rsidR="00A320E6" w:rsidRDefault="00000000" w:rsidP="00AE0286">
            <w:pPr>
              <w:jc w:val="center"/>
              <w:rPr>
                <w:rFonts w:ascii="宋体" w:hAnsi="宋体" w:cs="宋体"/>
                <w:kern w:val="0"/>
                <w:szCs w:val="21"/>
              </w:rPr>
            </w:pPr>
            <w:r>
              <w:rPr>
                <w:rFonts w:ascii="宋体" w:hAnsi="宋体" w:cs="宋体" w:hint="eastAsia"/>
                <w:kern w:val="0"/>
                <w:szCs w:val="21"/>
              </w:rPr>
              <w:t>8000-30000元/座</w:t>
            </w:r>
          </w:p>
        </w:tc>
        <w:tc>
          <w:tcPr>
            <w:tcW w:w="1806" w:type="pct"/>
            <w:shd w:val="clear" w:color="000000" w:fill="FFFFFF"/>
            <w:vAlign w:val="center"/>
          </w:tcPr>
          <w:p w14:paraId="07A0939D" w14:textId="77777777" w:rsidR="00A320E6" w:rsidRDefault="00000000" w:rsidP="00AE0286">
            <w:pPr>
              <w:rPr>
                <w:rFonts w:ascii="宋体" w:hAnsi="宋体" w:cs="宋体"/>
                <w:kern w:val="0"/>
                <w:szCs w:val="21"/>
              </w:rPr>
            </w:pPr>
            <w:r>
              <w:rPr>
                <w:rFonts w:ascii="宋体" w:hAnsi="宋体" w:cs="宋体" w:hint="eastAsia"/>
                <w:kern w:val="0"/>
                <w:szCs w:val="21"/>
              </w:rPr>
              <w:t>包括烘干室</w:t>
            </w:r>
          </w:p>
        </w:tc>
      </w:tr>
      <w:tr w:rsidR="008B03FA" w14:paraId="3E4A72D1" w14:textId="77777777" w:rsidTr="008B03FA">
        <w:trPr>
          <w:trHeight w:val="312"/>
          <w:jc w:val="center"/>
        </w:trPr>
        <w:tc>
          <w:tcPr>
            <w:tcW w:w="389" w:type="pct"/>
            <w:vMerge w:val="restart"/>
            <w:shd w:val="clear" w:color="000000" w:fill="FFFFFF"/>
            <w:vAlign w:val="center"/>
          </w:tcPr>
          <w:p w14:paraId="106E5A05" w14:textId="77777777" w:rsidR="00A320E6" w:rsidRDefault="00000000" w:rsidP="00AE0286">
            <w:pPr>
              <w:jc w:val="center"/>
              <w:rPr>
                <w:rFonts w:ascii="宋体" w:hAnsi="宋体" w:cs="宋体"/>
                <w:kern w:val="0"/>
                <w:szCs w:val="21"/>
              </w:rPr>
            </w:pPr>
            <w:r>
              <w:rPr>
                <w:rFonts w:ascii="宋体" w:hAnsi="宋体" w:cs="宋体" w:hint="eastAsia"/>
                <w:kern w:val="0"/>
                <w:szCs w:val="21"/>
              </w:rPr>
              <w:t>23</w:t>
            </w:r>
          </w:p>
        </w:tc>
        <w:tc>
          <w:tcPr>
            <w:tcW w:w="484" w:type="pct"/>
            <w:vMerge w:val="restart"/>
            <w:shd w:val="clear" w:color="000000" w:fill="FFFFFF"/>
            <w:vAlign w:val="center"/>
          </w:tcPr>
          <w:p w14:paraId="748038EC" w14:textId="77777777" w:rsidR="00A320E6" w:rsidRDefault="00000000" w:rsidP="00AE0286">
            <w:pPr>
              <w:jc w:val="center"/>
              <w:rPr>
                <w:rFonts w:ascii="宋体" w:hAnsi="宋体" w:cs="宋体"/>
                <w:kern w:val="0"/>
                <w:szCs w:val="21"/>
              </w:rPr>
            </w:pPr>
            <w:r>
              <w:rPr>
                <w:rFonts w:ascii="宋体" w:hAnsi="宋体" w:cs="宋体" w:hint="eastAsia"/>
                <w:kern w:val="0"/>
                <w:szCs w:val="21"/>
              </w:rPr>
              <w:t>电力、通讯线路</w:t>
            </w:r>
          </w:p>
        </w:tc>
        <w:tc>
          <w:tcPr>
            <w:tcW w:w="1265" w:type="pct"/>
            <w:gridSpan w:val="2"/>
            <w:shd w:val="clear" w:color="000000" w:fill="FFFFFF"/>
            <w:vAlign w:val="center"/>
          </w:tcPr>
          <w:p w14:paraId="76149E08" w14:textId="77777777" w:rsidR="00A320E6" w:rsidRDefault="00000000" w:rsidP="00AE0286">
            <w:pPr>
              <w:rPr>
                <w:rFonts w:ascii="宋体" w:hAnsi="宋体" w:cs="宋体"/>
                <w:kern w:val="0"/>
                <w:szCs w:val="21"/>
              </w:rPr>
            </w:pPr>
            <w:r>
              <w:rPr>
                <w:rFonts w:ascii="宋体" w:hAnsi="宋体" w:cs="宋体" w:hint="eastAsia"/>
                <w:kern w:val="0"/>
                <w:szCs w:val="21"/>
              </w:rPr>
              <w:t>低压线路（400V以下）</w:t>
            </w:r>
          </w:p>
        </w:tc>
        <w:tc>
          <w:tcPr>
            <w:tcW w:w="1055" w:type="pct"/>
            <w:shd w:val="clear" w:color="000000" w:fill="FFFFFF"/>
            <w:vAlign w:val="center"/>
          </w:tcPr>
          <w:p w14:paraId="0FFF931E" w14:textId="77777777" w:rsidR="00A320E6" w:rsidRDefault="00000000" w:rsidP="00AE0286">
            <w:pPr>
              <w:jc w:val="center"/>
              <w:rPr>
                <w:rFonts w:ascii="宋体" w:hAnsi="宋体" w:cs="宋体"/>
                <w:kern w:val="0"/>
                <w:szCs w:val="21"/>
              </w:rPr>
            </w:pPr>
            <w:r>
              <w:rPr>
                <w:rFonts w:ascii="宋体" w:hAnsi="宋体" w:cs="宋体" w:hint="eastAsia"/>
                <w:kern w:val="0"/>
                <w:szCs w:val="21"/>
              </w:rPr>
              <w:t>1200-1500元/杆</w:t>
            </w:r>
          </w:p>
        </w:tc>
        <w:tc>
          <w:tcPr>
            <w:tcW w:w="1806" w:type="pct"/>
            <w:vMerge w:val="restart"/>
            <w:shd w:val="clear" w:color="000000" w:fill="FFFFFF"/>
            <w:vAlign w:val="center"/>
          </w:tcPr>
          <w:p w14:paraId="5ABBA343" w14:textId="77777777" w:rsidR="00A320E6" w:rsidRDefault="00000000" w:rsidP="00AE0286">
            <w:pPr>
              <w:rPr>
                <w:rFonts w:ascii="宋体" w:hAnsi="宋体" w:cs="宋体"/>
                <w:kern w:val="0"/>
                <w:szCs w:val="21"/>
              </w:rPr>
            </w:pPr>
            <w:r>
              <w:rPr>
                <w:rFonts w:ascii="宋体" w:hAnsi="宋体" w:cs="宋体" w:hint="eastAsia"/>
                <w:kern w:val="0"/>
                <w:szCs w:val="21"/>
              </w:rPr>
              <w:t>1、包括电线等材料损失及拆建工费；</w:t>
            </w:r>
          </w:p>
          <w:p w14:paraId="6B733879" w14:textId="77777777" w:rsidR="00A320E6" w:rsidRDefault="00000000" w:rsidP="00AE0286">
            <w:pPr>
              <w:rPr>
                <w:rFonts w:ascii="宋体" w:hAnsi="宋体" w:cs="宋体"/>
                <w:kern w:val="0"/>
                <w:szCs w:val="21"/>
              </w:rPr>
            </w:pPr>
            <w:r>
              <w:rPr>
                <w:rFonts w:ascii="宋体" w:hAnsi="宋体" w:cs="宋体" w:hint="eastAsia"/>
                <w:kern w:val="0"/>
                <w:szCs w:val="21"/>
              </w:rPr>
              <w:t>2、需迁移的按评估结果补偿。</w:t>
            </w:r>
          </w:p>
        </w:tc>
      </w:tr>
      <w:tr w:rsidR="008B03FA" w14:paraId="006263EA" w14:textId="77777777" w:rsidTr="008B03FA">
        <w:trPr>
          <w:trHeight w:val="312"/>
          <w:jc w:val="center"/>
        </w:trPr>
        <w:tc>
          <w:tcPr>
            <w:tcW w:w="389" w:type="pct"/>
            <w:vMerge/>
            <w:vAlign w:val="center"/>
          </w:tcPr>
          <w:p w14:paraId="49239551" w14:textId="77777777" w:rsidR="00A320E6" w:rsidRDefault="00A320E6" w:rsidP="00AE0286">
            <w:pPr>
              <w:jc w:val="left"/>
              <w:rPr>
                <w:rFonts w:ascii="宋体" w:hAnsi="宋体" w:cs="宋体"/>
                <w:kern w:val="0"/>
                <w:szCs w:val="21"/>
              </w:rPr>
            </w:pPr>
          </w:p>
        </w:tc>
        <w:tc>
          <w:tcPr>
            <w:tcW w:w="484" w:type="pct"/>
            <w:vMerge/>
            <w:vAlign w:val="center"/>
          </w:tcPr>
          <w:p w14:paraId="752412A6"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3EC5C6D" w14:textId="77777777" w:rsidR="00A320E6" w:rsidRDefault="00000000" w:rsidP="00AE0286">
            <w:pPr>
              <w:rPr>
                <w:rFonts w:ascii="宋体" w:hAnsi="宋体" w:cs="宋体"/>
                <w:kern w:val="0"/>
                <w:szCs w:val="21"/>
              </w:rPr>
            </w:pPr>
            <w:r>
              <w:rPr>
                <w:rFonts w:ascii="宋体" w:hAnsi="宋体" w:cs="宋体" w:hint="eastAsia"/>
                <w:kern w:val="0"/>
                <w:szCs w:val="21"/>
              </w:rPr>
              <w:t>通讯广播线路</w:t>
            </w:r>
          </w:p>
        </w:tc>
        <w:tc>
          <w:tcPr>
            <w:tcW w:w="1055" w:type="pct"/>
            <w:shd w:val="clear" w:color="000000" w:fill="FFFFFF"/>
            <w:vAlign w:val="center"/>
          </w:tcPr>
          <w:p w14:paraId="1DA2674A" w14:textId="77777777" w:rsidR="00A320E6" w:rsidRDefault="00000000" w:rsidP="00AE0286">
            <w:pPr>
              <w:jc w:val="center"/>
              <w:rPr>
                <w:rFonts w:ascii="宋体" w:hAnsi="宋体" w:cs="宋体"/>
                <w:kern w:val="0"/>
                <w:szCs w:val="21"/>
              </w:rPr>
            </w:pPr>
            <w:r>
              <w:rPr>
                <w:rFonts w:ascii="宋体" w:hAnsi="宋体" w:cs="宋体" w:hint="eastAsia"/>
                <w:kern w:val="0"/>
                <w:szCs w:val="21"/>
              </w:rPr>
              <w:t>1200-1500元/杆</w:t>
            </w:r>
          </w:p>
        </w:tc>
        <w:tc>
          <w:tcPr>
            <w:tcW w:w="1806" w:type="pct"/>
            <w:vMerge/>
            <w:shd w:val="clear" w:color="000000" w:fill="FFFFFF"/>
            <w:vAlign w:val="center"/>
          </w:tcPr>
          <w:p w14:paraId="7A61435E" w14:textId="77777777" w:rsidR="00A320E6" w:rsidRDefault="00A320E6" w:rsidP="00AE0286">
            <w:pPr>
              <w:rPr>
                <w:rFonts w:ascii="宋体" w:hAnsi="宋体" w:cs="宋体"/>
                <w:kern w:val="0"/>
                <w:szCs w:val="21"/>
              </w:rPr>
            </w:pPr>
          </w:p>
        </w:tc>
      </w:tr>
      <w:tr w:rsidR="008B03FA" w14:paraId="6376AC69" w14:textId="77777777" w:rsidTr="008B03FA">
        <w:trPr>
          <w:trHeight w:val="312"/>
          <w:jc w:val="center"/>
        </w:trPr>
        <w:tc>
          <w:tcPr>
            <w:tcW w:w="389" w:type="pct"/>
            <w:vMerge/>
            <w:vAlign w:val="center"/>
          </w:tcPr>
          <w:p w14:paraId="599FB7BC" w14:textId="77777777" w:rsidR="00A320E6" w:rsidRDefault="00A320E6" w:rsidP="00AE0286">
            <w:pPr>
              <w:jc w:val="left"/>
              <w:rPr>
                <w:rFonts w:ascii="宋体" w:hAnsi="宋体" w:cs="宋体"/>
                <w:kern w:val="0"/>
                <w:szCs w:val="21"/>
              </w:rPr>
            </w:pPr>
          </w:p>
        </w:tc>
        <w:tc>
          <w:tcPr>
            <w:tcW w:w="484" w:type="pct"/>
            <w:vMerge/>
            <w:vAlign w:val="center"/>
          </w:tcPr>
          <w:p w14:paraId="5F589C2F"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56CAD16" w14:textId="77777777" w:rsidR="00A320E6" w:rsidRDefault="00000000" w:rsidP="00AE0286">
            <w:pPr>
              <w:rPr>
                <w:rFonts w:ascii="宋体" w:hAnsi="宋体" w:cs="宋体"/>
                <w:kern w:val="0"/>
                <w:szCs w:val="21"/>
              </w:rPr>
            </w:pPr>
            <w:r>
              <w:rPr>
                <w:rFonts w:ascii="宋体" w:hAnsi="宋体" w:cs="宋体" w:hint="eastAsia"/>
                <w:kern w:val="0"/>
                <w:szCs w:val="21"/>
              </w:rPr>
              <w:t>简易电杆（木树杆）</w:t>
            </w:r>
          </w:p>
        </w:tc>
        <w:tc>
          <w:tcPr>
            <w:tcW w:w="1055" w:type="pct"/>
            <w:shd w:val="clear" w:color="000000" w:fill="FFFFFF"/>
            <w:vAlign w:val="center"/>
          </w:tcPr>
          <w:p w14:paraId="1539020E" w14:textId="77777777" w:rsidR="00A320E6" w:rsidRDefault="00000000" w:rsidP="00AE0286">
            <w:pPr>
              <w:jc w:val="center"/>
              <w:rPr>
                <w:rFonts w:ascii="宋体" w:hAnsi="宋体" w:cs="宋体"/>
                <w:kern w:val="0"/>
                <w:szCs w:val="21"/>
              </w:rPr>
            </w:pPr>
            <w:r>
              <w:rPr>
                <w:rFonts w:ascii="宋体" w:hAnsi="宋体" w:cs="宋体" w:hint="eastAsia"/>
                <w:kern w:val="0"/>
                <w:szCs w:val="21"/>
              </w:rPr>
              <w:t>70-100元/杆</w:t>
            </w:r>
          </w:p>
        </w:tc>
        <w:tc>
          <w:tcPr>
            <w:tcW w:w="1806" w:type="pct"/>
            <w:vMerge/>
            <w:shd w:val="clear" w:color="000000" w:fill="FFFFFF"/>
            <w:vAlign w:val="center"/>
          </w:tcPr>
          <w:p w14:paraId="47109D7D" w14:textId="77777777" w:rsidR="00A320E6" w:rsidRDefault="00A320E6" w:rsidP="00AE0286">
            <w:pPr>
              <w:jc w:val="left"/>
              <w:rPr>
                <w:rFonts w:ascii="宋体" w:hAnsi="宋体" w:cs="宋体"/>
                <w:kern w:val="0"/>
                <w:szCs w:val="21"/>
              </w:rPr>
            </w:pPr>
          </w:p>
        </w:tc>
      </w:tr>
      <w:tr w:rsidR="008B03FA" w14:paraId="6813931F" w14:textId="77777777" w:rsidTr="008B03FA">
        <w:trPr>
          <w:trHeight w:val="312"/>
          <w:jc w:val="center"/>
        </w:trPr>
        <w:tc>
          <w:tcPr>
            <w:tcW w:w="389" w:type="pct"/>
            <w:vMerge w:val="restart"/>
            <w:shd w:val="clear" w:color="000000" w:fill="FFFFFF"/>
            <w:vAlign w:val="center"/>
          </w:tcPr>
          <w:p w14:paraId="5AC1167A" w14:textId="77777777" w:rsidR="00A320E6" w:rsidRDefault="00000000" w:rsidP="00AE0286">
            <w:pPr>
              <w:jc w:val="center"/>
              <w:rPr>
                <w:rFonts w:ascii="宋体" w:hAnsi="宋体" w:cs="宋体"/>
                <w:kern w:val="0"/>
                <w:szCs w:val="21"/>
              </w:rPr>
            </w:pPr>
            <w:r>
              <w:rPr>
                <w:rFonts w:ascii="宋体" w:hAnsi="宋体" w:cs="宋体" w:hint="eastAsia"/>
                <w:kern w:val="0"/>
                <w:szCs w:val="21"/>
              </w:rPr>
              <w:t>24</w:t>
            </w:r>
          </w:p>
        </w:tc>
        <w:tc>
          <w:tcPr>
            <w:tcW w:w="484" w:type="pct"/>
            <w:vMerge w:val="restart"/>
            <w:shd w:val="clear" w:color="000000" w:fill="FFFFFF"/>
            <w:vAlign w:val="center"/>
          </w:tcPr>
          <w:p w14:paraId="3C883A76" w14:textId="77777777" w:rsidR="00A320E6" w:rsidRDefault="00000000" w:rsidP="00AE0286">
            <w:pPr>
              <w:jc w:val="center"/>
              <w:rPr>
                <w:rFonts w:ascii="宋体" w:hAnsi="宋体" w:cs="宋体"/>
                <w:kern w:val="0"/>
                <w:szCs w:val="21"/>
              </w:rPr>
            </w:pPr>
            <w:r>
              <w:rPr>
                <w:rFonts w:ascii="宋体" w:hAnsi="宋体" w:cs="宋体" w:hint="eastAsia"/>
                <w:kern w:val="0"/>
                <w:szCs w:val="21"/>
              </w:rPr>
              <w:t>迁坟及移骨灰盒</w:t>
            </w:r>
          </w:p>
        </w:tc>
        <w:tc>
          <w:tcPr>
            <w:tcW w:w="1265" w:type="pct"/>
            <w:gridSpan w:val="2"/>
            <w:shd w:val="clear" w:color="000000" w:fill="FFFFFF"/>
            <w:vAlign w:val="center"/>
          </w:tcPr>
          <w:p w14:paraId="5137892C" w14:textId="77777777" w:rsidR="00A320E6" w:rsidRDefault="00000000" w:rsidP="00AE0286">
            <w:pPr>
              <w:rPr>
                <w:rFonts w:ascii="宋体" w:hAnsi="宋体" w:cs="宋体"/>
                <w:kern w:val="0"/>
                <w:szCs w:val="21"/>
              </w:rPr>
            </w:pPr>
            <w:r>
              <w:rPr>
                <w:rFonts w:ascii="宋体" w:hAnsi="宋体" w:cs="宋体" w:hint="eastAsia"/>
                <w:kern w:val="0"/>
                <w:szCs w:val="21"/>
              </w:rPr>
              <w:t>棺木、拾骨、骨灰盒</w:t>
            </w:r>
          </w:p>
        </w:tc>
        <w:tc>
          <w:tcPr>
            <w:tcW w:w="1055" w:type="pct"/>
            <w:shd w:val="clear" w:color="000000" w:fill="FFFFFF"/>
            <w:vAlign w:val="center"/>
          </w:tcPr>
          <w:p w14:paraId="5A9641B0" w14:textId="77777777" w:rsidR="00A320E6" w:rsidRDefault="00000000" w:rsidP="00AE0286">
            <w:pPr>
              <w:jc w:val="center"/>
              <w:rPr>
                <w:rFonts w:ascii="宋体" w:hAnsi="宋体" w:cs="宋体"/>
                <w:kern w:val="0"/>
                <w:szCs w:val="21"/>
              </w:rPr>
            </w:pPr>
            <w:r>
              <w:rPr>
                <w:rFonts w:ascii="宋体" w:hAnsi="宋体" w:cs="宋体" w:hint="eastAsia"/>
                <w:kern w:val="0"/>
                <w:szCs w:val="21"/>
              </w:rPr>
              <w:t>1500元/座</w:t>
            </w:r>
          </w:p>
        </w:tc>
        <w:tc>
          <w:tcPr>
            <w:tcW w:w="1806" w:type="pct"/>
            <w:vMerge w:val="restart"/>
            <w:shd w:val="clear" w:color="000000" w:fill="FFFFFF"/>
            <w:vAlign w:val="center"/>
          </w:tcPr>
          <w:p w14:paraId="5162DB92" w14:textId="77777777" w:rsidR="00A320E6" w:rsidRDefault="00000000" w:rsidP="00AE0286">
            <w:pPr>
              <w:rPr>
                <w:rFonts w:ascii="宋体" w:hAnsi="宋体" w:cs="宋体"/>
                <w:kern w:val="0"/>
                <w:szCs w:val="21"/>
              </w:rPr>
            </w:pPr>
            <w:r>
              <w:rPr>
                <w:rFonts w:ascii="宋体" w:hAnsi="宋体" w:cs="宋体" w:hint="eastAsia"/>
                <w:kern w:val="0"/>
                <w:szCs w:val="21"/>
              </w:rPr>
              <w:t>1、包括迁葬工料等所有费用；</w:t>
            </w:r>
          </w:p>
          <w:p w14:paraId="588E59B0" w14:textId="77777777" w:rsidR="00A320E6" w:rsidRDefault="00000000" w:rsidP="00AE0286">
            <w:pPr>
              <w:rPr>
                <w:rFonts w:ascii="宋体" w:hAnsi="宋体" w:cs="宋体"/>
                <w:kern w:val="0"/>
                <w:szCs w:val="21"/>
              </w:rPr>
            </w:pPr>
            <w:r>
              <w:rPr>
                <w:rFonts w:ascii="宋体" w:hAnsi="宋体" w:cs="宋体" w:hint="eastAsia"/>
                <w:kern w:val="0"/>
                <w:szCs w:val="21"/>
              </w:rPr>
              <w:t>2、双棺可适当增加补偿标准，最高不超过500元。</w:t>
            </w:r>
          </w:p>
        </w:tc>
      </w:tr>
      <w:tr w:rsidR="008B03FA" w14:paraId="5DD432A3" w14:textId="77777777" w:rsidTr="008B03FA">
        <w:trPr>
          <w:trHeight w:val="312"/>
          <w:jc w:val="center"/>
        </w:trPr>
        <w:tc>
          <w:tcPr>
            <w:tcW w:w="389" w:type="pct"/>
            <w:vMerge/>
            <w:vAlign w:val="center"/>
          </w:tcPr>
          <w:p w14:paraId="51FFF277" w14:textId="77777777" w:rsidR="00A320E6" w:rsidRDefault="00A320E6" w:rsidP="00AE0286">
            <w:pPr>
              <w:jc w:val="left"/>
              <w:rPr>
                <w:rFonts w:ascii="宋体" w:hAnsi="宋体" w:cs="宋体"/>
                <w:kern w:val="0"/>
                <w:szCs w:val="21"/>
              </w:rPr>
            </w:pPr>
          </w:p>
        </w:tc>
        <w:tc>
          <w:tcPr>
            <w:tcW w:w="484" w:type="pct"/>
            <w:vMerge/>
            <w:vAlign w:val="center"/>
          </w:tcPr>
          <w:p w14:paraId="63058FC7"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6769A93F" w14:textId="77777777" w:rsidR="00A320E6" w:rsidRDefault="00000000" w:rsidP="00AE0286">
            <w:pPr>
              <w:rPr>
                <w:rFonts w:ascii="宋体" w:hAnsi="宋体" w:cs="宋体"/>
                <w:kern w:val="0"/>
                <w:szCs w:val="21"/>
              </w:rPr>
            </w:pPr>
            <w:r>
              <w:rPr>
                <w:rFonts w:ascii="宋体" w:hAnsi="宋体" w:cs="宋体" w:hint="eastAsia"/>
                <w:kern w:val="0"/>
                <w:szCs w:val="21"/>
              </w:rPr>
              <w:t>移祠堂骨灰盒</w:t>
            </w:r>
          </w:p>
        </w:tc>
        <w:tc>
          <w:tcPr>
            <w:tcW w:w="1055" w:type="pct"/>
            <w:shd w:val="clear" w:color="000000" w:fill="FFFFFF"/>
            <w:vAlign w:val="center"/>
          </w:tcPr>
          <w:p w14:paraId="5B8EBB90" w14:textId="77777777" w:rsidR="00A320E6" w:rsidRDefault="00000000" w:rsidP="00AE0286">
            <w:pPr>
              <w:jc w:val="center"/>
              <w:rPr>
                <w:rFonts w:ascii="宋体" w:hAnsi="宋体" w:cs="宋体"/>
                <w:kern w:val="0"/>
                <w:szCs w:val="21"/>
              </w:rPr>
            </w:pPr>
            <w:r>
              <w:rPr>
                <w:rFonts w:ascii="宋体" w:hAnsi="宋体" w:cs="宋体" w:hint="eastAsia"/>
                <w:kern w:val="0"/>
                <w:szCs w:val="21"/>
              </w:rPr>
              <w:t>120元/个</w:t>
            </w:r>
          </w:p>
        </w:tc>
        <w:tc>
          <w:tcPr>
            <w:tcW w:w="1806" w:type="pct"/>
            <w:vMerge/>
            <w:vAlign w:val="center"/>
          </w:tcPr>
          <w:p w14:paraId="0DBE6FD0" w14:textId="77777777" w:rsidR="00A320E6" w:rsidRDefault="00A320E6" w:rsidP="00AE0286">
            <w:pPr>
              <w:jc w:val="left"/>
              <w:rPr>
                <w:rFonts w:ascii="宋体" w:hAnsi="宋体" w:cs="宋体"/>
                <w:kern w:val="0"/>
                <w:szCs w:val="21"/>
              </w:rPr>
            </w:pPr>
          </w:p>
        </w:tc>
      </w:tr>
      <w:tr w:rsidR="008B03FA" w14:paraId="0E0C0C76" w14:textId="77777777" w:rsidTr="008B03FA">
        <w:trPr>
          <w:trHeight w:val="312"/>
          <w:jc w:val="center"/>
        </w:trPr>
        <w:tc>
          <w:tcPr>
            <w:tcW w:w="389" w:type="pct"/>
            <w:vMerge w:val="restart"/>
            <w:shd w:val="clear" w:color="000000" w:fill="FFFFFF"/>
            <w:vAlign w:val="center"/>
          </w:tcPr>
          <w:p w14:paraId="30A77A45" w14:textId="77777777" w:rsidR="00A320E6" w:rsidRDefault="00000000" w:rsidP="00AE0286">
            <w:pPr>
              <w:jc w:val="center"/>
              <w:rPr>
                <w:rFonts w:ascii="宋体" w:hAnsi="宋体" w:cs="宋体"/>
                <w:kern w:val="0"/>
                <w:szCs w:val="21"/>
              </w:rPr>
            </w:pPr>
            <w:r>
              <w:rPr>
                <w:rFonts w:ascii="宋体" w:hAnsi="宋体" w:cs="宋体" w:hint="eastAsia"/>
                <w:kern w:val="0"/>
                <w:szCs w:val="21"/>
              </w:rPr>
              <w:t>25</w:t>
            </w:r>
          </w:p>
        </w:tc>
        <w:tc>
          <w:tcPr>
            <w:tcW w:w="484" w:type="pct"/>
            <w:vMerge w:val="restart"/>
            <w:shd w:val="clear" w:color="000000" w:fill="FFFFFF"/>
            <w:vAlign w:val="center"/>
          </w:tcPr>
          <w:p w14:paraId="240A87DA" w14:textId="77777777" w:rsidR="00A320E6" w:rsidRDefault="00000000" w:rsidP="00AE0286">
            <w:pPr>
              <w:jc w:val="center"/>
              <w:rPr>
                <w:rFonts w:ascii="宋体" w:hAnsi="宋体" w:cs="宋体"/>
                <w:kern w:val="0"/>
                <w:szCs w:val="21"/>
              </w:rPr>
            </w:pPr>
            <w:r>
              <w:rPr>
                <w:rFonts w:ascii="宋体" w:hAnsi="宋体" w:cs="宋体" w:hint="eastAsia"/>
                <w:kern w:val="0"/>
                <w:szCs w:val="21"/>
              </w:rPr>
              <w:t>青苗</w:t>
            </w:r>
          </w:p>
        </w:tc>
        <w:tc>
          <w:tcPr>
            <w:tcW w:w="1265" w:type="pct"/>
            <w:gridSpan w:val="2"/>
            <w:shd w:val="clear" w:color="000000" w:fill="FFFFFF"/>
            <w:vAlign w:val="center"/>
          </w:tcPr>
          <w:p w14:paraId="430A876B" w14:textId="77777777" w:rsidR="00A320E6" w:rsidRDefault="00000000" w:rsidP="00AE0286">
            <w:pPr>
              <w:rPr>
                <w:rFonts w:ascii="宋体" w:hAnsi="宋体" w:cs="宋体"/>
                <w:kern w:val="0"/>
                <w:szCs w:val="21"/>
              </w:rPr>
            </w:pPr>
            <w:r>
              <w:rPr>
                <w:rFonts w:ascii="宋体" w:hAnsi="宋体" w:cs="宋体" w:hint="eastAsia"/>
                <w:kern w:val="0"/>
                <w:szCs w:val="21"/>
              </w:rPr>
              <w:t>粮食作物（小麦、玉米等）</w:t>
            </w:r>
          </w:p>
        </w:tc>
        <w:tc>
          <w:tcPr>
            <w:tcW w:w="1055" w:type="pct"/>
            <w:shd w:val="clear" w:color="000000" w:fill="FFFFFF"/>
            <w:noWrap/>
            <w:vAlign w:val="center"/>
          </w:tcPr>
          <w:p w14:paraId="05F9E9D1" w14:textId="77777777" w:rsidR="00A320E6" w:rsidRDefault="00000000" w:rsidP="00AE0286">
            <w:pPr>
              <w:jc w:val="center"/>
              <w:rPr>
                <w:rFonts w:ascii="宋体" w:hAnsi="宋体" w:cs="宋体"/>
                <w:kern w:val="0"/>
                <w:szCs w:val="21"/>
              </w:rPr>
            </w:pPr>
            <w:r>
              <w:rPr>
                <w:rFonts w:ascii="宋体" w:hAnsi="宋体" w:cs="宋体" w:hint="eastAsia"/>
                <w:kern w:val="0"/>
                <w:szCs w:val="21"/>
              </w:rPr>
              <w:t>1200-1600元/亩</w:t>
            </w:r>
          </w:p>
        </w:tc>
        <w:tc>
          <w:tcPr>
            <w:tcW w:w="1806" w:type="pct"/>
            <w:vMerge w:val="restart"/>
            <w:shd w:val="clear" w:color="000000" w:fill="FFFFFF"/>
            <w:noWrap/>
            <w:vAlign w:val="center"/>
          </w:tcPr>
          <w:p w14:paraId="5F8BB783" w14:textId="77777777" w:rsidR="00A320E6" w:rsidRDefault="00A320E6" w:rsidP="00AE0286">
            <w:pPr>
              <w:rPr>
                <w:rFonts w:ascii="宋体" w:hAnsi="宋体" w:cs="宋体"/>
                <w:kern w:val="0"/>
                <w:szCs w:val="21"/>
              </w:rPr>
            </w:pPr>
          </w:p>
        </w:tc>
      </w:tr>
      <w:tr w:rsidR="008B03FA" w14:paraId="4F7E8D9A" w14:textId="77777777" w:rsidTr="008B03FA">
        <w:trPr>
          <w:trHeight w:val="312"/>
          <w:jc w:val="center"/>
        </w:trPr>
        <w:tc>
          <w:tcPr>
            <w:tcW w:w="389" w:type="pct"/>
            <w:vMerge/>
            <w:vAlign w:val="center"/>
          </w:tcPr>
          <w:p w14:paraId="7F46C59C" w14:textId="77777777" w:rsidR="00A320E6" w:rsidRDefault="00A320E6" w:rsidP="00AE0286">
            <w:pPr>
              <w:jc w:val="left"/>
              <w:rPr>
                <w:rFonts w:ascii="宋体" w:hAnsi="宋体" w:cs="宋体"/>
                <w:kern w:val="0"/>
                <w:szCs w:val="21"/>
              </w:rPr>
            </w:pPr>
          </w:p>
        </w:tc>
        <w:tc>
          <w:tcPr>
            <w:tcW w:w="484" w:type="pct"/>
            <w:vMerge/>
            <w:vAlign w:val="center"/>
          </w:tcPr>
          <w:p w14:paraId="5917DB18"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033D1771" w14:textId="77777777" w:rsidR="00A320E6" w:rsidRDefault="00000000" w:rsidP="00AE0286">
            <w:pPr>
              <w:rPr>
                <w:rFonts w:ascii="宋体" w:hAnsi="宋体" w:cs="宋体"/>
                <w:kern w:val="0"/>
                <w:szCs w:val="21"/>
              </w:rPr>
            </w:pPr>
            <w:r>
              <w:rPr>
                <w:rFonts w:ascii="宋体" w:hAnsi="宋体" w:cs="宋体" w:hint="eastAsia"/>
                <w:kern w:val="0"/>
                <w:szCs w:val="21"/>
              </w:rPr>
              <w:t>棉花等经济作物</w:t>
            </w:r>
          </w:p>
        </w:tc>
        <w:tc>
          <w:tcPr>
            <w:tcW w:w="1055" w:type="pct"/>
            <w:shd w:val="clear" w:color="000000" w:fill="FFFFFF"/>
            <w:noWrap/>
            <w:vAlign w:val="center"/>
          </w:tcPr>
          <w:p w14:paraId="59B8F6DB" w14:textId="77777777" w:rsidR="00A320E6" w:rsidRDefault="00000000" w:rsidP="00AE0286">
            <w:pPr>
              <w:jc w:val="center"/>
              <w:rPr>
                <w:rFonts w:ascii="宋体" w:hAnsi="宋体" w:cs="宋体"/>
                <w:kern w:val="0"/>
                <w:szCs w:val="21"/>
              </w:rPr>
            </w:pPr>
            <w:r>
              <w:rPr>
                <w:rFonts w:ascii="宋体" w:hAnsi="宋体" w:cs="宋体" w:hint="eastAsia"/>
                <w:kern w:val="0"/>
                <w:szCs w:val="21"/>
              </w:rPr>
              <w:t>2400元/亩</w:t>
            </w:r>
          </w:p>
        </w:tc>
        <w:tc>
          <w:tcPr>
            <w:tcW w:w="1806" w:type="pct"/>
            <w:vMerge/>
            <w:vAlign w:val="center"/>
          </w:tcPr>
          <w:p w14:paraId="27E3213B" w14:textId="77777777" w:rsidR="00A320E6" w:rsidRDefault="00A320E6" w:rsidP="00AE0286">
            <w:pPr>
              <w:jc w:val="left"/>
              <w:rPr>
                <w:rFonts w:ascii="宋体" w:hAnsi="宋体" w:cs="宋体"/>
                <w:kern w:val="0"/>
                <w:szCs w:val="21"/>
              </w:rPr>
            </w:pPr>
          </w:p>
        </w:tc>
      </w:tr>
      <w:tr w:rsidR="008B03FA" w14:paraId="0FD1A9BE" w14:textId="77777777" w:rsidTr="008B03FA">
        <w:trPr>
          <w:trHeight w:val="312"/>
          <w:jc w:val="center"/>
        </w:trPr>
        <w:tc>
          <w:tcPr>
            <w:tcW w:w="389" w:type="pct"/>
            <w:vMerge/>
            <w:vAlign w:val="center"/>
          </w:tcPr>
          <w:p w14:paraId="450B3D7D" w14:textId="77777777" w:rsidR="00A320E6" w:rsidRDefault="00A320E6" w:rsidP="00AE0286">
            <w:pPr>
              <w:jc w:val="left"/>
              <w:rPr>
                <w:rFonts w:ascii="宋体" w:hAnsi="宋体" w:cs="宋体"/>
                <w:kern w:val="0"/>
                <w:szCs w:val="21"/>
              </w:rPr>
            </w:pPr>
          </w:p>
        </w:tc>
        <w:tc>
          <w:tcPr>
            <w:tcW w:w="484" w:type="pct"/>
            <w:vMerge/>
            <w:vAlign w:val="center"/>
          </w:tcPr>
          <w:p w14:paraId="5B42B781" w14:textId="77777777" w:rsidR="00A320E6" w:rsidRDefault="00A320E6" w:rsidP="00AE0286">
            <w:pPr>
              <w:jc w:val="left"/>
              <w:rPr>
                <w:rFonts w:ascii="宋体" w:hAnsi="宋体" w:cs="宋体"/>
                <w:kern w:val="0"/>
                <w:szCs w:val="21"/>
              </w:rPr>
            </w:pPr>
          </w:p>
        </w:tc>
        <w:tc>
          <w:tcPr>
            <w:tcW w:w="1265" w:type="pct"/>
            <w:gridSpan w:val="2"/>
            <w:shd w:val="clear" w:color="000000" w:fill="FFFFFF"/>
            <w:vAlign w:val="center"/>
          </w:tcPr>
          <w:p w14:paraId="2986BA90" w14:textId="77777777" w:rsidR="00A320E6" w:rsidRDefault="00000000" w:rsidP="00AE0286">
            <w:pPr>
              <w:rPr>
                <w:rFonts w:ascii="宋体" w:hAnsi="宋体" w:cs="宋体"/>
                <w:kern w:val="0"/>
                <w:szCs w:val="21"/>
              </w:rPr>
            </w:pPr>
            <w:r>
              <w:rPr>
                <w:rFonts w:ascii="宋体" w:hAnsi="宋体" w:cs="宋体" w:hint="eastAsia"/>
                <w:kern w:val="0"/>
                <w:szCs w:val="21"/>
              </w:rPr>
              <w:t>蔬菜类</w:t>
            </w:r>
          </w:p>
        </w:tc>
        <w:tc>
          <w:tcPr>
            <w:tcW w:w="1055" w:type="pct"/>
            <w:shd w:val="clear" w:color="000000" w:fill="FFFFFF"/>
            <w:noWrap/>
            <w:vAlign w:val="center"/>
          </w:tcPr>
          <w:p w14:paraId="30AFF2F7" w14:textId="77777777" w:rsidR="00A320E6" w:rsidRDefault="00000000" w:rsidP="00AE0286">
            <w:pPr>
              <w:jc w:val="center"/>
              <w:rPr>
                <w:rFonts w:ascii="宋体" w:hAnsi="宋体" w:cs="宋体"/>
                <w:kern w:val="0"/>
                <w:szCs w:val="21"/>
              </w:rPr>
            </w:pPr>
            <w:r>
              <w:rPr>
                <w:rFonts w:ascii="宋体" w:hAnsi="宋体" w:cs="宋体" w:hint="eastAsia"/>
                <w:kern w:val="0"/>
                <w:szCs w:val="21"/>
              </w:rPr>
              <w:t>3000-5500元/亩</w:t>
            </w:r>
          </w:p>
        </w:tc>
        <w:tc>
          <w:tcPr>
            <w:tcW w:w="1806" w:type="pct"/>
            <w:vMerge/>
            <w:vAlign w:val="center"/>
          </w:tcPr>
          <w:p w14:paraId="6908C099" w14:textId="77777777" w:rsidR="00A320E6" w:rsidRDefault="00A320E6" w:rsidP="00AE0286">
            <w:pPr>
              <w:jc w:val="left"/>
              <w:rPr>
                <w:rFonts w:ascii="宋体" w:hAnsi="宋体" w:cs="宋体"/>
                <w:kern w:val="0"/>
                <w:szCs w:val="21"/>
              </w:rPr>
            </w:pPr>
          </w:p>
        </w:tc>
      </w:tr>
    </w:tbl>
    <w:p w14:paraId="796990AC" w14:textId="77777777" w:rsidR="00A320E6" w:rsidRDefault="00A320E6" w:rsidP="00AE0286">
      <w:pPr>
        <w:rPr>
          <w:rFonts w:ascii="Times New Roman" w:eastAsia="仿宋" w:hAnsi="Times New Roman" w:cs="Times New Roman"/>
          <w:sz w:val="24"/>
          <w:szCs w:val="24"/>
        </w:rPr>
      </w:pPr>
    </w:p>
    <w:p w14:paraId="61E00E98"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6B9CBDA6"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1.涉及居民住宅、工矿企业及其他建筑设施成片拆迁的，由县（市、区）政府（管委会）或政府指定的拆迁机构另行制定拆迁补偿方案。</w:t>
      </w:r>
    </w:p>
    <w:p w14:paraId="772480B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2.表中未列出的地上附着物和青苗，参照表中相近的补偿标准补偿；不能参照或者对具体补偿标准有争议的，委托有资质的机构进行评估或认证，作为征地补偿依据。</w:t>
      </w:r>
    </w:p>
    <w:p w14:paraId="4E6BC12E"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3.市、县人民政府已发布征收土地预公告，在拟征收范围内抢栽抢建的青苗及地上附着物不予补偿；在非法占用的土地上建设的建筑物、构筑物和其他设施不予补偿。</w:t>
      </w:r>
    </w:p>
    <w:p w14:paraId="16DED88E" w14:textId="77777777" w:rsidR="00A320E6" w:rsidRDefault="00000000" w:rsidP="00AE0286">
      <w:pPr>
        <w:pStyle w:val="a3"/>
        <w:spacing w:line="360" w:lineRule="auto"/>
        <w:ind w:firstLine="480"/>
        <w:jc w:val="center"/>
        <w:rPr>
          <w:rFonts w:ascii="宋体" w:hAnsi="宋体" w:cs="宋体"/>
          <w:kern w:val="0"/>
          <w:sz w:val="24"/>
        </w:rPr>
      </w:pPr>
      <w:r>
        <w:rPr>
          <w:rFonts w:ascii="宋体" w:hAnsi="宋体" w:cs="宋体" w:hint="eastAsia"/>
          <w:kern w:val="0"/>
          <w:sz w:val="24"/>
        </w:rPr>
        <w:t>4.国家和省确定的铁路、公路、机场、航道港口、水利工程、能源工程等重大基础设施项目征收土地地上附着物和青苗补偿等标准另有规定的，从其规定。</w:t>
      </w:r>
    </w:p>
    <w:p w14:paraId="7E268710" w14:textId="77777777" w:rsidR="00A320E6" w:rsidRDefault="00000000" w:rsidP="00F67407">
      <w:pPr>
        <w:keepNext/>
        <w:spacing w:beforeLines="50" w:before="156" w:afterLines="20" w:after="62" w:line="360" w:lineRule="auto"/>
        <w:jc w:val="center"/>
        <w:outlineLvl w:val="2"/>
        <w:rPr>
          <w:b/>
          <w:bCs/>
          <w:sz w:val="24"/>
          <w:lang w:eastAsia="zh-Hans"/>
        </w:rPr>
      </w:pPr>
      <w:bookmarkStart w:id="122" w:name="_Toc112227424"/>
      <w:r>
        <w:rPr>
          <w:rFonts w:hint="eastAsia"/>
          <w:b/>
          <w:bCs/>
          <w:sz w:val="24"/>
          <w:lang w:eastAsia="zh-Hans"/>
        </w:rPr>
        <w:t>关于德州市征地地上附着物和青苗补偿标准的批复</w:t>
      </w:r>
      <w:bookmarkEnd w:id="122"/>
    </w:p>
    <w:p w14:paraId="27187BF5" w14:textId="77777777" w:rsidR="00A320E6" w:rsidRDefault="00000000" w:rsidP="00AE0286">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德州市自然资源局、财政局：</w:t>
      </w:r>
    </w:p>
    <w:p w14:paraId="715825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你市《关于批准德州市征地地上附着物和青苗补偿标准调整成果的请示》（德自然资呈〔2021〕573号）收悉。经研究，同意你市制定的征地地上附着物和青苗补偿标准（详见附件）。</w:t>
      </w:r>
    </w:p>
    <w:p w14:paraId="5D9C80E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标准自批复之日起执行。</w:t>
      </w:r>
    </w:p>
    <w:p w14:paraId="580AB82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附件：德州市征地地上附着物和青苗补偿标准</w:t>
      </w:r>
    </w:p>
    <w:p w14:paraId="2E48530A"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                                 山东省自然资源厅 山东省财政厅 </w:t>
      </w:r>
    </w:p>
    <w:p w14:paraId="27A6856B"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                             2022年1月6日</w:t>
      </w:r>
    </w:p>
    <w:p w14:paraId="3A592B18" w14:textId="7821F19D" w:rsidR="00A320E6" w:rsidRDefault="00000000" w:rsidP="00AE0286">
      <w:pPr>
        <w:spacing w:line="580" w:lineRule="exact"/>
        <w:ind w:leftChars="-202" w:left="-105" w:hangingChars="133" w:hanging="319"/>
        <w:rPr>
          <w:rFonts w:ascii="宋体" w:hAnsi="宋体" w:cs="宋体"/>
          <w:sz w:val="24"/>
          <w:szCs w:val="24"/>
        </w:rPr>
      </w:pPr>
      <w:r>
        <w:rPr>
          <w:rFonts w:ascii="宋体" w:hAnsi="宋体" w:cs="宋体" w:hint="eastAsia"/>
          <w:sz w:val="24"/>
          <w:szCs w:val="24"/>
        </w:rPr>
        <w:t>附件</w:t>
      </w:r>
    </w:p>
    <w:p w14:paraId="493F0507" w14:textId="77777777" w:rsidR="008B03FA" w:rsidRPr="008B03FA" w:rsidRDefault="008B03FA" w:rsidP="008B03FA">
      <w:pPr>
        <w:pStyle w:val="2"/>
      </w:pPr>
    </w:p>
    <w:p w14:paraId="09D70DAA" w14:textId="77777777" w:rsidR="00A320E6" w:rsidRDefault="00000000" w:rsidP="00AE0286">
      <w:pPr>
        <w:spacing w:line="580" w:lineRule="exact"/>
        <w:jc w:val="center"/>
        <w:rPr>
          <w:rFonts w:ascii="宋体" w:hAnsi="宋体" w:cs="宋体"/>
          <w:bCs/>
          <w:sz w:val="24"/>
          <w:szCs w:val="24"/>
        </w:rPr>
      </w:pPr>
      <w:r>
        <w:rPr>
          <w:rFonts w:ascii="宋体" w:hAnsi="宋体" w:cs="宋体" w:hint="eastAsia"/>
          <w:bCs/>
          <w:sz w:val="24"/>
          <w:szCs w:val="24"/>
        </w:rPr>
        <w:t>德州市征地地上附着物和青苗补偿标准</w:t>
      </w:r>
    </w:p>
    <w:tbl>
      <w:tblPr>
        <w:tblW w:w="9600" w:type="dxa"/>
        <w:jc w:val="center"/>
        <w:tblLayout w:type="fixed"/>
        <w:tblCellMar>
          <w:top w:w="15" w:type="dxa"/>
          <w:left w:w="15" w:type="dxa"/>
          <w:bottom w:w="15" w:type="dxa"/>
          <w:right w:w="15" w:type="dxa"/>
        </w:tblCellMar>
        <w:tblLook w:val="04A0" w:firstRow="1" w:lastRow="0" w:firstColumn="1" w:lastColumn="0" w:noHBand="0" w:noVBand="1"/>
      </w:tblPr>
      <w:tblGrid>
        <w:gridCol w:w="523"/>
        <w:gridCol w:w="819"/>
        <w:gridCol w:w="553"/>
        <w:gridCol w:w="523"/>
        <w:gridCol w:w="1122"/>
        <w:gridCol w:w="1701"/>
        <w:gridCol w:w="4359"/>
      </w:tblGrid>
      <w:tr w:rsidR="00A320E6" w14:paraId="732BE72D" w14:textId="77777777" w:rsidTr="008B03FA">
        <w:trPr>
          <w:trHeight w:val="312"/>
          <w:tblHeader/>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3F359" w14:textId="77777777" w:rsidR="00A320E6" w:rsidRDefault="00000000" w:rsidP="00AE0286">
            <w:pPr>
              <w:jc w:val="center"/>
              <w:textAlignment w:val="center"/>
              <w:rPr>
                <w:rFonts w:ascii="宋体" w:hAnsi="宋体" w:cs="宋体"/>
                <w:b/>
                <w:color w:val="000000"/>
                <w:szCs w:val="21"/>
              </w:rPr>
            </w:pPr>
            <w:r>
              <w:rPr>
                <w:rFonts w:ascii="宋体" w:hAnsi="宋体" w:cs="宋体" w:hint="eastAsia"/>
                <w:b/>
                <w:color w:val="000000"/>
                <w:kern w:val="0"/>
                <w:szCs w:val="21"/>
                <w:lang w:bidi="ar"/>
              </w:rPr>
              <w:t>序号</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66D6" w14:textId="77777777" w:rsidR="00A320E6" w:rsidRDefault="00000000" w:rsidP="00AE0286">
            <w:pPr>
              <w:jc w:val="center"/>
              <w:textAlignment w:val="center"/>
              <w:rPr>
                <w:rFonts w:ascii="宋体" w:hAnsi="宋体" w:cs="宋体"/>
                <w:b/>
                <w:color w:val="000000"/>
                <w:szCs w:val="21"/>
              </w:rPr>
            </w:pPr>
            <w:r>
              <w:rPr>
                <w:rFonts w:ascii="宋体" w:hAnsi="宋体" w:cs="宋体" w:hint="eastAsia"/>
                <w:b/>
                <w:color w:val="000000"/>
                <w:kern w:val="0"/>
                <w:szCs w:val="21"/>
                <w:lang w:bidi="ar"/>
              </w:rPr>
              <w:t>名称</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7500DA" w14:textId="77777777" w:rsidR="00A320E6" w:rsidRDefault="00000000" w:rsidP="00AE0286">
            <w:pPr>
              <w:jc w:val="center"/>
              <w:textAlignment w:val="center"/>
              <w:rPr>
                <w:rFonts w:ascii="宋体" w:hAnsi="宋体" w:cs="宋体"/>
                <w:b/>
                <w:color w:val="000000"/>
                <w:szCs w:val="21"/>
              </w:rPr>
            </w:pPr>
            <w:r>
              <w:rPr>
                <w:rFonts w:ascii="宋体" w:hAnsi="宋体" w:cs="宋体" w:hint="eastAsia"/>
                <w:b/>
                <w:color w:val="000000"/>
                <w:kern w:val="0"/>
                <w:szCs w:val="21"/>
                <w:lang w:bidi="ar"/>
              </w:rPr>
              <w:t>类别</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6E42" w14:textId="77777777" w:rsidR="00A320E6" w:rsidRDefault="00000000" w:rsidP="00AE0286">
            <w:pPr>
              <w:jc w:val="center"/>
              <w:textAlignment w:val="center"/>
              <w:rPr>
                <w:rFonts w:ascii="宋体" w:hAnsi="宋体" w:cs="宋体"/>
                <w:b/>
                <w:color w:val="000000"/>
                <w:szCs w:val="21"/>
              </w:rPr>
            </w:pPr>
            <w:r>
              <w:rPr>
                <w:rFonts w:ascii="宋体" w:hAnsi="宋体" w:cs="宋体" w:hint="eastAsia"/>
                <w:b/>
                <w:color w:val="000000"/>
                <w:kern w:val="0"/>
                <w:szCs w:val="21"/>
                <w:lang w:bidi="ar"/>
              </w:rPr>
              <w:t>补偿标准</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8A341" w14:textId="77777777" w:rsidR="00A320E6" w:rsidRDefault="00000000" w:rsidP="00AE0286">
            <w:pPr>
              <w:jc w:val="center"/>
              <w:textAlignment w:val="center"/>
              <w:rPr>
                <w:rFonts w:ascii="宋体" w:hAnsi="宋体" w:cs="宋体"/>
                <w:b/>
                <w:color w:val="000000"/>
                <w:szCs w:val="21"/>
              </w:rPr>
            </w:pPr>
            <w:r>
              <w:rPr>
                <w:rFonts w:ascii="宋体" w:hAnsi="宋体" w:cs="宋体" w:hint="eastAsia"/>
                <w:b/>
                <w:color w:val="000000"/>
                <w:kern w:val="0"/>
                <w:szCs w:val="21"/>
                <w:lang w:bidi="ar"/>
              </w:rPr>
              <w:t>备注</w:t>
            </w:r>
          </w:p>
        </w:tc>
      </w:tr>
      <w:tr w:rsidR="00A320E6" w14:paraId="32AC3F55" w14:textId="77777777" w:rsidTr="008B03FA">
        <w:trPr>
          <w:trHeight w:val="312"/>
          <w:jc w:val="center"/>
        </w:trPr>
        <w:tc>
          <w:tcPr>
            <w:tcW w:w="523" w:type="dxa"/>
            <w:vMerge w:val="restart"/>
            <w:tcBorders>
              <w:top w:val="single" w:sz="4" w:space="0" w:color="000000"/>
              <w:left w:val="single" w:sz="4" w:space="0" w:color="000000"/>
              <w:right w:val="single" w:sz="4" w:space="0" w:color="000000"/>
            </w:tcBorders>
            <w:shd w:val="clear" w:color="auto" w:fill="auto"/>
            <w:vAlign w:val="center"/>
          </w:tcPr>
          <w:p w14:paraId="76509F35" w14:textId="77777777" w:rsidR="00A320E6" w:rsidRDefault="00A320E6" w:rsidP="00AE0286">
            <w:pPr>
              <w:jc w:val="center"/>
              <w:textAlignment w:val="center"/>
              <w:rPr>
                <w:rFonts w:ascii="宋体" w:hAnsi="宋体" w:cs="宋体"/>
                <w:bCs/>
                <w:color w:val="000000"/>
                <w:kern w:val="0"/>
                <w:szCs w:val="21"/>
                <w:lang w:bidi="ar"/>
              </w:rPr>
            </w:pPr>
          </w:p>
          <w:p w14:paraId="0DF8A9D2" w14:textId="77777777" w:rsidR="00A320E6" w:rsidRDefault="00A320E6" w:rsidP="00AE0286">
            <w:pPr>
              <w:pStyle w:val="2"/>
            </w:pPr>
          </w:p>
          <w:p w14:paraId="1797909E" w14:textId="77777777" w:rsidR="00A320E6" w:rsidRDefault="00A320E6" w:rsidP="00AE0286">
            <w:pPr>
              <w:pStyle w:val="2"/>
            </w:pPr>
          </w:p>
          <w:p w14:paraId="2C93C123" w14:textId="77777777" w:rsidR="00A320E6" w:rsidRDefault="00A320E6" w:rsidP="00AE0286">
            <w:pPr>
              <w:pStyle w:val="2"/>
            </w:pPr>
          </w:p>
          <w:p w14:paraId="3B6516FC" w14:textId="77777777" w:rsidR="00A320E6" w:rsidRDefault="00A320E6" w:rsidP="00AE0286">
            <w:pPr>
              <w:pStyle w:val="2"/>
            </w:pPr>
          </w:p>
          <w:p w14:paraId="302F8F06" w14:textId="77777777" w:rsidR="00A320E6" w:rsidRDefault="00A320E6" w:rsidP="00AE0286">
            <w:pPr>
              <w:pStyle w:val="2"/>
            </w:pPr>
          </w:p>
          <w:p w14:paraId="2B8EABFA" w14:textId="77777777" w:rsidR="00A320E6" w:rsidRDefault="00A320E6" w:rsidP="00AE0286">
            <w:pPr>
              <w:pStyle w:val="2"/>
            </w:pPr>
          </w:p>
          <w:p w14:paraId="1B6864A6" w14:textId="77777777" w:rsidR="00A320E6" w:rsidRDefault="00A320E6" w:rsidP="00AE0286">
            <w:pPr>
              <w:pStyle w:val="2"/>
            </w:pPr>
          </w:p>
          <w:p w14:paraId="0EE9EB15"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w:t>
            </w:r>
          </w:p>
          <w:p w14:paraId="3EEC2FA3" w14:textId="77777777" w:rsidR="00A320E6" w:rsidRDefault="00A320E6" w:rsidP="00AE0286">
            <w:pPr>
              <w:pStyle w:val="2"/>
            </w:pPr>
          </w:p>
          <w:p w14:paraId="05EC6419" w14:textId="77777777" w:rsidR="00A320E6" w:rsidRDefault="00A320E6" w:rsidP="00AE0286">
            <w:pPr>
              <w:pStyle w:val="2"/>
            </w:pPr>
          </w:p>
          <w:p w14:paraId="58C8CB6D" w14:textId="77777777" w:rsidR="00A320E6" w:rsidRDefault="00A320E6" w:rsidP="00AE0286">
            <w:pPr>
              <w:pStyle w:val="2"/>
            </w:pPr>
          </w:p>
          <w:p w14:paraId="2A310537" w14:textId="77777777" w:rsidR="00A320E6" w:rsidRDefault="00A320E6" w:rsidP="00AE0286">
            <w:pPr>
              <w:pStyle w:val="2"/>
            </w:pPr>
          </w:p>
          <w:p w14:paraId="35A1E90C" w14:textId="77777777" w:rsidR="00A320E6" w:rsidRDefault="00A320E6" w:rsidP="00AE0286">
            <w:pPr>
              <w:pStyle w:val="2"/>
            </w:pPr>
          </w:p>
          <w:p w14:paraId="1F763193" w14:textId="77777777" w:rsidR="00A320E6" w:rsidRDefault="00A320E6" w:rsidP="00AE0286">
            <w:pPr>
              <w:pStyle w:val="2"/>
            </w:pPr>
          </w:p>
          <w:p w14:paraId="1458A16E" w14:textId="77777777" w:rsidR="00A320E6" w:rsidRDefault="00A320E6" w:rsidP="00AE0286">
            <w:pPr>
              <w:pStyle w:val="2"/>
            </w:pPr>
          </w:p>
          <w:p w14:paraId="2735C850" w14:textId="77777777" w:rsidR="00A320E6" w:rsidRDefault="00A320E6" w:rsidP="00AE0286">
            <w:pPr>
              <w:pStyle w:val="2"/>
            </w:pPr>
          </w:p>
          <w:p w14:paraId="55526640" w14:textId="77777777" w:rsidR="00A320E6" w:rsidRDefault="00A320E6" w:rsidP="00AE0286">
            <w:pPr>
              <w:pStyle w:val="2"/>
            </w:pPr>
          </w:p>
          <w:p w14:paraId="55298023" w14:textId="77777777" w:rsidR="00A320E6" w:rsidRDefault="00A320E6" w:rsidP="00AE0286">
            <w:pPr>
              <w:pStyle w:val="2"/>
            </w:pPr>
          </w:p>
          <w:p w14:paraId="3425A538" w14:textId="77777777" w:rsidR="00A320E6" w:rsidRDefault="00A320E6" w:rsidP="00AE0286">
            <w:pPr>
              <w:pStyle w:val="2"/>
            </w:pPr>
          </w:p>
          <w:p w14:paraId="23401B67" w14:textId="77777777" w:rsidR="00A320E6" w:rsidRDefault="00A320E6" w:rsidP="00AE0286">
            <w:pPr>
              <w:pStyle w:val="2"/>
            </w:pPr>
          </w:p>
          <w:p w14:paraId="6D6811E3" w14:textId="77777777" w:rsidR="00A320E6" w:rsidRDefault="00A320E6" w:rsidP="00AE0286">
            <w:pPr>
              <w:pStyle w:val="2"/>
            </w:pPr>
          </w:p>
          <w:p w14:paraId="4C8318A4" w14:textId="77777777" w:rsidR="00A320E6" w:rsidRDefault="00A320E6" w:rsidP="00AE0286">
            <w:pPr>
              <w:pStyle w:val="2"/>
            </w:pPr>
          </w:p>
          <w:p w14:paraId="5C552A10" w14:textId="77777777" w:rsidR="00A320E6" w:rsidRDefault="00A320E6" w:rsidP="00AE0286">
            <w:pPr>
              <w:pStyle w:val="2"/>
            </w:pPr>
          </w:p>
          <w:p w14:paraId="4A3B8386" w14:textId="77777777" w:rsidR="00A320E6" w:rsidRDefault="00A320E6" w:rsidP="00AE0286">
            <w:pPr>
              <w:pStyle w:val="2"/>
            </w:pPr>
          </w:p>
          <w:p w14:paraId="6831921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w:t>
            </w:r>
          </w:p>
        </w:tc>
        <w:tc>
          <w:tcPr>
            <w:tcW w:w="819" w:type="dxa"/>
            <w:vMerge w:val="restart"/>
            <w:tcBorders>
              <w:top w:val="single" w:sz="4" w:space="0" w:color="000000"/>
              <w:left w:val="single" w:sz="4" w:space="0" w:color="000000"/>
              <w:right w:val="single" w:sz="4" w:space="0" w:color="000000"/>
            </w:tcBorders>
            <w:shd w:val="clear" w:color="auto" w:fill="auto"/>
            <w:vAlign w:val="center"/>
          </w:tcPr>
          <w:p w14:paraId="50BEFB43" w14:textId="77777777" w:rsidR="00A320E6" w:rsidRDefault="00A320E6" w:rsidP="00AE0286">
            <w:pPr>
              <w:jc w:val="center"/>
              <w:textAlignment w:val="center"/>
              <w:rPr>
                <w:rFonts w:ascii="宋体" w:hAnsi="宋体" w:cs="宋体"/>
                <w:bCs/>
                <w:color w:val="000000"/>
                <w:kern w:val="0"/>
                <w:szCs w:val="21"/>
                <w:lang w:bidi="ar"/>
              </w:rPr>
            </w:pPr>
          </w:p>
          <w:p w14:paraId="49BA10EE" w14:textId="77777777" w:rsidR="00A320E6" w:rsidRDefault="00A320E6" w:rsidP="00AE0286">
            <w:pPr>
              <w:pStyle w:val="2"/>
            </w:pPr>
          </w:p>
          <w:p w14:paraId="02286144" w14:textId="77777777" w:rsidR="00A320E6" w:rsidRDefault="00A320E6" w:rsidP="00AE0286">
            <w:pPr>
              <w:pStyle w:val="2"/>
            </w:pPr>
          </w:p>
          <w:p w14:paraId="62282945" w14:textId="77777777" w:rsidR="00A320E6" w:rsidRDefault="00A320E6" w:rsidP="00AE0286">
            <w:pPr>
              <w:pStyle w:val="2"/>
            </w:pPr>
          </w:p>
          <w:p w14:paraId="39C4256B" w14:textId="77777777" w:rsidR="00A320E6" w:rsidRDefault="00A320E6" w:rsidP="00AE0286">
            <w:pPr>
              <w:pStyle w:val="2"/>
            </w:pPr>
          </w:p>
          <w:p w14:paraId="34DC5330" w14:textId="77777777" w:rsidR="00A320E6" w:rsidRDefault="00A320E6" w:rsidP="00AE0286">
            <w:pPr>
              <w:pStyle w:val="2"/>
            </w:pPr>
          </w:p>
          <w:p w14:paraId="03701FB3" w14:textId="77777777" w:rsidR="00A320E6" w:rsidRDefault="00A320E6" w:rsidP="00AE0286">
            <w:pPr>
              <w:pStyle w:val="2"/>
            </w:pPr>
          </w:p>
          <w:p w14:paraId="7F7CBF89" w14:textId="77777777" w:rsidR="00A320E6" w:rsidRDefault="00A320E6" w:rsidP="00AE0286">
            <w:pPr>
              <w:pStyle w:val="2"/>
            </w:pPr>
          </w:p>
          <w:p w14:paraId="6FCCDCBC"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房屋</w:t>
            </w:r>
          </w:p>
          <w:p w14:paraId="213CFCC7" w14:textId="77777777" w:rsidR="00A320E6" w:rsidRDefault="00A320E6" w:rsidP="00AE0286">
            <w:pPr>
              <w:pStyle w:val="2"/>
            </w:pPr>
          </w:p>
          <w:p w14:paraId="3BBA2819" w14:textId="77777777" w:rsidR="00A320E6" w:rsidRDefault="00A320E6" w:rsidP="00AE0286">
            <w:pPr>
              <w:pStyle w:val="2"/>
            </w:pPr>
          </w:p>
          <w:p w14:paraId="6FA11DB2" w14:textId="77777777" w:rsidR="00A320E6" w:rsidRDefault="00A320E6" w:rsidP="00AE0286">
            <w:pPr>
              <w:pStyle w:val="2"/>
            </w:pPr>
          </w:p>
          <w:p w14:paraId="12FD34F8" w14:textId="77777777" w:rsidR="00A320E6" w:rsidRDefault="00A320E6" w:rsidP="00AE0286">
            <w:pPr>
              <w:pStyle w:val="2"/>
            </w:pPr>
          </w:p>
          <w:p w14:paraId="16E5D8F3" w14:textId="77777777" w:rsidR="00A320E6" w:rsidRDefault="00A320E6" w:rsidP="00AE0286">
            <w:pPr>
              <w:pStyle w:val="2"/>
            </w:pPr>
          </w:p>
          <w:p w14:paraId="0AC0A75D" w14:textId="77777777" w:rsidR="00A320E6" w:rsidRDefault="00A320E6" w:rsidP="00AE0286">
            <w:pPr>
              <w:pStyle w:val="2"/>
            </w:pPr>
          </w:p>
          <w:p w14:paraId="1BE16065" w14:textId="77777777" w:rsidR="00A320E6" w:rsidRDefault="00A320E6" w:rsidP="00AE0286">
            <w:pPr>
              <w:pStyle w:val="2"/>
            </w:pPr>
          </w:p>
          <w:p w14:paraId="303BD2B7" w14:textId="77777777" w:rsidR="00A320E6" w:rsidRDefault="00A320E6" w:rsidP="00AE0286">
            <w:pPr>
              <w:pStyle w:val="2"/>
            </w:pPr>
          </w:p>
          <w:p w14:paraId="020F9006" w14:textId="77777777" w:rsidR="00A320E6" w:rsidRDefault="00A320E6" w:rsidP="00AE0286">
            <w:pPr>
              <w:pStyle w:val="2"/>
            </w:pPr>
          </w:p>
          <w:p w14:paraId="2A14EBFB" w14:textId="77777777" w:rsidR="00A320E6" w:rsidRDefault="00A320E6" w:rsidP="00AE0286">
            <w:pPr>
              <w:pStyle w:val="2"/>
            </w:pPr>
          </w:p>
          <w:p w14:paraId="7FADBFB1" w14:textId="77777777" w:rsidR="00A320E6" w:rsidRDefault="00A320E6" w:rsidP="00AE0286">
            <w:pPr>
              <w:pStyle w:val="2"/>
            </w:pPr>
          </w:p>
          <w:p w14:paraId="479FF365" w14:textId="77777777" w:rsidR="00A320E6" w:rsidRDefault="00A320E6" w:rsidP="00AE0286">
            <w:pPr>
              <w:pStyle w:val="2"/>
            </w:pPr>
          </w:p>
          <w:p w14:paraId="5E493A8A" w14:textId="77777777" w:rsidR="00A320E6" w:rsidRDefault="00A320E6" w:rsidP="00AE0286">
            <w:pPr>
              <w:pStyle w:val="2"/>
            </w:pPr>
          </w:p>
          <w:p w14:paraId="3A579999" w14:textId="77777777" w:rsidR="00A320E6" w:rsidRDefault="00A320E6" w:rsidP="00AE0286">
            <w:pPr>
              <w:pStyle w:val="2"/>
            </w:pPr>
          </w:p>
          <w:p w14:paraId="4DAC57C6" w14:textId="77777777" w:rsidR="00A320E6" w:rsidRDefault="00A320E6" w:rsidP="00AE0286">
            <w:pPr>
              <w:pStyle w:val="2"/>
            </w:pPr>
          </w:p>
          <w:p w14:paraId="67B034EC" w14:textId="77777777" w:rsidR="00A320E6" w:rsidRDefault="00A320E6" w:rsidP="00AE0286">
            <w:pPr>
              <w:pStyle w:val="2"/>
            </w:pPr>
          </w:p>
          <w:p w14:paraId="6DEB347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房屋</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47FD2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住宅楼房</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C70E2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砖混一级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609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1200-1600元/㎡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4F8DE"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混结构，层高2.7米以上；钢筋条形基础或整板基础，24砖墙体承重，钢筋混凝土构造柱，层层圈梁，混凝土屋面有防水保温层或混凝土屋面有平瓦起脊屋面；外墙面砖或涂料，内墙面高档仿瓷涂料，瓷砖地面，塑钢门窗或铝合金门窗，纱窗，分户防盗门；楼梯间不锈钢扶手，大理石楼梯踏步。</w:t>
            </w:r>
          </w:p>
        </w:tc>
      </w:tr>
      <w:tr w:rsidR="00A320E6" w14:paraId="7EAFADBD"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15065BE6"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30004CFD"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655DD"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68AB7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砖混二级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7E10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1000-1400元/㎡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BF95"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混结构，层高2.6米以上；砖石基础，24砖墙体承重，钢筋混凝土构造柱，层层圈梁，现浇屋面有防水保温层；外墙面水泥砂浆抹面，内墙面普通仿瓷涂料，水泥砂浆地面，铝合金门窗，分户木门；现浇楼梯，不锈钢扶手。</w:t>
            </w:r>
          </w:p>
        </w:tc>
      </w:tr>
      <w:tr w:rsidR="00A320E6" w14:paraId="695B490B"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34A91A2E"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565E2D8D" w14:textId="77777777" w:rsidR="00A320E6" w:rsidRDefault="00A320E6" w:rsidP="00AE0286">
            <w:pPr>
              <w:jc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06681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商业楼房</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D338F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办公楼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CCE5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1300-1700元/㎡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3E600"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框架结构，层高3.2米以上；钢筋混凝土框架，现浇楼板；外墙面砖或涂料，内墙面仿瓷涂料，瓷砖地面或水泥砂浆地面，塑钢门窗或铝合金门窗。</w:t>
            </w:r>
          </w:p>
        </w:tc>
      </w:tr>
      <w:tr w:rsidR="00A320E6" w14:paraId="19121A63"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6E0E09EE"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2B9FCE9F"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6779D"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E7914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营业楼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E644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1400-1800元/㎡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9FD2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框架结构，层高2.8米以上；钢筋混凝土框架，现浇楼板；外墙面砖或高档涂料，内墙面高档仿瓷涂料，瓷砖地面，塑钢门窗或铝合金门窗。</w:t>
            </w:r>
          </w:p>
        </w:tc>
      </w:tr>
      <w:tr w:rsidR="00A320E6" w14:paraId="6CEE797E"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668B119E"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002FC972" w14:textId="77777777" w:rsidR="00A320E6" w:rsidRDefault="00A320E6" w:rsidP="00AE0286">
            <w:pPr>
              <w:jc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4FD53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平房</w:t>
            </w:r>
          </w:p>
        </w:tc>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428D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砖混结构平房</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2090"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砖混</w:t>
            </w:r>
          </w:p>
          <w:p w14:paraId="2CE0FC1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一级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3FF0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950-1200元/㎡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AC4D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混结构，檐高3.5米以上；37砖墙体承重，水泥砂浆砌筑，构造柱，上下圈梁，钢筋混凝土预制或现浇楼板屋顶，屋面有防水保温层或平瓦起脊屋面；外墙面水刷石或高档涂料，内墙面仿瓷涂料，瓷砖或水磨石地面，双裁口铝合金或塑钢门窗。</w:t>
            </w:r>
          </w:p>
        </w:tc>
      </w:tr>
      <w:tr w:rsidR="00A320E6" w14:paraId="146F2D69" w14:textId="77777777" w:rsidTr="008B03FA">
        <w:trPr>
          <w:trHeight w:val="312"/>
          <w:jc w:val="center"/>
        </w:trPr>
        <w:tc>
          <w:tcPr>
            <w:tcW w:w="523" w:type="dxa"/>
            <w:vMerge/>
            <w:tcBorders>
              <w:left w:val="single" w:sz="4" w:space="0" w:color="000000"/>
              <w:bottom w:val="single" w:sz="4" w:space="0" w:color="auto"/>
              <w:right w:val="single" w:sz="4" w:space="0" w:color="000000"/>
            </w:tcBorders>
            <w:shd w:val="clear" w:color="auto" w:fill="auto"/>
            <w:vAlign w:val="center"/>
          </w:tcPr>
          <w:p w14:paraId="13B7CD9D"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bottom w:val="single" w:sz="4" w:space="0" w:color="auto"/>
              <w:right w:val="single" w:sz="4" w:space="0" w:color="000000"/>
            </w:tcBorders>
            <w:shd w:val="clear" w:color="auto" w:fill="auto"/>
            <w:vAlign w:val="center"/>
          </w:tcPr>
          <w:p w14:paraId="0D57B6D0"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790CF491" w14:textId="77777777" w:rsidR="00A320E6" w:rsidRDefault="00A320E6" w:rsidP="00AE0286">
            <w:pPr>
              <w:jc w:val="center"/>
              <w:rPr>
                <w:rFonts w:ascii="宋体" w:hAnsi="宋体" w:cs="宋体"/>
                <w:bCs/>
                <w:color w:val="000000"/>
                <w:szCs w:val="21"/>
              </w:rPr>
            </w:pPr>
          </w:p>
        </w:tc>
        <w:tc>
          <w:tcPr>
            <w:tcW w:w="523"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10F68EC" w14:textId="77777777" w:rsidR="00A320E6" w:rsidRDefault="00A320E6" w:rsidP="00AE0286">
            <w:pPr>
              <w:jc w:val="center"/>
              <w:rPr>
                <w:rFonts w:ascii="宋体" w:hAnsi="宋体" w:cs="宋体"/>
                <w:bCs/>
                <w:color w:val="000000"/>
                <w:szCs w:val="21"/>
              </w:rPr>
            </w:pPr>
          </w:p>
        </w:tc>
        <w:tc>
          <w:tcPr>
            <w:tcW w:w="1122" w:type="dxa"/>
            <w:tcBorders>
              <w:top w:val="single" w:sz="4" w:space="0" w:color="000000"/>
              <w:left w:val="single" w:sz="4" w:space="0" w:color="000000"/>
              <w:bottom w:val="single" w:sz="4" w:space="0" w:color="auto"/>
              <w:right w:val="single" w:sz="4" w:space="0" w:color="000000"/>
            </w:tcBorders>
            <w:shd w:val="clear" w:color="auto" w:fill="auto"/>
            <w:vAlign w:val="center"/>
          </w:tcPr>
          <w:p w14:paraId="4738DE28"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砖混</w:t>
            </w:r>
          </w:p>
          <w:p w14:paraId="6BAF75C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二级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54E8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850-1100元/㎡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22341"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砖混结构，檐高2.8米以上；24砖墙体承重，水泥砂浆砌筑，构造柱，上下圈梁，钢筋混凝土预制或现浇楼板屋顶；外墙面水泥砂浆抹面或普通涂料，内墙面仿瓷涂料，水泥砂浆地面，铝合金、塑钢或木质门窗。</w:t>
            </w:r>
          </w:p>
        </w:tc>
      </w:tr>
      <w:tr w:rsidR="00A320E6" w14:paraId="036545AA" w14:textId="77777777" w:rsidTr="008B03FA">
        <w:trPr>
          <w:trHeight w:val="312"/>
          <w:jc w:val="center"/>
        </w:trPr>
        <w:tc>
          <w:tcPr>
            <w:tcW w:w="523" w:type="dxa"/>
            <w:vMerge/>
            <w:tcBorders>
              <w:top w:val="single" w:sz="4" w:space="0" w:color="auto"/>
              <w:left w:val="single" w:sz="4" w:space="0" w:color="000000"/>
              <w:right w:val="single" w:sz="4" w:space="0" w:color="000000"/>
            </w:tcBorders>
            <w:shd w:val="clear" w:color="auto" w:fill="auto"/>
            <w:vAlign w:val="center"/>
          </w:tcPr>
          <w:p w14:paraId="082DE2D9" w14:textId="77777777" w:rsidR="00A320E6" w:rsidRDefault="00A320E6" w:rsidP="00AE0286">
            <w:pPr>
              <w:jc w:val="center"/>
              <w:rPr>
                <w:rFonts w:ascii="宋体" w:hAnsi="宋体" w:cs="宋体"/>
                <w:bCs/>
                <w:color w:val="000000"/>
                <w:szCs w:val="21"/>
              </w:rPr>
            </w:pPr>
          </w:p>
        </w:tc>
        <w:tc>
          <w:tcPr>
            <w:tcW w:w="819" w:type="dxa"/>
            <w:vMerge/>
            <w:tcBorders>
              <w:top w:val="single" w:sz="4" w:space="0" w:color="auto"/>
              <w:left w:val="single" w:sz="4" w:space="0" w:color="000000"/>
              <w:right w:val="single" w:sz="4" w:space="0" w:color="000000"/>
            </w:tcBorders>
            <w:shd w:val="clear" w:color="auto" w:fill="auto"/>
            <w:vAlign w:val="center"/>
          </w:tcPr>
          <w:p w14:paraId="6364602B" w14:textId="77777777" w:rsidR="00A320E6" w:rsidRDefault="00A320E6" w:rsidP="00AE0286">
            <w:pPr>
              <w:jc w:val="center"/>
              <w:rPr>
                <w:rFonts w:ascii="宋体" w:hAnsi="宋体" w:cs="宋体"/>
                <w:bCs/>
                <w:color w:val="000000"/>
                <w:szCs w:val="21"/>
              </w:rPr>
            </w:pPr>
          </w:p>
        </w:tc>
        <w:tc>
          <w:tcPr>
            <w:tcW w:w="553" w:type="dxa"/>
            <w:vMerge/>
            <w:tcBorders>
              <w:top w:val="single" w:sz="4" w:space="0" w:color="auto"/>
              <w:left w:val="single" w:sz="4" w:space="0" w:color="000000"/>
              <w:bottom w:val="single" w:sz="4" w:space="0" w:color="000000"/>
              <w:right w:val="single" w:sz="4" w:space="0" w:color="000000"/>
            </w:tcBorders>
            <w:shd w:val="clear" w:color="auto" w:fill="auto"/>
            <w:vAlign w:val="center"/>
          </w:tcPr>
          <w:p w14:paraId="1CCA3A73" w14:textId="77777777" w:rsidR="00A320E6" w:rsidRDefault="00A320E6" w:rsidP="00AE0286">
            <w:pPr>
              <w:jc w:val="center"/>
              <w:rPr>
                <w:rFonts w:ascii="宋体" w:hAnsi="宋体" w:cs="宋体"/>
                <w:bCs/>
                <w:color w:val="000000"/>
                <w:szCs w:val="21"/>
              </w:rPr>
            </w:pPr>
          </w:p>
        </w:tc>
        <w:tc>
          <w:tcPr>
            <w:tcW w:w="523" w:type="dxa"/>
            <w:vMerge/>
            <w:tcBorders>
              <w:top w:val="single" w:sz="4" w:space="0" w:color="auto"/>
              <w:left w:val="single" w:sz="4" w:space="0" w:color="000000"/>
              <w:bottom w:val="single" w:sz="4" w:space="0" w:color="000000"/>
              <w:right w:val="single" w:sz="4" w:space="0" w:color="000000"/>
            </w:tcBorders>
            <w:shd w:val="clear" w:color="auto" w:fill="auto"/>
            <w:vAlign w:val="center"/>
          </w:tcPr>
          <w:p w14:paraId="153105AD" w14:textId="77777777" w:rsidR="00A320E6" w:rsidRDefault="00A320E6" w:rsidP="00AE0286">
            <w:pPr>
              <w:jc w:val="center"/>
              <w:rPr>
                <w:rFonts w:ascii="宋体" w:hAnsi="宋体" w:cs="宋体"/>
                <w:bCs/>
                <w:color w:val="000000"/>
                <w:szCs w:val="21"/>
              </w:rPr>
            </w:pPr>
          </w:p>
        </w:tc>
        <w:tc>
          <w:tcPr>
            <w:tcW w:w="1122" w:type="dxa"/>
            <w:tcBorders>
              <w:top w:val="single" w:sz="4" w:space="0" w:color="auto"/>
              <w:left w:val="single" w:sz="4" w:space="0" w:color="000000"/>
              <w:bottom w:val="single" w:sz="4" w:space="0" w:color="000000"/>
              <w:right w:val="single" w:sz="4" w:space="0" w:color="000000"/>
            </w:tcBorders>
            <w:shd w:val="clear" w:color="auto" w:fill="auto"/>
            <w:vAlign w:val="center"/>
          </w:tcPr>
          <w:p w14:paraId="14B384A8"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砖混</w:t>
            </w:r>
          </w:p>
          <w:p w14:paraId="45F4ED7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三级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685D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750-950元/㎡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91E8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砖混结构，檐高2.5米以上；24砖墙体承重，水泥砂浆砌筑；外墙面清水墙，水泥砂浆勾缝，内墙面普通涂料，水泥砂浆地面，单裁口木质门窗。</w:t>
            </w:r>
          </w:p>
        </w:tc>
      </w:tr>
      <w:tr w:rsidR="00A320E6" w14:paraId="5978277C"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5F2E40B4"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0C753134"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D5C61" w14:textId="77777777" w:rsidR="00A320E6" w:rsidRDefault="00A320E6" w:rsidP="00AE0286">
            <w:pPr>
              <w:jc w:val="center"/>
              <w:rPr>
                <w:rFonts w:ascii="宋体" w:hAnsi="宋体" w:cs="宋体"/>
                <w:bCs/>
                <w:color w:val="000000"/>
                <w:szCs w:val="21"/>
              </w:rPr>
            </w:pPr>
          </w:p>
        </w:tc>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FDA97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砖木结构平房</w:t>
            </w: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B04DC"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砖木</w:t>
            </w:r>
          </w:p>
          <w:p w14:paraId="4ED6427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一级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0A13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650-1000元/㎡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516C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木结构，檐高3.2米以上；24砖墙体承重，上下圈梁，水泥砂浆砌筑，钢筋混凝土过梁，标准木檩条，屋顶防水处理，出厦；外墙面砖或涂料，内墙面仿瓷涂料，双裁口铝合金或塑钢外门窗，木质内门，瓷砖地面或木地板地面，高档吊顶。</w:t>
            </w:r>
          </w:p>
        </w:tc>
      </w:tr>
      <w:tr w:rsidR="00A320E6" w14:paraId="405FED8F"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718FB3A9"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30EC3EA6"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2C41A4" w14:textId="77777777" w:rsidR="00A320E6" w:rsidRDefault="00A320E6" w:rsidP="00AE0286">
            <w:pPr>
              <w:jc w:val="center"/>
              <w:rPr>
                <w:rFonts w:ascii="宋体" w:hAnsi="宋体" w:cs="宋体"/>
                <w:bCs/>
                <w:color w:val="000000"/>
                <w:szCs w:val="21"/>
              </w:rPr>
            </w:pPr>
          </w:p>
        </w:tc>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DF1A87" w14:textId="77777777" w:rsidR="00A320E6" w:rsidRDefault="00A320E6" w:rsidP="00AE0286">
            <w:pPr>
              <w:jc w:val="center"/>
              <w:rPr>
                <w:rFonts w:ascii="宋体" w:hAnsi="宋体" w:cs="宋体"/>
                <w:bCs/>
                <w:color w:val="000000"/>
                <w:szCs w:val="21"/>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980E3"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砖木</w:t>
            </w:r>
          </w:p>
          <w:p w14:paraId="7FA2681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二级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1371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550-850元/㎡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A5DDE"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木结构，檐高3.0米以上；24砖墙体承重，水泥砂浆砌筑，出厦，钢筋混凝土过梁，标准木檩条，红瓦起脊屋面；外墙面水泥砂浆抹面，内墙面仿瓷涂料，板条抹灰吊顶，木质双裁口门窗，瓷砖地面或水磨石地面。</w:t>
            </w:r>
          </w:p>
        </w:tc>
      </w:tr>
      <w:tr w:rsidR="00A320E6" w14:paraId="4C0F4738"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3B294D9B"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3A93182A"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12C977" w14:textId="77777777" w:rsidR="00A320E6" w:rsidRDefault="00A320E6" w:rsidP="00AE0286">
            <w:pPr>
              <w:jc w:val="center"/>
              <w:rPr>
                <w:rFonts w:ascii="宋体" w:hAnsi="宋体" w:cs="宋体"/>
                <w:bCs/>
                <w:color w:val="000000"/>
                <w:szCs w:val="21"/>
              </w:rPr>
            </w:pPr>
          </w:p>
        </w:tc>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C7BBA3" w14:textId="77777777" w:rsidR="00A320E6" w:rsidRDefault="00A320E6" w:rsidP="00AE0286">
            <w:pPr>
              <w:jc w:val="center"/>
              <w:rPr>
                <w:rFonts w:ascii="宋体" w:hAnsi="宋体" w:cs="宋体"/>
                <w:bCs/>
                <w:color w:val="000000"/>
                <w:szCs w:val="21"/>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63B26"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砖木</w:t>
            </w:r>
          </w:p>
          <w:p w14:paraId="32C7FFF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三级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3746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500-700元/㎡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687A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砖木结构，檐高2.6米以上；24砖墙体承重，黄土泥砌筑，木檩条，红瓦起脊屋面；外墙面清水墙，水泥砂浆勾缝，木质单裁口门窗，内墙面普通涂料，简单吊顶或无吊顶，水泥地面。</w:t>
            </w:r>
          </w:p>
        </w:tc>
      </w:tr>
      <w:tr w:rsidR="00A320E6" w14:paraId="32E8A4E9"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012C0D9C"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1212BA1E"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ADD53" w14:textId="77777777" w:rsidR="00A320E6" w:rsidRDefault="00A320E6" w:rsidP="00AE0286">
            <w:pPr>
              <w:jc w:val="center"/>
              <w:rPr>
                <w:rFonts w:ascii="宋体" w:hAnsi="宋体" w:cs="宋体"/>
                <w:bCs/>
                <w:color w:val="000000"/>
                <w:szCs w:val="21"/>
              </w:rPr>
            </w:pPr>
          </w:p>
        </w:tc>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9A8FC" w14:textId="77777777" w:rsidR="00A320E6" w:rsidRDefault="00A320E6" w:rsidP="00AE0286">
            <w:pPr>
              <w:jc w:val="center"/>
              <w:rPr>
                <w:rFonts w:ascii="宋体" w:hAnsi="宋体" w:cs="宋体"/>
                <w:bCs/>
                <w:color w:val="000000"/>
                <w:szCs w:val="21"/>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4961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砖木四级（简易平房）</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330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300-600元/㎡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1D10"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砖木结构，檐高2.2米以上；简易砖基础，砖垛，苇箔草顶；清水墙，门窗基本完好。</w:t>
            </w:r>
          </w:p>
        </w:tc>
      </w:tr>
      <w:tr w:rsidR="00A320E6" w14:paraId="71B4AFE2"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220B5E08"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29231526"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F2E24"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CA0508"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土木结构</w:t>
            </w:r>
          </w:p>
          <w:p w14:paraId="542FB13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平房</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F46E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350-500元/㎡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EF7C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土木结构，檐高2.6米以上；砖基，砖垛，土坯墙承重，木结构斜坡草屋顶或瓦屋顶；木质门窗，水泥地面或砖铺地面，简单吊顶或无吊顶。</w:t>
            </w:r>
          </w:p>
        </w:tc>
      </w:tr>
      <w:tr w:rsidR="00A320E6" w14:paraId="596B4882"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3BCC7773" w14:textId="77777777" w:rsidR="00A320E6" w:rsidRDefault="00A320E6" w:rsidP="00AE0286">
            <w:pPr>
              <w:jc w:val="center"/>
              <w:textAlignment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2E0F447B" w14:textId="77777777" w:rsidR="00A320E6" w:rsidRDefault="00A320E6" w:rsidP="00AE0286">
            <w:pPr>
              <w:jc w:val="center"/>
              <w:textAlignment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C2E40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钢结构房屋</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B27CA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彩钢瓦板房</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7DD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350-480元/㎡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67E9"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轻型钢骨架，夹心复合板隔墙，铝合金门窗，水泥地面或瓷砖地面。</w:t>
            </w:r>
          </w:p>
        </w:tc>
      </w:tr>
      <w:tr w:rsidR="00A320E6" w14:paraId="4BD5F2E5" w14:textId="77777777" w:rsidTr="008B03FA">
        <w:trPr>
          <w:trHeight w:val="312"/>
          <w:jc w:val="center"/>
        </w:trPr>
        <w:tc>
          <w:tcPr>
            <w:tcW w:w="523" w:type="dxa"/>
            <w:vMerge/>
            <w:tcBorders>
              <w:left w:val="single" w:sz="4" w:space="0" w:color="000000"/>
              <w:right w:val="single" w:sz="4" w:space="0" w:color="000000"/>
            </w:tcBorders>
            <w:shd w:val="clear" w:color="auto" w:fill="auto"/>
            <w:vAlign w:val="center"/>
          </w:tcPr>
          <w:p w14:paraId="03C98E87"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right w:val="single" w:sz="4" w:space="0" w:color="000000"/>
            </w:tcBorders>
            <w:shd w:val="clear" w:color="auto" w:fill="auto"/>
            <w:vAlign w:val="center"/>
          </w:tcPr>
          <w:p w14:paraId="666D88B6"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22ACC0"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9F42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轻型钢结构厂房</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9458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500-900元/㎡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E1EF2"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轻型钢材为主要的承重构件，砖墙体或钢柱支撑，钢梁，钢屋架，钢板。</w:t>
            </w:r>
          </w:p>
        </w:tc>
      </w:tr>
      <w:tr w:rsidR="00A320E6" w14:paraId="6E600F89" w14:textId="77777777" w:rsidTr="008B03FA">
        <w:trPr>
          <w:trHeight w:val="312"/>
          <w:jc w:val="center"/>
        </w:trPr>
        <w:tc>
          <w:tcPr>
            <w:tcW w:w="523" w:type="dxa"/>
            <w:vMerge/>
            <w:tcBorders>
              <w:left w:val="single" w:sz="4" w:space="0" w:color="000000"/>
              <w:bottom w:val="single" w:sz="4" w:space="0" w:color="000000"/>
              <w:right w:val="single" w:sz="4" w:space="0" w:color="000000"/>
            </w:tcBorders>
            <w:shd w:val="clear" w:color="auto" w:fill="auto"/>
            <w:vAlign w:val="center"/>
          </w:tcPr>
          <w:p w14:paraId="69D411E2" w14:textId="77777777" w:rsidR="00A320E6" w:rsidRDefault="00A320E6" w:rsidP="00AE0286">
            <w:pPr>
              <w:jc w:val="center"/>
              <w:rPr>
                <w:rFonts w:ascii="宋体" w:hAnsi="宋体" w:cs="宋体"/>
                <w:bCs/>
                <w:color w:val="000000"/>
                <w:szCs w:val="21"/>
              </w:rPr>
            </w:pPr>
          </w:p>
        </w:tc>
        <w:tc>
          <w:tcPr>
            <w:tcW w:w="819" w:type="dxa"/>
            <w:vMerge/>
            <w:tcBorders>
              <w:left w:val="single" w:sz="4" w:space="0" w:color="000000"/>
              <w:bottom w:val="single" w:sz="4" w:space="0" w:color="000000"/>
              <w:right w:val="single" w:sz="4" w:space="0" w:color="000000"/>
            </w:tcBorders>
            <w:shd w:val="clear" w:color="auto" w:fill="auto"/>
            <w:vAlign w:val="center"/>
          </w:tcPr>
          <w:p w14:paraId="07BEEB03"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A98BF"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D2BC3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重型钢结构厂房</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5CB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900-1300元/㎡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E535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重型钢材为主要的承重构件，砖墙体或钢柱支撑，钢梁，钢屋架，钢板。</w:t>
            </w:r>
          </w:p>
        </w:tc>
      </w:tr>
      <w:tr w:rsidR="00A320E6" w14:paraId="02FBB6D4"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41004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B50B1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简易棚</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78D6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前柱后墙棚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99C8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120-200元/㎡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6287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砖墙、砖柱、檩条苇箔顶。</w:t>
            </w:r>
          </w:p>
        </w:tc>
      </w:tr>
      <w:tr w:rsidR="00A320E6" w14:paraId="392BFE9A"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A182B7"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205398"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339FA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无墙棚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5ED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60-100元/㎡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C096"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砖柱、檩条苇箔顶。</w:t>
            </w:r>
          </w:p>
        </w:tc>
      </w:tr>
      <w:tr w:rsidR="00A320E6" w14:paraId="704D67C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D3380E"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A5052"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882E7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彩钢瓦棚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B221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70-200元/㎡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68D5"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轻型钢架或铁架支撑，单层板或复合板。</w:t>
            </w:r>
          </w:p>
        </w:tc>
      </w:tr>
      <w:tr w:rsidR="00A320E6" w14:paraId="4CF5B439"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922FA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3BF4A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门洞</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25D80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砖混结构，与偏房一体，楼板顶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50B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540-810元/㎡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CAC509"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同类别的补偿价格按新旧程度在补偿标准区间内适当取值。</w:t>
            </w:r>
          </w:p>
        </w:tc>
      </w:tr>
      <w:tr w:rsidR="00A320E6" w14:paraId="2486CE3D"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0FD34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8820A"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11852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砖木结构，与偏房一体，檩条、苇箔顶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535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400-630元/㎡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3FAAC4" w14:textId="77777777" w:rsidR="00A320E6" w:rsidRDefault="00A320E6" w:rsidP="00AE0286">
            <w:pPr>
              <w:jc w:val="left"/>
              <w:rPr>
                <w:rFonts w:ascii="宋体" w:hAnsi="宋体" w:cs="宋体"/>
                <w:bCs/>
                <w:color w:val="000000"/>
                <w:szCs w:val="21"/>
              </w:rPr>
            </w:pPr>
          </w:p>
        </w:tc>
      </w:tr>
      <w:tr w:rsidR="00A320E6" w14:paraId="17389FF5"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2B401"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E06CE6"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BE619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独立门楼，砖墙</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1990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260-360元/㎡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82824" w14:textId="77777777" w:rsidR="00A320E6" w:rsidRDefault="00A320E6" w:rsidP="00AE0286">
            <w:pPr>
              <w:jc w:val="left"/>
              <w:rPr>
                <w:rFonts w:ascii="宋体" w:hAnsi="宋体" w:cs="宋体"/>
                <w:bCs/>
                <w:color w:val="000000"/>
                <w:szCs w:val="21"/>
              </w:rPr>
            </w:pPr>
          </w:p>
        </w:tc>
      </w:tr>
      <w:tr w:rsidR="00A320E6" w14:paraId="1D80CEF9"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5D3A4A"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92233D"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5ECCD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独立门楼，土坯墙</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4A99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180-210元/㎡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C12FA" w14:textId="77777777" w:rsidR="00A320E6" w:rsidRDefault="00A320E6" w:rsidP="00AE0286">
            <w:pPr>
              <w:jc w:val="left"/>
              <w:rPr>
                <w:rFonts w:ascii="宋体" w:hAnsi="宋体" w:cs="宋体"/>
                <w:bCs/>
                <w:color w:val="000000"/>
                <w:szCs w:val="21"/>
              </w:rPr>
            </w:pPr>
          </w:p>
        </w:tc>
      </w:tr>
      <w:tr w:rsidR="00A320E6" w14:paraId="0785EADC"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0EB3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D799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围墙</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4FA95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砖墙高1.5-2.0m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073F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130-200元/m</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E23F3"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土坯墙根据砖墙相应标准减半。</w:t>
            </w:r>
          </w:p>
        </w:tc>
      </w:tr>
      <w:tr w:rsidR="00A320E6" w14:paraId="4DF00CA8"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FBBA3"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E1B28"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04973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砖墙高2.0-2.5m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8D51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150-260元/m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4C115" w14:textId="77777777" w:rsidR="00A320E6" w:rsidRDefault="00A320E6" w:rsidP="00AE0286">
            <w:pPr>
              <w:jc w:val="left"/>
              <w:rPr>
                <w:rFonts w:ascii="宋体" w:hAnsi="宋体" w:cs="宋体"/>
                <w:bCs/>
                <w:color w:val="000000"/>
                <w:szCs w:val="21"/>
              </w:rPr>
            </w:pPr>
          </w:p>
        </w:tc>
      </w:tr>
      <w:tr w:rsidR="00A320E6" w14:paraId="45EB5944"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22748F"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E3829"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1D6F2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砖墙高2.5m以上</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51E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200-280元/m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82AB5" w14:textId="77777777" w:rsidR="00A320E6" w:rsidRDefault="00A320E6" w:rsidP="00AE0286">
            <w:pPr>
              <w:jc w:val="left"/>
              <w:rPr>
                <w:rFonts w:ascii="宋体" w:hAnsi="宋体" w:cs="宋体"/>
                <w:bCs/>
                <w:color w:val="000000"/>
                <w:szCs w:val="21"/>
              </w:rPr>
            </w:pPr>
          </w:p>
        </w:tc>
      </w:tr>
      <w:tr w:rsidR="00A320E6" w14:paraId="69477A9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C54C0"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C3BCA"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EE9FE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水泥柱栅栏墙</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53D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310-460元/m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2EAD3" w14:textId="77777777" w:rsidR="00A320E6" w:rsidRDefault="00A320E6" w:rsidP="00AE0286">
            <w:pPr>
              <w:jc w:val="left"/>
              <w:rPr>
                <w:rFonts w:ascii="宋体" w:hAnsi="宋体" w:cs="宋体"/>
                <w:bCs/>
                <w:color w:val="000000"/>
                <w:szCs w:val="21"/>
              </w:rPr>
            </w:pPr>
          </w:p>
        </w:tc>
      </w:tr>
      <w:tr w:rsidR="00A320E6" w14:paraId="1477BF1D"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35E550"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AB29B3"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B606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铸铁围墙</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98A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280-340元/m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3FA57" w14:textId="77777777" w:rsidR="00A320E6" w:rsidRDefault="00A320E6" w:rsidP="00AE0286">
            <w:pPr>
              <w:jc w:val="left"/>
              <w:rPr>
                <w:rFonts w:ascii="宋体" w:hAnsi="宋体" w:cs="宋体"/>
                <w:bCs/>
                <w:color w:val="000000"/>
                <w:szCs w:val="21"/>
              </w:rPr>
            </w:pPr>
          </w:p>
        </w:tc>
      </w:tr>
      <w:tr w:rsidR="00A320E6" w14:paraId="7EE59E31"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EB776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50894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影壁墙</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AF40F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装饰后</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CD57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200-390元/㎡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53E58" w14:textId="77777777" w:rsidR="00A320E6" w:rsidRDefault="00A320E6" w:rsidP="00AE0286">
            <w:pPr>
              <w:jc w:val="left"/>
              <w:rPr>
                <w:rFonts w:ascii="宋体" w:hAnsi="宋体" w:cs="宋体"/>
                <w:bCs/>
                <w:color w:val="000000"/>
                <w:szCs w:val="21"/>
              </w:rPr>
            </w:pPr>
          </w:p>
        </w:tc>
      </w:tr>
      <w:tr w:rsidR="00A320E6" w14:paraId="3AC54F2C"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F2B11D"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1945A"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25335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未装饰一般墙</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F40C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170-210元/㎡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530FF" w14:textId="77777777" w:rsidR="00A320E6" w:rsidRDefault="00A320E6" w:rsidP="00AE0286">
            <w:pPr>
              <w:jc w:val="left"/>
              <w:rPr>
                <w:rFonts w:ascii="宋体" w:hAnsi="宋体" w:cs="宋体"/>
                <w:bCs/>
                <w:color w:val="000000"/>
                <w:szCs w:val="21"/>
              </w:rPr>
            </w:pPr>
          </w:p>
        </w:tc>
      </w:tr>
      <w:tr w:rsidR="00A320E6" w14:paraId="7D8EAE65"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7B2F1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6</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CA529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厕所</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CFE88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水冲厕所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9B78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850-1400元/㎡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A18597" w14:textId="77777777" w:rsidR="00A320E6" w:rsidRDefault="00A320E6" w:rsidP="00AE0286">
            <w:pPr>
              <w:jc w:val="left"/>
              <w:rPr>
                <w:rFonts w:ascii="宋体" w:hAnsi="宋体" w:cs="宋体"/>
                <w:bCs/>
                <w:color w:val="000000"/>
                <w:szCs w:val="21"/>
              </w:rPr>
            </w:pPr>
          </w:p>
        </w:tc>
      </w:tr>
      <w:tr w:rsidR="00A320E6" w14:paraId="29AEE79B"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54FE6"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972A75"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44A6A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砖砌有顶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AB1A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195-255元/㎡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3D6095" w14:textId="77777777" w:rsidR="00A320E6" w:rsidRDefault="00A320E6" w:rsidP="00AE0286">
            <w:pPr>
              <w:jc w:val="left"/>
              <w:rPr>
                <w:rFonts w:ascii="宋体" w:hAnsi="宋体" w:cs="宋体"/>
                <w:bCs/>
                <w:color w:val="000000"/>
                <w:szCs w:val="21"/>
              </w:rPr>
            </w:pPr>
          </w:p>
        </w:tc>
      </w:tr>
      <w:tr w:rsidR="00A320E6" w14:paraId="319F7641"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7F6FB"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AD494"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49D9A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砖砌无顶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EC13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95-135元/㎡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83394" w14:textId="77777777" w:rsidR="00A320E6" w:rsidRDefault="00A320E6" w:rsidP="00AE0286">
            <w:pPr>
              <w:jc w:val="left"/>
              <w:rPr>
                <w:rFonts w:ascii="宋体" w:hAnsi="宋体" w:cs="宋体"/>
                <w:bCs/>
                <w:color w:val="000000"/>
                <w:szCs w:val="21"/>
              </w:rPr>
            </w:pPr>
          </w:p>
        </w:tc>
      </w:tr>
      <w:tr w:rsidR="00A320E6" w14:paraId="0174F330" w14:textId="77777777" w:rsidTr="008B03FA">
        <w:trPr>
          <w:trHeight w:val="312"/>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86C0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851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化粪池</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934AB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砖（石）砌结构</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AD5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70-100元/m³</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3DDE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按体积计算。</w:t>
            </w:r>
          </w:p>
        </w:tc>
      </w:tr>
      <w:tr w:rsidR="00A320E6" w14:paraId="7716E25D"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A22D1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A97F9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畜禽舍</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91736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砖木结构</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4967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175-280元/㎡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0E77CD"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1.檐高2.2米及以下；2.檐高2.2米以上、3米以下，价格可上调，最高上调比例不超过10%；3.专业养殖场价格另议。</w:t>
            </w:r>
          </w:p>
        </w:tc>
      </w:tr>
      <w:tr w:rsidR="00A320E6" w14:paraId="3B62AB9D"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F70365"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4A0C09"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BCA70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简易结构</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EDB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80-170元/㎡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3048B9" w14:textId="77777777" w:rsidR="00A320E6" w:rsidRDefault="00A320E6" w:rsidP="00AE0286">
            <w:pPr>
              <w:jc w:val="left"/>
              <w:rPr>
                <w:rFonts w:ascii="宋体" w:hAnsi="宋体" w:cs="宋体"/>
                <w:bCs/>
                <w:color w:val="000000"/>
                <w:szCs w:val="21"/>
              </w:rPr>
            </w:pPr>
          </w:p>
        </w:tc>
      </w:tr>
      <w:tr w:rsidR="00A320E6" w14:paraId="755F9C9E"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5E67A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9</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BC0FD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硬化</w:t>
            </w:r>
            <w:r>
              <w:rPr>
                <w:rFonts w:ascii="宋体" w:hAnsi="宋体" w:cs="宋体" w:hint="eastAsia"/>
                <w:bCs/>
                <w:color w:val="000000"/>
                <w:kern w:val="0"/>
                <w:szCs w:val="21"/>
                <w:lang w:bidi="ar"/>
              </w:rPr>
              <w:br/>
              <w:t>地面</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7B91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砖地面</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3897C"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红砖地面</w:t>
            </w:r>
          </w:p>
          <w:p w14:paraId="44FE186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（平铺）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6C9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25元/㎡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25133B"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1.水泥地面指红砖基础水泥抹面；2.不含室内地面。</w:t>
            </w:r>
          </w:p>
        </w:tc>
      </w:tr>
      <w:tr w:rsidR="00A320E6" w14:paraId="5BF34A0E"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083F99"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CC77F"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E10CD"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7751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花砖地面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4E84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40-55元/㎡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FA03F" w14:textId="77777777" w:rsidR="00A320E6" w:rsidRDefault="00A320E6" w:rsidP="00AE0286">
            <w:pPr>
              <w:jc w:val="left"/>
              <w:rPr>
                <w:rFonts w:ascii="宋体" w:hAnsi="宋体" w:cs="宋体"/>
                <w:bCs/>
                <w:color w:val="000000"/>
                <w:szCs w:val="21"/>
              </w:rPr>
            </w:pPr>
          </w:p>
        </w:tc>
      </w:tr>
      <w:tr w:rsidR="00A320E6" w14:paraId="789A5137"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6CEBA1"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985296"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A508D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水泥地面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079A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40-50元/㎡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867FE" w14:textId="77777777" w:rsidR="00A320E6" w:rsidRDefault="00A320E6" w:rsidP="00AE0286">
            <w:pPr>
              <w:jc w:val="left"/>
              <w:rPr>
                <w:rFonts w:ascii="宋体" w:hAnsi="宋体" w:cs="宋体"/>
                <w:bCs/>
                <w:color w:val="000000"/>
                <w:szCs w:val="21"/>
              </w:rPr>
            </w:pPr>
          </w:p>
        </w:tc>
      </w:tr>
      <w:tr w:rsidR="00A320E6" w14:paraId="39288EC9"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A91EE"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D477B"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1C025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沥青地面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8AF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70-110元/㎡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7161F" w14:textId="77777777" w:rsidR="00A320E6" w:rsidRDefault="00A320E6" w:rsidP="00AE0286">
            <w:pPr>
              <w:jc w:val="left"/>
              <w:rPr>
                <w:rFonts w:ascii="宋体" w:hAnsi="宋体" w:cs="宋体"/>
                <w:bCs/>
                <w:color w:val="000000"/>
                <w:szCs w:val="21"/>
              </w:rPr>
            </w:pPr>
          </w:p>
        </w:tc>
      </w:tr>
      <w:tr w:rsidR="00A320E6" w14:paraId="5412641B"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A8198"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A967D"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7BECF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混凝土地面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E720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80-120元/㎡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A88C11" w14:textId="77777777" w:rsidR="00A320E6" w:rsidRDefault="00A320E6" w:rsidP="00AE0286">
            <w:pPr>
              <w:jc w:val="left"/>
              <w:rPr>
                <w:rFonts w:ascii="宋体" w:hAnsi="宋体" w:cs="宋体"/>
                <w:bCs/>
                <w:color w:val="000000"/>
                <w:szCs w:val="21"/>
              </w:rPr>
            </w:pPr>
          </w:p>
        </w:tc>
      </w:tr>
      <w:tr w:rsidR="00A320E6" w14:paraId="753440E9"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974A4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10</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098A4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自来</w:t>
            </w:r>
            <w:r>
              <w:rPr>
                <w:rFonts w:ascii="宋体" w:hAnsi="宋体" w:cs="宋体" w:hint="eastAsia"/>
                <w:bCs/>
                <w:color w:val="000000"/>
                <w:kern w:val="0"/>
                <w:szCs w:val="21"/>
                <w:lang w:bidi="ar"/>
              </w:rPr>
              <w:br/>
              <w:t>水管</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0A31F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户内水管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98D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5-15元/m</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6ED24"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包括旧料损失及拆建人工费。</w:t>
            </w:r>
          </w:p>
        </w:tc>
      </w:tr>
      <w:tr w:rsidR="00A320E6" w14:paraId="74C6B03C"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AB2BBE"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BA1706"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123CE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主管道</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A61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25-35元/m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F4B40" w14:textId="77777777" w:rsidR="00A320E6" w:rsidRDefault="00A320E6" w:rsidP="00AE0286">
            <w:pPr>
              <w:jc w:val="left"/>
              <w:rPr>
                <w:rFonts w:ascii="宋体" w:hAnsi="宋体" w:cs="宋体"/>
                <w:bCs/>
                <w:color w:val="000000"/>
                <w:szCs w:val="21"/>
              </w:rPr>
            </w:pPr>
          </w:p>
        </w:tc>
      </w:tr>
      <w:tr w:rsidR="00A320E6" w14:paraId="48696ACD"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63F3C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11</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B9DB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排水沟</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2E447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砖砌跨径0.5m以下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5013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35-60元/m</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C641B"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包括旧料损失及拆建人工费。</w:t>
            </w:r>
          </w:p>
        </w:tc>
      </w:tr>
      <w:tr w:rsidR="00A320E6" w14:paraId="25C131B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31238"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E965B"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EAFAC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spacing w:val="-11"/>
                <w:w w:val="90"/>
                <w:kern w:val="0"/>
                <w:szCs w:val="21"/>
                <w:lang w:bidi="ar"/>
              </w:rPr>
              <w:t>砖砌盖板跨径0.5m以上</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25B7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70-130元/m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C85AF" w14:textId="77777777" w:rsidR="00A320E6" w:rsidRDefault="00A320E6" w:rsidP="00AE0286">
            <w:pPr>
              <w:jc w:val="left"/>
              <w:rPr>
                <w:rFonts w:ascii="宋体" w:hAnsi="宋体" w:cs="宋体"/>
                <w:bCs/>
                <w:color w:val="000000"/>
                <w:szCs w:val="21"/>
              </w:rPr>
            </w:pPr>
          </w:p>
        </w:tc>
      </w:tr>
      <w:tr w:rsidR="00A320E6" w14:paraId="227DCE1B"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9BFFBB"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AE9E20"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F4E86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涵管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4626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75-170元/m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C0D37B" w14:textId="77777777" w:rsidR="00A320E6" w:rsidRDefault="00A320E6" w:rsidP="00AE0286">
            <w:pPr>
              <w:jc w:val="left"/>
              <w:rPr>
                <w:rFonts w:ascii="宋体" w:hAnsi="宋体" w:cs="宋体"/>
                <w:bCs/>
                <w:color w:val="000000"/>
                <w:szCs w:val="21"/>
              </w:rPr>
            </w:pPr>
          </w:p>
        </w:tc>
      </w:tr>
      <w:tr w:rsidR="00A320E6" w14:paraId="27338772"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58B30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12</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D90FD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水井</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1DEC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压水井</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8E8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270-420元/眼</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C48BC9"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1.包括工程用料、用工等费用，不包括配套设施费用；2.废、枯井按同类补偿标准的30%-50%执行。</w:t>
            </w:r>
          </w:p>
        </w:tc>
      </w:tr>
      <w:tr w:rsidR="00A320E6" w14:paraId="24A9EA1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FE9C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7FDBC"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6E071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砖井</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BA1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2000元/眼</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6633C" w14:textId="77777777" w:rsidR="00A320E6" w:rsidRDefault="00A320E6" w:rsidP="00AE0286">
            <w:pPr>
              <w:jc w:val="left"/>
              <w:rPr>
                <w:rFonts w:ascii="宋体" w:hAnsi="宋体" w:cs="宋体"/>
                <w:bCs/>
                <w:color w:val="000000"/>
                <w:szCs w:val="21"/>
              </w:rPr>
            </w:pPr>
          </w:p>
        </w:tc>
      </w:tr>
      <w:tr w:rsidR="00A320E6" w14:paraId="2B82ED9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525A1"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165B6" w14:textId="77777777" w:rsidR="00A320E6" w:rsidRDefault="00A320E6" w:rsidP="00AE0286">
            <w:pPr>
              <w:jc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A7B0E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机井</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39D007" w14:textId="77777777" w:rsidR="00A320E6" w:rsidRDefault="00000000" w:rsidP="00AE0286">
            <w:pPr>
              <w:spacing w:line="28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0m&lt;井深&lt;50m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82E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120-150元/m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2069AD" w14:textId="77777777" w:rsidR="00A320E6" w:rsidRDefault="00A320E6" w:rsidP="00AE0286">
            <w:pPr>
              <w:jc w:val="left"/>
              <w:rPr>
                <w:rFonts w:ascii="宋体" w:hAnsi="宋体" w:cs="宋体"/>
                <w:bCs/>
                <w:color w:val="000000"/>
                <w:szCs w:val="21"/>
              </w:rPr>
            </w:pPr>
          </w:p>
        </w:tc>
      </w:tr>
      <w:tr w:rsidR="00A320E6" w14:paraId="2EF0B5EC"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E06D60"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D0E154"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612B1B"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BF919C" w14:textId="77777777" w:rsidR="00A320E6" w:rsidRDefault="00000000" w:rsidP="00AE0286">
            <w:pPr>
              <w:spacing w:line="28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50m≤井深&lt;100m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1EF9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150-200元/m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1D04C" w14:textId="77777777" w:rsidR="00A320E6" w:rsidRDefault="00A320E6" w:rsidP="00AE0286">
            <w:pPr>
              <w:jc w:val="left"/>
              <w:rPr>
                <w:rFonts w:ascii="宋体" w:hAnsi="宋体" w:cs="宋体"/>
                <w:bCs/>
                <w:color w:val="000000"/>
                <w:szCs w:val="21"/>
              </w:rPr>
            </w:pPr>
          </w:p>
        </w:tc>
      </w:tr>
      <w:tr w:rsidR="00A320E6" w14:paraId="68FFA743"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7FEF0F"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02F881"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42F7A"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E2128" w14:textId="77777777" w:rsidR="00A320E6" w:rsidRDefault="00000000" w:rsidP="00AE0286">
            <w:pPr>
              <w:spacing w:line="28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100m≤井深&lt;250m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ABA1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200-300元/m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721E42" w14:textId="77777777" w:rsidR="00A320E6" w:rsidRDefault="00A320E6" w:rsidP="00AE0286">
            <w:pPr>
              <w:jc w:val="left"/>
              <w:rPr>
                <w:rFonts w:ascii="宋体" w:hAnsi="宋体" w:cs="宋体"/>
                <w:bCs/>
                <w:color w:val="000000"/>
                <w:szCs w:val="21"/>
              </w:rPr>
            </w:pPr>
          </w:p>
        </w:tc>
      </w:tr>
      <w:tr w:rsidR="00A320E6" w14:paraId="38C72F04"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094A6"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137FF2"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202003"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78D64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井深≥250m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1F3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300-500元/m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335EC2" w14:textId="77777777" w:rsidR="00A320E6" w:rsidRDefault="00A320E6" w:rsidP="00AE0286">
            <w:pPr>
              <w:jc w:val="left"/>
              <w:rPr>
                <w:rFonts w:ascii="宋体" w:hAnsi="宋体" w:cs="宋体"/>
                <w:bCs/>
                <w:color w:val="000000"/>
                <w:szCs w:val="21"/>
              </w:rPr>
            </w:pPr>
          </w:p>
        </w:tc>
      </w:tr>
      <w:tr w:rsidR="00A320E6" w14:paraId="5EDF6299"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636D9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13</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6F279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小桥</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4EDCD7" w14:textId="77777777" w:rsidR="00A320E6" w:rsidRDefault="00000000" w:rsidP="00AE0286">
            <w:pPr>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钢筋混凝土矩形</w:t>
            </w:r>
          </w:p>
          <w:p w14:paraId="087B102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板桥</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77F2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1150-1400元/㎡</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461D50"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按桥面积计算。</w:t>
            </w:r>
          </w:p>
        </w:tc>
      </w:tr>
      <w:tr w:rsidR="00A320E6" w14:paraId="237D1B84"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D66DEF"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4484F"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96DA6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石拱桥</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5D49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1700-2100元/㎡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F8CA7E" w14:textId="77777777" w:rsidR="00A320E6" w:rsidRDefault="00A320E6" w:rsidP="00AE0286">
            <w:pPr>
              <w:jc w:val="left"/>
              <w:rPr>
                <w:rFonts w:ascii="宋体" w:hAnsi="宋体" w:cs="宋体"/>
                <w:bCs/>
                <w:color w:val="000000"/>
                <w:szCs w:val="21"/>
              </w:rPr>
            </w:pPr>
          </w:p>
        </w:tc>
      </w:tr>
      <w:tr w:rsidR="00A320E6" w14:paraId="53667867"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56555"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D2135"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CFB1F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砖拱桥</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188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900-1200元/㎡</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7659F9" w14:textId="77777777" w:rsidR="00A320E6" w:rsidRDefault="00A320E6" w:rsidP="00AE0286">
            <w:pPr>
              <w:jc w:val="left"/>
              <w:rPr>
                <w:rFonts w:ascii="宋体" w:hAnsi="宋体" w:cs="宋体"/>
                <w:bCs/>
                <w:color w:val="000000"/>
                <w:szCs w:val="21"/>
              </w:rPr>
            </w:pPr>
          </w:p>
        </w:tc>
      </w:tr>
      <w:tr w:rsidR="00A320E6" w14:paraId="0F4A2876"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25E42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14</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AF8D9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涵洞</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D8456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石盖板涵跨径1-2m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C69C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600-800元/m</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A392F9"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按涵长计算。</w:t>
            </w:r>
          </w:p>
        </w:tc>
      </w:tr>
      <w:tr w:rsidR="00A320E6" w14:paraId="393D4B44"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EEDB7"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25DD3"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06210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石拱涵跨径1-4m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EA87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1800-2000元/m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00E426" w14:textId="77777777" w:rsidR="00A320E6" w:rsidRDefault="00A320E6" w:rsidP="00AE0286">
            <w:pPr>
              <w:jc w:val="left"/>
              <w:rPr>
                <w:rFonts w:ascii="宋体" w:hAnsi="宋体" w:cs="宋体"/>
                <w:bCs/>
                <w:color w:val="000000"/>
                <w:szCs w:val="21"/>
              </w:rPr>
            </w:pPr>
          </w:p>
        </w:tc>
      </w:tr>
      <w:tr w:rsidR="00A320E6" w14:paraId="0C3B41A3"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7D31C9"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BF42B"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02CAB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钢筋混凝土圆管涵跨径1-2m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8D2E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1500-1700元/m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300BA3" w14:textId="77777777" w:rsidR="00A320E6" w:rsidRDefault="00A320E6" w:rsidP="00AE0286">
            <w:pPr>
              <w:jc w:val="left"/>
              <w:rPr>
                <w:rFonts w:ascii="宋体" w:hAnsi="宋体" w:cs="宋体"/>
                <w:bCs/>
                <w:color w:val="000000"/>
                <w:szCs w:val="21"/>
              </w:rPr>
            </w:pPr>
          </w:p>
        </w:tc>
      </w:tr>
      <w:tr w:rsidR="00A320E6" w14:paraId="3605F680"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51C063"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4E7C51"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040DE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钢筋混凝土盖板涵跨径1.5-4m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7F5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1800-2000元/m</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A0AC7D" w14:textId="77777777" w:rsidR="00A320E6" w:rsidRDefault="00A320E6" w:rsidP="00AE0286">
            <w:pPr>
              <w:jc w:val="left"/>
              <w:rPr>
                <w:rFonts w:ascii="宋体" w:hAnsi="宋体" w:cs="宋体"/>
                <w:bCs/>
                <w:color w:val="000000"/>
                <w:szCs w:val="21"/>
              </w:rPr>
            </w:pPr>
          </w:p>
        </w:tc>
      </w:tr>
      <w:tr w:rsidR="00A320E6" w14:paraId="32BEC05B" w14:textId="77777777" w:rsidTr="008B03FA">
        <w:trPr>
          <w:trHeight w:val="312"/>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641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2AD2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迁坟</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19B97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棺木、拾骨、骨灰盒</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CD3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2400元/座</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99FA7" w14:textId="77777777" w:rsidR="00A320E6" w:rsidRDefault="00000000" w:rsidP="00AE0286">
            <w:pPr>
              <w:spacing w:line="260" w:lineRule="exact"/>
              <w:jc w:val="left"/>
              <w:textAlignment w:val="center"/>
              <w:rPr>
                <w:rFonts w:ascii="宋体" w:hAnsi="宋体" w:cs="宋体"/>
                <w:bCs/>
                <w:color w:val="000000"/>
                <w:szCs w:val="21"/>
              </w:rPr>
            </w:pPr>
            <w:r>
              <w:rPr>
                <w:rFonts w:ascii="宋体" w:hAnsi="宋体" w:cs="宋体" w:hint="eastAsia"/>
                <w:bCs/>
                <w:color w:val="000000"/>
                <w:kern w:val="0"/>
                <w:szCs w:val="21"/>
                <w:lang w:bidi="ar"/>
              </w:rPr>
              <w:t>1.包括迁葬工程费及材料费；2.每增加一棺价格增加500元；3.需火化的价格增加500元；4.必须迁至公墓的，价格另议。</w:t>
            </w:r>
          </w:p>
        </w:tc>
      </w:tr>
      <w:tr w:rsidR="00A320E6" w14:paraId="4D9BC477"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E6321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16</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1D27D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温室</w:t>
            </w:r>
            <w:r>
              <w:rPr>
                <w:rFonts w:ascii="宋体" w:hAnsi="宋体" w:cs="宋体" w:hint="eastAsia"/>
                <w:bCs/>
                <w:color w:val="000000"/>
                <w:kern w:val="0"/>
                <w:szCs w:val="21"/>
                <w:lang w:bidi="ar"/>
              </w:rPr>
              <w:br/>
              <w:t>大棚</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8E9B35" w14:textId="77777777" w:rsidR="00A320E6" w:rsidRDefault="00000000" w:rsidP="00AE0286">
            <w:pPr>
              <w:spacing w:line="260" w:lineRule="exact"/>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钢、砼骨架，塑料</w:t>
            </w:r>
          </w:p>
          <w:p w14:paraId="1AE4FEE6"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薄膜棚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36B5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80-150元/㎡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9B69" w14:textId="77777777" w:rsidR="00A320E6" w:rsidRDefault="00000000" w:rsidP="00AE0286">
            <w:pPr>
              <w:spacing w:line="260" w:lineRule="exact"/>
              <w:jc w:val="left"/>
              <w:textAlignment w:val="center"/>
              <w:rPr>
                <w:rFonts w:ascii="宋体" w:hAnsi="宋体" w:cs="宋体"/>
                <w:bCs/>
                <w:color w:val="000000"/>
                <w:szCs w:val="21"/>
              </w:rPr>
            </w:pPr>
            <w:r>
              <w:rPr>
                <w:rFonts w:ascii="宋体" w:hAnsi="宋体" w:cs="宋体" w:hint="eastAsia"/>
                <w:bCs/>
                <w:color w:val="000000"/>
                <w:kern w:val="0"/>
                <w:szCs w:val="21"/>
                <w:lang w:bidi="ar"/>
              </w:rPr>
              <w:t>包括机械、草棚及其他保温覆盖物，田间基础设施井、沟渠等，不包含棚内作物。</w:t>
            </w:r>
          </w:p>
        </w:tc>
      </w:tr>
      <w:tr w:rsidR="00A320E6" w14:paraId="737168D2"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E158"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DDE30"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719C99" w14:textId="77777777" w:rsidR="00A320E6" w:rsidRDefault="00000000" w:rsidP="00AE0286">
            <w:pPr>
              <w:spacing w:line="260" w:lineRule="exact"/>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简易大拱塑料</w:t>
            </w:r>
          </w:p>
          <w:p w14:paraId="36916629"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薄膜棚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8FEC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30-50元/㎡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3B207" w14:textId="77777777" w:rsidR="00A320E6" w:rsidRDefault="00000000" w:rsidP="00AE0286">
            <w:pPr>
              <w:spacing w:line="260" w:lineRule="exact"/>
              <w:jc w:val="left"/>
              <w:textAlignment w:val="center"/>
              <w:rPr>
                <w:rFonts w:ascii="宋体" w:hAnsi="宋体" w:cs="宋体"/>
                <w:bCs/>
                <w:color w:val="000000"/>
                <w:szCs w:val="21"/>
              </w:rPr>
            </w:pPr>
            <w:r>
              <w:rPr>
                <w:rFonts w:ascii="宋体" w:hAnsi="宋体" w:cs="宋体" w:hint="eastAsia"/>
                <w:bCs/>
                <w:color w:val="000000"/>
                <w:kern w:val="0"/>
                <w:szCs w:val="21"/>
                <w:lang w:bidi="ar"/>
              </w:rPr>
              <w:t>砖墙体或土墙体，竹骨架，塑料薄膜顶，不包含棚内作物。</w:t>
            </w:r>
          </w:p>
        </w:tc>
      </w:tr>
      <w:tr w:rsidR="00A320E6" w14:paraId="083A5D57"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F2C8D"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CF9EA"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3C2D92" w14:textId="77777777" w:rsidR="00A320E6" w:rsidRDefault="00000000" w:rsidP="00AE0286">
            <w:pPr>
              <w:spacing w:line="260" w:lineRule="exact"/>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简易小拱塑料</w:t>
            </w:r>
          </w:p>
          <w:p w14:paraId="3BAD1048"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薄膜棚</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769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15-25元/㎡</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6AC9" w14:textId="77777777" w:rsidR="00A320E6" w:rsidRDefault="00000000" w:rsidP="00AE0286">
            <w:pPr>
              <w:spacing w:line="260" w:lineRule="exact"/>
              <w:jc w:val="left"/>
              <w:textAlignment w:val="center"/>
              <w:rPr>
                <w:rFonts w:ascii="宋体" w:hAnsi="宋体" w:cs="宋体"/>
                <w:bCs/>
                <w:color w:val="000000"/>
                <w:szCs w:val="21"/>
              </w:rPr>
            </w:pPr>
            <w:r>
              <w:rPr>
                <w:rFonts w:ascii="宋体" w:hAnsi="宋体" w:cs="宋体" w:hint="eastAsia"/>
                <w:bCs/>
                <w:color w:val="000000"/>
                <w:kern w:val="0"/>
                <w:szCs w:val="21"/>
                <w:lang w:bidi="ar"/>
              </w:rPr>
              <w:t>竹骨架，塑料薄膜顶，跨径小于2米，不包含棚内作物。</w:t>
            </w:r>
          </w:p>
        </w:tc>
      </w:tr>
      <w:tr w:rsidR="00A320E6" w14:paraId="33B80AE0"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1B8E8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17</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3876B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电力通讯设施</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2E120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低压电力、通讯广播线路水泥杆</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5A8E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1200-1400元/杆</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DE498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1.包括箱、电线等材料损失及迁建工时费；2.废弃线路、设备设施按同类补偿标准的20%-50%执行。</w:t>
            </w:r>
          </w:p>
        </w:tc>
      </w:tr>
      <w:tr w:rsidR="00A320E6" w14:paraId="766E983C"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601C0"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DFC70"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CA3EC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变电室</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86A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5000-8000元/座</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58226" w14:textId="77777777" w:rsidR="00A320E6" w:rsidRDefault="00A320E6" w:rsidP="00AE0286">
            <w:pPr>
              <w:jc w:val="left"/>
              <w:rPr>
                <w:rFonts w:ascii="宋体" w:hAnsi="宋体" w:cs="宋体"/>
                <w:bCs/>
                <w:color w:val="000000"/>
                <w:szCs w:val="21"/>
              </w:rPr>
            </w:pPr>
          </w:p>
        </w:tc>
      </w:tr>
      <w:tr w:rsidR="00A320E6" w14:paraId="0CD487C3"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D32AFD"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4E2AF"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1924F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变压器及附属设施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B3BC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40000-90000元/台</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21B975" w14:textId="77777777" w:rsidR="00A320E6" w:rsidRDefault="00A320E6" w:rsidP="00AE0286">
            <w:pPr>
              <w:jc w:val="left"/>
              <w:rPr>
                <w:rFonts w:ascii="宋体" w:hAnsi="宋体" w:cs="宋体"/>
                <w:bCs/>
                <w:color w:val="000000"/>
                <w:szCs w:val="21"/>
              </w:rPr>
            </w:pPr>
          </w:p>
        </w:tc>
      </w:tr>
      <w:tr w:rsidR="00A320E6" w14:paraId="49583F9E"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68F78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18</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ED4FB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塘</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7C62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鱼塘</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948C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砖(石)砌鱼塘</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54E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13000-16000元/亩</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692FB6"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1.含土石方工程及鱼苗损失费；2.自然形成的坑塘不予补偿。</w:t>
            </w:r>
          </w:p>
        </w:tc>
      </w:tr>
      <w:tr w:rsidR="00A320E6" w14:paraId="5ABF1E82"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D7CD2"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A57C3"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0594A7"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4A91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土筑鱼塘</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7390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7000-11000元/亩</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2EC46" w14:textId="77777777" w:rsidR="00A320E6" w:rsidRDefault="00A320E6" w:rsidP="00AE0286">
            <w:pPr>
              <w:jc w:val="left"/>
              <w:rPr>
                <w:rFonts w:ascii="宋体" w:hAnsi="宋体" w:cs="宋体"/>
                <w:bCs/>
                <w:color w:val="000000"/>
                <w:szCs w:val="21"/>
              </w:rPr>
            </w:pPr>
          </w:p>
        </w:tc>
      </w:tr>
      <w:tr w:rsidR="00A320E6" w14:paraId="1BD23E1A"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023C69"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48A84"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D2EC4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藕塘</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4EA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8000-9000元/亩</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6317"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1.含土石方工程及藕秧损失费；2.自然形成的坑塘不予补偿。</w:t>
            </w:r>
          </w:p>
        </w:tc>
      </w:tr>
      <w:tr w:rsidR="00A320E6" w14:paraId="4CB77DD4"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A52FA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19</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1189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乔木</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B84DD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1cm≤胸径&lt;5cm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F34C"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6-15元/棵（每亩不超过160棵）</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75868D"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1.指用材林木；2.树归原主；3.特种用途树木价格另议。</w:t>
            </w:r>
          </w:p>
        </w:tc>
      </w:tr>
      <w:tr w:rsidR="00A320E6" w14:paraId="0EB0316E"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63071B"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46F87"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0743E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5cm≤胸径&lt;10cm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558D9"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30-50元/棵（每亩不超过160棵）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E6BF4" w14:textId="77777777" w:rsidR="00A320E6" w:rsidRDefault="00A320E6" w:rsidP="00AE0286">
            <w:pPr>
              <w:jc w:val="left"/>
              <w:rPr>
                <w:rFonts w:ascii="宋体" w:hAnsi="宋体" w:cs="宋体"/>
                <w:bCs/>
                <w:color w:val="000000"/>
                <w:szCs w:val="21"/>
              </w:rPr>
            </w:pPr>
          </w:p>
        </w:tc>
      </w:tr>
      <w:tr w:rsidR="00A320E6" w14:paraId="20E69D92"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50EDF"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8468B"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B731E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10cm≤胸径&lt;20cm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BBBF"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50-70元/棵（每亩不超过120棵）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E94AC7" w14:textId="77777777" w:rsidR="00A320E6" w:rsidRDefault="00A320E6" w:rsidP="00AE0286">
            <w:pPr>
              <w:jc w:val="left"/>
              <w:rPr>
                <w:rFonts w:ascii="宋体" w:hAnsi="宋体" w:cs="宋体"/>
                <w:bCs/>
                <w:color w:val="000000"/>
                <w:szCs w:val="21"/>
              </w:rPr>
            </w:pPr>
          </w:p>
        </w:tc>
      </w:tr>
      <w:tr w:rsidR="00A320E6" w14:paraId="30320942"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37A562"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0750B"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271C0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胸径≥20cm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B5479" w14:textId="77777777" w:rsidR="00A320E6" w:rsidRDefault="00000000" w:rsidP="00AE0286">
            <w:pPr>
              <w:spacing w:line="26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75元/棵（每亩不超过100棵）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945949" w14:textId="77777777" w:rsidR="00A320E6" w:rsidRDefault="00A320E6" w:rsidP="00AE0286">
            <w:pPr>
              <w:jc w:val="left"/>
              <w:rPr>
                <w:rFonts w:ascii="宋体" w:hAnsi="宋体" w:cs="宋体"/>
                <w:bCs/>
                <w:color w:val="000000"/>
                <w:szCs w:val="21"/>
              </w:rPr>
            </w:pPr>
          </w:p>
        </w:tc>
      </w:tr>
      <w:tr w:rsidR="00A320E6" w14:paraId="30A9DFA3"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9E440"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6125D" w14:textId="77777777" w:rsidR="00A320E6" w:rsidRDefault="00A320E6" w:rsidP="00AE0286">
            <w:pPr>
              <w:jc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8B4C9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香椿树</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05BEF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胸径&lt;5cm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73C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15元/墩</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56AAA"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树归原主。</w:t>
            </w:r>
          </w:p>
        </w:tc>
      </w:tr>
      <w:tr w:rsidR="00A320E6" w14:paraId="357CD821"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F54EEC"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1A45B"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6AEAD5"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FDAEC" w14:textId="77777777" w:rsidR="00A320E6" w:rsidRDefault="00000000" w:rsidP="00AE0286">
            <w:pPr>
              <w:spacing w:line="280" w:lineRule="exact"/>
              <w:jc w:val="center"/>
              <w:textAlignment w:val="center"/>
              <w:rPr>
                <w:rFonts w:ascii="宋体" w:hAnsi="宋体" w:cs="宋体"/>
                <w:bCs/>
                <w:color w:val="000000"/>
                <w:szCs w:val="21"/>
              </w:rPr>
            </w:pPr>
            <w:r>
              <w:rPr>
                <w:rFonts w:ascii="宋体" w:hAnsi="宋体" w:cs="宋体" w:hint="eastAsia"/>
                <w:bCs/>
                <w:color w:val="000000"/>
                <w:kern w:val="0"/>
                <w:szCs w:val="21"/>
                <w:lang w:bidi="ar"/>
              </w:rPr>
              <w:t>5cm≤胸径&lt;10cm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8A8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30-60元/棵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5C53F" w14:textId="77777777" w:rsidR="00A320E6" w:rsidRDefault="00A320E6" w:rsidP="00AE0286">
            <w:pPr>
              <w:jc w:val="left"/>
              <w:rPr>
                <w:rFonts w:ascii="宋体" w:hAnsi="宋体" w:cs="宋体"/>
                <w:bCs/>
                <w:color w:val="000000"/>
                <w:szCs w:val="21"/>
              </w:rPr>
            </w:pPr>
          </w:p>
        </w:tc>
      </w:tr>
      <w:tr w:rsidR="00A320E6" w14:paraId="590C2D5A"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7C467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78929"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5CC81"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325D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胸径≥10cm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F6CB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60-90元/棵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995FF" w14:textId="77777777" w:rsidR="00A320E6" w:rsidRDefault="00A320E6" w:rsidP="00AE0286">
            <w:pPr>
              <w:jc w:val="left"/>
              <w:rPr>
                <w:rFonts w:ascii="宋体" w:hAnsi="宋体" w:cs="宋体"/>
                <w:bCs/>
                <w:color w:val="000000"/>
                <w:szCs w:val="21"/>
              </w:rPr>
            </w:pPr>
          </w:p>
        </w:tc>
      </w:tr>
      <w:tr w:rsidR="00A320E6" w14:paraId="4123B4AA" w14:textId="77777777" w:rsidTr="008B03FA">
        <w:trPr>
          <w:trHeight w:val="312"/>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4CE1B"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20</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B7A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灌木</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3A47D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多年生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2840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8-20元/墩</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EFB1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树归原主。</w:t>
            </w:r>
          </w:p>
        </w:tc>
      </w:tr>
      <w:tr w:rsidR="00A320E6" w14:paraId="66CED07C"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D6BBA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21</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9734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苗圃</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F7FF1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杨、柳、榆等一般类树种</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449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8000-11000元/亩</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0F0F6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1.树归原主；2.特种用途树木苗圃价格另议。</w:t>
            </w:r>
          </w:p>
        </w:tc>
      </w:tr>
      <w:tr w:rsidR="00A320E6" w14:paraId="6525B464"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211EBB"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4C52C"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2D0FA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松、柏类及其他观赏经济类树种</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DB43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13000-15000元/亩</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746D8" w14:textId="77777777" w:rsidR="00A320E6" w:rsidRDefault="00A320E6" w:rsidP="00AE0286">
            <w:pPr>
              <w:jc w:val="left"/>
              <w:rPr>
                <w:rFonts w:ascii="宋体" w:hAnsi="宋体" w:cs="宋体"/>
                <w:bCs/>
                <w:color w:val="000000"/>
                <w:szCs w:val="21"/>
              </w:rPr>
            </w:pPr>
          </w:p>
        </w:tc>
      </w:tr>
      <w:tr w:rsidR="00A320E6" w14:paraId="30E77650" w14:textId="77777777" w:rsidTr="008B03FA">
        <w:trPr>
          <w:trHeight w:val="312"/>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65E2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22</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61738"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花卉</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45834D"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花卉</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178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15000-17000元/亩</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1BDB4"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1.包括移植费和损失费；2.花卉归原主。</w:t>
            </w:r>
          </w:p>
        </w:tc>
      </w:tr>
      <w:tr w:rsidR="00A320E6" w14:paraId="08E437B3" w14:textId="77777777" w:rsidTr="008B03FA">
        <w:trPr>
          <w:trHeight w:val="312"/>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29F53"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23</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6F8D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果树</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D500B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幼苗期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01C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8-10元/棵（每亩不超过180棵）</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7385E3"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包括苹果、梨、杏、桃、核桃、柿、枣、石榴、山楂等常见树种；2.树归原主；3.本标准中幼苗仅指在果园内预计持续生长的幼苗，不包含苗圃育苗；4.如有特别品种或种植方式，种植密度高于上述规定，可根据实际情况经相关部门验证后，价格和种植密度均相应调整；5.特产树种价格另议。</w:t>
            </w:r>
          </w:p>
        </w:tc>
      </w:tr>
      <w:tr w:rsidR="00A320E6" w14:paraId="05251851"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398686"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A9ADF"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442ED5"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幼龄期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88B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40-80元/棵（每亩不超过180棵）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1A4DBD" w14:textId="77777777" w:rsidR="00A320E6" w:rsidRDefault="00A320E6" w:rsidP="00AE0286">
            <w:pPr>
              <w:jc w:val="left"/>
              <w:rPr>
                <w:rFonts w:ascii="宋体" w:hAnsi="宋体" w:cs="宋体"/>
                <w:bCs/>
                <w:color w:val="000000"/>
                <w:szCs w:val="21"/>
              </w:rPr>
            </w:pPr>
          </w:p>
        </w:tc>
      </w:tr>
      <w:tr w:rsidR="00A320E6" w14:paraId="29BA50A8"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2287EE"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5B19D"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3BD37E"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初果期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3B3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250-320元/棵（每亩不超过110棵）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44F6BC" w14:textId="77777777" w:rsidR="00A320E6" w:rsidRDefault="00A320E6" w:rsidP="00AE0286">
            <w:pPr>
              <w:jc w:val="left"/>
              <w:rPr>
                <w:rFonts w:ascii="宋体" w:hAnsi="宋体" w:cs="宋体"/>
                <w:bCs/>
                <w:color w:val="000000"/>
                <w:szCs w:val="21"/>
              </w:rPr>
            </w:pPr>
          </w:p>
        </w:tc>
      </w:tr>
      <w:tr w:rsidR="00A320E6" w14:paraId="1CCB67B6"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B50602"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B477C9"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413A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盛果期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2483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280-420元/棵（每亩不超过110棵）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A8D3A0" w14:textId="77777777" w:rsidR="00A320E6" w:rsidRDefault="00A320E6" w:rsidP="00AE0286">
            <w:pPr>
              <w:jc w:val="left"/>
              <w:rPr>
                <w:rFonts w:ascii="宋体" w:hAnsi="宋体" w:cs="宋体"/>
                <w:bCs/>
                <w:color w:val="000000"/>
                <w:szCs w:val="21"/>
              </w:rPr>
            </w:pPr>
          </w:p>
        </w:tc>
      </w:tr>
      <w:tr w:rsidR="00A320E6" w14:paraId="761E9269"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668A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925E9" w14:textId="77777777" w:rsidR="00A320E6" w:rsidRDefault="00A320E6" w:rsidP="00AE0286">
            <w:pPr>
              <w:jc w:val="center"/>
              <w:rPr>
                <w:rFonts w:ascii="宋体" w:hAnsi="宋体" w:cs="宋体"/>
                <w:bCs/>
                <w:color w:val="000000"/>
                <w:szCs w:val="21"/>
              </w:rPr>
            </w:pP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30164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衰老期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4DD84"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150-300元/棵（每亩不超过110棵）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4304DF" w14:textId="77777777" w:rsidR="00A320E6" w:rsidRDefault="00A320E6" w:rsidP="00AE0286">
            <w:pPr>
              <w:jc w:val="left"/>
              <w:rPr>
                <w:rFonts w:ascii="宋体" w:hAnsi="宋体" w:cs="宋体"/>
                <w:bCs/>
                <w:color w:val="000000"/>
                <w:szCs w:val="21"/>
              </w:rPr>
            </w:pPr>
          </w:p>
        </w:tc>
      </w:tr>
      <w:tr w:rsidR="00A320E6" w14:paraId="3A7D5AA5"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3B737"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F87033" w14:textId="77777777" w:rsidR="00A320E6" w:rsidRDefault="00A320E6" w:rsidP="00AE0286">
            <w:pPr>
              <w:jc w:val="center"/>
              <w:rPr>
                <w:rFonts w:ascii="宋体" w:hAnsi="宋体" w:cs="宋体"/>
                <w:bCs/>
                <w:color w:val="000000"/>
                <w:szCs w:val="21"/>
              </w:rPr>
            </w:pP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F54FB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葡萄</w:t>
            </w: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FFC44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幼龄期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96C0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8-20元/棵（每亩不超过450棵）</w:t>
            </w:r>
          </w:p>
        </w:tc>
        <w:tc>
          <w:tcPr>
            <w:tcW w:w="4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51FDAB"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1.科学、合理的种植密度；2.树归原主；3.如有特别品种或种植方式，种植密度高于上述规定，可根据实际情况相应调整。</w:t>
            </w:r>
          </w:p>
        </w:tc>
      </w:tr>
      <w:tr w:rsidR="00A320E6" w14:paraId="3A38E9DC"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0B376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8F429"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9B940D"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8B7151"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初果期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70BEA"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25-35元/棵（每亩不超过450棵）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0E187" w14:textId="77777777" w:rsidR="00A320E6" w:rsidRDefault="00A320E6" w:rsidP="00AE0286">
            <w:pPr>
              <w:jc w:val="left"/>
              <w:rPr>
                <w:rFonts w:ascii="宋体" w:hAnsi="宋体" w:cs="宋体"/>
                <w:bCs/>
                <w:color w:val="000000"/>
                <w:szCs w:val="21"/>
              </w:rPr>
            </w:pPr>
          </w:p>
        </w:tc>
      </w:tr>
      <w:tr w:rsidR="00A320E6" w14:paraId="1FF64A57"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07364"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078E55"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EC25E7"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76CC4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盛果期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7DD4C"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40-100元/棵（每亩不超过200棵）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4158BF" w14:textId="77777777" w:rsidR="00A320E6" w:rsidRDefault="00A320E6" w:rsidP="00AE0286">
            <w:pPr>
              <w:jc w:val="left"/>
              <w:rPr>
                <w:rFonts w:ascii="宋体" w:hAnsi="宋体" w:cs="宋体"/>
                <w:bCs/>
                <w:color w:val="000000"/>
                <w:szCs w:val="21"/>
              </w:rPr>
            </w:pPr>
          </w:p>
        </w:tc>
      </w:tr>
      <w:tr w:rsidR="00A320E6" w14:paraId="12F3065A" w14:textId="77777777" w:rsidTr="008B03FA">
        <w:trPr>
          <w:trHeight w:val="312"/>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8EB2DD" w14:textId="77777777" w:rsidR="00A320E6" w:rsidRDefault="00A320E6" w:rsidP="00AE0286">
            <w:pPr>
              <w:jc w:val="center"/>
              <w:rPr>
                <w:rFonts w:ascii="宋体" w:hAnsi="宋体" w:cs="宋体"/>
                <w:bCs/>
                <w:color w:val="000000"/>
                <w:szCs w:val="21"/>
              </w:rPr>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70AF29" w14:textId="77777777" w:rsidR="00A320E6" w:rsidRDefault="00A320E6" w:rsidP="00AE0286">
            <w:pPr>
              <w:jc w:val="center"/>
              <w:rPr>
                <w:rFonts w:ascii="宋体" w:hAnsi="宋体" w:cs="宋体"/>
                <w:bCs/>
                <w:color w:val="000000"/>
                <w:szCs w:val="21"/>
              </w:rPr>
            </w:pPr>
          </w:p>
        </w:tc>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FCA0CB" w14:textId="77777777" w:rsidR="00A320E6" w:rsidRDefault="00A320E6" w:rsidP="00AE0286">
            <w:pPr>
              <w:jc w:val="center"/>
              <w:rPr>
                <w:rFonts w:ascii="宋体" w:hAnsi="宋体" w:cs="宋体"/>
                <w:bCs/>
                <w:color w:val="000000"/>
                <w:szCs w:val="21"/>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B170F9"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衰老期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E982"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30-50元/棵（每亩不超过200棵）</w:t>
            </w:r>
          </w:p>
        </w:tc>
        <w:tc>
          <w:tcPr>
            <w:tcW w:w="4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5ED06" w14:textId="77777777" w:rsidR="00A320E6" w:rsidRDefault="00A320E6" w:rsidP="00AE0286">
            <w:pPr>
              <w:jc w:val="left"/>
              <w:rPr>
                <w:rFonts w:ascii="宋体" w:hAnsi="宋体" w:cs="宋体"/>
                <w:bCs/>
                <w:color w:val="000000"/>
                <w:szCs w:val="21"/>
              </w:rPr>
            </w:pPr>
          </w:p>
        </w:tc>
      </w:tr>
      <w:tr w:rsidR="00A320E6" w14:paraId="7181672D" w14:textId="77777777" w:rsidTr="008B03FA">
        <w:trPr>
          <w:trHeight w:val="312"/>
          <w:jc w:val="center"/>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77840"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24</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CE2A7"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青苗</w:t>
            </w:r>
          </w:p>
        </w:tc>
        <w:tc>
          <w:tcPr>
            <w:tcW w:w="21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EFEB5F"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青苗</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57906" w14:textId="77777777" w:rsidR="00A320E6" w:rsidRDefault="00000000" w:rsidP="00AE0286">
            <w:pPr>
              <w:jc w:val="center"/>
              <w:textAlignment w:val="center"/>
              <w:rPr>
                <w:rFonts w:ascii="宋体" w:hAnsi="宋体" w:cs="宋体"/>
                <w:bCs/>
                <w:color w:val="000000"/>
                <w:szCs w:val="21"/>
              </w:rPr>
            </w:pPr>
            <w:r>
              <w:rPr>
                <w:rFonts w:ascii="宋体" w:hAnsi="宋体" w:cs="宋体" w:hint="eastAsia"/>
                <w:bCs/>
                <w:color w:val="000000"/>
                <w:kern w:val="0"/>
                <w:szCs w:val="21"/>
                <w:lang w:bidi="ar"/>
              </w:rPr>
              <w:t>一年种植一季作物的按年产值进行补偿，一年种植两季作物的按年产值的50%进行补偿</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A908" w14:textId="77777777" w:rsidR="00A320E6" w:rsidRDefault="00000000" w:rsidP="00AE0286">
            <w:pPr>
              <w:jc w:val="left"/>
              <w:textAlignment w:val="center"/>
              <w:rPr>
                <w:rFonts w:ascii="宋体" w:hAnsi="宋体" w:cs="宋体"/>
                <w:bCs/>
                <w:color w:val="000000"/>
                <w:szCs w:val="21"/>
              </w:rPr>
            </w:pPr>
            <w:r>
              <w:rPr>
                <w:rFonts w:ascii="宋体" w:hAnsi="宋体" w:cs="宋体" w:hint="eastAsia"/>
                <w:bCs/>
                <w:color w:val="000000"/>
                <w:kern w:val="0"/>
                <w:szCs w:val="21"/>
                <w:lang w:bidi="ar"/>
              </w:rPr>
              <w:t>按征收公告发布时，当地作物年产值进行测算。</w:t>
            </w:r>
          </w:p>
        </w:tc>
      </w:tr>
    </w:tbl>
    <w:p w14:paraId="0C60304C"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61298C54"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1.城市规划区以内的房屋征收与补偿标准，可参照国有土地上房屋征收执行。</w:t>
      </w:r>
    </w:p>
    <w:p w14:paraId="11F95F9D"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2.国家和省确定的铁路、公路、机场、航道港口、水利工程、能源工程等重大基础设施项目征收土地地上附着物和青苗补偿等标准另有规定的，从其规定。</w:t>
      </w:r>
    </w:p>
    <w:p w14:paraId="26D5CF7F"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3.当地政府发布拟征地公告后抢种、抢栽的青苗、树木以及抢建的建筑物、构筑物，一律不适用于本补偿标准。</w:t>
      </w:r>
    </w:p>
    <w:p w14:paraId="7385FD38"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4.上述表格中未列出的地上附着物及有争议的地上附着物，由价格认定机构据实进行价格认定；特种用途树木、特产树种果树由相关部门进行认定。</w:t>
      </w:r>
    </w:p>
    <w:p w14:paraId="7650557C"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5.有线电视、宽带网、电话、空调、太阳能、热水器等附属物的迁移费按行业标准执行。</w:t>
      </w:r>
    </w:p>
    <w:p w14:paraId="02EC77E7"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6.房屋面积指建筑面积。</w:t>
      </w:r>
    </w:p>
    <w:p w14:paraId="44C08427"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7.房屋价格调整系数说明：可按建筑结构、装饰装修中的每小项适当进行调节。</w:t>
      </w:r>
    </w:p>
    <w:p w14:paraId="289A9E98"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8.折旧系数：根据房屋建成年限、结构、现场观察房屋维修养护情况在本等级房屋价格范围内确定。</w:t>
      </w:r>
    </w:p>
    <w:p w14:paraId="4EC2F034"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9.上述表格中涉及的乔木胸径是指离地面高度1.3米处树干的直径。</w:t>
      </w:r>
    </w:p>
    <w:p w14:paraId="2785E391" w14:textId="77777777" w:rsidR="00A320E6" w:rsidRDefault="00000000" w:rsidP="00AE0286">
      <w:pPr>
        <w:pStyle w:val="a3"/>
        <w:spacing w:line="360" w:lineRule="auto"/>
        <w:ind w:firstLine="480"/>
        <w:jc w:val="center"/>
        <w:rPr>
          <w:rFonts w:ascii="宋体" w:hAnsi="宋体" w:cs="宋体"/>
          <w:kern w:val="0"/>
          <w:sz w:val="24"/>
        </w:rPr>
      </w:pPr>
      <w:r>
        <w:rPr>
          <w:rFonts w:ascii="宋体" w:hAnsi="宋体" w:cs="宋体" w:hint="eastAsia"/>
          <w:kern w:val="0"/>
          <w:sz w:val="24"/>
        </w:rPr>
        <w:t>10.各县（市、区）人民政府（管委会）可结合辖区实际情况制定实施细则。</w:t>
      </w:r>
    </w:p>
    <w:p w14:paraId="567801FF" w14:textId="77777777" w:rsidR="00A320E6" w:rsidRDefault="00000000" w:rsidP="00F67407">
      <w:pPr>
        <w:keepNext/>
        <w:spacing w:beforeLines="50" w:before="156" w:afterLines="20" w:after="62" w:line="360" w:lineRule="auto"/>
        <w:jc w:val="center"/>
        <w:outlineLvl w:val="2"/>
        <w:rPr>
          <w:b/>
          <w:bCs/>
          <w:sz w:val="24"/>
          <w:lang w:eastAsia="zh-Hans"/>
        </w:rPr>
      </w:pPr>
      <w:bookmarkStart w:id="123" w:name="_Toc112227425"/>
      <w:r>
        <w:rPr>
          <w:rFonts w:hint="eastAsia"/>
          <w:b/>
          <w:bCs/>
          <w:sz w:val="24"/>
          <w:lang w:eastAsia="zh-Hans"/>
        </w:rPr>
        <w:t>关于淄博市征地地上附着物和青苗补偿标准的批复</w:t>
      </w:r>
      <w:bookmarkEnd w:id="123"/>
    </w:p>
    <w:p w14:paraId="54F1890C" w14:textId="77777777" w:rsidR="00A320E6" w:rsidRDefault="00000000" w:rsidP="00AE0286">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淄博市自然资源和规划局、财政局：</w:t>
      </w:r>
    </w:p>
    <w:p w14:paraId="512383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你市《关于审批淄博市征地地上附着物和青苗补偿标准的请示》（淄自然规划呈〔2021〕643号）收悉。经研究，同意你市制定的征地地上附着物和青苗补偿标准（详见附件）。</w:t>
      </w:r>
    </w:p>
    <w:p w14:paraId="5A74CB6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标准自批复之日起执行。</w:t>
      </w:r>
    </w:p>
    <w:p w14:paraId="4DACF99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附件：淄博市征地地上附着物和青苗补偿标准</w:t>
      </w:r>
    </w:p>
    <w:p w14:paraId="78FBAFA0" w14:textId="316D8A05" w:rsidR="008B03FA"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                                  山东省自然资源厅</w:t>
      </w:r>
      <w:r w:rsidR="008B03FA">
        <w:rPr>
          <w:rFonts w:ascii="宋体" w:hAnsi="宋体" w:cs="宋体" w:hint="eastAsia"/>
          <w:sz w:val="24"/>
        </w:rPr>
        <w:t xml:space="preserve"> </w:t>
      </w:r>
      <w:r w:rsidR="008B03FA">
        <w:rPr>
          <w:rFonts w:ascii="宋体" w:hAnsi="宋体" w:cs="宋体"/>
          <w:sz w:val="24"/>
        </w:rPr>
        <w:t xml:space="preserve"> </w:t>
      </w:r>
      <w:r>
        <w:rPr>
          <w:rFonts w:ascii="宋体" w:hAnsi="宋体" w:cs="宋体" w:hint="eastAsia"/>
          <w:sz w:val="24"/>
          <w:lang w:eastAsia="zh-Hans"/>
        </w:rPr>
        <w:t>山东省财政厅</w:t>
      </w:r>
    </w:p>
    <w:p w14:paraId="7FF05D16" w14:textId="42F981F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                      2022年1月6日</w:t>
      </w:r>
    </w:p>
    <w:p w14:paraId="43301485" w14:textId="77777777" w:rsidR="00A320E6" w:rsidRDefault="00000000" w:rsidP="00AE0286">
      <w:pPr>
        <w:rPr>
          <w:rFonts w:ascii="宋体" w:hAnsi="宋体" w:cs="宋体"/>
          <w:b/>
          <w:bCs/>
          <w:kern w:val="0"/>
          <w:sz w:val="24"/>
          <w:szCs w:val="24"/>
        </w:rPr>
      </w:pPr>
      <w:r>
        <w:rPr>
          <w:rFonts w:ascii="宋体" w:hAnsi="宋体" w:cs="宋体" w:hint="eastAsia"/>
          <w:b/>
          <w:bCs/>
          <w:kern w:val="0"/>
          <w:sz w:val="24"/>
          <w:szCs w:val="24"/>
        </w:rPr>
        <w:t>附件</w:t>
      </w:r>
    </w:p>
    <w:p w14:paraId="26901227" w14:textId="77777777" w:rsidR="00A320E6" w:rsidRDefault="00000000" w:rsidP="00AE0286">
      <w:pPr>
        <w:jc w:val="center"/>
        <w:rPr>
          <w:rFonts w:ascii="宋体" w:hAnsi="宋体" w:cs="宋体"/>
          <w:b/>
          <w:bCs/>
          <w:kern w:val="0"/>
          <w:sz w:val="24"/>
          <w:szCs w:val="24"/>
        </w:rPr>
      </w:pPr>
      <w:r>
        <w:rPr>
          <w:rFonts w:ascii="宋体" w:hAnsi="宋体" w:cs="宋体" w:hint="eastAsia"/>
          <w:b/>
          <w:bCs/>
          <w:kern w:val="0"/>
          <w:sz w:val="24"/>
          <w:szCs w:val="24"/>
        </w:rPr>
        <w:t>淄博市征地地上附着物和青苗补偿标准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firstRow="1" w:lastRow="0" w:firstColumn="1" w:lastColumn="0" w:noHBand="0" w:noVBand="1"/>
      </w:tblPr>
      <w:tblGrid>
        <w:gridCol w:w="569"/>
        <w:gridCol w:w="855"/>
        <w:gridCol w:w="7"/>
        <w:gridCol w:w="2583"/>
        <w:gridCol w:w="2398"/>
        <w:gridCol w:w="28"/>
        <w:gridCol w:w="2358"/>
      </w:tblGrid>
      <w:tr w:rsidR="00A320E6" w14:paraId="07180C9D" w14:textId="77777777" w:rsidTr="00621C83">
        <w:trPr>
          <w:trHeight w:val="312"/>
          <w:tblHeader/>
        </w:trPr>
        <w:tc>
          <w:tcPr>
            <w:tcW w:w="323" w:type="pct"/>
            <w:shd w:val="clear" w:color="auto" w:fill="auto"/>
            <w:vAlign w:val="center"/>
          </w:tcPr>
          <w:p w14:paraId="001521DC" w14:textId="77777777" w:rsidR="00A320E6" w:rsidRDefault="00000000" w:rsidP="00AE0286">
            <w:pPr>
              <w:jc w:val="center"/>
              <w:rPr>
                <w:rFonts w:ascii="宋体" w:hAnsi="宋体" w:cs="宋体"/>
                <w:b/>
                <w:bCs/>
                <w:kern w:val="0"/>
                <w:szCs w:val="21"/>
              </w:rPr>
            </w:pPr>
            <w:r>
              <w:rPr>
                <w:rFonts w:ascii="宋体" w:hAnsi="宋体" w:cs="宋体" w:hint="eastAsia"/>
                <w:b/>
                <w:bCs/>
                <w:kern w:val="0"/>
                <w:szCs w:val="21"/>
              </w:rPr>
              <w:t>序号</w:t>
            </w:r>
          </w:p>
        </w:tc>
        <w:tc>
          <w:tcPr>
            <w:tcW w:w="490" w:type="pct"/>
            <w:gridSpan w:val="2"/>
            <w:shd w:val="clear" w:color="auto" w:fill="auto"/>
            <w:vAlign w:val="center"/>
          </w:tcPr>
          <w:p w14:paraId="45C0B788" w14:textId="77777777" w:rsidR="00A320E6" w:rsidRDefault="00000000" w:rsidP="00AE0286">
            <w:pPr>
              <w:jc w:val="center"/>
              <w:rPr>
                <w:rFonts w:ascii="宋体" w:hAnsi="宋体" w:cs="宋体"/>
                <w:b/>
                <w:bCs/>
                <w:kern w:val="0"/>
                <w:szCs w:val="21"/>
              </w:rPr>
            </w:pPr>
            <w:r>
              <w:rPr>
                <w:rFonts w:ascii="宋体" w:hAnsi="宋体" w:cs="宋体" w:hint="eastAsia"/>
                <w:b/>
                <w:bCs/>
                <w:kern w:val="0"/>
                <w:szCs w:val="21"/>
              </w:rPr>
              <w:t>名称</w:t>
            </w:r>
          </w:p>
        </w:tc>
        <w:tc>
          <w:tcPr>
            <w:tcW w:w="1468" w:type="pct"/>
            <w:shd w:val="clear" w:color="auto" w:fill="auto"/>
            <w:vAlign w:val="center"/>
          </w:tcPr>
          <w:p w14:paraId="0D4DC89C" w14:textId="77777777" w:rsidR="00A320E6" w:rsidRDefault="00000000" w:rsidP="00AE0286">
            <w:pPr>
              <w:jc w:val="center"/>
              <w:rPr>
                <w:rFonts w:ascii="宋体" w:hAnsi="宋体" w:cs="宋体"/>
                <w:b/>
                <w:bCs/>
                <w:kern w:val="0"/>
                <w:szCs w:val="21"/>
              </w:rPr>
            </w:pPr>
            <w:r>
              <w:rPr>
                <w:rFonts w:ascii="宋体" w:hAnsi="宋体" w:cs="宋体" w:hint="eastAsia"/>
                <w:b/>
                <w:bCs/>
                <w:kern w:val="0"/>
                <w:szCs w:val="21"/>
              </w:rPr>
              <w:t>类别</w:t>
            </w:r>
          </w:p>
        </w:tc>
        <w:tc>
          <w:tcPr>
            <w:tcW w:w="1363" w:type="pct"/>
            <w:shd w:val="clear" w:color="auto" w:fill="auto"/>
            <w:vAlign w:val="center"/>
          </w:tcPr>
          <w:p w14:paraId="7C15AE82" w14:textId="77777777" w:rsidR="00A320E6" w:rsidRDefault="00000000" w:rsidP="00AE0286">
            <w:pPr>
              <w:jc w:val="center"/>
              <w:rPr>
                <w:rFonts w:ascii="宋体" w:hAnsi="宋体" w:cs="宋体"/>
                <w:b/>
                <w:bCs/>
                <w:kern w:val="0"/>
                <w:szCs w:val="21"/>
              </w:rPr>
            </w:pPr>
            <w:r>
              <w:rPr>
                <w:rFonts w:ascii="宋体" w:hAnsi="宋体" w:cs="宋体" w:hint="eastAsia"/>
                <w:b/>
                <w:bCs/>
                <w:kern w:val="0"/>
                <w:szCs w:val="21"/>
              </w:rPr>
              <w:t>补偿标准</w:t>
            </w:r>
          </w:p>
        </w:tc>
        <w:tc>
          <w:tcPr>
            <w:tcW w:w="1355" w:type="pct"/>
            <w:gridSpan w:val="2"/>
            <w:shd w:val="clear" w:color="auto" w:fill="auto"/>
            <w:vAlign w:val="center"/>
          </w:tcPr>
          <w:p w14:paraId="66D4A703" w14:textId="77777777" w:rsidR="00A320E6" w:rsidRDefault="00000000" w:rsidP="00AE0286">
            <w:pPr>
              <w:jc w:val="center"/>
              <w:rPr>
                <w:rFonts w:ascii="宋体" w:hAnsi="宋体" w:cs="宋体"/>
                <w:b/>
                <w:bCs/>
                <w:kern w:val="0"/>
                <w:szCs w:val="21"/>
              </w:rPr>
            </w:pPr>
            <w:r>
              <w:rPr>
                <w:rFonts w:ascii="宋体" w:hAnsi="宋体" w:cs="宋体" w:hint="eastAsia"/>
                <w:b/>
                <w:bCs/>
                <w:kern w:val="0"/>
                <w:szCs w:val="21"/>
              </w:rPr>
              <w:t>备注</w:t>
            </w:r>
          </w:p>
        </w:tc>
      </w:tr>
      <w:tr w:rsidR="00A320E6" w14:paraId="7FA0C944" w14:textId="77777777" w:rsidTr="00621C83">
        <w:trPr>
          <w:trHeight w:val="312"/>
        </w:trPr>
        <w:tc>
          <w:tcPr>
            <w:tcW w:w="323" w:type="pct"/>
            <w:vMerge w:val="restart"/>
            <w:shd w:val="clear" w:color="auto" w:fill="auto"/>
            <w:vAlign w:val="center"/>
          </w:tcPr>
          <w:p w14:paraId="40A89370" w14:textId="77777777" w:rsidR="00A320E6" w:rsidRDefault="00000000" w:rsidP="00AE0286">
            <w:pPr>
              <w:jc w:val="center"/>
              <w:rPr>
                <w:rFonts w:ascii="宋体" w:hAnsi="宋体" w:cs="宋体"/>
                <w:kern w:val="0"/>
                <w:szCs w:val="21"/>
              </w:rPr>
            </w:pPr>
            <w:r>
              <w:rPr>
                <w:rFonts w:ascii="宋体" w:hAnsi="宋体" w:cs="宋体" w:hint="eastAsia"/>
                <w:kern w:val="0"/>
                <w:szCs w:val="21"/>
              </w:rPr>
              <w:t>1</w:t>
            </w:r>
          </w:p>
        </w:tc>
        <w:tc>
          <w:tcPr>
            <w:tcW w:w="490" w:type="pct"/>
            <w:gridSpan w:val="2"/>
            <w:vMerge w:val="restart"/>
            <w:shd w:val="clear" w:color="auto" w:fill="auto"/>
            <w:vAlign w:val="center"/>
          </w:tcPr>
          <w:p w14:paraId="1E2D1691" w14:textId="77777777" w:rsidR="00A320E6" w:rsidRDefault="00000000" w:rsidP="00AE0286">
            <w:pPr>
              <w:jc w:val="center"/>
              <w:rPr>
                <w:rFonts w:ascii="宋体" w:hAnsi="宋体" w:cs="宋体"/>
                <w:kern w:val="0"/>
                <w:szCs w:val="21"/>
              </w:rPr>
            </w:pPr>
            <w:r>
              <w:rPr>
                <w:rFonts w:ascii="宋体" w:hAnsi="宋体" w:cs="宋体" w:hint="eastAsia"/>
                <w:kern w:val="0"/>
                <w:szCs w:val="21"/>
              </w:rPr>
              <w:t>房屋</w:t>
            </w:r>
          </w:p>
        </w:tc>
        <w:tc>
          <w:tcPr>
            <w:tcW w:w="1468" w:type="pct"/>
            <w:shd w:val="clear" w:color="auto" w:fill="auto"/>
            <w:vAlign w:val="center"/>
          </w:tcPr>
          <w:p w14:paraId="42C77B36" w14:textId="77777777" w:rsidR="00A320E6" w:rsidRDefault="00000000" w:rsidP="00AE0286">
            <w:pPr>
              <w:jc w:val="center"/>
              <w:rPr>
                <w:rFonts w:ascii="宋体" w:hAnsi="宋体" w:cs="宋体"/>
                <w:kern w:val="0"/>
                <w:szCs w:val="21"/>
              </w:rPr>
            </w:pPr>
            <w:bookmarkStart w:id="124" w:name="RANGE!D3"/>
            <w:r>
              <w:rPr>
                <w:rFonts w:ascii="宋体" w:hAnsi="宋体" w:cs="宋体" w:hint="eastAsia"/>
                <w:kern w:val="0"/>
                <w:szCs w:val="21"/>
              </w:rPr>
              <w:t>乱石基、砖石墙、平顶或尖顶房</w:t>
            </w:r>
            <w:bookmarkEnd w:id="124"/>
          </w:p>
        </w:tc>
        <w:tc>
          <w:tcPr>
            <w:tcW w:w="1363" w:type="pct"/>
            <w:shd w:val="clear" w:color="auto" w:fill="auto"/>
            <w:vAlign w:val="center"/>
          </w:tcPr>
          <w:p w14:paraId="79CEABD8" w14:textId="77777777" w:rsidR="00A320E6" w:rsidRDefault="00000000" w:rsidP="00AE0286">
            <w:pPr>
              <w:jc w:val="center"/>
              <w:rPr>
                <w:rFonts w:ascii="宋体" w:hAnsi="宋体" w:cs="宋体"/>
                <w:kern w:val="0"/>
                <w:szCs w:val="21"/>
              </w:rPr>
            </w:pPr>
            <w:r>
              <w:rPr>
                <w:rFonts w:ascii="宋体" w:hAnsi="宋体" w:cs="宋体" w:hint="eastAsia"/>
                <w:kern w:val="0"/>
                <w:szCs w:val="21"/>
              </w:rPr>
              <w:t>750-1000元/平方米</w:t>
            </w:r>
          </w:p>
        </w:tc>
        <w:tc>
          <w:tcPr>
            <w:tcW w:w="1355" w:type="pct"/>
            <w:gridSpan w:val="2"/>
            <w:vMerge w:val="restart"/>
            <w:shd w:val="clear" w:color="auto" w:fill="auto"/>
            <w:vAlign w:val="center"/>
          </w:tcPr>
          <w:p w14:paraId="08A36686" w14:textId="77777777" w:rsidR="00A320E6" w:rsidRDefault="00000000" w:rsidP="00AE0286">
            <w:pPr>
              <w:jc w:val="center"/>
              <w:rPr>
                <w:rFonts w:ascii="宋体" w:hAnsi="宋体" w:cs="宋体"/>
                <w:kern w:val="0"/>
                <w:szCs w:val="21"/>
              </w:rPr>
            </w:pPr>
            <w:r>
              <w:rPr>
                <w:rFonts w:ascii="宋体" w:hAnsi="宋体" w:cs="宋体" w:hint="eastAsia"/>
                <w:kern w:val="0"/>
                <w:szCs w:val="21"/>
              </w:rPr>
              <w:t>1.仅限承包地内看护用房及临时建筑，</w:t>
            </w:r>
            <w:r>
              <w:rPr>
                <w:rFonts w:ascii="宋体" w:hAnsi="宋体" w:cs="宋体" w:hint="eastAsia"/>
                <w:bCs/>
                <w:kern w:val="0"/>
                <w:szCs w:val="21"/>
              </w:rPr>
              <w:t>其他房屋由经依法备案的房地产估价机构参照市住房城乡建设部门届时公布的淄博市工程建设平方米造价估价表，结合新旧程度，评估确定补偿标准。</w:t>
            </w:r>
            <w:r>
              <w:rPr>
                <w:rFonts w:ascii="宋体" w:hAnsi="宋体" w:cs="宋体" w:hint="eastAsia"/>
                <w:kern w:val="0"/>
                <w:szCs w:val="21"/>
              </w:rPr>
              <w:t>2.表中面积系指建筑面积。3.旧料归原主。</w:t>
            </w:r>
          </w:p>
        </w:tc>
      </w:tr>
      <w:tr w:rsidR="00A320E6" w14:paraId="4EA10653" w14:textId="77777777" w:rsidTr="00621C83">
        <w:trPr>
          <w:trHeight w:val="312"/>
        </w:trPr>
        <w:tc>
          <w:tcPr>
            <w:tcW w:w="323" w:type="pct"/>
            <w:vMerge/>
            <w:shd w:val="clear" w:color="auto" w:fill="auto"/>
            <w:vAlign w:val="center"/>
          </w:tcPr>
          <w:p w14:paraId="56562472"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41C1153C"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7588740" w14:textId="77777777" w:rsidR="00A320E6" w:rsidRDefault="00000000" w:rsidP="00AE0286">
            <w:pPr>
              <w:jc w:val="center"/>
              <w:rPr>
                <w:rFonts w:ascii="宋体" w:hAnsi="宋体" w:cs="宋体"/>
                <w:kern w:val="0"/>
                <w:szCs w:val="21"/>
              </w:rPr>
            </w:pPr>
            <w:r>
              <w:rPr>
                <w:rFonts w:ascii="宋体" w:hAnsi="宋体" w:cs="宋体" w:hint="eastAsia"/>
                <w:kern w:val="0"/>
                <w:szCs w:val="21"/>
              </w:rPr>
              <w:t>乱石基、砖垛、坯墙、木结构斜坡草屋顶或瓦屋顶</w:t>
            </w:r>
          </w:p>
        </w:tc>
        <w:tc>
          <w:tcPr>
            <w:tcW w:w="1363" w:type="pct"/>
            <w:shd w:val="clear" w:color="auto" w:fill="auto"/>
            <w:vAlign w:val="center"/>
          </w:tcPr>
          <w:p w14:paraId="0A495DAC" w14:textId="77777777" w:rsidR="00A320E6" w:rsidRDefault="00000000" w:rsidP="00AE0286">
            <w:pPr>
              <w:jc w:val="center"/>
              <w:rPr>
                <w:rFonts w:ascii="宋体" w:hAnsi="宋体" w:cs="宋体"/>
                <w:kern w:val="0"/>
                <w:szCs w:val="21"/>
              </w:rPr>
            </w:pPr>
            <w:r>
              <w:rPr>
                <w:rFonts w:ascii="宋体" w:hAnsi="宋体" w:cs="宋体" w:hint="eastAsia"/>
                <w:kern w:val="0"/>
                <w:szCs w:val="21"/>
              </w:rPr>
              <w:t>650-900元/平方米</w:t>
            </w:r>
          </w:p>
        </w:tc>
        <w:tc>
          <w:tcPr>
            <w:tcW w:w="1355" w:type="pct"/>
            <w:gridSpan w:val="2"/>
            <w:vMerge/>
            <w:shd w:val="clear" w:color="auto" w:fill="auto"/>
            <w:vAlign w:val="center"/>
          </w:tcPr>
          <w:p w14:paraId="3B9B4489" w14:textId="77777777" w:rsidR="00A320E6" w:rsidRDefault="00A320E6" w:rsidP="00AE0286">
            <w:pPr>
              <w:jc w:val="left"/>
              <w:rPr>
                <w:rFonts w:ascii="宋体" w:hAnsi="宋体" w:cs="宋体"/>
                <w:kern w:val="0"/>
                <w:szCs w:val="21"/>
              </w:rPr>
            </w:pPr>
          </w:p>
        </w:tc>
      </w:tr>
      <w:tr w:rsidR="00A320E6" w14:paraId="309FC51F" w14:textId="77777777" w:rsidTr="00621C83">
        <w:trPr>
          <w:trHeight w:val="312"/>
        </w:trPr>
        <w:tc>
          <w:tcPr>
            <w:tcW w:w="323" w:type="pct"/>
            <w:vMerge/>
            <w:shd w:val="clear" w:color="auto" w:fill="auto"/>
            <w:vAlign w:val="center"/>
          </w:tcPr>
          <w:p w14:paraId="127C6DBB"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4A8A4EAA"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36F89E49" w14:textId="77777777" w:rsidR="00A320E6" w:rsidRDefault="00000000" w:rsidP="00AE0286">
            <w:pPr>
              <w:jc w:val="center"/>
              <w:rPr>
                <w:rFonts w:ascii="宋体" w:hAnsi="宋体" w:cs="宋体"/>
                <w:kern w:val="0"/>
                <w:szCs w:val="21"/>
              </w:rPr>
            </w:pPr>
            <w:r>
              <w:rPr>
                <w:rFonts w:ascii="宋体" w:hAnsi="宋体" w:cs="宋体" w:hint="eastAsia"/>
                <w:kern w:val="0"/>
                <w:szCs w:val="21"/>
              </w:rPr>
              <w:t>钢结构或砖石墙夹心彩钢板房</w:t>
            </w:r>
          </w:p>
        </w:tc>
        <w:tc>
          <w:tcPr>
            <w:tcW w:w="1363" w:type="pct"/>
            <w:shd w:val="clear" w:color="auto" w:fill="auto"/>
            <w:vAlign w:val="center"/>
          </w:tcPr>
          <w:p w14:paraId="7ADD17C7" w14:textId="77777777" w:rsidR="00A320E6" w:rsidRDefault="00000000" w:rsidP="00AE0286">
            <w:pPr>
              <w:jc w:val="center"/>
              <w:rPr>
                <w:rFonts w:ascii="宋体" w:hAnsi="宋体" w:cs="宋体"/>
                <w:kern w:val="0"/>
                <w:szCs w:val="21"/>
              </w:rPr>
            </w:pPr>
            <w:r>
              <w:rPr>
                <w:rFonts w:ascii="宋体" w:hAnsi="宋体" w:cs="宋体" w:hint="eastAsia"/>
                <w:kern w:val="0"/>
                <w:szCs w:val="21"/>
              </w:rPr>
              <w:t>400-850元/平方米</w:t>
            </w:r>
          </w:p>
        </w:tc>
        <w:tc>
          <w:tcPr>
            <w:tcW w:w="1355" w:type="pct"/>
            <w:gridSpan w:val="2"/>
            <w:vMerge/>
            <w:shd w:val="clear" w:color="auto" w:fill="auto"/>
            <w:vAlign w:val="center"/>
          </w:tcPr>
          <w:p w14:paraId="0EE63584" w14:textId="77777777" w:rsidR="00A320E6" w:rsidRDefault="00A320E6" w:rsidP="00AE0286">
            <w:pPr>
              <w:jc w:val="left"/>
              <w:rPr>
                <w:rFonts w:ascii="宋体" w:hAnsi="宋体" w:cs="宋体"/>
                <w:kern w:val="0"/>
                <w:szCs w:val="21"/>
              </w:rPr>
            </w:pPr>
          </w:p>
        </w:tc>
      </w:tr>
      <w:tr w:rsidR="00A320E6" w14:paraId="0A5F311C" w14:textId="77777777" w:rsidTr="00621C83">
        <w:trPr>
          <w:trHeight w:val="312"/>
        </w:trPr>
        <w:tc>
          <w:tcPr>
            <w:tcW w:w="323" w:type="pct"/>
            <w:vMerge/>
            <w:shd w:val="clear" w:color="auto" w:fill="auto"/>
            <w:vAlign w:val="center"/>
          </w:tcPr>
          <w:p w14:paraId="7C5A0AA1"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2556B08F"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9C03159" w14:textId="77777777" w:rsidR="00A320E6" w:rsidRDefault="00000000" w:rsidP="00AE0286">
            <w:pPr>
              <w:jc w:val="center"/>
              <w:rPr>
                <w:rFonts w:ascii="宋体" w:hAnsi="宋体" w:cs="宋体"/>
                <w:kern w:val="0"/>
                <w:szCs w:val="21"/>
              </w:rPr>
            </w:pPr>
            <w:r>
              <w:rPr>
                <w:rFonts w:ascii="宋体" w:hAnsi="宋体" w:cs="宋体" w:hint="eastAsia"/>
                <w:kern w:val="0"/>
                <w:szCs w:val="21"/>
              </w:rPr>
              <w:t>简易夹心彩钢板房</w:t>
            </w:r>
          </w:p>
        </w:tc>
        <w:tc>
          <w:tcPr>
            <w:tcW w:w="1363" w:type="pct"/>
            <w:shd w:val="clear" w:color="auto" w:fill="auto"/>
            <w:vAlign w:val="center"/>
          </w:tcPr>
          <w:p w14:paraId="2D31DD2E" w14:textId="77777777" w:rsidR="00A320E6" w:rsidRDefault="00000000" w:rsidP="00AE0286">
            <w:pPr>
              <w:jc w:val="center"/>
              <w:rPr>
                <w:rFonts w:ascii="宋体" w:hAnsi="宋体" w:cs="宋体"/>
                <w:kern w:val="0"/>
                <w:szCs w:val="21"/>
              </w:rPr>
            </w:pPr>
            <w:r>
              <w:rPr>
                <w:rFonts w:ascii="宋体" w:hAnsi="宋体" w:cs="宋体" w:hint="eastAsia"/>
                <w:kern w:val="0"/>
                <w:szCs w:val="21"/>
              </w:rPr>
              <w:t>130-300元/平方米</w:t>
            </w:r>
          </w:p>
        </w:tc>
        <w:tc>
          <w:tcPr>
            <w:tcW w:w="1355" w:type="pct"/>
            <w:gridSpan w:val="2"/>
            <w:vMerge/>
            <w:shd w:val="clear" w:color="auto" w:fill="auto"/>
            <w:vAlign w:val="center"/>
          </w:tcPr>
          <w:p w14:paraId="6CFEE9E0" w14:textId="77777777" w:rsidR="00A320E6" w:rsidRDefault="00A320E6" w:rsidP="00AE0286">
            <w:pPr>
              <w:jc w:val="left"/>
              <w:rPr>
                <w:rFonts w:ascii="宋体" w:hAnsi="宋体" w:cs="宋体"/>
                <w:kern w:val="0"/>
                <w:szCs w:val="21"/>
              </w:rPr>
            </w:pPr>
          </w:p>
        </w:tc>
      </w:tr>
      <w:tr w:rsidR="00A320E6" w14:paraId="12DF744B" w14:textId="77777777" w:rsidTr="00621C83">
        <w:trPr>
          <w:trHeight w:val="312"/>
        </w:trPr>
        <w:tc>
          <w:tcPr>
            <w:tcW w:w="323" w:type="pct"/>
            <w:vMerge w:val="restart"/>
            <w:shd w:val="clear" w:color="auto" w:fill="auto"/>
            <w:vAlign w:val="center"/>
          </w:tcPr>
          <w:p w14:paraId="00EBC708" w14:textId="77777777" w:rsidR="00A320E6" w:rsidRDefault="00000000" w:rsidP="00AE0286">
            <w:pPr>
              <w:jc w:val="center"/>
              <w:rPr>
                <w:rFonts w:ascii="宋体" w:hAnsi="宋体" w:cs="宋体"/>
                <w:kern w:val="0"/>
                <w:szCs w:val="21"/>
              </w:rPr>
            </w:pPr>
            <w:r>
              <w:rPr>
                <w:rFonts w:ascii="宋体" w:hAnsi="宋体" w:cs="宋体" w:hint="eastAsia"/>
                <w:kern w:val="0"/>
                <w:szCs w:val="21"/>
              </w:rPr>
              <w:t>2</w:t>
            </w:r>
          </w:p>
        </w:tc>
        <w:tc>
          <w:tcPr>
            <w:tcW w:w="490" w:type="pct"/>
            <w:gridSpan w:val="2"/>
            <w:vMerge w:val="restart"/>
            <w:shd w:val="clear" w:color="auto" w:fill="auto"/>
            <w:vAlign w:val="center"/>
          </w:tcPr>
          <w:p w14:paraId="703F38CC" w14:textId="77777777" w:rsidR="00A320E6" w:rsidRDefault="00000000" w:rsidP="00AE0286">
            <w:pPr>
              <w:jc w:val="center"/>
              <w:rPr>
                <w:rFonts w:ascii="宋体" w:hAnsi="宋体" w:cs="宋体"/>
                <w:kern w:val="0"/>
                <w:szCs w:val="21"/>
              </w:rPr>
            </w:pPr>
            <w:r>
              <w:rPr>
                <w:rFonts w:ascii="宋体" w:hAnsi="宋体" w:cs="宋体" w:hint="eastAsia"/>
                <w:kern w:val="0"/>
                <w:szCs w:val="21"/>
              </w:rPr>
              <w:t>围墙</w:t>
            </w:r>
          </w:p>
        </w:tc>
        <w:tc>
          <w:tcPr>
            <w:tcW w:w="1468" w:type="pct"/>
            <w:shd w:val="clear" w:color="auto" w:fill="auto"/>
            <w:vAlign w:val="center"/>
          </w:tcPr>
          <w:p w14:paraId="4472E179" w14:textId="77777777" w:rsidR="00A320E6" w:rsidRDefault="00000000" w:rsidP="00AE0286">
            <w:pPr>
              <w:jc w:val="center"/>
              <w:rPr>
                <w:rFonts w:ascii="宋体" w:hAnsi="宋体" w:cs="宋体"/>
                <w:kern w:val="0"/>
                <w:szCs w:val="21"/>
              </w:rPr>
            </w:pPr>
            <w:bookmarkStart w:id="125" w:name="RANGE!D7"/>
            <w:r>
              <w:rPr>
                <w:rFonts w:ascii="宋体" w:hAnsi="宋体" w:cs="宋体" w:hint="eastAsia"/>
                <w:kern w:val="0"/>
                <w:szCs w:val="21"/>
              </w:rPr>
              <w:t>乱石基砖墙</w:t>
            </w:r>
            <w:bookmarkEnd w:id="125"/>
          </w:p>
        </w:tc>
        <w:tc>
          <w:tcPr>
            <w:tcW w:w="1363" w:type="pct"/>
            <w:shd w:val="clear" w:color="auto" w:fill="auto"/>
            <w:vAlign w:val="center"/>
          </w:tcPr>
          <w:p w14:paraId="0640AB9D" w14:textId="77777777" w:rsidR="00A320E6" w:rsidRDefault="00000000" w:rsidP="00AE0286">
            <w:pPr>
              <w:jc w:val="center"/>
              <w:rPr>
                <w:rFonts w:ascii="宋体" w:hAnsi="宋体" w:cs="宋体"/>
                <w:kern w:val="0"/>
                <w:szCs w:val="21"/>
              </w:rPr>
            </w:pPr>
            <w:r>
              <w:rPr>
                <w:rFonts w:ascii="宋体" w:hAnsi="宋体" w:cs="宋体" w:hint="eastAsia"/>
                <w:kern w:val="0"/>
                <w:szCs w:val="21"/>
              </w:rPr>
              <w:t>100-150元/平方米</w:t>
            </w:r>
          </w:p>
        </w:tc>
        <w:tc>
          <w:tcPr>
            <w:tcW w:w="1355" w:type="pct"/>
            <w:gridSpan w:val="2"/>
            <w:vMerge w:val="restart"/>
            <w:shd w:val="clear" w:color="auto" w:fill="auto"/>
            <w:vAlign w:val="center"/>
          </w:tcPr>
          <w:p w14:paraId="7A04528A" w14:textId="77777777" w:rsidR="00A320E6" w:rsidRDefault="00000000" w:rsidP="00AE0286">
            <w:pPr>
              <w:jc w:val="center"/>
              <w:rPr>
                <w:rFonts w:ascii="宋体" w:hAnsi="宋体" w:cs="宋体"/>
                <w:kern w:val="0"/>
                <w:szCs w:val="21"/>
              </w:rPr>
            </w:pPr>
            <w:r>
              <w:rPr>
                <w:rFonts w:ascii="宋体" w:hAnsi="宋体" w:cs="宋体" w:hint="eastAsia"/>
                <w:bCs/>
                <w:kern w:val="0"/>
                <w:szCs w:val="21"/>
              </w:rPr>
              <w:t>1.本项标准中墙体厚度24厘米，其他厚度可参照调整。</w:t>
            </w:r>
            <w:r>
              <w:rPr>
                <w:rFonts w:ascii="宋体" w:hAnsi="宋体" w:cs="宋体" w:hint="eastAsia"/>
                <w:kern w:val="0"/>
                <w:szCs w:val="21"/>
              </w:rPr>
              <w:t>2.旧料归原主。</w:t>
            </w:r>
          </w:p>
        </w:tc>
      </w:tr>
      <w:tr w:rsidR="00A320E6" w14:paraId="741F6335" w14:textId="77777777" w:rsidTr="00621C83">
        <w:trPr>
          <w:trHeight w:val="312"/>
        </w:trPr>
        <w:tc>
          <w:tcPr>
            <w:tcW w:w="323" w:type="pct"/>
            <w:vMerge/>
            <w:shd w:val="clear" w:color="auto" w:fill="auto"/>
            <w:vAlign w:val="center"/>
          </w:tcPr>
          <w:p w14:paraId="217D13FA"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674102C"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3D9D4439" w14:textId="77777777" w:rsidR="00A320E6" w:rsidRDefault="00000000" w:rsidP="00AE0286">
            <w:pPr>
              <w:jc w:val="center"/>
              <w:rPr>
                <w:rFonts w:ascii="宋体" w:hAnsi="宋体" w:cs="宋体"/>
                <w:kern w:val="0"/>
                <w:szCs w:val="21"/>
              </w:rPr>
            </w:pPr>
            <w:r>
              <w:rPr>
                <w:rFonts w:ascii="宋体" w:hAnsi="宋体" w:cs="宋体" w:hint="eastAsia"/>
                <w:kern w:val="0"/>
                <w:szCs w:val="21"/>
              </w:rPr>
              <w:t>乱石基土坯墙</w:t>
            </w:r>
          </w:p>
        </w:tc>
        <w:tc>
          <w:tcPr>
            <w:tcW w:w="1363" w:type="pct"/>
            <w:shd w:val="clear" w:color="auto" w:fill="auto"/>
            <w:vAlign w:val="center"/>
          </w:tcPr>
          <w:p w14:paraId="554F092F" w14:textId="77777777" w:rsidR="00A320E6" w:rsidRDefault="00000000" w:rsidP="00AE0286">
            <w:pPr>
              <w:jc w:val="center"/>
              <w:rPr>
                <w:rFonts w:ascii="宋体" w:hAnsi="宋体" w:cs="宋体"/>
                <w:kern w:val="0"/>
                <w:szCs w:val="21"/>
              </w:rPr>
            </w:pPr>
            <w:r>
              <w:rPr>
                <w:rFonts w:ascii="宋体" w:hAnsi="宋体" w:cs="宋体" w:hint="eastAsia"/>
                <w:kern w:val="0"/>
                <w:szCs w:val="21"/>
              </w:rPr>
              <w:t>60-80元/平方米</w:t>
            </w:r>
          </w:p>
        </w:tc>
        <w:tc>
          <w:tcPr>
            <w:tcW w:w="1355" w:type="pct"/>
            <w:gridSpan w:val="2"/>
            <w:vMerge/>
            <w:shd w:val="clear" w:color="auto" w:fill="auto"/>
            <w:vAlign w:val="center"/>
          </w:tcPr>
          <w:p w14:paraId="54203F0B" w14:textId="77777777" w:rsidR="00A320E6" w:rsidRDefault="00A320E6" w:rsidP="00AE0286">
            <w:pPr>
              <w:jc w:val="left"/>
              <w:rPr>
                <w:rFonts w:ascii="宋体" w:hAnsi="宋体" w:cs="宋体"/>
                <w:kern w:val="0"/>
                <w:szCs w:val="21"/>
              </w:rPr>
            </w:pPr>
          </w:p>
        </w:tc>
      </w:tr>
      <w:tr w:rsidR="00A320E6" w14:paraId="55B47790" w14:textId="77777777" w:rsidTr="00621C83">
        <w:trPr>
          <w:trHeight w:val="312"/>
        </w:trPr>
        <w:tc>
          <w:tcPr>
            <w:tcW w:w="323" w:type="pct"/>
            <w:vMerge/>
            <w:shd w:val="clear" w:color="auto" w:fill="auto"/>
            <w:vAlign w:val="center"/>
          </w:tcPr>
          <w:p w14:paraId="732DDCC4"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417B366D"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EE3CABE" w14:textId="77777777" w:rsidR="00A320E6" w:rsidRDefault="00000000" w:rsidP="00AE0286">
            <w:pPr>
              <w:jc w:val="center"/>
              <w:rPr>
                <w:rFonts w:ascii="宋体" w:hAnsi="宋体" w:cs="宋体"/>
                <w:kern w:val="0"/>
                <w:szCs w:val="21"/>
              </w:rPr>
            </w:pPr>
            <w:r>
              <w:rPr>
                <w:rFonts w:ascii="宋体" w:hAnsi="宋体" w:cs="宋体" w:hint="eastAsia"/>
                <w:kern w:val="0"/>
                <w:szCs w:val="21"/>
              </w:rPr>
              <w:t>铁栏围墙（含铁艺围墙）</w:t>
            </w:r>
          </w:p>
        </w:tc>
        <w:tc>
          <w:tcPr>
            <w:tcW w:w="1363" w:type="pct"/>
            <w:shd w:val="clear" w:color="auto" w:fill="auto"/>
            <w:vAlign w:val="center"/>
          </w:tcPr>
          <w:p w14:paraId="73E59803" w14:textId="77777777" w:rsidR="00A320E6" w:rsidRDefault="00000000" w:rsidP="00AE0286">
            <w:pPr>
              <w:jc w:val="center"/>
              <w:rPr>
                <w:rFonts w:ascii="宋体" w:hAnsi="宋体" w:cs="宋体"/>
                <w:kern w:val="0"/>
                <w:szCs w:val="21"/>
              </w:rPr>
            </w:pPr>
            <w:r>
              <w:rPr>
                <w:rFonts w:ascii="宋体" w:hAnsi="宋体" w:cs="宋体" w:hint="eastAsia"/>
                <w:kern w:val="0"/>
                <w:szCs w:val="21"/>
              </w:rPr>
              <w:t>120-150元/平方米</w:t>
            </w:r>
          </w:p>
        </w:tc>
        <w:tc>
          <w:tcPr>
            <w:tcW w:w="1355" w:type="pct"/>
            <w:gridSpan w:val="2"/>
            <w:vMerge/>
            <w:shd w:val="clear" w:color="auto" w:fill="auto"/>
            <w:vAlign w:val="center"/>
          </w:tcPr>
          <w:p w14:paraId="4A05A5BF" w14:textId="77777777" w:rsidR="00A320E6" w:rsidRDefault="00A320E6" w:rsidP="00AE0286">
            <w:pPr>
              <w:jc w:val="left"/>
              <w:rPr>
                <w:rFonts w:ascii="宋体" w:hAnsi="宋体" w:cs="宋体"/>
                <w:kern w:val="0"/>
                <w:szCs w:val="21"/>
              </w:rPr>
            </w:pPr>
          </w:p>
        </w:tc>
      </w:tr>
      <w:tr w:rsidR="00A320E6" w14:paraId="1D502368" w14:textId="77777777" w:rsidTr="00621C83">
        <w:trPr>
          <w:trHeight w:val="312"/>
        </w:trPr>
        <w:tc>
          <w:tcPr>
            <w:tcW w:w="323" w:type="pct"/>
            <w:vMerge/>
            <w:shd w:val="clear" w:color="auto" w:fill="auto"/>
            <w:vAlign w:val="center"/>
          </w:tcPr>
          <w:p w14:paraId="075BADBA"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632466F3"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68E62D4" w14:textId="77777777" w:rsidR="00A320E6" w:rsidRDefault="00000000" w:rsidP="00AE0286">
            <w:pPr>
              <w:jc w:val="center"/>
              <w:rPr>
                <w:rFonts w:ascii="宋体" w:hAnsi="宋体" w:cs="宋体"/>
                <w:kern w:val="0"/>
                <w:szCs w:val="21"/>
              </w:rPr>
            </w:pPr>
            <w:r>
              <w:rPr>
                <w:rFonts w:ascii="宋体" w:hAnsi="宋体" w:cs="宋体" w:hint="eastAsia"/>
                <w:kern w:val="0"/>
                <w:szCs w:val="21"/>
              </w:rPr>
              <w:t>铁丝网栅栏</w:t>
            </w:r>
          </w:p>
        </w:tc>
        <w:tc>
          <w:tcPr>
            <w:tcW w:w="1363" w:type="pct"/>
            <w:shd w:val="clear" w:color="auto" w:fill="auto"/>
            <w:vAlign w:val="center"/>
          </w:tcPr>
          <w:p w14:paraId="1F721DBC" w14:textId="77777777" w:rsidR="00A320E6" w:rsidRDefault="00000000" w:rsidP="00AE0286">
            <w:pPr>
              <w:jc w:val="center"/>
              <w:rPr>
                <w:rFonts w:ascii="宋体" w:hAnsi="宋体" w:cs="宋体"/>
                <w:kern w:val="0"/>
                <w:szCs w:val="21"/>
              </w:rPr>
            </w:pPr>
            <w:r>
              <w:rPr>
                <w:rFonts w:ascii="宋体" w:hAnsi="宋体" w:cs="宋体" w:hint="eastAsia"/>
                <w:kern w:val="0"/>
                <w:szCs w:val="21"/>
              </w:rPr>
              <w:t>40-60元/平方米</w:t>
            </w:r>
          </w:p>
        </w:tc>
        <w:tc>
          <w:tcPr>
            <w:tcW w:w="1355" w:type="pct"/>
            <w:gridSpan w:val="2"/>
            <w:vMerge/>
            <w:shd w:val="clear" w:color="auto" w:fill="auto"/>
            <w:vAlign w:val="center"/>
          </w:tcPr>
          <w:p w14:paraId="77EB6A0B" w14:textId="77777777" w:rsidR="00A320E6" w:rsidRDefault="00A320E6" w:rsidP="00AE0286">
            <w:pPr>
              <w:jc w:val="left"/>
              <w:rPr>
                <w:rFonts w:ascii="宋体" w:hAnsi="宋体" w:cs="宋体"/>
                <w:kern w:val="0"/>
                <w:szCs w:val="21"/>
              </w:rPr>
            </w:pPr>
          </w:p>
        </w:tc>
      </w:tr>
      <w:tr w:rsidR="00A320E6" w14:paraId="214C0824" w14:textId="77777777" w:rsidTr="00621C83">
        <w:trPr>
          <w:trHeight w:val="312"/>
        </w:trPr>
        <w:tc>
          <w:tcPr>
            <w:tcW w:w="323" w:type="pct"/>
            <w:vMerge/>
            <w:shd w:val="clear" w:color="auto" w:fill="auto"/>
            <w:vAlign w:val="center"/>
          </w:tcPr>
          <w:p w14:paraId="266B068E"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72E72AC8"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9613983" w14:textId="77777777" w:rsidR="00A320E6" w:rsidRDefault="00000000" w:rsidP="00AE0286">
            <w:pPr>
              <w:jc w:val="center"/>
              <w:rPr>
                <w:rFonts w:ascii="宋体" w:hAnsi="宋体" w:cs="宋体"/>
                <w:bCs/>
                <w:kern w:val="0"/>
                <w:szCs w:val="21"/>
              </w:rPr>
            </w:pPr>
            <w:r>
              <w:rPr>
                <w:rFonts w:ascii="宋体" w:hAnsi="宋体" w:cs="宋体" w:hint="eastAsia"/>
                <w:bCs/>
                <w:kern w:val="0"/>
                <w:szCs w:val="21"/>
              </w:rPr>
              <w:t>简易围墙</w:t>
            </w:r>
          </w:p>
        </w:tc>
        <w:tc>
          <w:tcPr>
            <w:tcW w:w="1363" w:type="pct"/>
            <w:shd w:val="clear" w:color="auto" w:fill="auto"/>
            <w:vAlign w:val="center"/>
          </w:tcPr>
          <w:p w14:paraId="11E81E00" w14:textId="77777777" w:rsidR="00A320E6" w:rsidRDefault="00000000" w:rsidP="00AE0286">
            <w:pPr>
              <w:jc w:val="center"/>
              <w:rPr>
                <w:rFonts w:ascii="宋体" w:hAnsi="宋体" w:cs="宋体"/>
                <w:kern w:val="0"/>
                <w:szCs w:val="21"/>
              </w:rPr>
            </w:pPr>
            <w:r>
              <w:rPr>
                <w:rFonts w:ascii="宋体" w:hAnsi="宋体" w:cs="宋体" w:hint="eastAsia"/>
                <w:kern w:val="0"/>
                <w:szCs w:val="21"/>
              </w:rPr>
              <w:t>5-30元/米</w:t>
            </w:r>
          </w:p>
        </w:tc>
        <w:tc>
          <w:tcPr>
            <w:tcW w:w="1355" w:type="pct"/>
            <w:gridSpan w:val="2"/>
            <w:vMerge/>
            <w:shd w:val="clear" w:color="auto" w:fill="auto"/>
            <w:vAlign w:val="center"/>
          </w:tcPr>
          <w:p w14:paraId="10D39D73" w14:textId="77777777" w:rsidR="00A320E6" w:rsidRDefault="00A320E6" w:rsidP="00AE0286">
            <w:pPr>
              <w:jc w:val="left"/>
              <w:rPr>
                <w:rFonts w:ascii="宋体" w:hAnsi="宋体" w:cs="宋体"/>
                <w:kern w:val="0"/>
                <w:szCs w:val="21"/>
              </w:rPr>
            </w:pPr>
          </w:p>
        </w:tc>
      </w:tr>
      <w:tr w:rsidR="00A320E6" w14:paraId="5C33878A" w14:textId="77777777" w:rsidTr="00621C83">
        <w:trPr>
          <w:trHeight w:val="312"/>
        </w:trPr>
        <w:tc>
          <w:tcPr>
            <w:tcW w:w="323" w:type="pct"/>
            <w:vMerge w:val="restart"/>
            <w:shd w:val="clear" w:color="auto" w:fill="auto"/>
            <w:vAlign w:val="center"/>
          </w:tcPr>
          <w:p w14:paraId="7CE10BDD" w14:textId="77777777" w:rsidR="00A320E6" w:rsidRDefault="00000000" w:rsidP="00AE0286">
            <w:pPr>
              <w:jc w:val="center"/>
              <w:rPr>
                <w:rFonts w:ascii="宋体" w:hAnsi="宋体" w:cs="宋体"/>
                <w:kern w:val="0"/>
                <w:szCs w:val="21"/>
              </w:rPr>
            </w:pPr>
            <w:r>
              <w:rPr>
                <w:rFonts w:ascii="宋体" w:hAnsi="宋体" w:cs="宋体" w:hint="eastAsia"/>
                <w:kern w:val="0"/>
                <w:szCs w:val="21"/>
              </w:rPr>
              <w:t>3</w:t>
            </w:r>
          </w:p>
        </w:tc>
        <w:tc>
          <w:tcPr>
            <w:tcW w:w="490" w:type="pct"/>
            <w:gridSpan w:val="2"/>
            <w:vMerge w:val="restart"/>
            <w:shd w:val="clear" w:color="auto" w:fill="auto"/>
            <w:vAlign w:val="center"/>
          </w:tcPr>
          <w:p w14:paraId="609125BA" w14:textId="77777777" w:rsidR="00A320E6" w:rsidRDefault="00000000" w:rsidP="00AE0286">
            <w:pPr>
              <w:jc w:val="center"/>
              <w:rPr>
                <w:rFonts w:ascii="宋体" w:hAnsi="宋体" w:cs="宋体"/>
                <w:kern w:val="0"/>
                <w:szCs w:val="21"/>
              </w:rPr>
            </w:pPr>
            <w:r>
              <w:rPr>
                <w:rFonts w:ascii="宋体" w:hAnsi="宋体" w:cs="宋体" w:hint="eastAsia"/>
                <w:kern w:val="0"/>
                <w:szCs w:val="21"/>
              </w:rPr>
              <w:t>棚</w:t>
            </w:r>
          </w:p>
        </w:tc>
        <w:tc>
          <w:tcPr>
            <w:tcW w:w="1468" w:type="pct"/>
            <w:shd w:val="clear" w:color="auto" w:fill="auto"/>
            <w:vAlign w:val="center"/>
          </w:tcPr>
          <w:p w14:paraId="3B6147EF" w14:textId="77777777" w:rsidR="00A320E6" w:rsidRDefault="00000000" w:rsidP="00AE0286">
            <w:pPr>
              <w:jc w:val="center"/>
              <w:rPr>
                <w:rFonts w:ascii="宋体" w:hAnsi="宋体" w:cs="宋体"/>
                <w:kern w:val="0"/>
                <w:szCs w:val="21"/>
              </w:rPr>
            </w:pPr>
            <w:r>
              <w:rPr>
                <w:rFonts w:ascii="宋体" w:hAnsi="宋体" w:cs="宋体" w:hint="eastAsia"/>
                <w:kern w:val="0"/>
                <w:szCs w:val="21"/>
              </w:rPr>
              <w:t>钢管、钢架玻璃钢瓦顶</w:t>
            </w:r>
          </w:p>
        </w:tc>
        <w:tc>
          <w:tcPr>
            <w:tcW w:w="1363" w:type="pct"/>
            <w:shd w:val="clear" w:color="auto" w:fill="auto"/>
            <w:vAlign w:val="center"/>
          </w:tcPr>
          <w:p w14:paraId="1E115CDD" w14:textId="77777777" w:rsidR="00A320E6" w:rsidRDefault="00000000" w:rsidP="00AE0286">
            <w:pPr>
              <w:jc w:val="center"/>
              <w:rPr>
                <w:rFonts w:ascii="宋体" w:hAnsi="宋体" w:cs="宋体"/>
                <w:kern w:val="0"/>
                <w:szCs w:val="21"/>
              </w:rPr>
            </w:pPr>
            <w:r>
              <w:rPr>
                <w:rFonts w:ascii="宋体" w:hAnsi="宋体" w:cs="宋体" w:hint="eastAsia"/>
                <w:kern w:val="0"/>
                <w:szCs w:val="21"/>
              </w:rPr>
              <w:t>130-190元/平方米</w:t>
            </w:r>
          </w:p>
        </w:tc>
        <w:tc>
          <w:tcPr>
            <w:tcW w:w="1355" w:type="pct"/>
            <w:gridSpan w:val="2"/>
            <w:vMerge w:val="restart"/>
            <w:shd w:val="clear" w:color="auto" w:fill="auto"/>
            <w:vAlign w:val="center"/>
          </w:tcPr>
          <w:p w14:paraId="1B24573D" w14:textId="77777777" w:rsidR="00A320E6" w:rsidRDefault="00000000" w:rsidP="00AE0286">
            <w:pPr>
              <w:jc w:val="center"/>
              <w:rPr>
                <w:rFonts w:ascii="宋体" w:hAnsi="宋体" w:cs="宋体"/>
                <w:kern w:val="0"/>
                <w:szCs w:val="21"/>
              </w:rPr>
            </w:pPr>
            <w:r>
              <w:rPr>
                <w:rFonts w:ascii="宋体" w:hAnsi="宋体" w:cs="宋体" w:hint="eastAsia"/>
                <w:kern w:val="0"/>
                <w:szCs w:val="21"/>
              </w:rPr>
              <w:t>不含地面，旧料归原主。</w:t>
            </w:r>
          </w:p>
        </w:tc>
      </w:tr>
      <w:tr w:rsidR="00A320E6" w14:paraId="104A1543" w14:textId="77777777" w:rsidTr="00621C83">
        <w:trPr>
          <w:trHeight w:val="312"/>
        </w:trPr>
        <w:tc>
          <w:tcPr>
            <w:tcW w:w="323" w:type="pct"/>
            <w:vMerge/>
            <w:shd w:val="clear" w:color="auto" w:fill="auto"/>
            <w:vAlign w:val="center"/>
          </w:tcPr>
          <w:p w14:paraId="3FE3A4CE"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1B364D5A"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D42395C" w14:textId="77777777" w:rsidR="00A320E6" w:rsidRDefault="00000000" w:rsidP="00AE0286">
            <w:pPr>
              <w:jc w:val="center"/>
              <w:rPr>
                <w:rFonts w:ascii="宋体" w:hAnsi="宋体" w:cs="宋体"/>
                <w:kern w:val="0"/>
                <w:szCs w:val="21"/>
              </w:rPr>
            </w:pPr>
            <w:r>
              <w:rPr>
                <w:rFonts w:ascii="宋体" w:hAnsi="宋体" w:cs="宋体" w:hint="eastAsia"/>
                <w:kern w:val="0"/>
                <w:szCs w:val="21"/>
              </w:rPr>
              <w:t>钢管、砖砌体石棉瓦顶</w:t>
            </w:r>
          </w:p>
        </w:tc>
        <w:tc>
          <w:tcPr>
            <w:tcW w:w="1363" w:type="pct"/>
            <w:shd w:val="clear" w:color="auto" w:fill="auto"/>
            <w:vAlign w:val="center"/>
          </w:tcPr>
          <w:p w14:paraId="409F32B9" w14:textId="77777777" w:rsidR="00A320E6" w:rsidRDefault="00000000" w:rsidP="00AE0286">
            <w:pPr>
              <w:jc w:val="center"/>
              <w:rPr>
                <w:rFonts w:ascii="宋体" w:hAnsi="宋体" w:cs="宋体"/>
                <w:kern w:val="0"/>
                <w:szCs w:val="21"/>
              </w:rPr>
            </w:pPr>
            <w:r>
              <w:rPr>
                <w:rFonts w:ascii="宋体" w:hAnsi="宋体" w:cs="宋体" w:hint="eastAsia"/>
                <w:kern w:val="0"/>
                <w:szCs w:val="21"/>
              </w:rPr>
              <w:t>100-130元/平方米</w:t>
            </w:r>
          </w:p>
        </w:tc>
        <w:tc>
          <w:tcPr>
            <w:tcW w:w="1355" w:type="pct"/>
            <w:gridSpan w:val="2"/>
            <w:vMerge/>
            <w:shd w:val="clear" w:color="auto" w:fill="auto"/>
            <w:vAlign w:val="center"/>
          </w:tcPr>
          <w:p w14:paraId="3669B4CE" w14:textId="77777777" w:rsidR="00A320E6" w:rsidRDefault="00A320E6" w:rsidP="00AE0286">
            <w:pPr>
              <w:jc w:val="left"/>
              <w:rPr>
                <w:rFonts w:ascii="宋体" w:hAnsi="宋体" w:cs="宋体"/>
                <w:kern w:val="0"/>
                <w:szCs w:val="21"/>
              </w:rPr>
            </w:pPr>
          </w:p>
        </w:tc>
      </w:tr>
      <w:tr w:rsidR="00A320E6" w14:paraId="117D7FBE" w14:textId="77777777" w:rsidTr="00621C83">
        <w:trPr>
          <w:trHeight w:val="312"/>
        </w:trPr>
        <w:tc>
          <w:tcPr>
            <w:tcW w:w="323" w:type="pct"/>
            <w:vMerge/>
            <w:shd w:val="clear" w:color="auto" w:fill="auto"/>
            <w:vAlign w:val="center"/>
          </w:tcPr>
          <w:p w14:paraId="051E5754"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7808D68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61AEEE9" w14:textId="77777777" w:rsidR="00A320E6" w:rsidRDefault="00000000" w:rsidP="00AE0286">
            <w:pPr>
              <w:jc w:val="center"/>
              <w:rPr>
                <w:rFonts w:ascii="宋体" w:hAnsi="宋体" w:cs="宋体"/>
                <w:kern w:val="0"/>
                <w:szCs w:val="21"/>
              </w:rPr>
            </w:pPr>
            <w:r>
              <w:rPr>
                <w:rFonts w:ascii="宋体" w:hAnsi="宋体" w:cs="宋体" w:hint="eastAsia"/>
                <w:kern w:val="0"/>
                <w:szCs w:val="21"/>
              </w:rPr>
              <w:t>简易棚</w:t>
            </w:r>
          </w:p>
        </w:tc>
        <w:tc>
          <w:tcPr>
            <w:tcW w:w="1363" w:type="pct"/>
            <w:shd w:val="clear" w:color="auto" w:fill="auto"/>
            <w:vAlign w:val="center"/>
          </w:tcPr>
          <w:p w14:paraId="524C097B" w14:textId="77777777" w:rsidR="00A320E6" w:rsidRDefault="00000000" w:rsidP="00AE0286">
            <w:pPr>
              <w:jc w:val="center"/>
              <w:rPr>
                <w:rFonts w:ascii="宋体" w:hAnsi="宋体" w:cs="宋体"/>
                <w:kern w:val="0"/>
                <w:szCs w:val="21"/>
              </w:rPr>
            </w:pPr>
            <w:r>
              <w:rPr>
                <w:rFonts w:ascii="宋体" w:hAnsi="宋体" w:cs="宋体" w:hint="eastAsia"/>
                <w:kern w:val="0"/>
                <w:szCs w:val="21"/>
              </w:rPr>
              <w:t>70-100元/平方米</w:t>
            </w:r>
          </w:p>
        </w:tc>
        <w:tc>
          <w:tcPr>
            <w:tcW w:w="1355" w:type="pct"/>
            <w:gridSpan w:val="2"/>
            <w:vMerge/>
            <w:shd w:val="clear" w:color="auto" w:fill="auto"/>
            <w:vAlign w:val="center"/>
          </w:tcPr>
          <w:p w14:paraId="4A148D4C" w14:textId="77777777" w:rsidR="00A320E6" w:rsidRDefault="00A320E6" w:rsidP="00AE0286">
            <w:pPr>
              <w:jc w:val="left"/>
              <w:rPr>
                <w:rFonts w:ascii="宋体" w:hAnsi="宋体" w:cs="宋体"/>
                <w:kern w:val="0"/>
                <w:szCs w:val="21"/>
              </w:rPr>
            </w:pPr>
          </w:p>
        </w:tc>
      </w:tr>
      <w:tr w:rsidR="00A320E6" w14:paraId="1D1D1CA2" w14:textId="77777777" w:rsidTr="00621C83">
        <w:trPr>
          <w:trHeight w:val="312"/>
        </w:trPr>
        <w:tc>
          <w:tcPr>
            <w:tcW w:w="323" w:type="pct"/>
            <w:vMerge w:val="restart"/>
            <w:shd w:val="clear" w:color="auto" w:fill="auto"/>
            <w:vAlign w:val="center"/>
          </w:tcPr>
          <w:p w14:paraId="169A5B6A" w14:textId="77777777" w:rsidR="00A320E6" w:rsidRDefault="00000000" w:rsidP="00AE0286">
            <w:pPr>
              <w:jc w:val="center"/>
              <w:rPr>
                <w:rFonts w:ascii="宋体" w:hAnsi="宋体" w:cs="宋体"/>
                <w:kern w:val="0"/>
                <w:szCs w:val="21"/>
              </w:rPr>
            </w:pPr>
            <w:r>
              <w:rPr>
                <w:rFonts w:ascii="宋体" w:hAnsi="宋体" w:cs="宋体" w:hint="eastAsia"/>
                <w:kern w:val="0"/>
                <w:szCs w:val="21"/>
              </w:rPr>
              <w:t>4</w:t>
            </w:r>
          </w:p>
        </w:tc>
        <w:tc>
          <w:tcPr>
            <w:tcW w:w="490" w:type="pct"/>
            <w:gridSpan w:val="2"/>
            <w:vMerge w:val="restart"/>
            <w:shd w:val="clear" w:color="auto" w:fill="auto"/>
            <w:vAlign w:val="center"/>
          </w:tcPr>
          <w:p w14:paraId="3AB1BE9C" w14:textId="77777777" w:rsidR="00A320E6" w:rsidRDefault="00000000" w:rsidP="00AE0286">
            <w:pPr>
              <w:jc w:val="center"/>
              <w:rPr>
                <w:rFonts w:ascii="宋体" w:hAnsi="宋体" w:cs="宋体"/>
                <w:kern w:val="0"/>
                <w:szCs w:val="21"/>
              </w:rPr>
            </w:pPr>
            <w:r>
              <w:rPr>
                <w:rFonts w:ascii="宋体" w:hAnsi="宋体" w:cs="宋体" w:hint="eastAsia"/>
                <w:kern w:val="0"/>
                <w:szCs w:val="21"/>
              </w:rPr>
              <w:t>畜禽舍</w:t>
            </w:r>
          </w:p>
        </w:tc>
        <w:tc>
          <w:tcPr>
            <w:tcW w:w="1468" w:type="pct"/>
            <w:shd w:val="clear" w:color="auto" w:fill="auto"/>
            <w:vAlign w:val="center"/>
          </w:tcPr>
          <w:p w14:paraId="4FEA3CFD" w14:textId="77777777" w:rsidR="00A320E6" w:rsidRDefault="00000000" w:rsidP="00AE0286">
            <w:pPr>
              <w:jc w:val="center"/>
              <w:rPr>
                <w:rFonts w:ascii="宋体" w:hAnsi="宋体" w:cs="宋体"/>
                <w:kern w:val="0"/>
                <w:szCs w:val="21"/>
              </w:rPr>
            </w:pPr>
            <w:r>
              <w:rPr>
                <w:rFonts w:ascii="宋体" w:hAnsi="宋体" w:cs="宋体" w:hint="eastAsia"/>
                <w:kern w:val="0"/>
                <w:szCs w:val="21"/>
              </w:rPr>
              <w:t>砖混或砖木结构</w:t>
            </w:r>
          </w:p>
        </w:tc>
        <w:tc>
          <w:tcPr>
            <w:tcW w:w="1363" w:type="pct"/>
            <w:shd w:val="clear" w:color="auto" w:fill="auto"/>
            <w:vAlign w:val="center"/>
          </w:tcPr>
          <w:p w14:paraId="68329956" w14:textId="77777777" w:rsidR="00A320E6" w:rsidRDefault="00000000" w:rsidP="00AE0286">
            <w:pPr>
              <w:jc w:val="center"/>
              <w:rPr>
                <w:rFonts w:ascii="宋体" w:hAnsi="宋体" w:cs="宋体"/>
                <w:kern w:val="0"/>
                <w:szCs w:val="21"/>
              </w:rPr>
            </w:pPr>
            <w:r>
              <w:rPr>
                <w:rFonts w:ascii="宋体" w:hAnsi="宋体" w:cs="宋体" w:hint="eastAsia"/>
                <w:kern w:val="0"/>
                <w:szCs w:val="21"/>
              </w:rPr>
              <w:t>250-450元/平方米</w:t>
            </w:r>
          </w:p>
        </w:tc>
        <w:tc>
          <w:tcPr>
            <w:tcW w:w="1355" w:type="pct"/>
            <w:gridSpan w:val="2"/>
            <w:vMerge w:val="restart"/>
            <w:shd w:val="clear" w:color="auto" w:fill="auto"/>
            <w:vAlign w:val="center"/>
          </w:tcPr>
          <w:p w14:paraId="783179DD" w14:textId="77777777" w:rsidR="00A320E6" w:rsidRDefault="00000000" w:rsidP="00AE0286">
            <w:pPr>
              <w:jc w:val="center"/>
              <w:rPr>
                <w:rFonts w:ascii="宋体" w:hAnsi="宋体" w:cs="宋体"/>
                <w:kern w:val="0"/>
                <w:szCs w:val="21"/>
              </w:rPr>
            </w:pPr>
            <w:r>
              <w:rPr>
                <w:rFonts w:ascii="宋体" w:hAnsi="宋体" w:cs="宋体" w:hint="eastAsia"/>
                <w:kern w:val="0"/>
                <w:szCs w:val="21"/>
              </w:rPr>
              <w:t>1.表中畜禽舍系指征地涉及的零星畜禽舍，规模化养殖畜禽舍可委托有资质的机构进行评估或由相关部门认证。2.旧料归原主。</w:t>
            </w:r>
          </w:p>
        </w:tc>
      </w:tr>
      <w:tr w:rsidR="00A320E6" w14:paraId="6EF2D36B" w14:textId="77777777" w:rsidTr="00621C83">
        <w:trPr>
          <w:trHeight w:val="312"/>
        </w:trPr>
        <w:tc>
          <w:tcPr>
            <w:tcW w:w="323" w:type="pct"/>
            <w:vMerge/>
            <w:shd w:val="clear" w:color="auto" w:fill="auto"/>
            <w:vAlign w:val="center"/>
          </w:tcPr>
          <w:p w14:paraId="00E02462"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31E0798D"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BA3E7AD" w14:textId="77777777" w:rsidR="00A320E6" w:rsidRDefault="00000000" w:rsidP="00AE0286">
            <w:pPr>
              <w:jc w:val="center"/>
              <w:rPr>
                <w:rFonts w:ascii="宋体" w:hAnsi="宋体" w:cs="宋体"/>
                <w:kern w:val="0"/>
                <w:szCs w:val="21"/>
              </w:rPr>
            </w:pPr>
            <w:r>
              <w:rPr>
                <w:rFonts w:ascii="宋体" w:hAnsi="宋体" w:cs="宋体" w:hint="eastAsia"/>
                <w:kern w:val="0"/>
                <w:szCs w:val="21"/>
              </w:rPr>
              <w:t>简易结构</w:t>
            </w:r>
          </w:p>
        </w:tc>
        <w:tc>
          <w:tcPr>
            <w:tcW w:w="1363" w:type="pct"/>
            <w:shd w:val="clear" w:color="auto" w:fill="auto"/>
            <w:vAlign w:val="center"/>
          </w:tcPr>
          <w:p w14:paraId="29FB8179" w14:textId="77777777" w:rsidR="00A320E6" w:rsidRDefault="00000000" w:rsidP="00AE0286">
            <w:pPr>
              <w:jc w:val="center"/>
              <w:rPr>
                <w:rFonts w:ascii="宋体" w:hAnsi="宋体" w:cs="宋体"/>
                <w:kern w:val="0"/>
                <w:szCs w:val="21"/>
              </w:rPr>
            </w:pPr>
            <w:r>
              <w:rPr>
                <w:rFonts w:ascii="宋体" w:hAnsi="宋体" w:cs="宋体" w:hint="eastAsia"/>
                <w:kern w:val="0"/>
                <w:szCs w:val="21"/>
              </w:rPr>
              <w:t>90-180元/平方米</w:t>
            </w:r>
          </w:p>
        </w:tc>
        <w:tc>
          <w:tcPr>
            <w:tcW w:w="1355" w:type="pct"/>
            <w:gridSpan w:val="2"/>
            <w:vMerge/>
            <w:shd w:val="clear" w:color="auto" w:fill="auto"/>
            <w:vAlign w:val="center"/>
          </w:tcPr>
          <w:p w14:paraId="30A2C1D5" w14:textId="77777777" w:rsidR="00A320E6" w:rsidRDefault="00A320E6" w:rsidP="00AE0286">
            <w:pPr>
              <w:jc w:val="left"/>
              <w:rPr>
                <w:rFonts w:ascii="宋体" w:hAnsi="宋体" w:cs="宋体"/>
                <w:kern w:val="0"/>
                <w:szCs w:val="21"/>
              </w:rPr>
            </w:pPr>
          </w:p>
        </w:tc>
      </w:tr>
      <w:tr w:rsidR="00A320E6" w14:paraId="192BF478" w14:textId="77777777" w:rsidTr="00621C83">
        <w:trPr>
          <w:trHeight w:val="312"/>
        </w:trPr>
        <w:tc>
          <w:tcPr>
            <w:tcW w:w="323" w:type="pct"/>
            <w:vMerge w:val="restart"/>
            <w:shd w:val="clear" w:color="auto" w:fill="auto"/>
            <w:vAlign w:val="center"/>
          </w:tcPr>
          <w:p w14:paraId="74A5998E" w14:textId="77777777" w:rsidR="00A320E6" w:rsidRDefault="00000000" w:rsidP="00AE0286">
            <w:pPr>
              <w:jc w:val="center"/>
              <w:rPr>
                <w:rFonts w:ascii="宋体" w:hAnsi="宋体" w:cs="宋体"/>
                <w:kern w:val="0"/>
                <w:szCs w:val="21"/>
              </w:rPr>
            </w:pPr>
            <w:r>
              <w:rPr>
                <w:rFonts w:ascii="宋体" w:hAnsi="宋体" w:cs="宋体" w:hint="eastAsia"/>
                <w:kern w:val="0"/>
                <w:szCs w:val="21"/>
              </w:rPr>
              <w:t>5</w:t>
            </w:r>
          </w:p>
        </w:tc>
        <w:tc>
          <w:tcPr>
            <w:tcW w:w="490" w:type="pct"/>
            <w:gridSpan w:val="2"/>
            <w:vMerge w:val="restart"/>
            <w:shd w:val="clear" w:color="auto" w:fill="auto"/>
            <w:vAlign w:val="center"/>
          </w:tcPr>
          <w:p w14:paraId="1000D18D" w14:textId="77777777" w:rsidR="00A320E6" w:rsidRDefault="00000000" w:rsidP="00AE0286">
            <w:pPr>
              <w:jc w:val="center"/>
              <w:rPr>
                <w:rFonts w:ascii="宋体" w:hAnsi="宋体" w:cs="宋体"/>
                <w:kern w:val="0"/>
                <w:szCs w:val="21"/>
              </w:rPr>
            </w:pPr>
            <w:r>
              <w:rPr>
                <w:rFonts w:ascii="宋体" w:hAnsi="宋体" w:cs="宋体" w:hint="eastAsia"/>
                <w:kern w:val="0"/>
                <w:szCs w:val="21"/>
              </w:rPr>
              <w:t>温室</w:t>
            </w:r>
          </w:p>
        </w:tc>
        <w:tc>
          <w:tcPr>
            <w:tcW w:w="1468" w:type="pct"/>
            <w:shd w:val="clear" w:color="auto" w:fill="auto"/>
            <w:vAlign w:val="center"/>
          </w:tcPr>
          <w:p w14:paraId="0A73D688" w14:textId="77777777" w:rsidR="00A320E6" w:rsidRDefault="00000000" w:rsidP="00AE0286">
            <w:pPr>
              <w:jc w:val="center"/>
              <w:rPr>
                <w:rFonts w:ascii="宋体" w:hAnsi="宋体" w:cs="宋体"/>
                <w:kern w:val="0"/>
                <w:szCs w:val="21"/>
              </w:rPr>
            </w:pPr>
            <w:bookmarkStart w:id="126" w:name="RANGE!D17"/>
            <w:r>
              <w:rPr>
                <w:rFonts w:ascii="宋体" w:hAnsi="宋体" w:cs="宋体" w:hint="eastAsia"/>
                <w:kern w:val="0"/>
                <w:szCs w:val="21"/>
              </w:rPr>
              <w:t>钢、砼骨架、三面砖石或坯墙、玻璃顶</w:t>
            </w:r>
            <w:bookmarkEnd w:id="126"/>
          </w:p>
        </w:tc>
        <w:tc>
          <w:tcPr>
            <w:tcW w:w="1363" w:type="pct"/>
            <w:shd w:val="clear" w:color="auto" w:fill="auto"/>
            <w:vAlign w:val="center"/>
          </w:tcPr>
          <w:p w14:paraId="18F9DDC0" w14:textId="77777777" w:rsidR="00A320E6" w:rsidRDefault="00000000" w:rsidP="00AE0286">
            <w:pPr>
              <w:jc w:val="center"/>
              <w:rPr>
                <w:rFonts w:ascii="宋体" w:hAnsi="宋体" w:cs="宋体"/>
                <w:kern w:val="0"/>
                <w:szCs w:val="21"/>
              </w:rPr>
            </w:pPr>
            <w:r>
              <w:rPr>
                <w:rFonts w:ascii="宋体" w:hAnsi="宋体" w:cs="宋体" w:hint="eastAsia"/>
                <w:kern w:val="0"/>
                <w:szCs w:val="21"/>
              </w:rPr>
              <w:t>140-215元/平方米</w:t>
            </w:r>
          </w:p>
        </w:tc>
        <w:tc>
          <w:tcPr>
            <w:tcW w:w="1355" w:type="pct"/>
            <w:gridSpan w:val="2"/>
            <w:vMerge w:val="restart"/>
            <w:shd w:val="clear" w:color="auto" w:fill="auto"/>
            <w:vAlign w:val="center"/>
          </w:tcPr>
          <w:p w14:paraId="44BCC705" w14:textId="77777777" w:rsidR="00A320E6" w:rsidRDefault="00000000" w:rsidP="00AE0286">
            <w:pPr>
              <w:jc w:val="center"/>
              <w:rPr>
                <w:rFonts w:ascii="宋体" w:hAnsi="宋体" w:cs="宋体"/>
                <w:kern w:val="0"/>
                <w:szCs w:val="21"/>
              </w:rPr>
            </w:pPr>
            <w:r>
              <w:rPr>
                <w:rFonts w:ascii="宋体" w:hAnsi="宋体" w:cs="宋体" w:hint="eastAsia"/>
                <w:kern w:val="0"/>
                <w:szCs w:val="21"/>
              </w:rPr>
              <w:t>旧料归原主。</w:t>
            </w:r>
          </w:p>
        </w:tc>
      </w:tr>
      <w:tr w:rsidR="00A320E6" w14:paraId="68473D51" w14:textId="77777777" w:rsidTr="00621C83">
        <w:trPr>
          <w:trHeight w:val="312"/>
        </w:trPr>
        <w:tc>
          <w:tcPr>
            <w:tcW w:w="323" w:type="pct"/>
            <w:vMerge/>
            <w:shd w:val="clear" w:color="auto" w:fill="auto"/>
            <w:vAlign w:val="center"/>
          </w:tcPr>
          <w:p w14:paraId="464E576A"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467C63B6"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D0A0DAB" w14:textId="77777777" w:rsidR="00A320E6" w:rsidRDefault="00000000" w:rsidP="00AE0286">
            <w:pPr>
              <w:jc w:val="center"/>
              <w:rPr>
                <w:rFonts w:ascii="宋体" w:hAnsi="宋体" w:cs="宋体"/>
                <w:kern w:val="0"/>
                <w:szCs w:val="21"/>
              </w:rPr>
            </w:pPr>
            <w:r>
              <w:rPr>
                <w:rFonts w:ascii="宋体" w:hAnsi="宋体" w:cs="宋体" w:hint="eastAsia"/>
                <w:kern w:val="0"/>
                <w:szCs w:val="21"/>
              </w:rPr>
              <w:t>钢、砼骨架、三面砖石或坯墙、塑料薄膜顶</w:t>
            </w:r>
          </w:p>
        </w:tc>
        <w:tc>
          <w:tcPr>
            <w:tcW w:w="1363" w:type="pct"/>
            <w:shd w:val="clear" w:color="auto" w:fill="auto"/>
            <w:vAlign w:val="center"/>
          </w:tcPr>
          <w:p w14:paraId="75BB16B6" w14:textId="77777777" w:rsidR="00A320E6" w:rsidRDefault="00000000" w:rsidP="00AE0286">
            <w:pPr>
              <w:jc w:val="center"/>
              <w:rPr>
                <w:rFonts w:ascii="宋体" w:hAnsi="宋体" w:cs="宋体"/>
                <w:kern w:val="0"/>
                <w:szCs w:val="21"/>
              </w:rPr>
            </w:pPr>
            <w:r>
              <w:rPr>
                <w:rFonts w:ascii="宋体" w:hAnsi="宋体" w:cs="宋体" w:hint="eastAsia"/>
                <w:kern w:val="0"/>
                <w:szCs w:val="21"/>
              </w:rPr>
              <w:t>100-180元/平方米</w:t>
            </w:r>
          </w:p>
        </w:tc>
        <w:tc>
          <w:tcPr>
            <w:tcW w:w="1355" w:type="pct"/>
            <w:gridSpan w:val="2"/>
            <w:vMerge/>
            <w:shd w:val="clear" w:color="auto" w:fill="auto"/>
            <w:vAlign w:val="center"/>
          </w:tcPr>
          <w:p w14:paraId="256329CC" w14:textId="77777777" w:rsidR="00A320E6" w:rsidRDefault="00A320E6" w:rsidP="00AE0286">
            <w:pPr>
              <w:jc w:val="left"/>
              <w:rPr>
                <w:rFonts w:ascii="宋体" w:hAnsi="宋体" w:cs="宋体"/>
                <w:kern w:val="0"/>
                <w:szCs w:val="21"/>
              </w:rPr>
            </w:pPr>
          </w:p>
        </w:tc>
      </w:tr>
      <w:tr w:rsidR="00A320E6" w14:paraId="0791B783" w14:textId="77777777" w:rsidTr="00621C83">
        <w:trPr>
          <w:trHeight w:val="312"/>
        </w:trPr>
        <w:tc>
          <w:tcPr>
            <w:tcW w:w="323" w:type="pct"/>
            <w:vMerge/>
            <w:shd w:val="clear" w:color="auto" w:fill="auto"/>
            <w:vAlign w:val="center"/>
          </w:tcPr>
          <w:p w14:paraId="10082DD6"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24D32351"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52FE9338" w14:textId="77777777" w:rsidR="00A320E6" w:rsidRDefault="00000000" w:rsidP="00AE0286">
            <w:pPr>
              <w:jc w:val="center"/>
              <w:rPr>
                <w:rFonts w:ascii="宋体" w:hAnsi="宋体" w:cs="宋体"/>
                <w:kern w:val="0"/>
                <w:szCs w:val="21"/>
              </w:rPr>
            </w:pPr>
            <w:r>
              <w:rPr>
                <w:rFonts w:ascii="宋体" w:hAnsi="宋体" w:cs="宋体" w:hint="eastAsia"/>
                <w:kern w:val="0"/>
                <w:szCs w:val="21"/>
              </w:rPr>
              <w:t>简易塑料薄膜温室</w:t>
            </w:r>
          </w:p>
        </w:tc>
        <w:tc>
          <w:tcPr>
            <w:tcW w:w="1363" w:type="pct"/>
            <w:shd w:val="clear" w:color="auto" w:fill="auto"/>
            <w:vAlign w:val="center"/>
          </w:tcPr>
          <w:p w14:paraId="0B62BF69" w14:textId="77777777" w:rsidR="00A320E6" w:rsidRDefault="00000000" w:rsidP="00AE0286">
            <w:pPr>
              <w:jc w:val="center"/>
              <w:rPr>
                <w:rFonts w:ascii="宋体" w:hAnsi="宋体" w:cs="宋体"/>
                <w:kern w:val="0"/>
                <w:szCs w:val="21"/>
              </w:rPr>
            </w:pPr>
            <w:r>
              <w:rPr>
                <w:rFonts w:ascii="宋体" w:hAnsi="宋体" w:cs="宋体" w:hint="eastAsia"/>
                <w:kern w:val="0"/>
                <w:szCs w:val="21"/>
              </w:rPr>
              <w:t>40-70元/平方米</w:t>
            </w:r>
          </w:p>
        </w:tc>
        <w:tc>
          <w:tcPr>
            <w:tcW w:w="1355" w:type="pct"/>
            <w:gridSpan w:val="2"/>
            <w:vMerge/>
            <w:shd w:val="clear" w:color="auto" w:fill="auto"/>
            <w:vAlign w:val="center"/>
          </w:tcPr>
          <w:p w14:paraId="6655E07B" w14:textId="77777777" w:rsidR="00A320E6" w:rsidRDefault="00A320E6" w:rsidP="00AE0286">
            <w:pPr>
              <w:jc w:val="left"/>
              <w:rPr>
                <w:rFonts w:ascii="宋体" w:hAnsi="宋体" w:cs="宋体"/>
                <w:kern w:val="0"/>
                <w:szCs w:val="21"/>
              </w:rPr>
            </w:pPr>
          </w:p>
        </w:tc>
      </w:tr>
      <w:tr w:rsidR="00A320E6" w14:paraId="4319CC80" w14:textId="77777777" w:rsidTr="00621C83">
        <w:trPr>
          <w:trHeight w:val="312"/>
        </w:trPr>
        <w:tc>
          <w:tcPr>
            <w:tcW w:w="323" w:type="pct"/>
            <w:vMerge/>
            <w:shd w:val="clear" w:color="auto" w:fill="auto"/>
            <w:vAlign w:val="center"/>
          </w:tcPr>
          <w:p w14:paraId="7C39D47C"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199863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9BEDED9" w14:textId="77777777" w:rsidR="00A320E6" w:rsidRDefault="00000000" w:rsidP="00AE0286">
            <w:pPr>
              <w:jc w:val="center"/>
              <w:rPr>
                <w:rFonts w:ascii="宋体" w:hAnsi="宋体" w:cs="宋体"/>
                <w:kern w:val="0"/>
                <w:szCs w:val="21"/>
              </w:rPr>
            </w:pPr>
            <w:r>
              <w:rPr>
                <w:rFonts w:ascii="宋体" w:hAnsi="宋体" w:cs="宋体" w:hint="eastAsia"/>
                <w:kern w:val="0"/>
                <w:szCs w:val="21"/>
              </w:rPr>
              <w:t>阳畦、拱棚</w:t>
            </w:r>
          </w:p>
        </w:tc>
        <w:tc>
          <w:tcPr>
            <w:tcW w:w="1363" w:type="pct"/>
            <w:shd w:val="clear" w:color="auto" w:fill="auto"/>
            <w:vAlign w:val="center"/>
          </w:tcPr>
          <w:p w14:paraId="7A77EFC3" w14:textId="77777777" w:rsidR="00A320E6" w:rsidRDefault="00000000" w:rsidP="00AE0286">
            <w:pPr>
              <w:jc w:val="center"/>
              <w:rPr>
                <w:rFonts w:ascii="宋体" w:hAnsi="宋体" w:cs="宋体"/>
                <w:kern w:val="0"/>
                <w:szCs w:val="21"/>
              </w:rPr>
            </w:pPr>
            <w:r>
              <w:rPr>
                <w:rFonts w:ascii="宋体" w:hAnsi="宋体" w:cs="宋体" w:hint="eastAsia"/>
                <w:kern w:val="0"/>
                <w:szCs w:val="21"/>
              </w:rPr>
              <w:t>10-20元/平方米</w:t>
            </w:r>
          </w:p>
        </w:tc>
        <w:tc>
          <w:tcPr>
            <w:tcW w:w="1355" w:type="pct"/>
            <w:gridSpan w:val="2"/>
            <w:vMerge/>
            <w:shd w:val="clear" w:color="auto" w:fill="auto"/>
            <w:vAlign w:val="center"/>
          </w:tcPr>
          <w:p w14:paraId="6636103C" w14:textId="77777777" w:rsidR="00A320E6" w:rsidRDefault="00A320E6" w:rsidP="00AE0286">
            <w:pPr>
              <w:jc w:val="left"/>
              <w:rPr>
                <w:rFonts w:ascii="宋体" w:hAnsi="宋体" w:cs="宋体"/>
                <w:kern w:val="0"/>
                <w:szCs w:val="21"/>
              </w:rPr>
            </w:pPr>
          </w:p>
        </w:tc>
      </w:tr>
      <w:tr w:rsidR="00A320E6" w14:paraId="746690F1" w14:textId="77777777" w:rsidTr="00621C83">
        <w:trPr>
          <w:trHeight w:val="312"/>
        </w:trPr>
        <w:tc>
          <w:tcPr>
            <w:tcW w:w="323" w:type="pct"/>
            <w:vMerge w:val="restart"/>
            <w:shd w:val="clear" w:color="auto" w:fill="auto"/>
            <w:vAlign w:val="center"/>
          </w:tcPr>
          <w:p w14:paraId="4FC72A42" w14:textId="77777777" w:rsidR="00A320E6" w:rsidRDefault="00000000" w:rsidP="00AE0286">
            <w:pPr>
              <w:jc w:val="center"/>
              <w:rPr>
                <w:rFonts w:ascii="宋体" w:hAnsi="宋体" w:cs="宋体"/>
                <w:kern w:val="0"/>
                <w:szCs w:val="21"/>
              </w:rPr>
            </w:pPr>
            <w:r>
              <w:rPr>
                <w:rFonts w:ascii="宋体" w:hAnsi="宋体" w:cs="宋体" w:hint="eastAsia"/>
                <w:kern w:val="0"/>
                <w:szCs w:val="21"/>
              </w:rPr>
              <w:t>6</w:t>
            </w:r>
          </w:p>
        </w:tc>
        <w:tc>
          <w:tcPr>
            <w:tcW w:w="490" w:type="pct"/>
            <w:gridSpan w:val="2"/>
            <w:vMerge w:val="restart"/>
            <w:shd w:val="clear" w:color="auto" w:fill="auto"/>
            <w:vAlign w:val="center"/>
          </w:tcPr>
          <w:p w14:paraId="26AD0510" w14:textId="77777777" w:rsidR="00A320E6" w:rsidRDefault="00000000" w:rsidP="00AE0286">
            <w:pPr>
              <w:jc w:val="center"/>
              <w:rPr>
                <w:rFonts w:ascii="宋体" w:hAnsi="宋体" w:cs="宋体"/>
                <w:kern w:val="0"/>
                <w:szCs w:val="21"/>
              </w:rPr>
            </w:pPr>
            <w:r>
              <w:rPr>
                <w:rFonts w:ascii="宋体" w:hAnsi="宋体" w:cs="宋体" w:hint="eastAsia"/>
                <w:kern w:val="0"/>
                <w:szCs w:val="21"/>
              </w:rPr>
              <w:t>台田</w:t>
            </w:r>
          </w:p>
          <w:p w14:paraId="56A7FD8B" w14:textId="77777777" w:rsidR="00A320E6" w:rsidRDefault="00000000" w:rsidP="00AE0286">
            <w:pPr>
              <w:jc w:val="center"/>
              <w:rPr>
                <w:rFonts w:ascii="宋体" w:hAnsi="宋体" w:cs="宋体"/>
                <w:kern w:val="0"/>
                <w:szCs w:val="21"/>
              </w:rPr>
            </w:pPr>
            <w:r>
              <w:rPr>
                <w:rFonts w:ascii="宋体" w:hAnsi="宋体" w:cs="宋体" w:hint="eastAsia"/>
                <w:kern w:val="0"/>
                <w:szCs w:val="21"/>
              </w:rPr>
              <w:t>石堰</w:t>
            </w:r>
          </w:p>
        </w:tc>
        <w:tc>
          <w:tcPr>
            <w:tcW w:w="1468" w:type="pct"/>
            <w:shd w:val="clear" w:color="auto" w:fill="auto"/>
            <w:vAlign w:val="center"/>
          </w:tcPr>
          <w:p w14:paraId="05B6A952" w14:textId="77777777" w:rsidR="00A320E6" w:rsidRDefault="00000000" w:rsidP="00AE0286">
            <w:pPr>
              <w:jc w:val="center"/>
              <w:rPr>
                <w:rFonts w:ascii="宋体" w:hAnsi="宋体" w:cs="宋体"/>
                <w:kern w:val="0"/>
                <w:szCs w:val="21"/>
              </w:rPr>
            </w:pPr>
            <w:r>
              <w:rPr>
                <w:rFonts w:ascii="宋体" w:hAnsi="宋体" w:cs="宋体" w:hint="eastAsia"/>
                <w:kern w:val="0"/>
                <w:szCs w:val="21"/>
              </w:rPr>
              <w:t>1米以上</w:t>
            </w:r>
          </w:p>
        </w:tc>
        <w:tc>
          <w:tcPr>
            <w:tcW w:w="1363" w:type="pct"/>
            <w:shd w:val="clear" w:color="auto" w:fill="auto"/>
            <w:vAlign w:val="center"/>
          </w:tcPr>
          <w:p w14:paraId="4B8A70E0" w14:textId="77777777" w:rsidR="00A320E6" w:rsidRDefault="00000000" w:rsidP="00AE0286">
            <w:pPr>
              <w:jc w:val="center"/>
              <w:rPr>
                <w:rFonts w:ascii="宋体" w:hAnsi="宋体" w:cs="宋体"/>
                <w:kern w:val="0"/>
                <w:szCs w:val="21"/>
              </w:rPr>
            </w:pPr>
            <w:r>
              <w:rPr>
                <w:rFonts w:ascii="宋体" w:hAnsi="宋体" w:cs="宋体" w:hint="eastAsia"/>
                <w:kern w:val="0"/>
                <w:szCs w:val="21"/>
              </w:rPr>
              <w:t>80-130元/米</w:t>
            </w:r>
          </w:p>
        </w:tc>
        <w:tc>
          <w:tcPr>
            <w:tcW w:w="1355" w:type="pct"/>
            <w:gridSpan w:val="2"/>
            <w:vMerge w:val="restart"/>
            <w:shd w:val="clear" w:color="auto" w:fill="auto"/>
            <w:vAlign w:val="center"/>
          </w:tcPr>
          <w:p w14:paraId="19192329" w14:textId="77777777" w:rsidR="00A320E6" w:rsidRDefault="00000000" w:rsidP="00AE0286">
            <w:pPr>
              <w:jc w:val="center"/>
              <w:rPr>
                <w:rFonts w:ascii="宋体" w:hAnsi="宋体" w:cs="宋体"/>
                <w:kern w:val="0"/>
                <w:szCs w:val="21"/>
              </w:rPr>
            </w:pPr>
            <w:r>
              <w:rPr>
                <w:rFonts w:ascii="宋体" w:hAnsi="宋体" w:cs="宋体" w:hint="eastAsia"/>
                <w:kern w:val="0"/>
                <w:szCs w:val="21"/>
              </w:rPr>
              <w:t>旧料归原主。</w:t>
            </w:r>
          </w:p>
        </w:tc>
      </w:tr>
      <w:tr w:rsidR="00A320E6" w14:paraId="2E03D323" w14:textId="77777777" w:rsidTr="00621C83">
        <w:trPr>
          <w:trHeight w:val="312"/>
        </w:trPr>
        <w:tc>
          <w:tcPr>
            <w:tcW w:w="323" w:type="pct"/>
            <w:vMerge/>
            <w:shd w:val="clear" w:color="auto" w:fill="auto"/>
            <w:vAlign w:val="center"/>
          </w:tcPr>
          <w:p w14:paraId="1DD35E78"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0DBF13E"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0C2B496" w14:textId="77777777" w:rsidR="00A320E6" w:rsidRDefault="00000000" w:rsidP="00AE0286">
            <w:pPr>
              <w:jc w:val="center"/>
              <w:rPr>
                <w:rFonts w:ascii="宋体" w:hAnsi="宋体" w:cs="宋体"/>
                <w:kern w:val="0"/>
                <w:szCs w:val="21"/>
              </w:rPr>
            </w:pPr>
            <w:r>
              <w:rPr>
                <w:rFonts w:ascii="宋体" w:hAnsi="宋体" w:cs="宋体" w:hint="eastAsia"/>
                <w:kern w:val="0"/>
                <w:szCs w:val="21"/>
              </w:rPr>
              <w:t>1米以下</w:t>
            </w:r>
          </w:p>
        </w:tc>
        <w:tc>
          <w:tcPr>
            <w:tcW w:w="1363" w:type="pct"/>
            <w:shd w:val="clear" w:color="auto" w:fill="auto"/>
            <w:vAlign w:val="center"/>
          </w:tcPr>
          <w:p w14:paraId="6896A8E5" w14:textId="77777777" w:rsidR="00A320E6" w:rsidRDefault="00000000" w:rsidP="00AE0286">
            <w:pPr>
              <w:jc w:val="center"/>
              <w:rPr>
                <w:rFonts w:ascii="宋体" w:hAnsi="宋体" w:cs="宋体"/>
                <w:kern w:val="0"/>
                <w:szCs w:val="21"/>
              </w:rPr>
            </w:pPr>
            <w:r>
              <w:rPr>
                <w:rFonts w:ascii="宋体" w:hAnsi="宋体" w:cs="宋体" w:hint="eastAsia"/>
                <w:kern w:val="0"/>
                <w:szCs w:val="21"/>
              </w:rPr>
              <w:t>50-90元/米</w:t>
            </w:r>
          </w:p>
        </w:tc>
        <w:tc>
          <w:tcPr>
            <w:tcW w:w="1355" w:type="pct"/>
            <w:gridSpan w:val="2"/>
            <w:vMerge/>
            <w:shd w:val="clear" w:color="auto" w:fill="auto"/>
            <w:vAlign w:val="center"/>
          </w:tcPr>
          <w:p w14:paraId="76DA4130" w14:textId="77777777" w:rsidR="00A320E6" w:rsidRDefault="00A320E6" w:rsidP="00AE0286">
            <w:pPr>
              <w:jc w:val="left"/>
              <w:rPr>
                <w:rFonts w:ascii="宋体" w:hAnsi="宋体" w:cs="宋体"/>
                <w:kern w:val="0"/>
                <w:szCs w:val="21"/>
              </w:rPr>
            </w:pPr>
          </w:p>
        </w:tc>
      </w:tr>
      <w:tr w:rsidR="00A320E6" w14:paraId="5CD80C32" w14:textId="77777777" w:rsidTr="00621C83">
        <w:trPr>
          <w:trHeight w:val="312"/>
        </w:trPr>
        <w:tc>
          <w:tcPr>
            <w:tcW w:w="323" w:type="pct"/>
            <w:vMerge w:val="restart"/>
            <w:shd w:val="clear" w:color="auto" w:fill="auto"/>
            <w:vAlign w:val="center"/>
          </w:tcPr>
          <w:p w14:paraId="63C7B390" w14:textId="77777777" w:rsidR="00A320E6" w:rsidRDefault="00000000" w:rsidP="00AE0286">
            <w:pPr>
              <w:jc w:val="center"/>
              <w:rPr>
                <w:rFonts w:ascii="宋体" w:hAnsi="宋体" w:cs="宋体"/>
                <w:kern w:val="0"/>
                <w:szCs w:val="21"/>
              </w:rPr>
            </w:pPr>
            <w:r>
              <w:rPr>
                <w:rFonts w:ascii="宋体" w:hAnsi="宋体" w:cs="宋体" w:hint="eastAsia"/>
                <w:kern w:val="0"/>
                <w:szCs w:val="21"/>
              </w:rPr>
              <w:t>7</w:t>
            </w:r>
          </w:p>
        </w:tc>
        <w:tc>
          <w:tcPr>
            <w:tcW w:w="490" w:type="pct"/>
            <w:gridSpan w:val="2"/>
            <w:vMerge w:val="restart"/>
            <w:shd w:val="clear" w:color="auto" w:fill="auto"/>
            <w:vAlign w:val="center"/>
          </w:tcPr>
          <w:p w14:paraId="7F4090F2" w14:textId="77777777" w:rsidR="00A320E6" w:rsidRDefault="00000000" w:rsidP="00AE0286">
            <w:pPr>
              <w:jc w:val="center"/>
              <w:rPr>
                <w:rFonts w:ascii="宋体" w:hAnsi="宋体" w:cs="宋体"/>
                <w:kern w:val="0"/>
                <w:szCs w:val="21"/>
              </w:rPr>
            </w:pPr>
            <w:r>
              <w:rPr>
                <w:rFonts w:ascii="宋体" w:hAnsi="宋体" w:cs="宋体" w:hint="eastAsia"/>
                <w:kern w:val="0"/>
                <w:szCs w:val="21"/>
              </w:rPr>
              <w:t>小桥</w:t>
            </w:r>
          </w:p>
        </w:tc>
        <w:tc>
          <w:tcPr>
            <w:tcW w:w="1468" w:type="pct"/>
            <w:shd w:val="clear" w:color="auto" w:fill="auto"/>
            <w:vAlign w:val="center"/>
          </w:tcPr>
          <w:p w14:paraId="6B059ADC" w14:textId="77777777" w:rsidR="00A320E6" w:rsidRDefault="00000000" w:rsidP="00AE0286">
            <w:pPr>
              <w:jc w:val="center"/>
              <w:rPr>
                <w:rFonts w:ascii="宋体" w:hAnsi="宋体" w:cs="宋体"/>
                <w:kern w:val="0"/>
                <w:szCs w:val="21"/>
              </w:rPr>
            </w:pPr>
            <w:r>
              <w:rPr>
                <w:rFonts w:ascii="宋体" w:hAnsi="宋体" w:cs="宋体" w:hint="eastAsia"/>
                <w:kern w:val="0"/>
                <w:szCs w:val="21"/>
              </w:rPr>
              <w:t>钢筋混凝土矩形板桥</w:t>
            </w:r>
          </w:p>
        </w:tc>
        <w:tc>
          <w:tcPr>
            <w:tcW w:w="1363" w:type="pct"/>
            <w:shd w:val="clear" w:color="auto" w:fill="auto"/>
            <w:vAlign w:val="center"/>
          </w:tcPr>
          <w:p w14:paraId="5112C901" w14:textId="77777777" w:rsidR="00A320E6" w:rsidRDefault="00000000" w:rsidP="00AE0286">
            <w:pPr>
              <w:jc w:val="center"/>
              <w:rPr>
                <w:rFonts w:ascii="宋体" w:hAnsi="宋体" w:cs="宋体"/>
                <w:kern w:val="0"/>
                <w:szCs w:val="21"/>
              </w:rPr>
            </w:pPr>
            <w:r>
              <w:rPr>
                <w:rFonts w:ascii="宋体" w:hAnsi="宋体" w:cs="宋体" w:hint="eastAsia"/>
                <w:kern w:val="0"/>
                <w:szCs w:val="21"/>
              </w:rPr>
              <w:t>1600-2500元/平方米</w:t>
            </w:r>
          </w:p>
        </w:tc>
        <w:tc>
          <w:tcPr>
            <w:tcW w:w="1355" w:type="pct"/>
            <w:gridSpan w:val="2"/>
            <w:vMerge w:val="restart"/>
            <w:shd w:val="clear" w:color="auto" w:fill="auto"/>
            <w:vAlign w:val="center"/>
          </w:tcPr>
          <w:p w14:paraId="58B61888" w14:textId="77777777" w:rsidR="00A320E6" w:rsidRDefault="00000000" w:rsidP="00AE0286">
            <w:pPr>
              <w:jc w:val="center"/>
              <w:rPr>
                <w:rFonts w:ascii="宋体" w:hAnsi="宋体" w:cs="宋体"/>
                <w:kern w:val="0"/>
                <w:szCs w:val="21"/>
              </w:rPr>
            </w:pPr>
            <w:r>
              <w:rPr>
                <w:rFonts w:ascii="宋体" w:hAnsi="宋体" w:cs="宋体" w:hint="eastAsia"/>
                <w:kern w:val="0"/>
                <w:szCs w:val="21"/>
              </w:rPr>
              <w:t>按桥面面积计算，旧料归原主。</w:t>
            </w:r>
          </w:p>
        </w:tc>
      </w:tr>
      <w:tr w:rsidR="00A320E6" w14:paraId="6045ECD5" w14:textId="77777777" w:rsidTr="00621C83">
        <w:trPr>
          <w:trHeight w:val="312"/>
        </w:trPr>
        <w:tc>
          <w:tcPr>
            <w:tcW w:w="323" w:type="pct"/>
            <w:vMerge/>
            <w:shd w:val="clear" w:color="auto" w:fill="auto"/>
            <w:vAlign w:val="center"/>
          </w:tcPr>
          <w:p w14:paraId="6758BE7E"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290C9EE"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179F875B" w14:textId="77777777" w:rsidR="00A320E6" w:rsidRDefault="00000000" w:rsidP="00AE0286">
            <w:pPr>
              <w:jc w:val="center"/>
              <w:rPr>
                <w:rFonts w:ascii="宋体" w:hAnsi="宋体" w:cs="宋体"/>
                <w:kern w:val="0"/>
                <w:szCs w:val="21"/>
              </w:rPr>
            </w:pPr>
            <w:r>
              <w:rPr>
                <w:rFonts w:ascii="宋体" w:hAnsi="宋体" w:cs="宋体" w:hint="eastAsia"/>
                <w:kern w:val="0"/>
                <w:szCs w:val="21"/>
              </w:rPr>
              <w:t>平坦石拱桥</w:t>
            </w:r>
          </w:p>
        </w:tc>
        <w:tc>
          <w:tcPr>
            <w:tcW w:w="1363" w:type="pct"/>
            <w:shd w:val="clear" w:color="auto" w:fill="auto"/>
            <w:vAlign w:val="center"/>
          </w:tcPr>
          <w:p w14:paraId="5E186401" w14:textId="77777777" w:rsidR="00A320E6" w:rsidRDefault="00000000" w:rsidP="00AE0286">
            <w:pPr>
              <w:jc w:val="center"/>
              <w:rPr>
                <w:rFonts w:ascii="宋体" w:hAnsi="宋体" w:cs="宋体"/>
                <w:kern w:val="0"/>
                <w:szCs w:val="21"/>
              </w:rPr>
            </w:pPr>
            <w:r>
              <w:rPr>
                <w:rFonts w:ascii="宋体" w:hAnsi="宋体" w:cs="宋体" w:hint="eastAsia"/>
                <w:kern w:val="0"/>
                <w:szCs w:val="21"/>
              </w:rPr>
              <w:t>1500-2200元/平方米</w:t>
            </w:r>
          </w:p>
        </w:tc>
        <w:tc>
          <w:tcPr>
            <w:tcW w:w="1355" w:type="pct"/>
            <w:gridSpan w:val="2"/>
            <w:vMerge/>
            <w:shd w:val="clear" w:color="auto" w:fill="auto"/>
            <w:vAlign w:val="center"/>
          </w:tcPr>
          <w:p w14:paraId="68C1722C" w14:textId="77777777" w:rsidR="00A320E6" w:rsidRDefault="00A320E6" w:rsidP="00AE0286">
            <w:pPr>
              <w:jc w:val="left"/>
              <w:rPr>
                <w:rFonts w:ascii="宋体" w:hAnsi="宋体" w:cs="宋体"/>
                <w:kern w:val="0"/>
                <w:szCs w:val="21"/>
              </w:rPr>
            </w:pPr>
          </w:p>
        </w:tc>
      </w:tr>
      <w:tr w:rsidR="00A320E6" w14:paraId="514652E9" w14:textId="77777777" w:rsidTr="00621C83">
        <w:trPr>
          <w:trHeight w:val="312"/>
        </w:trPr>
        <w:tc>
          <w:tcPr>
            <w:tcW w:w="323" w:type="pct"/>
            <w:vMerge/>
            <w:shd w:val="clear" w:color="auto" w:fill="auto"/>
            <w:vAlign w:val="center"/>
          </w:tcPr>
          <w:p w14:paraId="759B81F7"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69D5D1B8"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4ADB7CC0" w14:textId="77777777" w:rsidR="00A320E6" w:rsidRDefault="00000000" w:rsidP="00AE0286">
            <w:pPr>
              <w:jc w:val="center"/>
              <w:rPr>
                <w:rFonts w:ascii="宋体" w:hAnsi="宋体" w:cs="宋体"/>
                <w:kern w:val="0"/>
                <w:szCs w:val="21"/>
              </w:rPr>
            </w:pPr>
            <w:r>
              <w:rPr>
                <w:rFonts w:ascii="宋体" w:hAnsi="宋体" w:cs="宋体" w:hint="eastAsia"/>
                <w:kern w:val="0"/>
                <w:szCs w:val="21"/>
              </w:rPr>
              <w:t>石拱桥</w:t>
            </w:r>
          </w:p>
        </w:tc>
        <w:tc>
          <w:tcPr>
            <w:tcW w:w="1363" w:type="pct"/>
            <w:shd w:val="clear" w:color="auto" w:fill="auto"/>
            <w:vAlign w:val="center"/>
          </w:tcPr>
          <w:p w14:paraId="614DA3B8" w14:textId="77777777" w:rsidR="00A320E6" w:rsidRDefault="00000000" w:rsidP="00AE0286">
            <w:pPr>
              <w:jc w:val="center"/>
              <w:rPr>
                <w:rFonts w:ascii="宋体" w:hAnsi="宋体" w:cs="宋体"/>
                <w:kern w:val="0"/>
                <w:szCs w:val="21"/>
              </w:rPr>
            </w:pPr>
            <w:r>
              <w:rPr>
                <w:rFonts w:ascii="宋体" w:hAnsi="宋体" w:cs="宋体" w:hint="eastAsia"/>
                <w:kern w:val="0"/>
                <w:szCs w:val="21"/>
              </w:rPr>
              <w:t>2000-3000元/平方米</w:t>
            </w:r>
          </w:p>
        </w:tc>
        <w:tc>
          <w:tcPr>
            <w:tcW w:w="1355" w:type="pct"/>
            <w:gridSpan w:val="2"/>
            <w:vMerge/>
            <w:shd w:val="clear" w:color="auto" w:fill="auto"/>
            <w:vAlign w:val="center"/>
          </w:tcPr>
          <w:p w14:paraId="7A8EBF1A" w14:textId="77777777" w:rsidR="00A320E6" w:rsidRDefault="00A320E6" w:rsidP="00AE0286">
            <w:pPr>
              <w:jc w:val="left"/>
              <w:rPr>
                <w:rFonts w:ascii="宋体" w:hAnsi="宋体" w:cs="宋体"/>
                <w:kern w:val="0"/>
                <w:szCs w:val="21"/>
              </w:rPr>
            </w:pPr>
          </w:p>
        </w:tc>
      </w:tr>
      <w:tr w:rsidR="00A320E6" w14:paraId="4CCF37C4" w14:textId="77777777" w:rsidTr="00621C83">
        <w:trPr>
          <w:trHeight w:val="312"/>
        </w:trPr>
        <w:tc>
          <w:tcPr>
            <w:tcW w:w="323" w:type="pct"/>
            <w:vMerge w:val="restart"/>
            <w:shd w:val="clear" w:color="auto" w:fill="auto"/>
            <w:vAlign w:val="center"/>
          </w:tcPr>
          <w:p w14:paraId="11E7A843" w14:textId="77777777" w:rsidR="00A320E6" w:rsidRDefault="00000000" w:rsidP="00AE0286">
            <w:pPr>
              <w:jc w:val="center"/>
              <w:rPr>
                <w:rFonts w:ascii="宋体" w:hAnsi="宋体" w:cs="宋体"/>
                <w:kern w:val="0"/>
                <w:szCs w:val="21"/>
              </w:rPr>
            </w:pPr>
            <w:r>
              <w:rPr>
                <w:rFonts w:ascii="宋体" w:hAnsi="宋体" w:cs="宋体" w:hint="eastAsia"/>
                <w:kern w:val="0"/>
                <w:szCs w:val="21"/>
              </w:rPr>
              <w:t>8</w:t>
            </w:r>
          </w:p>
        </w:tc>
        <w:tc>
          <w:tcPr>
            <w:tcW w:w="490" w:type="pct"/>
            <w:gridSpan w:val="2"/>
            <w:vMerge w:val="restart"/>
            <w:shd w:val="clear" w:color="auto" w:fill="auto"/>
            <w:vAlign w:val="center"/>
          </w:tcPr>
          <w:p w14:paraId="7F2ED03A" w14:textId="77777777" w:rsidR="00A320E6" w:rsidRDefault="00000000" w:rsidP="00AE0286">
            <w:pPr>
              <w:jc w:val="center"/>
              <w:rPr>
                <w:rFonts w:ascii="宋体" w:hAnsi="宋体" w:cs="宋体"/>
                <w:kern w:val="0"/>
                <w:szCs w:val="21"/>
              </w:rPr>
            </w:pPr>
            <w:r>
              <w:rPr>
                <w:rFonts w:ascii="宋体" w:hAnsi="宋体" w:cs="宋体" w:hint="eastAsia"/>
                <w:kern w:val="0"/>
                <w:szCs w:val="21"/>
              </w:rPr>
              <w:t>涵洞</w:t>
            </w:r>
          </w:p>
        </w:tc>
        <w:tc>
          <w:tcPr>
            <w:tcW w:w="1468" w:type="pct"/>
            <w:shd w:val="clear" w:color="auto" w:fill="auto"/>
            <w:vAlign w:val="center"/>
          </w:tcPr>
          <w:p w14:paraId="41F7429F" w14:textId="77777777" w:rsidR="00A320E6" w:rsidRDefault="00000000" w:rsidP="00AE0286">
            <w:pPr>
              <w:jc w:val="center"/>
              <w:rPr>
                <w:rFonts w:ascii="宋体" w:hAnsi="宋体" w:cs="宋体"/>
                <w:kern w:val="0"/>
                <w:szCs w:val="21"/>
              </w:rPr>
            </w:pPr>
            <w:r>
              <w:rPr>
                <w:rFonts w:ascii="宋体" w:hAnsi="宋体" w:cs="宋体" w:hint="eastAsia"/>
                <w:kern w:val="0"/>
                <w:szCs w:val="21"/>
              </w:rPr>
              <w:t>石盖板涵</w:t>
            </w:r>
          </w:p>
          <w:p w14:paraId="45C3A9D9" w14:textId="77777777" w:rsidR="00A320E6" w:rsidRDefault="00000000" w:rsidP="00AE0286">
            <w:pPr>
              <w:jc w:val="center"/>
              <w:rPr>
                <w:rFonts w:ascii="宋体" w:hAnsi="宋体" w:cs="宋体"/>
                <w:kern w:val="0"/>
                <w:szCs w:val="21"/>
              </w:rPr>
            </w:pPr>
            <w:r>
              <w:rPr>
                <w:rFonts w:ascii="宋体" w:hAnsi="宋体" w:cs="宋体" w:hint="eastAsia"/>
                <w:kern w:val="0"/>
                <w:szCs w:val="21"/>
              </w:rPr>
              <w:t>跨径1-2米</w:t>
            </w:r>
          </w:p>
        </w:tc>
        <w:tc>
          <w:tcPr>
            <w:tcW w:w="1363" w:type="pct"/>
            <w:shd w:val="clear" w:color="auto" w:fill="auto"/>
            <w:vAlign w:val="center"/>
          </w:tcPr>
          <w:p w14:paraId="7E57CCBC" w14:textId="77777777" w:rsidR="00A320E6" w:rsidRDefault="00000000" w:rsidP="00AE0286">
            <w:pPr>
              <w:jc w:val="center"/>
              <w:rPr>
                <w:rFonts w:ascii="宋体" w:hAnsi="宋体" w:cs="宋体"/>
                <w:kern w:val="0"/>
                <w:szCs w:val="21"/>
              </w:rPr>
            </w:pPr>
            <w:r>
              <w:rPr>
                <w:rFonts w:ascii="宋体" w:hAnsi="宋体" w:cs="宋体" w:hint="eastAsia"/>
                <w:kern w:val="0"/>
                <w:szCs w:val="21"/>
              </w:rPr>
              <w:t>800-1200元/米</w:t>
            </w:r>
          </w:p>
        </w:tc>
        <w:tc>
          <w:tcPr>
            <w:tcW w:w="1355" w:type="pct"/>
            <w:gridSpan w:val="2"/>
            <w:vMerge w:val="restart"/>
            <w:shd w:val="clear" w:color="auto" w:fill="auto"/>
            <w:vAlign w:val="center"/>
          </w:tcPr>
          <w:p w14:paraId="09563F83" w14:textId="77777777" w:rsidR="00A320E6" w:rsidRDefault="00000000" w:rsidP="00AE0286">
            <w:pPr>
              <w:jc w:val="center"/>
              <w:rPr>
                <w:rFonts w:ascii="宋体" w:hAnsi="宋体" w:cs="宋体"/>
                <w:kern w:val="0"/>
                <w:szCs w:val="21"/>
              </w:rPr>
            </w:pPr>
            <w:r>
              <w:rPr>
                <w:rFonts w:ascii="宋体" w:hAnsi="宋体" w:cs="宋体" w:hint="eastAsia"/>
                <w:kern w:val="0"/>
                <w:szCs w:val="21"/>
              </w:rPr>
              <w:t>旧料归原主。</w:t>
            </w:r>
          </w:p>
        </w:tc>
      </w:tr>
      <w:tr w:rsidR="00A320E6" w14:paraId="2E7E522F" w14:textId="77777777" w:rsidTr="00621C83">
        <w:trPr>
          <w:trHeight w:val="312"/>
        </w:trPr>
        <w:tc>
          <w:tcPr>
            <w:tcW w:w="323" w:type="pct"/>
            <w:vMerge/>
            <w:shd w:val="clear" w:color="auto" w:fill="auto"/>
            <w:vAlign w:val="center"/>
          </w:tcPr>
          <w:p w14:paraId="449B365D"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118177A9"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ED85B1F" w14:textId="77777777" w:rsidR="00A320E6" w:rsidRDefault="00000000" w:rsidP="00AE0286">
            <w:pPr>
              <w:jc w:val="center"/>
              <w:rPr>
                <w:rFonts w:ascii="宋体" w:hAnsi="宋体" w:cs="宋体"/>
                <w:kern w:val="0"/>
                <w:szCs w:val="21"/>
              </w:rPr>
            </w:pPr>
            <w:r>
              <w:rPr>
                <w:rFonts w:ascii="宋体" w:hAnsi="宋体" w:cs="宋体" w:hint="eastAsia"/>
                <w:kern w:val="0"/>
                <w:szCs w:val="21"/>
              </w:rPr>
              <w:t>石拱涵</w:t>
            </w:r>
          </w:p>
          <w:p w14:paraId="3D2C8E1A" w14:textId="77777777" w:rsidR="00A320E6" w:rsidRDefault="00000000" w:rsidP="00AE0286">
            <w:pPr>
              <w:jc w:val="center"/>
              <w:rPr>
                <w:rFonts w:ascii="宋体" w:hAnsi="宋体" w:cs="宋体"/>
                <w:kern w:val="0"/>
                <w:szCs w:val="21"/>
              </w:rPr>
            </w:pPr>
            <w:r>
              <w:rPr>
                <w:rFonts w:ascii="宋体" w:hAnsi="宋体" w:cs="宋体" w:hint="eastAsia"/>
                <w:kern w:val="0"/>
                <w:szCs w:val="21"/>
              </w:rPr>
              <w:t>跨径1-4米</w:t>
            </w:r>
          </w:p>
        </w:tc>
        <w:tc>
          <w:tcPr>
            <w:tcW w:w="1363" w:type="pct"/>
            <w:shd w:val="clear" w:color="auto" w:fill="auto"/>
            <w:vAlign w:val="center"/>
          </w:tcPr>
          <w:p w14:paraId="71544D1D" w14:textId="77777777" w:rsidR="00A320E6" w:rsidRDefault="00000000" w:rsidP="00AE0286">
            <w:pPr>
              <w:jc w:val="center"/>
              <w:rPr>
                <w:rFonts w:ascii="宋体" w:hAnsi="宋体" w:cs="宋体"/>
                <w:kern w:val="0"/>
                <w:szCs w:val="21"/>
              </w:rPr>
            </w:pPr>
            <w:r>
              <w:rPr>
                <w:rFonts w:ascii="宋体" w:hAnsi="宋体" w:cs="宋体" w:hint="eastAsia"/>
                <w:kern w:val="0"/>
                <w:szCs w:val="21"/>
              </w:rPr>
              <w:t>2000-3000元/米</w:t>
            </w:r>
          </w:p>
        </w:tc>
        <w:tc>
          <w:tcPr>
            <w:tcW w:w="1355" w:type="pct"/>
            <w:gridSpan w:val="2"/>
            <w:vMerge/>
            <w:shd w:val="clear" w:color="auto" w:fill="auto"/>
            <w:vAlign w:val="center"/>
          </w:tcPr>
          <w:p w14:paraId="4A1F514A" w14:textId="77777777" w:rsidR="00A320E6" w:rsidRDefault="00A320E6" w:rsidP="00AE0286">
            <w:pPr>
              <w:jc w:val="left"/>
              <w:rPr>
                <w:rFonts w:ascii="宋体" w:hAnsi="宋体" w:cs="宋体"/>
                <w:kern w:val="0"/>
                <w:szCs w:val="21"/>
              </w:rPr>
            </w:pPr>
          </w:p>
        </w:tc>
      </w:tr>
      <w:tr w:rsidR="00A320E6" w14:paraId="7F4BEE6C" w14:textId="77777777" w:rsidTr="00621C83">
        <w:trPr>
          <w:trHeight w:val="312"/>
        </w:trPr>
        <w:tc>
          <w:tcPr>
            <w:tcW w:w="323" w:type="pct"/>
            <w:vMerge/>
            <w:shd w:val="clear" w:color="auto" w:fill="auto"/>
            <w:vAlign w:val="center"/>
          </w:tcPr>
          <w:p w14:paraId="3F23A7CC"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5E904F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677058FC" w14:textId="77777777" w:rsidR="00A320E6" w:rsidRDefault="00000000" w:rsidP="00AE0286">
            <w:pPr>
              <w:jc w:val="center"/>
              <w:rPr>
                <w:rFonts w:ascii="宋体" w:hAnsi="宋体" w:cs="宋体"/>
                <w:kern w:val="0"/>
                <w:szCs w:val="21"/>
              </w:rPr>
            </w:pPr>
            <w:r>
              <w:rPr>
                <w:rFonts w:ascii="宋体" w:hAnsi="宋体" w:cs="宋体" w:hint="eastAsia"/>
                <w:kern w:val="0"/>
                <w:szCs w:val="21"/>
              </w:rPr>
              <w:t>钢筋混凝土圆管涵</w:t>
            </w:r>
          </w:p>
          <w:p w14:paraId="5C12B2E8" w14:textId="77777777" w:rsidR="00A320E6" w:rsidRDefault="00000000" w:rsidP="00AE0286">
            <w:pPr>
              <w:jc w:val="center"/>
              <w:rPr>
                <w:rFonts w:ascii="宋体" w:hAnsi="宋体" w:cs="宋体"/>
                <w:kern w:val="0"/>
                <w:szCs w:val="21"/>
              </w:rPr>
            </w:pPr>
            <w:r>
              <w:rPr>
                <w:rFonts w:ascii="宋体" w:hAnsi="宋体" w:cs="宋体" w:hint="eastAsia"/>
                <w:kern w:val="0"/>
                <w:szCs w:val="21"/>
              </w:rPr>
              <w:t>跨径1-2米</w:t>
            </w:r>
          </w:p>
        </w:tc>
        <w:tc>
          <w:tcPr>
            <w:tcW w:w="1363" w:type="pct"/>
            <w:shd w:val="clear" w:color="auto" w:fill="auto"/>
            <w:vAlign w:val="center"/>
          </w:tcPr>
          <w:p w14:paraId="546655AE" w14:textId="77777777" w:rsidR="00A320E6" w:rsidRDefault="00000000" w:rsidP="00AE0286">
            <w:pPr>
              <w:jc w:val="center"/>
              <w:rPr>
                <w:rFonts w:ascii="宋体" w:hAnsi="宋体" w:cs="宋体"/>
                <w:kern w:val="0"/>
                <w:szCs w:val="21"/>
              </w:rPr>
            </w:pPr>
            <w:r>
              <w:rPr>
                <w:rFonts w:ascii="宋体" w:hAnsi="宋体" w:cs="宋体" w:hint="eastAsia"/>
                <w:kern w:val="0"/>
                <w:szCs w:val="21"/>
              </w:rPr>
              <w:t>1600-2200元/米</w:t>
            </w:r>
          </w:p>
        </w:tc>
        <w:tc>
          <w:tcPr>
            <w:tcW w:w="1355" w:type="pct"/>
            <w:gridSpan w:val="2"/>
            <w:vMerge/>
            <w:shd w:val="clear" w:color="auto" w:fill="auto"/>
            <w:vAlign w:val="center"/>
          </w:tcPr>
          <w:p w14:paraId="74F1E786" w14:textId="77777777" w:rsidR="00A320E6" w:rsidRDefault="00A320E6" w:rsidP="00AE0286">
            <w:pPr>
              <w:jc w:val="left"/>
              <w:rPr>
                <w:rFonts w:ascii="宋体" w:hAnsi="宋体" w:cs="宋体"/>
                <w:kern w:val="0"/>
                <w:szCs w:val="21"/>
              </w:rPr>
            </w:pPr>
          </w:p>
        </w:tc>
      </w:tr>
      <w:tr w:rsidR="00A320E6" w14:paraId="4F6E4927" w14:textId="77777777" w:rsidTr="00621C83">
        <w:trPr>
          <w:trHeight w:val="312"/>
        </w:trPr>
        <w:tc>
          <w:tcPr>
            <w:tcW w:w="323" w:type="pct"/>
            <w:vMerge/>
            <w:shd w:val="clear" w:color="auto" w:fill="auto"/>
            <w:vAlign w:val="center"/>
          </w:tcPr>
          <w:p w14:paraId="1F06910F"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9F7AE9C"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DF27F6D" w14:textId="77777777" w:rsidR="00A320E6" w:rsidRDefault="00000000" w:rsidP="00AE0286">
            <w:pPr>
              <w:jc w:val="center"/>
              <w:rPr>
                <w:rFonts w:ascii="宋体" w:hAnsi="宋体" w:cs="宋体"/>
                <w:kern w:val="0"/>
                <w:szCs w:val="21"/>
              </w:rPr>
            </w:pPr>
            <w:r>
              <w:rPr>
                <w:rFonts w:ascii="宋体" w:hAnsi="宋体" w:cs="宋体" w:hint="eastAsia"/>
                <w:kern w:val="0"/>
                <w:szCs w:val="21"/>
              </w:rPr>
              <w:t>钢筋混凝土盖板涵</w:t>
            </w:r>
          </w:p>
          <w:p w14:paraId="2B0F2987" w14:textId="77777777" w:rsidR="00A320E6" w:rsidRDefault="00000000" w:rsidP="00AE0286">
            <w:pPr>
              <w:jc w:val="center"/>
              <w:rPr>
                <w:rFonts w:ascii="宋体" w:hAnsi="宋体" w:cs="宋体"/>
                <w:kern w:val="0"/>
                <w:szCs w:val="21"/>
              </w:rPr>
            </w:pPr>
            <w:r>
              <w:rPr>
                <w:rFonts w:ascii="宋体" w:hAnsi="宋体" w:cs="宋体" w:hint="eastAsia"/>
                <w:kern w:val="0"/>
                <w:szCs w:val="21"/>
              </w:rPr>
              <w:t>跨径1.5-4米</w:t>
            </w:r>
          </w:p>
        </w:tc>
        <w:tc>
          <w:tcPr>
            <w:tcW w:w="1363" w:type="pct"/>
            <w:shd w:val="clear" w:color="auto" w:fill="auto"/>
            <w:vAlign w:val="center"/>
          </w:tcPr>
          <w:p w14:paraId="7FB8EAF8" w14:textId="77777777" w:rsidR="00A320E6" w:rsidRDefault="00000000" w:rsidP="00AE0286">
            <w:pPr>
              <w:jc w:val="center"/>
              <w:rPr>
                <w:rFonts w:ascii="宋体" w:hAnsi="宋体" w:cs="宋体"/>
                <w:kern w:val="0"/>
                <w:szCs w:val="21"/>
              </w:rPr>
            </w:pPr>
            <w:r>
              <w:rPr>
                <w:rFonts w:ascii="宋体" w:hAnsi="宋体" w:cs="宋体" w:hint="eastAsia"/>
                <w:kern w:val="0"/>
                <w:szCs w:val="21"/>
              </w:rPr>
              <w:t>2000-3500元/米</w:t>
            </w:r>
          </w:p>
        </w:tc>
        <w:tc>
          <w:tcPr>
            <w:tcW w:w="1355" w:type="pct"/>
            <w:gridSpan w:val="2"/>
            <w:vMerge/>
            <w:shd w:val="clear" w:color="auto" w:fill="auto"/>
            <w:vAlign w:val="center"/>
          </w:tcPr>
          <w:p w14:paraId="741B1E82" w14:textId="77777777" w:rsidR="00A320E6" w:rsidRDefault="00A320E6" w:rsidP="00AE0286">
            <w:pPr>
              <w:jc w:val="left"/>
              <w:rPr>
                <w:rFonts w:ascii="宋体" w:hAnsi="宋体" w:cs="宋体"/>
                <w:kern w:val="0"/>
                <w:szCs w:val="21"/>
              </w:rPr>
            </w:pPr>
          </w:p>
        </w:tc>
      </w:tr>
      <w:tr w:rsidR="00A320E6" w14:paraId="535366BD" w14:textId="77777777" w:rsidTr="00621C83">
        <w:trPr>
          <w:trHeight w:val="312"/>
        </w:trPr>
        <w:tc>
          <w:tcPr>
            <w:tcW w:w="323" w:type="pct"/>
            <w:vMerge w:val="restart"/>
            <w:shd w:val="clear" w:color="auto" w:fill="auto"/>
            <w:vAlign w:val="center"/>
          </w:tcPr>
          <w:p w14:paraId="54F9349C" w14:textId="77777777" w:rsidR="00A320E6" w:rsidRDefault="00000000" w:rsidP="00AE0286">
            <w:pPr>
              <w:jc w:val="center"/>
              <w:rPr>
                <w:rFonts w:ascii="宋体" w:hAnsi="宋体" w:cs="宋体"/>
                <w:kern w:val="0"/>
                <w:szCs w:val="21"/>
              </w:rPr>
            </w:pPr>
            <w:r>
              <w:rPr>
                <w:rFonts w:ascii="宋体" w:hAnsi="宋体" w:cs="宋体" w:hint="eastAsia"/>
                <w:kern w:val="0"/>
                <w:szCs w:val="21"/>
              </w:rPr>
              <w:t>9</w:t>
            </w:r>
          </w:p>
        </w:tc>
        <w:tc>
          <w:tcPr>
            <w:tcW w:w="490" w:type="pct"/>
            <w:gridSpan w:val="2"/>
            <w:vMerge w:val="restart"/>
            <w:shd w:val="clear" w:color="auto" w:fill="auto"/>
            <w:vAlign w:val="center"/>
          </w:tcPr>
          <w:p w14:paraId="77641D89" w14:textId="77777777" w:rsidR="00A320E6" w:rsidRDefault="00000000" w:rsidP="00AE0286">
            <w:pPr>
              <w:jc w:val="center"/>
              <w:rPr>
                <w:rFonts w:ascii="宋体" w:hAnsi="宋体" w:cs="宋体"/>
                <w:kern w:val="0"/>
                <w:szCs w:val="21"/>
              </w:rPr>
            </w:pPr>
            <w:r>
              <w:rPr>
                <w:rFonts w:ascii="宋体" w:hAnsi="宋体" w:cs="宋体" w:hint="eastAsia"/>
                <w:kern w:val="0"/>
                <w:szCs w:val="21"/>
              </w:rPr>
              <w:t>水井</w:t>
            </w:r>
          </w:p>
        </w:tc>
        <w:tc>
          <w:tcPr>
            <w:tcW w:w="1468" w:type="pct"/>
            <w:shd w:val="clear" w:color="auto" w:fill="auto"/>
            <w:vAlign w:val="center"/>
          </w:tcPr>
          <w:p w14:paraId="56CDFAF1" w14:textId="77777777" w:rsidR="00A320E6" w:rsidRDefault="00000000" w:rsidP="00AE0286">
            <w:pPr>
              <w:jc w:val="center"/>
              <w:rPr>
                <w:rFonts w:ascii="宋体" w:hAnsi="宋体" w:cs="宋体"/>
                <w:kern w:val="0"/>
                <w:szCs w:val="21"/>
              </w:rPr>
            </w:pPr>
            <w:r>
              <w:rPr>
                <w:rFonts w:ascii="宋体" w:hAnsi="宋体" w:cs="宋体" w:hint="eastAsia"/>
                <w:kern w:val="0"/>
                <w:szCs w:val="21"/>
              </w:rPr>
              <w:t>手压井</w:t>
            </w:r>
          </w:p>
        </w:tc>
        <w:tc>
          <w:tcPr>
            <w:tcW w:w="1363" w:type="pct"/>
            <w:shd w:val="clear" w:color="auto" w:fill="auto"/>
            <w:vAlign w:val="center"/>
          </w:tcPr>
          <w:p w14:paraId="3720D83A" w14:textId="77777777" w:rsidR="00A320E6" w:rsidRDefault="00000000" w:rsidP="00AE0286">
            <w:pPr>
              <w:jc w:val="center"/>
              <w:rPr>
                <w:rFonts w:ascii="宋体" w:hAnsi="宋体" w:cs="宋体"/>
                <w:kern w:val="0"/>
                <w:szCs w:val="21"/>
              </w:rPr>
            </w:pPr>
            <w:r>
              <w:rPr>
                <w:rFonts w:ascii="宋体" w:hAnsi="宋体" w:cs="宋体" w:hint="eastAsia"/>
                <w:kern w:val="0"/>
                <w:szCs w:val="21"/>
              </w:rPr>
              <w:t>300-500元/眼</w:t>
            </w:r>
          </w:p>
        </w:tc>
        <w:tc>
          <w:tcPr>
            <w:tcW w:w="1355" w:type="pct"/>
            <w:gridSpan w:val="2"/>
            <w:vMerge w:val="restart"/>
            <w:shd w:val="clear" w:color="auto" w:fill="auto"/>
            <w:vAlign w:val="center"/>
          </w:tcPr>
          <w:p w14:paraId="0213F966" w14:textId="77777777" w:rsidR="00A320E6" w:rsidRDefault="00000000" w:rsidP="00AE0286">
            <w:pPr>
              <w:jc w:val="center"/>
              <w:rPr>
                <w:rFonts w:ascii="宋体" w:hAnsi="宋体" w:cs="宋体"/>
                <w:kern w:val="0"/>
                <w:szCs w:val="21"/>
              </w:rPr>
            </w:pPr>
            <w:r>
              <w:rPr>
                <w:rFonts w:ascii="宋体" w:hAnsi="宋体" w:cs="宋体" w:hint="eastAsia"/>
                <w:kern w:val="0"/>
                <w:szCs w:val="21"/>
              </w:rPr>
              <w:t>1.水井补偿包括开凿工程、用料、用工等费用。2.废枯井按同类井补偿标准的30%-50%补偿。3.机井按井深分段计算补偿。</w:t>
            </w:r>
          </w:p>
        </w:tc>
      </w:tr>
      <w:tr w:rsidR="00A320E6" w14:paraId="2E15CEA5" w14:textId="77777777" w:rsidTr="00621C83">
        <w:trPr>
          <w:trHeight w:val="312"/>
        </w:trPr>
        <w:tc>
          <w:tcPr>
            <w:tcW w:w="323" w:type="pct"/>
            <w:vMerge/>
            <w:shd w:val="clear" w:color="auto" w:fill="auto"/>
            <w:vAlign w:val="center"/>
          </w:tcPr>
          <w:p w14:paraId="419952B4"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32069F6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431E0E5B" w14:textId="77777777" w:rsidR="00A320E6" w:rsidRDefault="00000000" w:rsidP="00AE0286">
            <w:pPr>
              <w:jc w:val="center"/>
              <w:rPr>
                <w:rFonts w:ascii="宋体" w:hAnsi="宋体" w:cs="宋体"/>
                <w:kern w:val="0"/>
                <w:szCs w:val="21"/>
              </w:rPr>
            </w:pPr>
            <w:r>
              <w:rPr>
                <w:rFonts w:ascii="宋体" w:hAnsi="宋体" w:cs="宋体" w:hint="eastAsia"/>
                <w:kern w:val="0"/>
                <w:szCs w:val="21"/>
              </w:rPr>
              <w:t>砖井（包括乱石井、大口井）深5-10米，直径1.5米</w:t>
            </w:r>
          </w:p>
        </w:tc>
        <w:tc>
          <w:tcPr>
            <w:tcW w:w="1363" w:type="pct"/>
            <w:shd w:val="clear" w:color="auto" w:fill="auto"/>
            <w:vAlign w:val="center"/>
          </w:tcPr>
          <w:p w14:paraId="73198E06" w14:textId="77777777" w:rsidR="00A320E6" w:rsidRDefault="00000000" w:rsidP="00AE0286">
            <w:pPr>
              <w:jc w:val="center"/>
              <w:rPr>
                <w:rFonts w:ascii="宋体" w:hAnsi="宋体" w:cs="宋体"/>
                <w:kern w:val="0"/>
                <w:szCs w:val="21"/>
              </w:rPr>
            </w:pPr>
            <w:r>
              <w:rPr>
                <w:rFonts w:ascii="宋体" w:hAnsi="宋体" w:cs="宋体" w:hint="eastAsia"/>
                <w:kern w:val="0"/>
                <w:szCs w:val="21"/>
              </w:rPr>
              <w:t>3000-5000元/眼</w:t>
            </w:r>
          </w:p>
        </w:tc>
        <w:tc>
          <w:tcPr>
            <w:tcW w:w="1355" w:type="pct"/>
            <w:gridSpan w:val="2"/>
            <w:vMerge/>
            <w:shd w:val="clear" w:color="auto" w:fill="auto"/>
            <w:vAlign w:val="center"/>
          </w:tcPr>
          <w:p w14:paraId="366A7BA2" w14:textId="77777777" w:rsidR="00A320E6" w:rsidRDefault="00A320E6" w:rsidP="00AE0286">
            <w:pPr>
              <w:jc w:val="center"/>
              <w:rPr>
                <w:rFonts w:ascii="宋体" w:hAnsi="宋体" w:cs="宋体"/>
                <w:kern w:val="0"/>
                <w:szCs w:val="21"/>
              </w:rPr>
            </w:pPr>
          </w:p>
        </w:tc>
      </w:tr>
      <w:tr w:rsidR="00A320E6" w14:paraId="1E3FDA85" w14:textId="77777777" w:rsidTr="00621C83">
        <w:trPr>
          <w:trHeight w:val="312"/>
        </w:trPr>
        <w:tc>
          <w:tcPr>
            <w:tcW w:w="323" w:type="pct"/>
            <w:vMerge/>
            <w:shd w:val="clear" w:color="auto" w:fill="auto"/>
            <w:vAlign w:val="center"/>
          </w:tcPr>
          <w:p w14:paraId="15A54CC9"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017F8162"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13932F39" w14:textId="77777777" w:rsidR="00A320E6" w:rsidRDefault="00000000" w:rsidP="00AE0286">
            <w:pPr>
              <w:jc w:val="center"/>
              <w:rPr>
                <w:rFonts w:ascii="宋体" w:hAnsi="宋体" w:cs="宋体"/>
                <w:kern w:val="0"/>
                <w:szCs w:val="21"/>
              </w:rPr>
            </w:pPr>
            <w:r>
              <w:rPr>
                <w:rFonts w:ascii="宋体" w:hAnsi="宋体" w:cs="宋体" w:hint="eastAsia"/>
                <w:kern w:val="0"/>
                <w:szCs w:val="21"/>
              </w:rPr>
              <w:t>砖井（包括乱石井、大口井）深10-20米，直径2.5米</w:t>
            </w:r>
          </w:p>
        </w:tc>
        <w:tc>
          <w:tcPr>
            <w:tcW w:w="1363" w:type="pct"/>
            <w:shd w:val="clear" w:color="auto" w:fill="auto"/>
            <w:vAlign w:val="center"/>
          </w:tcPr>
          <w:p w14:paraId="10874E0A" w14:textId="77777777" w:rsidR="00A320E6" w:rsidRDefault="00000000" w:rsidP="00AE0286">
            <w:pPr>
              <w:jc w:val="center"/>
              <w:rPr>
                <w:rFonts w:ascii="宋体" w:hAnsi="宋体" w:cs="宋体"/>
                <w:kern w:val="0"/>
                <w:szCs w:val="21"/>
              </w:rPr>
            </w:pPr>
            <w:r>
              <w:rPr>
                <w:rFonts w:ascii="宋体" w:hAnsi="宋体" w:cs="宋体" w:hint="eastAsia"/>
                <w:kern w:val="0"/>
                <w:szCs w:val="21"/>
              </w:rPr>
              <w:t>5500-6500元/眼</w:t>
            </w:r>
          </w:p>
        </w:tc>
        <w:tc>
          <w:tcPr>
            <w:tcW w:w="1355" w:type="pct"/>
            <w:gridSpan w:val="2"/>
            <w:vMerge/>
            <w:shd w:val="clear" w:color="auto" w:fill="auto"/>
            <w:vAlign w:val="center"/>
          </w:tcPr>
          <w:p w14:paraId="31C99AAE" w14:textId="77777777" w:rsidR="00A320E6" w:rsidRDefault="00A320E6" w:rsidP="00AE0286">
            <w:pPr>
              <w:jc w:val="center"/>
              <w:rPr>
                <w:rFonts w:ascii="宋体" w:hAnsi="宋体" w:cs="宋体"/>
                <w:kern w:val="0"/>
                <w:szCs w:val="21"/>
              </w:rPr>
            </w:pPr>
          </w:p>
        </w:tc>
      </w:tr>
      <w:tr w:rsidR="00A320E6" w14:paraId="7580C239" w14:textId="77777777" w:rsidTr="00621C83">
        <w:trPr>
          <w:trHeight w:val="312"/>
        </w:trPr>
        <w:tc>
          <w:tcPr>
            <w:tcW w:w="323" w:type="pct"/>
            <w:vMerge/>
            <w:shd w:val="clear" w:color="auto" w:fill="auto"/>
            <w:vAlign w:val="center"/>
          </w:tcPr>
          <w:p w14:paraId="12AEDF39"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9B640B2"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3FDCCA96" w14:textId="77777777" w:rsidR="00A320E6" w:rsidRDefault="00000000" w:rsidP="00AE0286">
            <w:pPr>
              <w:jc w:val="center"/>
              <w:rPr>
                <w:rFonts w:ascii="宋体" w:hAnsi="宋体" w:cs="宋体"/>
                <w:kern w:val="0"/>
                <w:szCs w:val="21"/>
              </w:rPr>
            </w:pPr>
            <w:r>
              <w:rPr>
                <w:rFonts w:ascii="宋体" w:hAnsi="宋体" w:cs="宋体" w:hint="eastAsia"/>
                <w:kern w:val="0"/>
                <w:szCs w:val="21"/>
              </w:rPr>
              <w:t>土井：直径1.2米</w:t>
            </w:r>
          </w:p>
        </w:tc>
        <w:tc>
          <w:tcPr>
            <w:tcW w:w="1363" w:type="pct"/>
            <w:shd w:val="clear" w:color="auto" w:fill="auto"/>
            <w:vAlign w:val="center"/>
          </w:tcPr>
          <w:p w14:paraId="1454BD74" w14:textId="77777777" w:rsidR="00A320E6" w:rsidRDefault="00000000" w:rsidP="00AE0286">
            <w:pPr>
              <w:jc w:val="center"/>
              <w:rPr>
                <w:rFonts w:ascii="宋体" w:hAnsi="宋体" w:cs="宋体"/>
                <w:kern w:val="0"/>
                <w:szCs w:val="21"/>
              </w:rPr>
            </w:pPr>
            <w:r>
              <w:rPr>
                <w:rFonts w:ascii="宋体" w:hAnsi="宋体" w:cs="宋体" w:hint="eastAsia"/>
                <w:kern w:val="0"/>
                <w:szCs w:val="21"/>
              </w:rPr>
              <w:t>150-260元/米</w:t>
            </w:r>
          </w:p>
        </w:tc>
        <w:tc>
          <w:tcPr>
            <w:tcW w:w="1355" w:type="pct"/>
            <w:gridSpan w:val="2"/>
            <w:vMerge/>
            <w:shd w:val="clear" w:color="auto" w:fill="auto"/>
            <w:vAlign w:val="center"/>
          </w:tcPr>
          <w:p w14:paraId="11F4C045" w14:textId="77777777" w:rsidR="00A320E6" w:rsidRDefault="00A320E6" w:rsidP="00AE0286">
            <w:pPr>
              <w:jc w:val="center"/>
              <w:rPr>
                <w:rFonts w:ascii="宋体" w:hAnsi="宋体" w:cs="宋体"/>
                <w:kern w:val="0"/>
                <w:szCs w:val="21"/>
              </w:rPr>
            </w:pPr>
          </w:p>
        </w:tc>
      </w:tr>
      <w:tr w:rsidR="00A320E6" w14:paraId="70D0460B" w14:textId="77777777" w:rsidTr="00621C83">
        <w:trPr>
          <w:trHeight w:val="312"/>
        </w:trPr>
        <w:tc>
          <w:tcPr>
            <w:tcW w:w="323" w:type="pct"/>
            <w:vMerge/>
            <w:shd w:val="clear" w:color="auto" w:fill="auto"/>
            <w:vAlign w:val="center"/>
          </w:tcPr>
          <w:p w14:paraId="67A7F685"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31A94939"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466AE1AE" w14:textId="77777777" w:rsidR="00A320E6" w:rsidRDefault="00000000" w:rsidP="00AE0286">
            <w:pPr>
              <w:jc w:val="center"/>
              <w:rPr>
                <w:rFonts w:ascii="宋体" w:hAnsi="宋体" w:cs="宋体"/>
                <w:bCs/>
                <w:kern w:val="0"/>
                <w:szCs w:val="21"/>
              </w:rPr>
            </w:pPr>
            <w:r>
              <w:rPr>
                <w:rFonts w:ascii="宋体" w:hAnsi="宋体" w:cs="宋体" w:hint="eastAsia"/>
                <w:bCs/>
                <w:kern w:val="0"/>
                <w:szCs w:val="21"/>
              </w:rPr>
              <w:t>管井：直径10-30厘米</w:t>
            </w:r>
          </w:p>
        </w:tc>
        <w:tc>
          <w:tcPr>
            <w:tcW w:w="1363" w:type="pct"/>
            <w:shd w:val="clear" w:color="auto" w:fill="auto"/>
            <w:vAlign w:val="center"/>
          </w:tcPr>
          <w:p w14:paraId="0D609F1D" w14:textId="77777777" w:rsidR="00A320E6" w:rsidRDefault="00000000" w:rsidP="00AE0286">
            <w:pPr>
              <w:jc w:val="center"/>
              <w:rPr>
                <w:rFonts w:ascii="宋体" w:hAnsi="宋体" w:cs="宋体"/>
                <w:kern w:val="0"/>
                <w:szCs w:val="21"/>
              </w:rPr>
            </w:pPr>
            <w:r>
              <w:rPr>
                <w:rFonts w:ascii="宋体" w:hAnsi="宋体" w:cs="宋体" w:hint="eastAsia"/>
                <w:kern w:val="0"/>
                <w:szCs w:val="21"/>
              </w:rPr>
              <w:t>100-150元/米</w:t>
            </w:r>
          </w:p>
        </w:tc>
        <w:tc>
          <w:tcPr>
            <w:tcW w:w="1355" w:type="pct"/>
            <w:gridSpan w:val="2"/>
            <w:vMerge/>
            <w:shd w:val="clear" w:color="auto" w:fill="auto"/>
            <w:vAlign w:val="center"/>
          </w:tcPr>
          <w:p w14:paraId="4EC4D947" w14:textId="77777777" w:rsidR="00A320E6" w:rsidRDefault="00A320E6" w:rsidP="00AE0286">
            <w:pPr>
              <w:jc w:val="center"/>
              <w:rPr>
                <w:rFonts w:ascii="宋体" w:hAnsi="宋体" w:cs="宋体"/>
                <w:kern w:val="0"/>
                <w:szCs w:val="21"/>
              </w:rPr>
            </w:pPr>
          </w:p>
        </w:tc>
      </w:tr>
      <w:tr w:rsidR="00A320E6" w14:paraId="60563D01" w14:textId="77777777" w:rsidTr="00621C83">
        <w:trPr>
          <w:trHeight w:val="312"/>
        </w:trPr>
        <w:tc>
          <w:tcPr>
            <w:tcW w:w="323" w:type="pct"/>
            <w:vMerge/>
            <w:shd w:val="clear" w:color="auto" w:fill="auto"/>
            <w:vAlign w:val="center"/>
          </w:tcPr>
          <w:p w14:paraId="011BF841"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290F8A9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54448671" w14:textId="77777777" w:rsidR="00A320E6" w:rsidRDefault="00000000" w:rsidP="00AE0286">
            <w:pPr>
              <w:jc w:val="center"/>
              <w:rPr>
                <w:rFonts w:ascii="宋体" w:hAnsi="宋体" w:cs="宋体"/>
                <w:kern w:val="0"/>
                <w:szCs w:val="21"/>
              </w:rPr>
            </w:pPr>
            <w:r>
              <w:rPr>
                <w:rFonts w:ascii="宋体" w:hAnsi="宋体" w:cs="宋体" w:hint="eastAsia"/>
                <w:kern w:val="0"/>
                <w:szCs w:val="21"/>
              </w:rPr>
              <w:t>机井：深20-50米</w:t>
            </w:r>
          </w:p>
        </w:tc>
        <w:tc>
          <w:tcPr>
            <w:tcW w:w="1363" w:type="pct"/>
            <w:shd w:val="clear" w:color="auto" w:fill="auto"/>
            <w:vAlign w:val="center"/>
          </w:tcPr>
          <w:p w14:paraId="63E67C3F" w14:textId="77777777" w:rsidR="00A320E6" w:rsidRDefault="00000000" w:rsidP="00AE0286">
            <w:pPr>
              <w:jc w:val="center"/>
              <w:rPr>
                <w:rFonts w:ascii="宋体" w:hAnsi="宋体" w:cs="宋体"/>
                <w:kern w:val="0"/>
                <w:szCs w:val="21"/>
              </w:rPr>
            </w:pPr>
            <w:r>
              <w:rPr>
                <w:rFonts w:ascii="宋体" w:hAnsi="宋体" w:cs="宋体" w:hint="eastAsia"/>
                <w:kern w:val="0"/>
                <w:szCs w:val="21"/>
              </w:rPr>
              <w:t>200-300元/米</w:t>
            </w:r>
          </w:p>
        </w:tc>
        <w:tc>
          <w:tcPr>
            <w:tcW w:w="1355" w:type="pct"/>
            <w:gridSpan w:val="2"/>
            <w:vMerge/>
            <w:shd w:val="clear" w:color="auto" w:fill="auto"/>
            <w:vAlign w:val="center"/>
          </w:tcPr>
          <w:p w14:paraId="1C39614B" w14:textId="77777777" w:rsidR="00A320E6" w:rsidRDefault="00A320E6" w:rsidP="00AE0286">
            <w:pPr>
              <w:jc w:val="left"/>
              <w:rPr>
                <w:rFonts w:ascii="宋体" w:hAnsi="宋体" w:cs="宋体"/>
                <w:kern w:val="0"/>
                <w:szCs w:val="21"/>
              </w:rPr>
            </w:pPr>
          </w:p>
        </w:tc>
      </w:tr>
      <w:tr w:rsidR="00A320E6" w14:paraId="5B09EED2" w14:textId="77777777" w:rsidTr="00621C83">
        <w:trPr>
          <w:trHeight w:val="312"/>
        </w:trPr>
        <w:tc>
          <w:tcPr>
            <w:tcW w:w="323" w:type="pct"/>
            <w:vMerge/>
            <w:shd w:val="clear" w:color="auto" w:fill="auto"/>
            <w:vAlign w:val="center"/>
          </w:tcPr>
          <w:p w14:paraId="676F497F"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336369D3"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07DF9195" w14:textId="77777777" w:rsidR="00A320E6" w:rsidRDefault="00000000" w:rsidP="00AE0286">
            <w:pPr>
              <w:jc w:val="center"/>
              <w:rPr>
                <w:rFonts w:ascii="宋体" w:hAnsi="宋体" w:cs="宋体"/>
                <w:kern w:val="0"/>
                <w:szCs w:val="21"/>
              </w:rPr>
            </w:pPr>
            <w:r>
              <w:rPr>
                <w:rFonts w:ascii="宋体" w:hAnsi="宋体" w:cs="宋体" w:hint="eastAsia"/>
                <w:kern w:val="0"/>
                <w:szCs w:val="21"/>
              </w:rPr>
              <w:t>机井：深50-100米</w:t>
            </w:r>
          </w:p>
        </w:tc>
        <w:tc>
          <w:tcPr>
            <w:tcW w:w="1363" w:type="pct"/>
            <w:shd w:val="clear" w:color="auto" w:fill="auto"/>
            <w:vAlign w:val="center"/>
          </w:tcPr>
          <w:p w14:paraId="26E0B103" w14:textId="77777777" w:rsidR="00A320E6" w:rsidRDefault="00000000" w:rsidP="00AE0286">
            <w:pPr>
              <w:jc w:val="center"/>
              <w:rPr>
                <w:rFonts w:ascii="宋体" w:hAnsi="宋体" w:cs="宋体"/>
                <w:kern w:val="0"/>
                <w:szCs w:val="21"/>
              </w:rPr>
            </w:pPr>
            <w:r>
              <w:rPr>
                <w:rFonts w:ascii="宋体" w:hAnsi="宋体" w:cs="宋体" w:hint="eastAsia"/>
                <w:kern w:val="0"/>
                <w:szCs w:val="21"/>
              </w:rPr>
              <w:t>300-360元/米</w:t>
            </w:r>
          </w:p>
        </w:tc>
        <w:tc>
          <w:tcPr>
            <w:tcW w:w="1355" w:type="pct"/>
            <w:gridSpan w:val="2"/>
            <w:vMerge/>
            <w:shd w:val="clear" w:color="auto" w:fill="auto"/>
            <w:vAlign w:val="center"/>
          </w:tcPr>
          <w:p w14:paraId="14F37631" w14:textId="77777777" w:rsidR="00A320E6" w:rsidRDefault="00A320E6" w:rsidP="00AE0286">
            <w:pPr>
              <w:jc w:val="left"/>
              <w:rPr>
                <w:rFonts w:ascii="宋体" w:hAnsi="宋体" w:cs="宋体"/>
                <w:kern w:val="0"/>
                <w:szCs w:val="21"/>
              </w:rPr>
            </w:pPr>
          </w:p>
        </w:tc>
      </w:tr>
      <w:tr w:rsidR="00A320E6" w14:paraId="53C3DF64" w14:textId="77777777" w:rsidTr="00621C83">
        <w:trPr>
          <w:trHeight w:val="312"/>
        </w:trPr>
        <w:tc>
          <w:tcPr>
            <w:tcW w:w="323" w:type="pct"/>
            <w:vMerge/>
            <w:shd w:val="clear" w:color="auto" w:fill="auto"/>
            <w:vAlign w:val="center"/>
          </w:tcPr>
          <w:p w14:paraId="271BD0E6"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7129BC87"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693270FD" w14:textId="77777777" w:rsidR="00A320E6" w:rsidRDefault="00000000" w:rsidP="00AE0286">
            <w:pPr>
              <w:jc w:val="center"/>
              <w:rPr>
                <w:rFonts w:ascii="宋体" w:hAnsi="宋体" w:cs="宋体"/>
                <w:kern w:val="0"/>
                <w:szCs w:val="21"/>
              </w:rPr>
            </w:pPr>
            <w:r>
              <w:rPr>
                <w:rFonts w:ascii="宋体" w:hAnsi="宋体" w:cs="宋体" w:hint="eastAsia"/>
                <w:kern w:val="0"/>
                <w:szCs w:val="21"/>
              </w:rPr>
              <w:t>机井：深100-250米</w:t>
            </w:r>
          </w:p>
        </w:tc>
        <w:tc>
          <w:tcPr>
            <w:tcW w:w="1363" w:type="pct"/>
            <w:shd w:val="clear" w:color="auto" w:fill="auto"/>
            <w:vAlign w:val="center"/>
          </w:tcPr>
          <w:p w14:paraId="4F25941E" w14:textId="77777777" w:rsidR="00A320E6" w:rsidRDefault="00000000" w:rsidP="00AE0286">
            <w:pPr>
              <w:jc w:val="center"/>
              <w:rPr>
                <w:rFonts w:ascii="宋体" w:hAnsi="宋体" w:cs="宋体"/>
                <w:kern w:val="0"/>
                <w:szCs w:val="21"/>
              </w:rPr>
            </w:pPr>
            <w:r>
              <w:rPr>
                <w:rFonts w:ascii="宋体" w:hAnsi="宋体" w:cs="宋体" w:hint="eastAsia"/>
                <w:kern w:val="0"/>
                <w:szCs w:val="21"/>
              </w:rPr>
              <w:t>360-400元/米</w:t>
            </w:r>
          </w:p>
        </w:tc>
        <w:tc>
          <w:tcPr>
            <w:tcW w:w="1355" w:type="pct"/>
            <w:gridSpan w:val="2"/>
            <w:vMerge/>
            <w:shd w:val="clear" w:color="auto" w:fill="auto"/>
            <w:vAlign w:val="center"/>
          </w:tcPr>
          <w:p w14:paraId="6FB0268D" w14:textId="77777777" w:rsidR="00A320E6" w:rsidRDefault="00A320E6" w:rsidP="00AE0286">
            <w:pPr>
              <w:jc w:val="left"/>
              <w:rPr>
                <w:rFonts w:ascii="宋体" w:hAnsi="宋体" w:cs="宋体"/>
                <w:kern w:val="0"/>
                <w:szCs w:val="21"/>
              </w:rPr>
            </w:pPr>
          </w:p>
        </w:tc>
      </w:tr>
      <w:tr w:rsidR="00A320E6" w14:paraId="312C9BBE" w14:textId="77777777" w:rsidTr="00621C83">
        <w:trPr>
          <w:trHeight w:val="312"/>
        </w:trPr>
        <w:tc>
          <w:tcPr>
            <w:tcW w:w="323" w:type="pct"/>
            <w:vMerge/>
            <w:shd w:val="clear" w:color="auto" w:fill="auto"/>
            <w:vAlign w:val="center"/>
          </w:tcPr>
          <w:p w14:paraId="1C5DD606" w14:textId="77777777" w:rsidR="00A320E6" w:rsidRDefault="00A320E6" w:rsidP="00AE0286">
            <w:pPr>
              <w:jc w:val="left"/>
              <w:rPr>
                <w:rFonts w:ascii="宋体" w:hAnsi="宋体" w:cs="宋体"/>
                <w:kern w:val="0"/>
                <w:szCs w:val="21"/>
              </w:rPr>
            </w:pPr>
          </w:p>
        </w:tc>
        <w:tc>
          <w:tcPr>
            <w:tcW w:w="490" w:type="pct"/>
            <w:gridSpan w:val="2"/>
            <w:vMerge/>
            <w:shd w:val="clear" w:color="auto" w:fill="auto"/>
            <w:vAlign w:val="center"/>
          </w:tcPr>
          <w:p w14:paraId="56E85DB9" w14:textId="77777777" w:rsidR="00A320E6" w:rsidRDefault="00A320E6" w:rsidP="00AE0286">
            <w:pPr>
              <w:jc w:val="left"/>
              <w:rPr>
                <w:rFonts w:ascii="宋体" w:hAnsi="宋体" w:cs="宋体"/>
                <w:kern w:val="0"/>
                <w:szCs w:val="21"/>
              </w:rPr>
            </w:pPr>
          </w:p>
        </w:tc>
        <w:tc>
          <w:tcPr>
            <w:tcW w:w="1468" w:type="pct"/>
            <w:shd w:val="clear" w:color="auto" w:fill="auto"/>
            <w:vAlign w:val="center"/>
          </w:tcPr>
          <w:p w14:paraId="2B606F3B" w14:textId="77777777" w:rsidR="00A320E6" w:rsidRDefault="00000000" w:rsidP="00AE0286">
            <w:pPr>
              <w:jc w:val="center"/>
              <w:rPr>
                <w:rFonts w:ascii="宋体" w:hAnsi="宋体" w:cs="宋体"/>
                <w:kern w:val="0"/>
                <w:szCs w:val="21"/>
              </w:rPr>
            </w:pPr>
            <w:r>
              <w:rPr>
                <w:rFonts w:ascii="宋体" w:hAnsi="宋体" w:cs="宋体" w:hint="eastAsia"/>
                <w:kern w:val="0"/>
                <w:szCs w:val="21"/>
              </w:rPr>
              <w:t>机井：深250米以上</w:t>
            </w:r>
          </w:p>
        </w:tc>
        <w:tc>
          <w:tcPr>
            <w:tcW w:w="1363" w:type="pct"/>
            <w:shd w:val="clear" w:color="auto" w:fill="auto"/>
            <w:vAlign w:val="center"/>
          </w:tcPr>
          <w:p w14:paraId="2D97E8ED" w14:textId="77777777" w:rsidR="00A320E6" w:rsidRDefault="00000000" w:rsidP="00AE0286">
            <w:pPr>
              <w:jc w:val="center"/>
              <w:rPr>
                <w:rFonts w:ascii="宋体" w:hAnsi="宋体" w:cs="宋体"/>
                <w:kern w:val="0"/>
                <w:szCs w:val="21"/>
              </w:rPr>
            </w:pPr>
            <w:r>
              <w:rPr>
                <w:rFonts w:ascii="宋体" w:hAnsi="宋体" w:cs="宋体" w:hint="eastAsia"/>
                <w:kern w:val="0"/>
                <w:szCs w:val="21"/>
              </w:rPr>
              <w:t>400-620元/米</w:t>
            </w:r>
          </w:p>
        </w:tc>
        <w:tc>
          <w:tcPr>
            <w:tcW w:w="1355" w:type="pct"/>
            <w:gridSpan w:val="2"/>
            <w:vMerge/>
            <w:shd w:val="clear" w:color="auto" w:fill="auto"/>
            <w:vAlign w:val="center"/>
          </w:tcPr>
          <w:p w14:paraId="37CF924E" w14:textId="77777777" w:rsidR="00A320E6" w:rsidRDefault="00A320E6" w:rsidP="00AE0286">
            <w:pPr>
              <w:jc w:val="left"/>
              <w:rPr>
                <w:rFonts w:ascii="宋体" w:hAnsi="宋体" w:cs="宋体"/>
                <w:kern w:val="0"/>
                <w:szCs w:val="21"/>
              </w:rPr>
            </w:pPr>
          </w:p>
        </w:tc>
      </w:tr>
      <w:tr w:rsidR="00A320E6" w14:paraId="0D017156" w14:textId="77777777" w:rsidTr="00621C83">
        <w:trPr>
          <w:trHeight w:val="312"/>
        </w:trPr>
        <w:tc>
          <w:tcPr>
            <w:tcW w:w="323" w:type="pct"/>
            <w:vMerge w:val="restart"/>
            <w:shd w:val="clear" w:color="auto" w:fill="auto"/>
            <w:vAlign w:val="center"/>
          </w:tcPr>
          <w:p w14:paraId="175FA6F6" w14:textId="77777777" w:rsidR="00A320E6" w:rsidRDefault="00000000" w:rsidP="00AE0286">
            <w:pPr>
              <w:jc w:val="center"/>
              <w:rPr>
                <w:rFonts w:ascii="宋体" w:hAnsi="宋体" w:cs="宋体"/>
                <w:kern w:val="0"/>
                <w:szCs w:val="21"/>
              </w:rPr>
            </w:pPr>
            <w:r>
              <w:rPr>
                <w:rFonts w:ascii="宋体" w:hAnsi="宋体" w:cs="宋体" w:hint="eastAsia"/>
                <w:kern w:val="0"/>
                <w:szCs w:val="21"/>
              </w:rPr>
              <w:t>10</w:t>
            </w:r>
          </w:p>
        </w:tc>
        <w:tc>
          <w:tcPr>
            <w:tcW w:w="486" w:type="pct"/>
            <w:vMerge w:val="restart"/>
            <w:shd w:val="clear" w:color="auto" w:fill="auto"/>
            <w:vAlign w:val="center"/>
          </w:tcPr>
          <w:p w14:paraId="4B94E42A" w14:textId="77777777" w:rsidR="00A320E6" w:rsidRDefault="00000000" w:rsidP="00AE0286">
            <w:pPr>
              <w:jc w:val="center"/>
              <w:rPr>
                <w:rFonts w:ascii="宋体" w:hAnsi="宋体" w:cs="宋体"/>
                <w:kern w:val="0"/>
                <w:szCs w:val="21"/>
              </w:rPr>
            </w:pPr>
            <w:r>
              <w:rPr>
                <w:rFonts w:ascii="宋体" w:hAnsi="宋体" w:cs="宋体" w:hint="eastAsia"/>
                <w:kern w:val="0"/>
                <w:szCs w:val="21"/>
              </w:rPr>
              <w:t>水池、</w:t>
            </w:r>
          </w:p>
          <w:p w14:paraId="2A01ECF6" w14:textId="77777777" w:rsidR="00A320E6" w:rsidRDefault="00000000" w:rsidP="00AE0286">
            <w:pPr>
              <w:jc w:val="center"/>
              <w:rPr>
                <w:rFonts w:ascii="宋体" w:hAnsi="宋体" w:cs="宋体"/>
                <w:kern w:val="0"/>
                <w:szCs w:val="21"/>
              </w:rPr>
            </w:pPr>
            <w:r>
              <w:rPr>
                <w:rFonts w:ascii="宋体" w:hAnsi="宋体" w:cs="宋体" w:hint="eastAsia"/>
                <w:kern w:val="0"/>
                <w:szCs w:val="21"/>
              </w:rPr>
              <w:t>水渠</w:t>
            </w:r>
          </w:p>
        </w:tc>
        <w:tc>
          <w:tcPr>
            <w:tcW w:w="1470" w:type="pct"/>
            <w:gridSpan w:val="2"/>
            <w:shd w:val="clear" w:color="auto" w:fill="auto"/>
            <w:vAlign w:val="center"/>
          </w:tcPr>
          <w:p w14:paraId="26EC5AB5" w14:textId="77777777" w:rsidR="00A320E6" w:rsidRDefault="00000000" w:rsidP="00AE0286">
            <w:pPr>
              <w:jc w:val="center"/>
              <w:rPr>
                <w:rFonts w:ascii="宋体" w:hAnsi="宋体" w:cs="宋体"/>
                <w:kern w:val="0"/>
                <w:szCs w:val="21"/>
              </w:rPr>
            </w:pPr>
            <w:bookmarkStart w:id="127" w:name="RANGE!D39"/>
            <w:r>
              <w:rPr>
                <w:rFonts w:ascii="宋体" w:hAnsi="宋体" w:cs="宋体" w:hint="eastAsia"/>
                <w:kern w:val="0"/>
                <w:szCs w:val="21"/>
              </w:rPr>
              <w:t>土筑水池、水渠</w:t>
            </w:r>
            <w:bookmarkEnd w:id="127"/>
          </w:p>
        </w:tc>
        <w:tc>
          <w:tcPr>
            <w:tcW w:w="1378" w:type="pct"/>
            <w:gridSpan w:val="2"/>
            <w:shd w:val="clear" w:color="auto" w:fill="auto"/>
            <w:vAlign w:val="center"/>
          </w:tcPr>
          <w:p w14:paraId="54609437" w14:textId="77777777" w:rsidR="00A320E6" w:rsidRDefault="00000000" w:rsidP="00AE0286">
            <w:pPr>
              <w:jc w:val="center"/>
              <w:rPr>
                <w:rFonts w:ascii="宋体" w:hAnsi="宋体" w:cs="宋体"/>
                <w:kern w:val="0"/>
                <w:szCs w:val="21"/>
              </w:rPr>
            </w:pPr>
            <w:r>
              <w:rPr>
                <w:rFonts w:ascii="宋体" w:hAnsi="宋体" w:cs="宋体" w:hint="eastAsia"/>
                <w:kern w:val="0"/>
                <w:szCs w:val="21"/>
              </w:rPr>
              <w:t>30-50元/立方米</w:t>
            </w:r>
          </w:p>
        </w:tc>
        <w:tc>
          <w:tcPr>
            <w:tcW w:w="1342" w:type="pct"/>
            <w:shd w:val="clear" w:color="auto" w:fill="auto"/>
            <w:vAlign w:val="center"/>
          </w:tcPr>
          <w:p w14:paraId="1822E03E" w14:textId="77777777" w:rsidR="00A320E6" w:rsidRDefault="00000000" w:rsidP="00AE0286">
            <w:pPr>
              <w:jc w:val="center"/>
              <w:rPr>
                <w:rFonts w:ascii="宋体" w:hAnsi="宋体" w:cs="宋体"/>
                <w:kern w:val="0"/>
                <w:szCs w:val="21"/>
              </w:rPr>
            </w:pPr>
            <w:r>
              <w:rPr>
                <w:rFonts w:ascii="宋体" w:hAnsi="宋体" w:cs="宋体" w:hint="eastAsia"/>
                <w:kern w:val="0"/>
                <w:szCs w:val="21"/>
              </w:rPr>
              <w:t>按挖方体积计算，不包括田间毛渠，旧料归原主。</w:t>
            </w:r>
          </w:p>
        </w:tc>
      </w:tr>
      <w:tr w:rsidR="00A320E6" w14:paraId="6E41BDF7" w14:textId="77777777" w:rsidTr="00621C83">
        <w:trPr>
          <w:trHeight w:val="312"/>
        </w:trPr>
        <w:tc>
          <w:tcPr>
            <w:tcW w:w="323" w:type="pct"/>
            <w:vMerge/>
            <w:shd w:val="clear" w:color="auto" w:fill="auto"/>
            <w:vAlign w:val="center"/>
          </w:tcPr>
          <w:p w14:paraId="0B65964F"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534412AA"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758CE5E9" w14:textId="77777777" w:rsidR="00A320E6" w:rsidRDefault="00000000" w:rsidP="00AE0286">
            <w:pPr>
              <w:jc w:val="center"/>
              <w:rPr>
                <w:rFonts w:ascii="宋体" w:hAnsi="宋体" w:cs="宋体"/>
                <w:kern w:val="0"/>
                <w:szCs w:val="21"/>
              </w:rPr>
            </w:pPr>
            <w:r>
              <w:rPr>
                <w:rFonts w:ascii="宋体" w:hAnsi="宋体" w:cs="宋体" w:hint="eastAsia"/>
                <w:kern w:val="0"/>
                <w:szCs w:val="21"/>
              </w:rPr>
              <w:t>石砌水池、水渠</w:t>
            </w:r>
          </w:p>
        </w:tc>
        <w:tc>
          <w:tcPr>
            <w:tcW w:w="1378" w:type="pct"/>
            <w:gridSpan w:val="2"/>
            <w:shd w:val="clear" w:color="auto" w:fill="auto"/>
            <w:vAlign w:val="center"/>
          </w:tcPr>
          <w:p w14:paraId="395D19E6" w14:textId="77777777" w:rsidR="00A320E6" w:rsidRDefault="00000000" w:rsidP="00AE0286">
            <w:pPr>
              <w:jc w:val="center"/>
              <w:rPr>
                <w:rFonts w:ascii="宋体" w:hAnsi="宋体" w:cs="宋体"/>
                <w:kern w:val="0"/>
                <w:szCs w:val="21"/>
              </w:rPr>
            </w:pPr>
            <w:r>
              <w:rPr>
                <w:rFonts w:ascii="宋体" w:hAnsi="宋体" w:cs="宋体" w:hint="eastAsia"/>
                <w:kern w:val="0"/>
                <w:szCs w:val="21"/>
              </w:rPr>
              <w:t>90-160元/立方米</w:t>
            </w:r>
          </w:p>
        </w:tc>
        <w:tc>
          <w:tcPr>
            <w:tcW w:w="1342" w:type="pct"/>
            <w:vMerge w:val="restart"/>
            <w:shd w:val="clear" w:color="auto" w:fill="auto"/>
            <w:vAlign w:val="center"/>
          </w:tcPr>
          <w:p w14:paraId="43B768F1" w14:textId="77777777" w:rsidR="00A320E6" w:rsidRDefault="00000000" w:rsidP="00AE0286">
            <w:pPr>
              <w:jc w:val="center"/>
              <w:rPr>
                <w:rFonts w:ascii="宋体" w:hAnsi="宋体" w:cs="宋体"/>
                <w:kern w:val="0"/>
                <w:szCs w:val="21"/>
              </w:rPr>
            </w:pPr>
            <w:r>
              <w:rPr>
                <w:rFonts w:ascii="宋体" w:hAnsi="宋体" w:cs="宋体" w:hint="eastAsia"/>
                <w:bCs/>
                <w:kern w:val="0"/>
                <w:szCs w:val="21"/>
              </w:rPr>
              <w:t>1.按挖方体积计算。2.挖方体积小于10立方米的，按砌体体积进行补偿，单价根据砌体材料市场价格测算</w:t>
            </w:r>
            <w:r>
              <w:rPr>
                <w:rFonts w:ascii="宋体" w:hAnsi="宋体" w:cs="宋体" w:hint="eastAsia"/>
                <w:kern w:val="0"/>
                <w:szCs w:val="21"/>
              </w:rPr>
              <w:t>。3.旧料归原主。</w:t>
            </w:r>
          </w:p>
        </w:tc>
      </w:tr>
      <w:tr w:rsidR="00A320E6" w14:paraId="6588F9F6" w14:textId="77777777" w:rsidTr="00621C83">
        <w:trPr>
          <w:trHeight w:val="312"/>
        </w:trPr>
        <w:tc>
          <w:tcPr>
            <w:tcW w:w="323" w:type="pct"/>
            <w:vMerge/>
            <w:shd w:val="clear" w:color="auto" w:fill="auto"/>
            <w:vAlign w:val="center"/>
          </w:tcPr>
          <w:p w14:paraId="6B219374"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0222CA8C"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0BC104A6" w14:textId="77777777" w:rsidR="00A320E6" w:rsidRDefault="00000000" w:rsidP="00AE0286">
            <w:pPr>
              <w:jc w:val="center"/>
              <w:rPr>
                <w:rFonts w:ascii="宋体" w:hAnsi="宋体" w:cs="宋体"/>
                <w:kern w:val="0"/>
                <w:szCs w:val="21"/>
              </w:rPr>
            </w:pPr>
            <w:r>
              <w:rPr>
                <w:rFonts w:ascii="宋体" w:hAnsi="宋体" w:cs="宋体" w:hint="eastAsia"/>
                <w:kern w:val="0"/>
                <w:szCs w:val="21"/>
              </w:rPr>
              <w:t>砖砌水池、水渠</w:t>
            </w:r>
          </w:p>
        </w:tc>
        <w:tc>
          <w:tcPr>
            <w:tcW w:w="1378" w:type="pct"/>
            <w:gridSpan w:val="2"/>
            <w:shd w:val="clear" w:color="auto" w:fill="auto"/>
            <w:vAlign w:val="center"/>
          </w:tcPr>
          <w:p w14:paraId="06DC1918" w14:textId="77777777" w:rsidR="00A320E6" w:rsidRDefault="00000000" w:rsidP="00AE0286">
            <w:pPr>
              <w:jc w:val="center"/>
              <w:rPr>
                <w:rFonts w:ascii="宋体" w:hAnsi="宋体" w:cs="宋体"/>
                <w:kern w:val="0"/>
                <w:szCs w:val="21"/>
              </w:rPr>
            </w:pPr>
            <w:r>
              <w:rPr>
                <w:rFonts w:ascii="宋体" w:hAnsi="宋体" w:cs="宋体" w:hint="eastAsia"/>
                <w:kern w:val="0"/>
                <w:szCs w:val="21"/>
              </w:rPr>
              <w:t>110-180元/立方米</w:t>
            </w:r>
          </w:p>
        </w:tc>
        <w:tc>
          <w:tcPr>
            <w:tcW w:w="1342" w:type="pct"/>
            <w:vMerge/>
            <w:shd w:val="clear" w:color="auto" w:fill="auto"/>
            <w:vAlign w:val="center"/>
          </w:tcPr>
          <w:p w14:paraId="44BB6E73" w14:textId="77777777" w:rsidR="00A320E6" w:rsidRDefault="00A320E6" w:rsidP="00AE0286">
            <w:pPr>
              <w:jc w:val="left"/>
              <w:rPr>
                <w:rFonts w:ascii="宋体" w:hAnsi="宋体" w:cs="宋体"/>
                <w:kern w:val="0"/>
                <w:szCs w:val="21"/>
              </w:rPr>
            </w:pPr>
          </w:p>
        </w:tc>
      </w:tr>
      <w:tr w:rsidR="00A320E6" w14:paraId="6F156088" w14:textId="77777777" w:rsidTr="00621C83">
        <w:trPr>
          <w:trHeight w:val="312"/>
        </w:trPr>
        <w:tc>
          <w:tcPr>
            <w:tcW w:w="323" w:type="pct"/>
            <w:vMerge/>
            <w:shd w:val="clear" w:color="auto" w:fill="auto"/>
            <w:vAlign w:val="center"/>
          </w:tcPr>
          <w:p w14:paraId="52EA308D"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7D55776C"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52D36125" w14:textId="77777777" w:rsidR="00A320E6" w:rsidRDefault="00000000" w:rsidP="00AE0286">
            <w:pPr>
              <w:jc w:val="center"/>
              <w:rPr>
                <w:rFonts w:ascii="宋体" w:hAnsi="宋体" w:cs="宋体"/>
                <w:bCs/>
                <w:kern w:val="0"/>
                <w:szCs w:val="21"/>
              </w:rPr>
            </w:pPr>
            <w:r>
              <w:rPr>
                <w:rFonts w:ascii="宋体" w:hAnsi="宋体" w:cs="宋体" w:hint="eastAsia"/>
                <w:bCs/>
                <w:kern w:val="0"/>
                <w:szCs w:val="21"/>
              </w:rPr>
              <w:t>混凝土水池、水渠</w:t>
            </w:r>
          </w:p>
        </w:tc>
        <w:tc>
          <w:tcPr>
            <w:tcW w:w="1378" w:type="pct"/>
            <w:gridSpan w:val="2"/>
            <w:shd w:val="clear" w:color="auto" w:fill="auto"/>
            <w:vAlign w:val="center"/>
          </w:tcPr>
          <w:p w14:paraId="1242AC79" w14:textId="77777777" w:rsidR="00A320E6" w:rsidRDefault="00000000" w:rsidP="00AE0286">
            <w:pPr>
              <w:jc w:val="center"/>
              <w:rPr>
                <w:rFonts w:ascii="宋体" w:hAnsi="宋体" w:cs="宋体"/>
                <w:kern w:val="0"/>
                <w:szCs w:val="21"/>
              </w:rPr>
            </w:pPr>
            <w:r>
              <w:rPr>
                <w:rFonts w:ascii="宋体" w:hAnsi="宋体" w:cs="宋体" w:hint="eastAsia"/>
                <w:kern w:val="0"/>
                <w:szCs w:val="21"/>
              </w:rPr>
              <w:t>120-200元/立方米</w:t>
            </w:r>
          </w:p>
        </w:tc>
        <w:tc>
          <w:tcPr>
            <w:tcW w:w="1342" w:type="pct"/>
            <w:vMerge/>
            <w:shd w:val="clear" w:color="auto" w:fill="auto"/>
            <w:vAlign w:val="center"/>
          </w:tcPr>
          <w:p w14:paraId="22DF643E" w14:textId="77777777" w:rsidR="00A320E6" w:rsidRDefault="00A320E6" w:rsidP="00AE0286">
            <w:pPr>
              <w:jc w:val="left"/>
              <w:rPr>
                <w:rFonts w:ascii="宋体" w:hAnsi="宋体" w:cs="宋体"/>
                <w:kern w:val="0"/>
                <w:szCs w:val="21"/>
              </w:rPr>
            </w:pPr>
          </w:p>
        </w:tc>
      </w:tr>
      <w:tr w:rsidR="00A320E6" w14:paraId="6CDEF28F" w14:textId="77777777" w:rsidTr="00621C83">
        <w:trPr>
          <w:trHeight w:val="312"/>
        </w:trPr>
        <w:tc>
          <w:tcPr>
            <w:tcW w:w="323" w:type="pct"/>
            <w:vMerge w:val="restart"/>
            <w:shd w:val="clear" w:color="auto" w:fill="auto"/>
            <w:vAlign w:val="center"/>
          </w:tcPr>
          <w:p w14:paraId="22254296" w14:textId="77777777" w:rsidR="00A320E6" w:rsidRDefault="00000000" w:rsidP="00AE0286">
            <w:pPr>
              <w:jc w:val="center"/>
              <w:rPr>
                <w:rFonts w:ascii="宋体" w:hAnsi="宋体" w:cs="宋体"/>
                <w:kern w:val="0"/>
                <w:szCs w:val="21"/>
              </w:rPr>
            </w:pPr>
            <w:r>
              <w:rPr>
                <w:rFonts w:ascii="宋体" w:hAnsi="宋体" w:cs="宋体" w:hint="eastAsia"/>
                <w:kern w:val="0"/>
                <w:szCs w:val="21"/>
              </w:rPr>
              <w:t>11</w:t>
            </w:r>
          </w:p>
        </w:tc>
        <w:tc>
          <w:tcPr>
            <w:tcW w:w="486" w:type="pct"/>
            <w:vMerge w:val="restart"/>
            <w:shd w:val="clear" w:color="auto" w:fill="auto"/>
            <w:vAlign w:val="center"/>
          </w:tcPr>
          <w:p w14:paraId="0A782DAB" w14:textId="77777777" w:rsidR="00A320E6" w:rsidRDefault="00000000" w:rsidP="00AE0286">
            <w:pPr>
              <w:jc w:val="center"/>
              <w:rPr>
                <w:rFonts w:ascii="宋体" w:hAnsi="宋体" w:cs="宋体"/>
                <w:kern w:val="0"/>
                <w:szCs w:val="21"/>
              </w:rPr>
            </w:pPr>
            <w:r>
              <w:rPr>
                <w:rFonts w:ascii="宋体" w:hAnsi="宋体" w:cs="宋体" w:hint="eastAsia"/>
                <w:kern w:val="0"/>
                <w:szCs w:val="21"/>
              </w:rPr>
              <w:t>鱼塘</w:t>
            </w:r>
          </w:p>
          <w:p w14:paraId="3F7C9CF0" w14:textId="77777777" w:rsidR="00A320E6" w:rsidRDefault="00000000" w:rsidP="00AE0286">
            <w:pPr>
              <w:jc w:val="center"/>
              <w:rPr>
                <w:rFonts w:ascii="宋体" w:hAnsi="宋体" w:cs="宋体"/>
                <w:kern w:val="0"/>
                <w:szCs w:val="21"/>
              </w:rPr>
            </w:pPr>
            <w:r>
              <w:rPr>
                <w:rFonts w:ascii="宋体" w:hAnsi="宋体" w:cs="宋体" w:hint="eastAsia"/>
                <w:kern w:val="0"/>
                <w:szCs w:val="21"/>
              </w:rPr>
              <w:t>藕塘</w:t>
            </w:r>
          </w:p>
        </w:tc>
        <w:tc>
          <w:tcPr>
            <w:tcW w:w="1470" w:type="pct"/>
            <w:gridSpan w:val="2"/>
            <w:shd w:val="clear" w:color="auto" w:fill="auto"/>
            <w:vAlign w:val="center"/>
          </w:tcPr>
          <w:p w14:paraId="2A9D7649" w14:textId="77777777" w:rsidR="00A320E6" w:rsidRDefault="00000000" w:rsidP="00AE0286">
            <w:pPr>
              <w:jc w:val="center"/>
              <w:rPr>
                <w:rFonts w:ascii="宋体" w:hAnsi="宋体" w:cs="宋体"/>
                <w:kern w:val="0"/>
                <w:szCs w:val="21"/>
              </w:rPr>
            </w:pPr>
            <w:r>
              <w:rPr>
                <w:rFonts w:ascii="宋体" w:hAnsi="宋体" w:cs="宋体" w:hint="eastAsia"/>
                <w:kern w:val="0"/>
                <w:szCs w:val="21"/>
              </w:rPr>
              <w:t>土筑</w:t>
            </w:r>
          </w:p>
        </w:tc>
        <w:tc>
          <w:tcPr>
            <w:tcW w:w="1378" w:type="pct"/>
            <w:gridSpan w:val="2"/>
            <w:shd w:val="clear" w:color="auto" w:fill="auto"/>
            <w:vAlign w:val="center"/>
          </w:tcPr>
          <w:p w14:paraId="75CF92DA" w14:textId="77777777" w:rsidR="00A320E6" w:rsidRDefault="00000000" w:rsidP="00AE0286">
            <w:pPr>
              <w:jc w:val="center"/>
              <w:rPr>
                <w:rFonts w:ascii="宋体" w:hAnsi="宋体" w:cs="宋体"/>
                <w:kern w:val="0"/>
                <w:szCs w:val="21"/>
              </w:rPr>
            </w:pPr>
            <w:r>
              <w:rPr>
                <w:rFonts w:ascii="宋体" w:hAnsi="宋体" w:cs="宋体" w:hint="eastAsia"/>
                <w:kern w:val="0"/>
                <w:szCs w:val="21"/>
              </w:rPr>
              <w:t>9000-14000元/亩</w:t>
            </w:r>
          </w:p>
        </w:tc>
        <w:tc>
          <w:tcPr>
            <w:tcW w:w="1342" w:type="pct"/>
            <w:vMerge w:val="restart"/>
            <w:shd w:val="clear" w:color="auto" w:fill="auto"/>
            <w:vAlign w:val="center"/>
          </w:tcPr>
          <w:p w14:paraId="3741A836" w14:textId="77777777" w:rsidR="00A320E6" w:rsidRDefault="00000000" w:rsidP="00AE0286">
            <w:pPr>
              <w:jc w:val="center"/>
              <w:rPr>
                <w:rFonts w:ascii="宋体" w:hAnsi="宋体" w:cs="宋体"/>
                <w:kern w:val="0"/>
                <w:szCs w:val="21"/>
              </w:rPr>
            </w:pPr>
            <w:r>
              <w:rPr>
                <w:rFonts w:ascii="宋体" w:hAnsi="宋体" w:cs="宋体" w:hint="eastAsia"/>
                <w:kern w:val="0"/>
                <w:szCs w:val="21"/>
              </w:rPr>
              <w:t>1.含土石方工程和鱼苗、</w:t>
            </w:r>
            <w:r>
              <w:rPr>
                <w:rFonts w:ascii="宋体" w:hAnsi="宋体" w:cs="宋体" w:hint="eastAsia"/>
                <w:bCs/>
                <w:kern w:val="0"/>
                <w:szCs w:val="21"/>
              </w:rPr>
              <w:t>藕</w:t>
            </w:r>
            <w:r>
              <w:rPr>
                <w:rFonts w:ascii="宋体" w:hAnsi="宋体" w:cs="宋体" w:hint="eastAsia"/>
                <w:kern w:val="0"/>
                <w:szCs w:val="21"/>
              </w:rPr>
              <w:t>损失。</w:t>
            </w:r>
            <w:r>
              <w:rPr>
                <w:rFonts w:ascii="宋体" w:hAnsi="宋体" w:cs="宋体" w:hint="eastAsia"/>
                <w:bCs/>
                <w:kern w:val="0"/>
                <w:szCs w:val="21"/>
              </w:rPr>
              <w:t>2.高标准鱼塘可委托有资质的机构进行评估或由相关部门认证。</w:t>
            </w:r>
            <w:r>
              <w:rPr>
                <w:rFonts w:ascii="宋体" w:hAnsi="宋体" w:cs="宋体" w:hint="eastAsia"/>
                <w:kern w:val="0"/>
                <w:szCs w:val="21"/>
              </w:rPr>
              <w:t>3.旧料归原主。</w:t>
            </w:r>
          </w:p>
        </w:tc>
      </w:tr>
      <w:tr w:rsidR="00A320E6" w14:paraId="1FDE1534" w14:textId="77777777" w:rsidTr="00621C83">
        <w:trPr>
          <w:trHeight w:val="312"/>
        </w:trPr>
        <w:tc>
          <w:tcPr>
            <w:tcW w:w="323" w:type="pct"/>
            <w:vMerge/>
            <w:shd w:val="clear" w:color="auto" w:fill="auto"/>
            <w:vAlign w:val="center"/>
          </w:tcPr>
          <w:p w14:paraId="400C5B13"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350EBCF2"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11736FFA" w14:textId="77777777" w:rsidR="00A320E6" w:rsidRDefault="00000000" w:rsidP="00AE0286">
            <w:pPr>
              <w:jc w:val="center"/>
              <w:rPr>
                <w:rFonts w:ascii="宋体" w:hAnsi="宋体" w:cs="宋体"/>
                <w:kern w:val="0"/>
                <w:szCs w:val="21"/>
              </w:rPr>
            </w:pPr>
            <w:r>
              <w:rPr>
                <w:rFonts w:ascii="宋体" w:hAnsi="宋体" w:cs="宋体" w:hint="eastAsia"/>
                <w:kern w:val="0"/>
                <w:szCs w:val="21"/>
              </w:rPr>
              <w:t>石砌、砖砌</w:t>
            </w:r>
          </w:p>
        </w:tc>
        <w:tc>
          <w:tcPr>
            <w:tcW w:w="1378" w:type="pct"/>
            <w:gridSpan w:val="2"/>
            <w:shd w:val="clear" w:color="auto" w:fill="auto"/>
            <w:vAlign w:val="center"/>
          </w:tcPr>
          <w:p w14:paraId="149B780E" w14:textId="77777777" w:rsidR="00A320E6" w:rsidRDefault="00000000" w:rsidP="00AE0286">
            <w:pPr>
              <w:jc w:val="center"/>
              <w:rPr>
                <w:rFonts w:ascii="宋体" w:hAnsi="宋体" w:cs="宋体"/>
                <w:kern w:val="0"/>
                <w:szCs w:val="21"/>
              </w:rPr>
            </w:pPr>
            <w:r>
              <w:rPr>
                <w:rFonts w:ascii="宋体" w:hAnsi="宋体" w:cs="宋体" w:hint="eastAsia"/>
                <w:kern w:val="0"/>
                <w:szCs w:val="21"/>
              </w:rPr>
              <w:t>14000-18000元/亩</w:t>
            </w:r>
          </w:p>
        </w:tc>
        <w:tc>
          <w:tcPr>
            <w:tcW w:w="1342" w:type="pct"/>
            <w:vMerge/>
            <w:shd w:val="clear" w:color="auto" w:fill="auto"/>
            <w:vAlign w:val="center"/>
          </w:tcPr>
          <w:p w14:paraId="2B596756" w14:textId="77777777" w:rsidR="00A320E6" w:rsidRDefault="00A320E6" w:rsidP="00AE0286">
            <w:pPr>
              <w:jc w:val="left"/>
              <w:rPr>
                <w:rFonts w:ascii="宋体" w:hAnsi="宋体" w:cs="宋体"/>
                <w:kern w:val="0"/>
                <w:szCs w:val="21"/>
              </w:rPr>
            </w:pPr>
          </w:p>
        </w:tc>
      </w:tr>
      <w:tr w:rsidR="00A320E6" w14:paraId="2F91DB60" w14:textId="77777777" w:rsidTr="00621C83">
        <w:trPr>
          <w:trHeight w:val="312"/>
        </w:trPr>
        <w:tc>
          <w:tcPr>
            <w:tcW w:w="323" w:type="pct"/>
            <w:vMerge w:val="restart"/>
            <w:shd w:val="clear" w:color="auto" w:fill="auto"/>
            <w:vAlign w:val="center"/>
          </w:tcPr>
          <w:p w14:paraId="25E01FE5" w14:textId="77777777" w:rsidR="00A320E6" w:rsidRDefault="00000000" w:rsidP="00AE0286">
            <w:pPr>
              <w:jc w:val="center"/>
              <w:rPr>
                <w:rFonts w:ascii="宋体" w:hAnsi="宋体" w:cs="宋体"/>
                <w:kern w:val="0"/>
                <w:szCs w:val="21"/>
              </w:rPr>
            </w:pPr>
            <w:r>
              <w:rPr>
                <w:rFonts w:ascii="宋体" w:hAnsi="宋体" w:cs="宋体" w:hint="eastAsia"/>
                <w:kern w:val="0"/>
                <w:szCs w:val="21"/>
              </w:rPr>
              <w:t>12</w:t>
            </w:r>
          </w:p>
        </w:tc>
        <w:tc>
          <w:tcPr>
            <w:tcW w:w="486" w:type="pct"/>
            <w:vMerge w:val="restart"/>
            <w:shd w:val="clear" w:color="auto" w:fill="auto"/>
            <w:vAlign w:val="center"/>
          </w:tcPr>
          <w:p w14:paraId="223449EB" w14:textId="77777777" w:rsidR="00A320E6" w:rsidRDefault="00000000" w:rsidP="00AE0286">
            <w:pPr>
              <w:jc w:val="center"/>
              <w:rPr>
                <w:rFonts w:ascii="宋体" w:hAnsi="宋体" w:cs="宋体"/>
                <w:kern w:val="0"/>
                <w:szCs w:val="21"/>
              </w:rPr>
            </w:pPr>
            <w:r>
              <w:rPr>
                <w:rFonts w:ascii="宋体" w:hAnsi="宋体" w:cs="宋体" w:hint="eastAsia"/>
                <w:kern w:val="0"/>
                <w:szCs w:val="21"/>
              </w:rPr>
              <w:t>地面</w:t>
            </w:r>
          </w:p>
        </w:tc>
        <w:tc>
          <w:tcPr>
            <w:tcW w:w="1470" w:type="pct"/>
            <w:gridSpan w:val="2"/>
            <w:shd w:val="clear" w:color="auto" w:fill="auto"/>
            <w:vAlign w:val="center"/>
          </w:tcPr>
          <w:p w14:paraId="4B0478EA" w14:textId="77777777" w:rsidR="00A320E6" w:rsidRDefault="00000000" w:rsidP="00AE0286">
            <w:pPr>
              <w:jc w:val="center"/>
              <w:rPr>
                <w:rFonts w:ascii="宋体" w:hAnsi="宋体" w:cs="宋体"/>
                <w:kern w:val="0"/>
                <w:szCs w:val="21"/>
              </w:rPr>
            </w:pPr>
            <w:r>
              <w:rPr>
                <w:rFonts w:ascii="宋体" w:hAnsi="宋体" w:cs="宋体" w:hint="eastAsia"/>
                <w:kern w:val="0"/>
                <w:szCs w:val="21"/>
              </w:rPr>
              <w:t>水泥硬化</w:t>
            </w:r>
          </w:p>
        </w:tc>
        <w:tc>
          <w:tcPr>
            <w:tcW w:w="1378" w:type="pct"/>
            <w:gridSpan w:val="2"/>
            <w:shd w:val="clear" w:color="auto" w:fill="auto"/>
            <w:vAlign w:val="center"/>
          </w:tcPr>
          <w:p w14:paraId="059F79DC" w14:textId="77777777" w:rsidR="00A320E6" w:rsidRDefault="00000000" w:rsidP="00AE0286">
            <w:pPr>
              <w:jc w:val="center"/>
              <w:rPr>
                <w:rFonts w:ascii="宋体" w:hAnsi="宋体" w:cs="宋体"/>
                <w:kern w:val="0"/>
                <w:szCs w:val="21"/>
              </w:rPr>
            </w:pPr>
            <w:r>
              <w:rPr>
                <w:rFonts w:ascii="宋体" w:hAnsi="宋体" w:cs="宋体" w:hint="eastAsia"/>
                <w:kern w:val="0"/>
                <w:szCs w:val="21"/>
              </w:rPr>
              <w:t>50-100元/平方米</w:t>
            </w:r>
          </w:p>
        </w:tc>
        <w:tc>
          <w:tcPr>
            <w:tcW w:w="1342" w:type="pct"/>
            <w:vMerge w:val="restart"/>
            <w:shd w:val="clear" w:color="auto" w:fill="auto"/>
            <w:vAlign w:val="center"/>
          </w:tcPr>
          <w:p w14:paraId="5212A006" w14:textId="77777777" w:rsidR="00A320E6" w:rsidRDefault="00000000" w:rsidP="00AE0286">
            <w:pPr>
              <w:jc w:val="center"/>
              <w:rPr>
                <w:rFonts w:ascii="宋体" w:hAnsi="宋体" w:cs="宋体"/>
                <w:kern w:val="0"/>
                <w:szCs w:val="21"/>
              </w:rPr>
            </w:pPr>
            <w:r>
              <w:rPr>
                <w:rFonts w:ascii="宋体" w:hAnsi="宋体" w:cs="宋体" w:hint="eastAsia"/>
                <w:kern w:val="0"/>
                <w:szCs w:val="21"/>
              </w:rPr>
              <w:t>旧料归原主。</w:t>
            </w:r>
          </w:p>
        </w:tc>
      </w:tr>
      <w:tr w:rsidR="00A320E6" w14:paraId="66A86F28" w14:textId="77777777" w:rsidTr="00621C83">
        <w:trPr>
          <w:trHeight w:val="312"/>
        </w:trPr>
        <w:tc>
          <w:tcPr>
            <w:tcW w:w="323" w:type="pct"/>
            <w:vMerge/>
            <w:shd w:val="clear" w:color="auto" w:fill="auto"/>
            <w:vAlign w:val="center"/>
          </w:tcPr>
          <w:p w14:paraId="0999B983"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696E7C94"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4EAE1720" w14:textId="77777777" w:rsidR="00A320E6" w:rsidRDefault="00000000" w:rsidP="00AE0286">
            <w:pPr>
              <w:jc w:val="center"/>
              <w:rPr>
                <w:rFonts w:ascii="宋体" w:hAnsi="宋体" w:cs="宋体"/>
                <w:kern w:val="0"/>
                <w:szCs w:val="21"/>
              </w:rPr>
            </w:pPr>
            <w:r>
              <w:rPr>
                <w:rFonts w:ascii="宋体" w:hAnsi="宋体" w:cs="宋体" w:hint="eastAsia"/>
                <w:kern w:val="0"/>
                <w:szCs w:val="21"/>
              </w:rPr>
              <w:t>花砖地面</w:t>
            </w:r>
          </w:p>
        </w:tc>
        <w:tc>
          <w:tcPr>
            <w:tcW w:w="1378" w:type="pct"/>
            <w:gridSpan w:val="2"/>
            <w:shd w:val="clear" w:color="auto" w:fill="auto"/>
            <w:vAlign w:val="center"/>
          </w:tcPr>
          <w:p w14:paraId="07BA0CE8" w14:textId="77777777" w:rsidR="00A320E6" w:rsidRDefault="00000000" w:rsidP="00AE0286">
            <w:pPr>
              <w:jc w:val="center"/>
              <w:rPr>
                <w:rFonts w:ascii="宋体" w:hAnsi="宋体" w:cs="宋体"/>
                <w:kern w:val="0"/>
                <w:szCs w:val="21"/>
              </w:rPr>
            </w:pPr>
            <w:r>
              <w:rPr>
                <w:rFonts w:ascii="宋体" w:hAnsi="宋体" w:cs="宋体" w:hint="eastAsia"/>
                <w:kern w:val="0"/>
                <w:szCs w:val="21"/>
              </w:rPr>
              <w:t>50-85元/平方米</w:t>
            </w:r>
          </w:p>
        </w:tc>
        <w:tc>
          <w:tcPr>
            <w:tcW w:w="1342" w:type="pct"/>
            <w:vMerge/>
            <w:shd w:val="clear" w:color="auto" w:fill="auto"/>
            <w:vAlign w:val="center"/>
          </w:tcPr>
          <w:p w14:paraId="078DD170" w14:textId="77777777" w:rsidR="00A320E6" w:rsidRDefault="00A320E6" w:rsidP="00AE0286">
            <w:pPr>
              <w:jc w:val="left"/>
              <w:rPr>
                <w:rFonts w:ascii="宋体" w:hAnsi="宋体" w:cs="宋体"/>
                <w:kern w:val="0"/>
                <w:szCs w:val="21"/>
              </w:rPr>
            </w:pPr>
          </w:p>
        </w:tc>
      </w:tr>
      <w:tr w:rsidR="00A320E6" w14:paraId="190579DB" w14:textId="77777777" w:rsidTr="00621C83">
        <w:trPr>
          <w:trHeight w:val="312"/>
        </w:trPr>
        <w:tc>
          <w:tcPr>
            <w:tcW w:w="323" w:type="pct"/>
            <w:vMerge w:val="restart"/>
            <w:shd w:val="clear" w:color="auto" w:fill="auto"/>
            <w:vAlign w:val="center"/>
          </w:tcPr>
          <w:p w14:paraId="66BD3795" w14:textId="77777777" w:rsidR="00A320E6" w:rsidRDefault="00000000" w:rsidP="00AE0286">
            <w:pPr>
              <w:jc w:val="center"/>
              <w:rPr>
                <w:rFonts w:ascii="宋体" w:hAnsi="宋体" w:cs="宋体"/>
                <w:kern w:val="0"/>
                <w:szCs w:val="21"/>
              </w:rPr>
            </w:pPr>
            <w:r>
              <w:rPr>
                <w:rFonts w:ascii="宋体" w:hAnsi="宋体" w:cs="宋体" w:hint="eastAsia"/>
                <w:kern w:val="0"/>
                <w:szCs w:val="21"/>
              </w:rPr>
              <w:t>13</w:t>
            </w:r>
          </w:p>
        </w:tc>
        <w:tc>
          <w:tcPr>
            <w:tcW w:w="486" w:type="pct"/>
            <w:vMerge w:val="restart"/>
            <w:shd w:val="clear" w:color="auto" w:fill="auto"/>
            <w:vAlign w:val="center"/>
          </w:tcPr>
          <w:p w14:paraId="040A381C" w14:textId="77777777" w:rsidR="00A320E6" w:rsidRDefault="00000000" w:rsidP="00AE0286">
            <w:pPr>
              <w:jc w:val="center"/>
              <w:rPr>
                <w:rFonts w:ascii="宋体" w:hAnsi="宋体" w:cs="宋体"/>
                <w:kern w:val="0"/>
                <w:szCs w:val="21"/>
              </w:rPr>
            </w:pPr>
            <w:r>
              <w:rPr>
                <w:rFonts w:ascii="宋体" w:hAnsi="宋体" w:cs="宋体" w:hint="eastAsia"/>
                <w:kern w:val="0"/>
                <w:szCs w:val="21"/>
              </w:rPr>
              <w:t>道路</w:t>
            </w:r>
          </w:p>
        </w:tc>
        <w:tc>
          <w:tcPr>
            <w:tcW w:w="1470" w:type="pct"/>
            <w:gridSpan w:val="2"/>
            <w:shd w:val="clear" w:color="auto" w:fill="auto"/>
            <w:vAlign w:val="center"/>
          </w:tcPr>
          <w:p w14:paraId="171729A5" w14:textId="77777777" w:rsidR="00A320E6" w:rsidRDefault="00000000" w:rsidP="00AE0286">
            <w:pPr>
              <w:jc w:val="center"/>
              <w:rPr>
                <w:rFonts w:ascii="宋体" w:hAnsi="宋体" w:cs="宋体"/>
                <w:kern w:val="0"/>
                <w:szCs w:val="21"/>
              </w:rPr>
            </w:pPr>
            <w:r>
              <w:rPr>
                <w:rFonts w:ascii="宋体" w:hAnsi="宋体" w:cs="宋体" w:hint="eastAsia"/>
                <w:kern w:val="0"/>
                <w:szCs w:val="21"/>
              </w:rPr>
              <w:t>沥青硬化</w:t>
            </w:r>
          </w:p>
        </w:tc>
        <w:tc>
          <w:tcPr>
            <w:tcW w:w="1379" w:type="pct"/>
            <w:gridSpan w:val="2"/>
            <w:shd w:val="clear" w:color="auto" w:fill="auto"/>
            <w:vAlign w:val="center"/>
          </w:tcPr>
          <w:p w14:paraId="6EA55D81" w14:textId="77777777" w:rsidR="00A320E6" w:rsidRDefault="00000000" w:rsidP="00AE0286">
            <w:pPr>
              <w:jc w:val="center"/>
              <w:rPr>
                <w:rFonts w:ascii="宋体" w:hAnsi="宋体" w:cs="宋体"/>
                <w:kern w:val="0"/>
                <w:szCs w:val="21"/>
              </w:rPr>
            </w:pPr>
            <w:r>
              <w:rPr>
                <w:rFonts w:ascii="宋体" w:hAnsi="宋体" w:cs="宋体" w:hint="eastAsia"/>
                <w:kern w:val="0"/>
                <w:szCs w:val="21"/>
              </w:rPr>
              <w:t>120-240元/平方米</w:t>
            </w:r>
          </w:p>
        </w:tc>
        <w:tc>
          <w:tcPr>
            <w:tcW w:w="1341" w:type="pct"/>
            <w:vMerge w:val="restart"/>
            <w:shd w:val="clear" w:color="auto" w:fill="auto"/>
            <w:vAlign w:val="center"/>
          </w:tcPr>
          <w:p w14:paraId="59011167" w14:textId="77777777" w:rsidR="00A320E6" w:rsidRDefault="00000000" w:rsidP="00AE0286">
            <w:pPr>
              <w:jc w:val="center"/>
              <w:rPr>
                <w:rFonts w:ascii="宋体" w:hAnsi="宋体" w:cs="宋体"/>
                <w:kern w:val="0"/>
                <w:szCs w:val="21"/>
              </w:rPr>
            </w:pPr>
            <w:r>
              <w:rPr>
                <w:rFonts w:ascii="宋体" w:hAnsi="宋体" w:cs="宋体" w:hint="eastAsia"/>
                <w:kern w:val="0"/>
                <w:szCs w:val="21"/>
              </w:rPr>
              <w:t>旧料归原主。</w:t>
            </w:r>
          </w:p>
        </w:tc>
      </w:tr>
      <w:tr w:rsidR="00A320E6" w14:paraId="68103889" w14:textId="77777777" w:rsidTr="00621C83">
        <w:trPr>
          <w:trHeight w:val="312"/>
        </w:trPr>
        <w:tc>
          <w:tcPr>
            <w:tcW w:w="323" w:type="pct"/>
            <w:vMerge/>
            <w:shd w:val="clear" w:color="auto" w:fill="auto"/>
            <w:vAlign w:val="center"/>
          </w:tcPr>
          <w:p w14:paraId="02208D72"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35DEFB72"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466124A0" w14:textId="77777777" w:rsidR="00A320E6" w:rsidRDefault="00000000" w:rsidP="00AE0286">
            <w:pPr>
              <w:jc w:val="center"/>
              <w:rPr>
                <w:rFonts w:ascii="宋体" w:hAnsi="宋体" w:cs="宋体"/>
                <w:bCs/>
                <w:spacing w:val="-20"/>
                <w:kern w:val="0"/>
                <w:szCs w:val="21"/>
              </w:rPr>
            </w:pPr>
            <w:r>
              <w:rPr>
                <w:rFonts w:ascii="宋体" w:hAnsi="宋体" w:cs="宋体" w:hint="eastAsia"/>
                <w:bCs/>
                <w:spacing w:val="-20"/>
                <w:kern w:val="0"/>
                <w:szCs w:val="21"/>
              </w:rPr>
              <w:t>水泥硬化（厚度≤10厘米）</w:t>
            </w:r>
          </w:p>
        </w:tc>
        <w:tc>
          <w:tcPr>
            <w:tcW w:w="1379" w:type="pct"/>
            <w:gridSpan w:val="2"/>
            <w:shd w:val="clear" w:color="auto" w:fill="auto"/>
            <w:vAlign w:val="center"/>
          </w:tcPr>
          <w:p w14:paraId="17C6E14C" w14:textId="77777777" w:rsidR="00A320E6" w:rsidRDefault="00000000" w:rsidP="00AE0286">
            <w:pPr>
              <w:jc w:val="center"/>
              <w:rPr>
                <w:rFonts w:ascii="宋体" w:hAnsi="宋体" w:cs="宋体"/>
                <w:kern w:val="0"/>
                <w:szCs w:val="21"/>
              </w:rPr>
            </w:pPr>
            <w:r>
              <w:rPr>
                <w:rFonts w:ascii="宋体" w:hAnsi="宋体" w:cs="宋体" w:hint="eastAsia"/>
                <w:kern w:val="0"/>
                <w:szCs w:val="21"/>
              </w:rPr>
              <w:t>80-110元/平方米</w:t>
            </w:r>
          </w:p>
        </w:tc>
        <w:tc>
          <w:tcPr>
            <w:tcW w:w="1341" w:type="pct"/>
            <w:vMerge/>
            <w:shd w:val="clear" w:color="auto" w:fill="auto"/>
            <w:vAlign w:val="center"/>
          </w:tcPr>
          <w:p w14:paraId="43BDEBEA" w14:textId="77777777" w:rsidR="00A320E6" w:rsidRDefault="00A320E6" w:rsidP="00AE0286">
            <w:pPr>
              <w:jc w:val="left"/>
              <w:rPr>
                <w:rFonts w:ascii="宋体" w:hAnsi="宋体" w:cs="宋体"/>
                <w:kern w:val="0"/>
                <w:szCs w:val="21"/>
              </w:rPr>
            </w:pPr>
          </w:p>
        </w:tc>
      </w:tr>
      <w:tr w:rsidR="00A320E6" w14:paraId="4B6E2AC2" w14:textId="77777777" w:rsidTr="00621C83">
        <w:trPr>
          <w:trHeight w:val="312"/>
        </w:trPr>
        <w:tc>
          <w:tcPr>
            <w:tcW w:w="323" w:type="pct"/>
            <w:vMerge/>
            <w:shd w:val="clear" w:color="auto" w:fill="auto"/>
            <w:vAlign w:val="center"/>
          </w:tcPr>
          <w:p w14:paraId="5155D961"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65813082"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82ED600" w14:textId="77777777" w:rsidR="00A320E6" w:rsidRDefault="00000000" w:rsidP="00AE0286">
            <w:pPr>
              <w:jc w:val="center"/>
              <w:rPr>
                <w:rFonts w:ascii="宋体" w:hAnsi="宋体" w:cs="宋体"/>
                <w:bCs/>
                <w:spacing w:val="-20"/>
                <w:kern w:val="0"/>
                <w:szCs w:val="21"/>
              </w:rPr>
            </w:pPr>
            <w:r>
              <w:rPr>
                <w:rFonts w:ascii="宋体" w:hAnsi="宋体" w:cs="宋体" w:hint="eastAsia"/>
                <w:bCs/>
                <w:spacing w:val="-20"/>
                <w:kern w:val="0"/>
                <w:szCs w:val="21"/>
              </w:rPr>
              <w:t>水泥硬化（厚度10-15厘米）</w:t>
            </w:r>
          </w:p>
        </w:tc>
        <w:tc>
          <w:tcPr>
            <w:tcW w:w="1379" w:type="pct"/>
            <w:gridSpan w:val="2"/>
            <w:shd w:val="clear" w:color="auto" w:fill="auto"/>
            <w:vAlign w:val="center"/>
          </w:tcPr>
          <w:p w14:paraId="27D4919F" w14:textId="77777777" w:rsidR="00A320E6" w:rsidRDefault="00000000" w:rsidP="00AE0286">
            <w:pPr>
              <w:jc w:val="center"/>
              <w:rPr>
                <w:rFonts w:ascii="宋体" w:hAnsi="宋体" w:cs="宋体"/>
                <w:kern w:val="0"/>
                <w:szCs w:val="21"/>
              </w:rPr>
            </w:pPr>
            <w:r>
              <w:rPr>
                <w:rFonts w:ascii="宋体" w:hAnsi="宋体" w:cs="宋体" w:hint="eastAsia"/>
                <w:kern w:val="0"/>
                <w:szCs w:val="21"/>
              </w:rPr>
              <w:t>90-120元/平方米</w:t>
            </w:r>
          </w:p>
        </w:tc>
        <w:tc>
          <w:tcPr>
            <w:tcW w:w="1341" w:type="pct"/>
            <w:vMerge/>
            <w:shd w:val="clear" w:color="auto" w:fill="auto"/>
            <w:vAlign w:val="center"/>
          </w:tcPr>
          <w:p w14:paraId="20E34F83" w14:textId="77777777" w:rsidR="00A320E6" w:rsidRDefault="00A320E6" w:rsidP="00AE0286">
            <w:pPr>
              <w:jc w:val="left"/>
              <w:rPr>
                <w:rFonts w:ascii="宋体" w:hAnsi="宋体" w:cs="宋体"/>
                <w:kern w:val="0"/>
                <w:szCs w:val="21"/>
              </w:rPr>
            </w:pPr>
          </w:p>
        </w:tc>
      </w:tr>
      <w:tr w:rsidR="00A320E6" w14:paraId="477C296B" w14:textId="77777777" w:rsidTr="00621C83">
        <w:trPr>
          <w:trHeight w:val="312"/>
        </w:trPr>
        <w:tc>
          <w:tcPr>
            <w:tcW w:w="323" w:type="pct"/>
            <w:vMerge/>
            <w:shd w:val="clear" w:color="auto" w:fill="auto"/>
            <w:vAlign w:val="center"/>
          </w:tcPr>
          <w:p w14:paraId="5C6B29F8"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1635F29A"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EA8B9D0" w14:textId="77777777" w:rsidR="00A320E6" w:rsidRDefault="00000000" w:rsidP="00AE0286">
            <w:pPr>
              <w:jc w:val="center"/>
              <w:rPr>
                <w:rFonts w:ascii="宋体" w:hAnsi="宋体" w:cs="宋体"/>
                <w:bCs/>
                <w:spacing w:val="-20"/>
                <w:kern w:val="0"/>
                <w:szCs w:val="21"/>
              </w:rPr>
            </w:pPr>
            <w:r>
              <w:rPr>
                <w:rFonts w:ascii="宋体" w:hAnsi="宋体" w:cs="宋体" w:hint="eastAsia"/>
                <w:bCs/>
                <w:spacing w:val="-20"/>
                <w:kern w:val="0"/>
                <w:szCs w:val="21"/>
              </w:rPr>
              <w:t>水泥硬化（厚度15-25厘米）</w:t>
            </w:r>
          </w:p>
        </w:tc>
        <w:tc>
          <w:tcPr>
            <w:tcW w:w="1379" w:type="pct"/>
            <w:gridSpan w:val="2"/>
            <w:shd w:val="clear" w:color="auto" w:fill="auto"/>
            <w:vAlign w:val="center"/>
          </w:tcPr>
          <w:p w14:paraId="19ED3F6D" w14:textId="77777777" w:rsidR="00A320E6" w:rsidRDefault="00000000" w:rsidP="00AE0286">
            <w:pPr>
              <w:jc w:val="center"/>
              <w:rPr>
                <w:rFonts w:ascii="宋体" w:hAnsi="宋体" w:cs="宋体"/>
                <w:kern w:val="0"/>
                <w:szCs w:val="21"/>
              </w:rPr>
            </w:pPr>
            <w:r>
              <w:rPr>
                <w:rFonts w:ascii="宋体" w:hAnsi="宋体" w:cs="宋体" w:hint="eastAsia"/>
                <w:kern w:val="0"/>
                <w:szCs w:val="21"/>
              </w:rPr>
              <w:t>100-130元/平方米</w:t>
            </w:r>
          </w:p>
        </w:tc>
        <w:tc>
          <w:tcPr>
            <w:tcW w:w="1341" w:type="pct"/>
            <w:vMerge/>
            <w:shd w:val="clear" w:color="auto" w:fill="auto"/>
            <w:vAlign w:val="center"/>
          </w:tcPr>
          <w:p w14:paraId="3DA6EA6D" w14:textId="77777777" w:rsidR="00A320E6" w:rsidRDefault="00A320E6" w:rsidP="00AE0286">
            <w:pPr>
              <w:jc w:val="left"/>
              <w:rPr>
                <w:rFonts w:ascii="宋体" w:hAnsi="宋体" w:cs="宋体"/>
                <w:kern w:val="0"/>
                <w:szCs w:val="21"/>
              </w:rPr>
            </w:pPr>
          </w:p>
        </w:tc>
      </w:tr>
      <w:tr w:rsidR="00A320E6" w14:paraId="2BD999F0" w14:textId="77777777" w:rsidTr="00621C83">
        <w:trPr>
          <w:trHeight w:val="312"/>
        </w:trPr>
        <w:tc>
          <w:tcPr>
            <w:tcW w:w="323" w:type="pct"/>
            <w:vMerge/>
            <w:shd w:val="clear" w:color="auto" w:fill="auto"/>
            <w:vAlign w:val="center"/>
          </w:tcPr>
          <w:p w14:paraId="014DD534"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21F8CB83"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60A42D17" w14:textId="77777777" w:rsidR="00A320E6" w:rsidRDefault="00000000" w:rsidP="00AE0286">
            <w:pPr>
              <w:jc w:val="center"/>
              <w:rPr>
                <w:rFonts w:ascii="宋体" w:hAnsi="宋体" w:cs="宋体"/>
                <w:bCs/>
                <w:spacing w:val="-20"/>
                <w:kern w:val="0"/>
                <w:szCs w:val="21"/>
              </w:rPr>
            </w:pPr>
            <w:r>
              <w:rPr>
                <w:rFonts w:ascii="宋体" w:hAnsi="宋体" w:cs="宋体" w:hint="eastAsia"/>
                <w:bCs/>
                <w:spacing w:val="-20"/>
                <w:kern w:val="0"/>
                <w:szCs w:val="21"/>
              </w:rPr>
              <w:t>水泥硬化（厚度＞25厘米）</w:t>
            </w:r>
          </w:p>
        </w:tc>
        <w:tc>
          <w:tcPr>
            <w:tcW w:w="1379" w:type="pct"/>
            <w:gridSpan w:val="2"/>
            <w:shd w:val="clear" w:color="auto" w:fill="auto"/>
            <w:vAlign w:val="center"/>
          </w:tcPr>
          <w:p w14:paraId="1562C228" w14:textId="77777777" w:rsidR="00A320E6" w:rsidRDefault="00000000" w:rsidP="00AE0286">
            <w:pPr>
              <w:jc w:val="center"/>
              <w:rPr>
                <w:rFonts w:ascii="宋体" w:hAnsi="宋体" w:cs="宋体"/>
                <w:kern w:val="0"/>
                <w:szCs w:val="21"/>
              </w:rPr>
            </w:pPr>
            <w:r>
              <w:rPr>
                <w:rFonts w:ascii="宋体" w:hAnsi="宋体" w:cs="宋体" w:hint="eastAsia"/>
                <w:kern w:val="0"/>
                <w:szCs w:val="21"/>
              </w:rPr>
              <w:t>110-140元/平方米</w:t>
            </w:r>
          </w:p>
        </w:tc>
        <w:tc>
          <w:tcPr>
            <w:tcW w:w="1341" w:type="pct"/>
            <w:vMerge/>
            <w:shd w:val="clear" w:color="auto" w:fill="auto"/>
            <w:vAlign w:val="center"/>
          </w:tcPr>
          <w:p w14:paraId="08BF3ED1" w14:textId="77777777" w:rsidR="00A320E6" w:rsidRDefault="00A320E6" w:rsidP="00AE0286">
            <w:pPr>
              <w:jc w:val="left"/>
              <w:rPr>
                <w:rFonts w:ascii="宋体" w:hAnsi="宋体" w:cs="宋体"/>
                <w:kern w:val="0"/>
                <w:szCs w:val="21"/>
              </w:rPr>
            </w:pPr>
          </w:p>
        </w:tc>
      </w:tr>
      <w:tr w:rsidR="00A320E6" w14:paraId="581EC70D" w14:textId="77777777" w:rsidTr="00621C83">
        <w:trPr>
          <w:trHeight w:val="312"/>
        </w:trPr>
        <w:tc>
          <w:tcPr>
            <w:tcW w:w="323" w:type="pct"/>
            <w:vMerge/>
            <w:shd w:val="clear" w:color="auto" w:fill="auto"/>
            <w:vAlign w:val="center"/>
          </w:tcPr>
          <w:p w14:paraId="55F36700"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75C34A88"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600F33F2" w14:textId="77777777" w:rsidR="00A320E6" w:rsidRDefault="00000000" w:rsidP="00AE0286">
            <w:pPr>
              <w:jc w:val="center"/>
              <w:rPr>
                <w:rFonts w:ascii="宋体" w:hAnsi="宋体" w:cs="宋体"/>
                <w:kern w:val="0"/>
                <w:szCs w:val="21"/>
              </w:rPr>
            </w:pPr>
            <w:r>
              <w:rPr>
                <w:rFonts w:ascii="宋体" w:hAnsi="宋体" w:cs="宋体" w:hint="eastAsia"/>
                <w:kern w:val="0"/>
                <w:szCs w:val="21"/>
              </w:rPr>
              <w:t>砂石路面</w:t>
            </w:r>
          </w:p>
        </w:tc>
        <w:tc>
          <w:tcPr>
            <w:tcW w:w="1379" w:type="pct"/>
            <w:gridSpan w:val="2"/>
            <w:shd w:val="clear" w:color="auto" w:fill="auto"/>
            <w:vAlign w:val="center"/>
          </w:tcPr>
          <w:p w14:paraId="4248C486" w14:textId="77777777" w:rsidR="00A320E6" w:rsidRDefault="00000000" w:rsidP="00AE0286">
            <w:pPr>
              <w:jc w:val="center"/>
              <w:rPr>
                <w:rFonts w:ascii="宋体" w:hAnsi="宋体" w:cs="宋体"/>
                <w:kern w:val="0"/>
                <w:szCs w:val="21"/>
              </w:rPr>
            </w:pPr>
            <w:r>
              <w:rPr>
                <w:rFonts w:ascii="宋体" w:hAnsi="宋体" w:cs="宋体" w:hint="eastAsia"/>
                <w:kern w:val="0"/>
                <w:szCs w:val="21"/>
              </w:rPr>
              <w:t>30-50元/平方米</w:t>
            </w:r>
          </w:p>
        </w:tc>
        <w:tc>
          <w:tcPr>
            <w:tcW w:w="1341" w:type="pct"/>
            <w:vMerge/>
            <w:shd w:val="clear" w:color="auto" w:fill="auto"/>
            <w:vAlign w:val="center"/>
          </w:tcPr>
          <w:p w14:paraId="7CA81AF3" w14:textId="77777777" w:rsidR="00A320E6" w:rsidRDefault="00A320E6" w:rsidP="00AE0286">
            <w:pPr>
              <w:jc w:val="left"/>
              <w:rPr>
                <w:rFonts w:ascii="宋体" w:hAnsi="宋体" w:cs="宋体"/>
                <w:kern w:val="0"/>
                <w:szCs w:val="21"/>
              </w:rPr>
            </w:pPr>
          </w:p>
        </w:tc>
      </w:tr>
      <w:tr w:rsidR="00A320E6" w14:paraId="6904C513" w14:textId="77777777" w:rsidTr="00621C83">
        <w:trPr>
          <w:trHeight w:val="312"/>
        </w:trPr>
        <w:tc>
          <w:tcPr>
            <w:tcW w:w="323" w:type="pct"/>
            <w:vMerge w:val="restart"/>
            <w:shd w:val="clear" w:color="auto" w:fill="auto"/>
            <w:vAlign w:val="center"/>
          </w:tcPr>
          <w:p w14:paraId="2FC7116B" w14:textId="77777777" w:rsidR="00A320E6" w:rsidRDefault="00000000" w:rsidP="00AE0286">
            <w:pPr>
              <w:jc w:val="center"/>
              <w:rPr>
                <w:rFonts w:ascii="宋体" w:hAnsi="宋体" w:cs="宋体"/>
                <w:kern w:val="0"/>
                <w:szCs w:val="21"/>
              </w:rPr>
            </w:pPr>
            <w:r>
              <w:rPr>
                <w:rFonts w:ascii="宋体" w:hAnsi="宋体" w:cs="宋体" w:hint="eastAsia"/>
                <w:kern w:val="0"/>
                <w:szCs w:val="21"/>
              </w:rPr>
              <w:t>14</w:t>
            </w:r>
          </w:p>
        </w:tc>
        <w:tc>
          <w:tcPr>
            <w:tcW w:w="486" w:type="pct"/>
            <w:vMerge w:val="restart"/>
            <w:shd w:val="clear" w:color="auto" w:fill="auto"/>
            <w:vAlign w:val="center"/>
          </w:tcPr>
          <w:p w14:paraId="02F40B98" w14:textId="77777777" w:rsidR="00A320E6" w:rsidRDefault="00000000" w:rsidP="00AE0286">
            <w:pPr>
              <w:jc w:val="center"/>
              <w:rPr>
                <w:rFonts w:ascii="宋体" w:hAnsi="宋体" w:cs="宋体"/>
                <w:kern w:val="0"/>
                <w:szCs w:val="21"/>
              </w:rPr>
            </w:pPr>
            <w:r>
              <w:rPr>
                <w:rFonts w:ascii="宋体" w:hAnsi="宋体" w:cs="宋体" w:hint="eastAsia"/>
                <w:kern w:val="0"/>
                <w:szCs w:val="21"/>
              </w:rPr>
              <w:t>乔木</w:t>
            </w:r>
          </w:p>
        </w:tc>
        <w:tc>
          <w:tcPr>
            <w:tcW w:w="1470" w:type="pct"/>
            <w:gridSpan w:val="2"/>
            <w:shd w:val="clear" w:color="auto" w:fill="auto"/>
            <w:vAlign w:val="center"/>
          </w:tcPr>
          <w:p w14:paraId="676D71E6" w14:textId="77777777" w:rsidR="00A320E6" w:rsidRDefault="00000000" w:rsidP="00AE0286">
            <w:pPr>
              <w:jc w:val="center"/>
              <w:rPr>
                <w:rFonts w:ascii="宋体" w:hAnsi="宋体" w:cs="宋体"/>
                <w:kern w:val="0"/>
                <w:szCs w:val="21"/>
              </w:rPr>
            </w:pPr>
            <w:r>
              <w:rPr>
                <w:rFonts w:ascii="宋体" w:hAnsi="宋体" w:cs="宋体" w:hint="eastAsia"/>
                <w:kern w:val="0"/>
                <w:szCs w:val="21"/>
              </w:rPr>
              <w:t>胸径小于5厘米</w:t>
            </w:r>
          </w:p>
          <w:p w14:paraId="6CB780C9" w14:textId="77777777" w:rsidR="00A320E6" w:rsidRDefault="00000000" w:rsidP="00AE0286">
            <w:pPr>
              <w:jc w:val="center"/>
              <w:rPr>
                <w:rFonts w:ascii="宋体" w:hAnsi="宋体" w:cs="宋体"/>
                <w:kern w:val="0"/>
                <w:szCs w:val="21"/>
              </w:rPr>
            </w:pPr>
            <w:r>
              <w:rPr>
                <w:rFonts w:ascii="宋体" w:hAnsi="宋体" w:cs="宋体" w:hint="eastAsia"/>
                <w:kern w:val="0"/>
                <w:szCs w:val="21"/>
              </w:rPr>
              <w:t>（松柏树小于3厘米）</w:t>
            </w:r>
          </w:p>
        </w:tc>
        <w:tc>
          <w:tcPr>
            <w:tcW w:w="1379" w:type="pct"/>
            <w:gridSpan w:val="2"/>
            <w:shd w:val="clear" w:color="auto" w:fill="auto"/>
            <w:vAlign w:val="center"/>
          </w:tcPr>
          <w:p w14:paraId="56D49601" w14:textId="77777777" w:rsidR="00A320E6" w:rsidRDefault="00000000" w:rsidP="00AE0286">
            <w:pPr>
              <w:jc w:val="center"/>
              <w:rPr>
                <w:rFonts w:ascii="宋体" w:hAnsi="宋体" w:cs="宋体"/>
                <w:kern w:val="0"/>
                <w:szCs w:val="21"/>
              </w:rPr>
            </w:pPr>
            <w:r>
              <w:rPr>
                <w:rFonts w:ascii="宋体" w:hAnsi="宋体" w:cs="宋体" w:hint="eastAsia"/>
                <w:kern w:val="0"/>
                <w:szCs w:val="21"/>
              </w:rPr>
              <w:t>15-30元/株</w:t>
            </w:r>
          </w:p>
        </w:tc>
        <w:tc>
          <w:tcPr>
            <w:tcW w:w="1341" w:type="pct"/>
            <w:vMerge w:val="restart"/>
            <w:shd w:val="clear" w:color="auto" w:fill="auto"/>
            <w:vAlign w:val="center"/>
          </w:tcPr>
          <w:p w14:paraId="348B8F49" w14:textId="77777777" w:rsidR="00A320E6" w:rsidRDefault="00000000" w:rsidP="00AE0286">
            <w:pPr>
              <w:jc w:val="center"/>
              <w:rPr>
                <w:rFonts w:ascii="宋体" w:hAnsi="宋体" w:cs="宋体"/>
                <w:kern w:val="0"/>
                <w:szCs w:val="21"/>
              </w:rPr>
            </w:pPr>
            <w:r>
              <w:rPr>
                <w:rFonts w:ascii="宋体" w:hAnsi="宋体" w:cs="宋体" w:hint="eastAsia"/>
                <w:bCs/>
                <w:kern w:val="0"/>
                <w:szCs w:val="21"/>
              </w:rPr>
              <w:t>1.乔木系指用材林种。</w:t>
            </w:r>
            <w:r>
              <w:rPr>
                <w:rFonts w:ascii="宋体" w:hAnsi="宋体" w:cs="宋体" w:hint="eastAsia"/>
                <w:kern w:val="0"/>
                <w:szCs w:val="21"/>
              </w:rPr>
              <w:t>2.乔木的合理密植度由林业、园林等部门根据树种认定。3.观赏、绿化类等特殊树种补偿标准可委托有资质的机构评估或由林业、园林等部门认证。4.树归原主。</w:t>
            </w:r>
          </w:p>
        </w:tc>
      </w:tr>
      <w:tr w:rsidR="00A320E6" w14:paraId="0B11AD09" w14:textId="77777777" w:rsidTr="00621C83">
        <w:trPr>
          <w:trHeight w:val="312"/>
        </w:trPr>
        <w:tc>
          <w:tcPr>
            <w:tcW w:w="323" w:type="pct"/>
            <w:vMerge/>
            <w:shd w:val="clear" w:color="auto" w:fill="auto"/>
            <w:vAlign w:val="center"/>
          </w:tcPr>
          <w:p w14:paraId="770956C5"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3C52C0D9"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4DBD1348" w14:textId="77777777" w:rsidR="00A320E6" w:rsidRDefault="00000000" w:rsidP="00AE0286">
            <w:pPr>
              <w:jc w:val="center"/>
              <w:rPr>
                <w:rFonts w:ascii="宋体" w:hAnsi="宋体" w:cs="宋体"/>
                <w:kern w:val="0"/>
                <w:szCs w:val="21"/>
              </w:rPr>
            </w:pPr>
            <w:r>
              <w:rPr>
                <w:rFonts w:ascii="宋体" w:hAnsi="宋体" w:cs="宋体" w:hint="eastAsia"/>
                <w:kern w:val="0"/>
                <w:szCs w:val="21"/>
              </w:rPr>
              <w:t>胸径5-10厘米</w:t>
            </w:r>
          </w:p>
          <w:p w14:paraId="699991D0" w14:textId="77777777" w:rsidR="00A320E6" w:rsidRDefault="00000000" w:rsidP="00AE0286">
            <w:pPr>
              <w:jc w:val="center"/>
              <w:rPr>
                <w:rFonts w:ascii="宋体" w:hAnsi="宋体" w:cs="宋体"/>
                <w:kern w:val="0"/>
                <w:szCs w:val="21"/>
              </w:rPr>
            </w:pPr>
            <w:r>
              <w:rPr>
                <w:rFonts w:ascii="宋体" w:hAnsi="宋体" w:cs="宋体" w:hint="eastAsia"/>
                <w:kern w:val="0"/>
                <w:szCs w:val="21"/>
              </w:rPr>
              <w:t>（松柏树3-6厘米）</w:t>
            </w:r>
          </w:p>
        </w:tc>
        <w:tc>
          <w:tcPr>
            <w:tcW w:w="1379" w:type="pct"/>
            <w:gridSpan w:val="2"/>
            <w:shd w:val="clear" w:color="auto" w:fill="auto"/>
            <w:vAlign w:val="center"/>
          </w:tcPr>
          <w:p w14:paraId="437BBE8A" w14:textId="77777777" w:rsidR="00A320E6" w:rsidRDefault="00000000" w:rsidP="00AE0286">
            <w:pPr>
              <w:jc w:val="center"/>
              <w:rPr>
                <w:rFonts w:ascii="宋体" w:hAnsi="宋体" w:cs="宋体"/>
                <w:kern w:val="0"/>
                <w:szCs w:val="21"/>
              </w:rPr>
            </w:pPr>
            <w:r>
              <w:rPr>
                <w:rFonts w:ascii="宋体" w:hAnsi="宋体" w:cs="宋体" w:hint="eastAsia"/>
                <w:kern w:val="0"/>
                <w:szCs w:val="21"/>
              </w:rPr>
              <w:t>45-80元/株</w:t>
            </w:r>
          </w:p>
        </w:tc>
        <w:tc>
          <w:tcPr>
            <w:tcW w:w="1341" w:type="pct"/>
            <w:vMerge/>
            <w:shd w:val="clear" w:color="auto" w:fill="auto"/>
            <w:vAlign w:val="center"/>
          </w:tcPr>
          <w:p w14:paraId="7D499623" w14:textId="77777777" w:rsidR="00A320E6" w:rsidRDefault="00A320E6" w:rsidP="00AE0286">
            <w:pPr>
              <w:jc w:val="left"/>
              <w:rPr>
                <w:rFonts w:ascii="宋体" w:hAnsi="宋体" w:cs="宋体"/>
                <w:kern w:val="0"/>
                <w:szCs w:val="21"/>
              </w:rPr>
            </w:pPr>
          </w:p>
        </w:tc>
      </w:tr>
      <w:tr w:rsidR="00A320E6" w14:paraId="264D9E03" w14:textId="77777777" w:rsidTr="00621C83">
        <w:trPr>
          <w:trHeight w:val="312"/>
        </w:trPr>
        <w:tc>
          <w:tcPr>
            <w:tcW w:w="323" w:type="pct"/>
            <w:vMerge/>
            <w:shd w:val="clear" w:color="auto" w:fill="auto"/>
            <w:vAlign w:val="center"/>
          </w:tcPr>
          <w:p w14:paraId="4027F089"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57438F6F"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55E28318" w14:textId="77777777" w:rsidR="00A320E6" w:rsidRDefault="00000000" w:rsidP="00AE0286">
            <w:pPr>
              <w:jc w:val="center"/>
              <w:rPr>
                <w:rFonts w:ascii="宋体" w:hAnsi="宋体" w:cs="宋体"/>
                <w:kern w:val="0"/>
                <w:szCs w:val="21"/>
              </w:rPr>
            </w:pPr>
            <w:r>
              <w:rPr>
                <w:rFonts w:ascii="宋体" w:hAnsi="宋体" w:cs="宋体" w:hint="eastAsia"/>
                <w:kern w:val="0"/>
                <w:szCs w:val="21"/>
              </w:rPr>
              <w:t>胸径10-20厘米</w:t>
            </w:r>
          </w:p>
          <w:p w14:paraId="6DCC0D87" w14:textId="77777777" w:rsidR="00A320E6" w:rsidRDefault="00000000" w:rsidP="00AE0286">
            <w:pPr>
              <w:jc w:val="center"/>
              <w:rPr>
                <w:rFonts w:ascii="宋体" w:hAnsi="宋体" w:cs="宋体"/>
                <w:kern w:val="0"/>
                <w:szCs w:val="21"/>
              </w:rPr>
            </w:pPr>
            <w:r>
              <w:rPr>
                <w:rFonts w:ascii="宋体" w:hAnsi="宋体" w:cs="宋体" w:hint="eastAsia"/>
                <w:kern w:val="0"/>
                <w:szCs w:val="21"/>
              </w:rPr>
              <w:t>（松柏树6-10厘米）</w:t>
            </w:r>
          </w:p>
        </w:tc>
        <w:tc>
          <w:tcPr>
            <w:tcW w:w="1379" w:type="pct"/>
            <w:gridSpan w:val="2"/>
            <w:shd w:val="clear" w:color="auto" w:fill="auto"/>
            <w:vAlign w:val="center"/>
          </w:tcPr>
          <w:p w14:paraId="482FDDC4" w14:textId="77777777" w:rsidR="00A320E6" w:rsidRDefault="00000000" w:rsidP="00AE0286">
            <w:pPr>
              <w:jc w:val="center"/>
              <w:rPr>
                <w:rFonts w:ascii="宋体" w:hAnsi="宋体" w:cs="宋体"/>
                <w:kern w:val="0"/>
                <w:szCs w:val="21"/>
              </w:rPr>
            </w:pPr>
            <w:r>
              <w:rPr>
                <w:rFonts w:ascii="宋体" w:hAnsi="宋体" w:cs="宋体" w:hint="eastAsia"/>
                <w:kern w:val="0"/>
                <w:szCs w:val="21"/>
              </w:rPr>
              <w:t>80-100元/株</w:t>
            </w:r>
          </w:p>
        </w:tc>
        <w:tc>
          <w:tcPr>
            <w:tcW w:w="1341" w:type="pct"/>
            <w:vMerge/>
            <w:shd w:val="clear" w:color="auto" w:fill="auto"/>
            <w:vAlign w:val="center"/>
          </w:tcPr>
          <w:p w14:paraId="6F5B8D6E" w14:textId="77777777" w:rsidR="00A320E6" w:rsidRDefault="00A320E6" w:rsidP="00AE0286">
            <w:pPr>
              <w:jc w:val="left"/>
              <w:rPr>
                <w:rFonts w:ascii="宋体" w:hAnsi="宋体" w:cs="宋体"/>
                <w:kern w:val="0"/>
                <w:szCs w:val="21"/>
              </w:rPr>
            </w:pPr>
          </w:p>
        </w:tc>
      </w:tr>
      <w:tr w:rsidR="00A320E6" w14:paraId="2475C6EC" w14:textId="77777777" w:rsidTr="00621C83">
        <w:trPr>
          <w:trHeight w:val="312"/>
        </w:trPr>
        <w:tc>
          <w:tcPr>
            <w:tcW w:w="323" w:type="pct"/>
            <w:vMerge/>
            <w:shd w:val="clear" w:color="auto" w:fill="auto"/>
            <w:vAlign w:val="center"/>
          </w:tcPr>
          <w:p w14:paraId="0AB3A60B"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28F5BC61"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76489A8B" w14:textId="77777777" w:rsidR="00A320E6" w:rsidRDefault="00000000" w:rsidP="00AE0286">
            <w:pPr>
              <w:jc w:val="center"/>
              <w:rPr>
                <w:rFonts w:ascii="宋体" w:hAnsi="宋体" w:cs="宋体"/>
                <w:kern w:val="0"/>
                <w:szCs w:val="21"/>
              </w:rPr>
            </w:pPr>
            <w:r>
              <w:rPr>
                <w:rFonts w:ascii="宋体" w:hAnsi="宋体" w:cs="宋体" w:hint="eastAsia"/>
                <w:kern w:val="0"/>
                <w:szCs w:val="21"/>
              </w:rPr>
              <w:t>胸径20-50厘米</w:t>
            </w:r>
          </w:p>
          <w:p w14:paraId="5A5DC75F" w14:textId="77777777" w:rsidR="00A320E6" w:rsidRDefault="00000000" w:rsidP="00AE0286">
            <w:pPr>
              <w:jc w:val="center"/>
              <w:rPr>
                <w:rFonts w:ascii="宋体" w:hAnsi="宋体" w:cs="宋体"/>
                <w:kern w:val="0"/>
                <w:szCs w:val="21"/>
              </w:rPr>
            </w:pPr>
            <w:r>
              <w:rPr>
                <w:rFonts w:ascii="宋体" w:hAnsi="宋体" w:cs="宋体" w:hint="eastAsia"/>
                <w:kern w:val="0"/>
                <w:szCs w:val="21"/>
              </w:rPr>
              <w:t>（松柏树10-20厘米）</w:t>
            </w:r>
          </w:p>
        </w:tc>
        <w:tc>
          <w:tcPr>
            <w:tcW w:w="1379" w:type="pct"/>
            <w:gridSpan w:val="2"/>
            <w:shd w:val="clear" w:color="auto" w:fill="auto"/>
            <w:vAlign w:val="center"/>
          </w:tcPr>
          <w:p w14:paraId="5AB67189" w14:textId="77777777" w:rsidR="00A320E6" w:rsidRDefault="00000000" w:rsidP="00AE0286">
            <w:pPr>
              <w:jc w:val="center"/>
              <w:rPr>
                <w:rFonts w:ascii="宋体" w:hAnsi="宋体" w:cs="宋体"/>
                <w:kern w:val="0"/>
                <w:szCs w:val="21"/>
              </w:rPr>
            </w:pPr>
            <w:r>
              <w:rPr>
                <w:rFonts w:ascii="宋体" w:hAnsi="宋体" w:cs="宋体" w:hint="eastAsia"/>
                <w:kern w:val="0"/>
                <w:szCs w:val="21"/>
              </w:rPr>
              <w:t>100-200元/株</w:t>
            </w:r>
          </w:p>
        </w:tc>
        <w:tc>
          <w:tcPr>
            <w:tcW w:w="1341" w:type="pct"/>
            <w:vMerge/>
            <w:shd w:val="clear" w:color="auto" w:fill="auto"/>
            <w:vAlign w:val="center"/>
          </w:tcPr>
          <w:p w14:paraId="242E6F6F" w14:textId="77777777" w:rsidR="00A320E6" w:rsidRDefault="00A320E6" w:rsidP="00AE0286">
            <w:pPr>
              <w:jc w:val="left"/>
              <w:rPr>
                <w:rFonts w:ascii="宋体" w:hAnsi="宋体" w:cs="宋体"/>
                <w:kern w:val="0"/>
                <w:szCs w:val="21"/>
              </w:rPr>
            </w:pPr>
          </w:p>
        </w:tc>
      </w:tr>
      <w:tr w:rsidR="00A320E6" w14:paraId="476474CA" w14:textId="77777777" w:rsidTr="00621C83">
        <w:trPr>
          <w:trHeight w:val="312"/>
        </w:trPr>
        <w:tc>
          <w:tcPr>
            <w:tcW w:w="323" w:type="pct"/>
            <w:vMerge/>
            <w:shd w:val="clear" w:color="auto" w:fill="auto"/>
            <w:vAlign w:val="center"/>
          </w:tcPr>
          <w:p w14:paraId="555D1E28"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705AB6E0"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6326A11D" w14:textId="77777777" w:rsidR="00A320E6" w:rsidRDefault="00000000" w:rsidP="00AE0286">
            <w:pPr>
              <w:jc w:val="center"/>
              <w:rPr>
                <w:rFonts w:ascii="宋体" w:hAnsi="宋体" w:cs="宋体"/>
                <w:kern w:val="0"/>
                <w:szCs w:val="21"/>
              </w:rPr>
            </w:pPr>
            <w:r>
              <w:rPr>
                <w:rFonts w:ascii="宋体" w:hAnsi="宋体" w:cs="宋体" w:hint="eastAsia"/>
                <w:kern w:val="0"/>
                <w:szCs w:val="21"/>
              </w:rPr>
              <w:t>胸径50厘米以上</w:t>
            </w:r>
          </w:p>
          <w:p w14:paraId="5BFFCB8C" w14:textId="77777777" w:rsidR="00A320E6" w:rsidRDefault="00000000" w:rsidP="00AE0286">
            <w:pPr>
              <w:jc w:val="center"/>
              <w:rPr>
                <w:rFonts w:ascii="宋体" w:hAnsi="宋体" w:cs="宋体"/>
                <w:kern w:val="0"/>
                <w:szCs w:val="21"/>
              </w:rPr>
            </w:pPr>
            <w:r>
              <w:rPr>
                <w:rFonts w:ascii="宋体" w:hAnsi="宋体" w:cs="宋体" w:hint="eastAsia"/>
                <w:kern w:val="0"/>
                <w:szCs w:val="21"/>
              </w:rPr>
              <w:t>（松柏树20厘米以上）</w:t>
            </w:r>
          </w:p>
        </w:tc>
        <w:tc>
          <w:tcPr>
            <w:tcW w:w="1379" w:type="pct"/>
            <w:gridSpan w:val="2"/>
            <w:shd w:val="clear" w:color="auto" w:fill="auto"/>
            <w:vAlign w:val="center"/>
          </w:tcPr>
          <w:p w14:paraId="7F3096EB" w14:textId="77777777" w:rsidR="00A320E6" w:rsidRDefault="00000000" w:rsidP="00AE0286">
            <w:pPr>
              <w:jc w:val="center"/>
              <w:rPr>
                <w:rFonts w:ascii="宋体" w:hAnsi="宋体" w:cs="宋体"/>
                <w:kern w:val="0"/>
                <w:szCs w:val="21"/>
              </w:rPr>
            </w:pPr>
            <w:r>
              <w:rPr>
                <w:rFonts w:ascii="宋体" w:hAnsi="宋体" w:cs="宋体" w:hint="eastAsia"/>
                <w:kern w:val="0"/>
                <w:szCs w:val="21"/>
              </w:rPr>
              <w:t>300元/株</w:t>
            </w:r>
          </w:p>
        </w:tc>
        <w:tc>
          <w:tcPr>
            <w:tcW w:w="1341" w:type="pct"/>
            <w:vMerge/>
            <w:shd w:val="clear" w:color="auto" w:fill="auto"/>
            <w:vAlign w:val="center"/>
          </w:tcPr>
          <w:p w14:paraId="061AA624" w14:textId="77777777" w:rsidR="00A320E6" w:rsidRDefault="00A320E6" w:rsidP="00AE0286">
            <w:pPr>
              <w:jc w:val="left"/>
              <w:rPr>
                <w:rFonts w:ascii="宋体" w:hAnsi="宋体" w:cs="宋体"/>
                <w:kern w:val="0"/>
                <w:szCs w:val="21"/>
              </w:rPr>
            </w:pPr>
          </w:p>
        </w:tc>
      </w:tr>
      <w:tr w:rsidR="00A320E6" w14:paraId="046D59AB" w14:textId="77777777" w:rsidTr="00621C83">
        <w:trPr>
          <w:trHeight w:val="312"/>
        </w:trPr>
        <w:tc>
          <w:tcPr>
            <w:tcW w:w="323" w:type="pct"/>
            <w:vMerge w:val="restart"/>
            <w:shd w:val="clear" w:color="auto" w:fill="auto"/>
            <w:vAlign w:val="center"/>
          </w:tcPr>
          <w:p w14:paraId="73E14EAF" w14:textId="77777777" w:rsidR="00A320E6" w:rsidRDefault="00000000" w:rsidP="00AE0286">
            <w:pPr>
              <w:jc w:val="center"/>
              <w:rPr>
                <w:rFonts w:ascii="宋体" w:hAnsi="宋体" w:cs="宋体"/>
                <w:kern w:val="0"/>
                <w:szCs w:val="21"/>
              </w:rPr>
            </w:pPr>
            <w:r>
              <w:rPr>
                <w:rFonts w:ascii="宋体" w:hAnsi="宋体" w:cs="宋体" w:hint="eastAsia"/>
                <w:kern w:val="0"/>
                <w:szCs w:val="21"/>
              </w:rPr>
              <w:t>15</w:t>
            </w:r>
          </w:p>
        </w:tc>
        <w:tc>
          <w:tcPr>
            <w:tcW w:w="486" w:type="pct"/>
            <w:vMerge w:val="restart"/>
            <w:shd w:val="clear" w:color="auto" w:fill="auto"/>
            <w:vAlign w:val="center"/>
          </w:tcPr>
          <w:p w14:paraId="25947F98" w14:textId="77777777" w:rsidR="00A320E6" w:rsidRDefault="00000000" w:rsidP="00AE0286">
            <w:pPr>
              <w:jc w:val="center"/>
              <w:rPr>
                <w:rFonts w:ascii="宋体" w:hAnsi="宋体" w:cs="宋体"/>
                <w:kern w:val="0"/>
                <w:szCs w:val="21"/>
              </w:rPr>
            </w:pPr>
            <w:r>
              <w:rPr>
                <w:rFonts w:ascii="宋体" w:hAnsi="宋体" w:cs="宋体" w:hint="eastAsia"/>
                <w:kern w:val="0"/>
                <w:szCs w:val="21"/>
              </w:rPr>
              <w:t>灌木</w:t>
            </w:r>
          </w:p>
        </w:tc>
        <w:tc>
          <w:tcPr>
            <w:tcW w:w="1470" w:type="pct"/>
            <w:gridSpan w:val="2"/>
            <w:shd w:val="clear" w:color="auto" w:fill="auto"/>
            <w:vAlign w:val="center"/>
          </w:tcPr>
          <w:p w14:paraId="4CEFB2F9" w14:textId="77777777" w:rsidR="00A320E6" w:rsidRDefault="00000000" w:rsidP="00AE0286">
            <w:pPr>
              <w:jc w:val="center"/>
              <w:rPr>
                <w:rFonts w:ascii="宋体" w:hAnsi="宋体" w:cs="宋体"/>
                <w:kern w:val="0"/>
                <w:szCs w:val="21"/>
              </w:rPr>
            </w:pPr>
            <w:r>
              <w:rPr>
                <w:rFonts w:ascii="宋体" w:hAnsi="宋体" w:cs="宋体" w:hint="eastAsia"/>
                <w:kern w:val="0"/>
                <w:szCs w:val="21"/>
              </w:rPr>
              <w:t>一年生以内</w:t>
            </w:r>
          </w:p>
        </w:tc>
        <w:tc>
          <w:tcPr>
            <w:tcW w:w="1379" w:type="pct"/>
            <w:gridSpan w:val="2"/>
            <w:shd w:val="clear" w:color="auto" w:fill="auto"/>
            <w:vAlign w:val="center"/>
          </w:tcPr>
          <w:p w14:paraId="22B1E29C" w14:textId="77777777" w:rsidR="00A320E6" w:rsidRDefault="00000000" w:rsidP="00AE0286">
            <w:pPr>
              <w:jc w:val="center"/>
              <w:rPr>
                <w:rFonts w:ascii="宋体" w:hAnsi="宋体" w:cs="宋体"/>
                <w:kern w:val="0"/>
                <w:szCs w:val="21"/>
              </w:rPr>
            </w:pPr>
            <w:r>
              <w:rPr>
                <w:rFonts w:ascii="宋体" w:hAnsi="宋体" w:cs="宋体" w:hint="eastAsia"/>
                <w:kern w:val="0"/>
                <w:szCs w:val="21"/>
              </w:rPr>
              <w:t>8-12元/墩</w:t>
            </w:r>
          </w:p>
        </w:tc>
        <w:tc>
          <w:tcPr>
            <w:tcW w:w="1341" w:type="pct"/>
            <w:vMerge w:val="restart"/>
            <w:shd w:val="clear" w:color="auto" w:fill="auto"/>
            <w:vAlign w:val="center"/>
          </w:tcPr>
          <w:p w14:paraId="1D4F4095" w14:textId="77777777" w:rsidR="00A320E6" w:rsidRDefault="00000000" w:rsidP="00AE0286">
            <w:pPr>
              <w:jc w:val="center"/>
              <w:rPr>
                <w:rFonts w:ascii="宋体" w:hAnsi="宋体" w:cs="宋体"/>
                <w:kern w:val="0"/>
                <w:szCs w:val="21"/>
              </w:rPr>
            </w:pPr>
            <w:r>
              <w:rPr>
                <w:rFonts w:ascii="宋体" w:hAnsi="宋体" w:cs="宋体" w:hint="eastAsia"/>
                <w:kern w:val="0"/>
                <w:szCs w:val="21"/>
              </w:rPr>
              <w:t>1.每墩出条按10-20根计算。2.经济、观赏、绿化类等特殊树种由林业、园林等部门根据实际情况认定，补偿标准可委托有资质的机构评估或由林业、园林等部门认证。3.树归原主。</w:t>
            </w:r>
          </w:p>
        </w:tc>
      </w:tr>
      <w:tr w:rsidR="00A320E6" w14:paraId="01557C04" w14:textId="77777777" w:rsidTr="00621C83">
        <w:trPr>
          <w:trHeight w:val="312"/>
        </w:trPr>
        <w:tc>
          <w:tcPr>
            <w:tcW w:w="323" w:type="pct"/>
            <w:vMerge/>
            <w:shd w:val="clear" w:color="auto" w:fill="auto"/>
            <w:vAlign w:val="center"/>
          </w:tcPr>
          <w:p w14:paraId="721597CF"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416DE439"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FD93AA5" w14:textId="77777777" w:rsidR="00A320E6" w:rsidRDefault="00000000" w:rsidP="00AE0286">
            <w:pPr>
              <w:jc w:val="center"/>
              <w:rPr>
                <w:rFonts w:ascii="宋体" w:hAnsi="宋体" w:cs="宋体"/>
                <w:kern w:val="0"/>
                <w:szCs w:val="21"/>
              </w:rPr>
            </w:pPr>
            <w:r>
              <w:rPr>
                <w:rFonts w:ascii="宋体" w:hAnsi="宋体" w:cs="宋体" w:hint="eastAsia"/>
                <w:kern w:val="0"/>
                <w:szCs w:val="21"/>
              </w:rPr>
              <w:t>一年生以上</w:t>
            </w:r>
          </w:p>
        </w:tc>
        <w:tc>
          <w:tcPr>
            <w:tcW w:w="1379" w:type="pct"/>
            <w:gridSpan w:val="2"/>
            <w:shd w:val="clear" w:color="auto" w:fill="auto"/>
            <w:vAlign w:val="center"/>
          </w:tcPr>
          <w:p w14:paraId="3BABA0E9" w14:textId="77777777" w:rsidR="00A320E6" w:rsidRDefault="00000000" w:rsidP="00AE0286">
            <w:pPr>
              <w:jc w:val="center"/>
              <w:rPr>
                <w:rFonts w:ascii="宋体" w:hAnsi="宋体" w:cs="宋体"/>
                <w:kern w:val="0"/>
                <w:szCs w:val="21"/>
              </w:rPr>
            </w:pPr>
            <w:r>
              <w:rPr>
                <w:rFonts w:ascii="宋体" w:hAnsi="宋体" w:cs="宋体" w:hint="eastAsia"/>
                <w:kern w:val="0"/>
                <w:szCs w:val="21"/>
              </w:rPr>
              <w:t>12-20元/墩</w:t>
            </w:r>
          </w:p>
        </w:tc>
        <w:tc>
          <w:tcPr>
            <w:tcW w:w="1341" w:type="pct"/>
            <w:vMerge/>
            <w:shd w:val="clear" w:color="auto" w:fill="auto"/>
            <w:vAlign w:val="center"/>
          </w:tcPr>
          <w:p w14:paraId="4248E3BC" w14:textId="77777777" w:rsidR="00A320E6" w:rsidRDefault="00A320E6" w:rsidP="00AE0286">
            <w:pPr>
              <w:jc w:val="left"/>
              <w:rPr>
                <w:rFonts w:ascii="宋体" w:hAnsi="宋体" w:cs="宋体"/>
                <w:kern w:val="0"/>
                <w:szCs w:val="21"/>
              </w:rPr>
            </w:pPr>
          </w:p>
        </w:tc>
      </w:tr>
      <w:tr w:rsidR="00A320E6" w14:paraId="1446D3F7" w14:textId="77777777" w:rsidTr="00621C83">
        <w:trPr>
          <w:trHeight w:val="312"/>
        </w:trPr>
        <w:tc>
          <w:tcPr>
            <w:tcW w:w="323" w:type="pct"/>
            <w:shd w:val="clear" w:color="auto" w:fill="auto"/>
            <w:vAlign w:val="center"/>
          </w:tcPr>
          <w:p w14:paraId="47835B54" w14:textId="77777777" w:rsidR="00A320E6" w:rsidRDefault="00000000" w:rsidP="00AE0286">
            <w:pPr>
              <w:jc w:val="center"/>
              <w:rPr>
                <w:rFonts w:ascii="宋体" w:hAnsi="宋体" w:cs="宋体"/>
                <w:kern w:val="0"/>
                <w:szCs w:val="21"/>
              </w:rPr>
            </w:pPr>
            <w:r>
              <w:rPr>
                <w:rFonts w:ascii="宋体" w:hAnsi="宋体" w:cs="宋体" w:hint="eastAsia"/>
                <w:kern w:val="0"/>
                <w:szCs w:val="21"/>
              </w:rPr>
              <w:t>16</w:t>
            </w:r>
          </w:p>
        </w:tc>
        <w:tc>
          <w:tcPr>
            <w:tcW w:w="486" w:type="pct"/>
            <w:shd w:val="clear" w:color="auto" w:fill="auto"/>
            <w:vAlign w:val="center"/>
          </w:tcPr>
          <w:p w14:paraId="15537000" w14:textId="77777777" w:rsidR="00A320E6" w:rsidRDefault="00000000" w:rsidP="00AE0286">
            <w:pPr>
              <w:jc w:val="center"/>
              <w:rPr>
                <w:rFonts w:ascii="宋体" w:hAnsi="宋体" w:cs="宋体"/>
                <w:kern w:val="0"/>
                <w:szCs w:val="21"/>
              </w:rPr>
            </w:pPr>
            <w:r>
              <w:rPr>
                <w:rFonts w:ascii="宋体" w:hAnsi="宋体" w:cs="宋体" w:hint="eastAsia"/>
                <w:kern w:val="0"/>
                <w:szCs w:val="21"/>
              </w:rPr>
              <w:t>苗圃</w:t>
            </w:r>
          </w:p>
          <w:p w14:paraId="3CFC5DB5" w14:textId="77777777" w:rsidR="00A320E6" w:rsidRDefault="00000000" w:rsidP="00AE0286">
            <w:pPr>
              <w:jc w:val="center"/>
              <w:rPr>
                <w:rFonts w:ascii="宋体" w:hAnsi="宋体" w:cs="宋体"/>
                <w:kern w:val="0"/>
                <w:szCs w:val="21"/>
              </w:rPr>
            </w:pPr>
            <w:r>
              <w:rPr>
                <w:rFonts w:ascii="宋体" w:hAnsi="宋体" w:cs="宋体" w:hint="eastAsia"/>
                <w:kern w:val="0"/>
                <w:szCs w:val="21"/>
              </w:rPr>
              <w:t>苗木</w:t>
            </w:r>
          </w:p>
        </w:tc>
        <w:tc>
          <w:tcPr>
            <w:tcW w:w="1470" w:type="pct"/>
            <w:gridSpan w:val="2"/>
            <w:shd w:val="clear" w:color="auto" w:fill="auto"/>
            <w:vAlign w:val="center"/>
          </w:tcPr>
          <w:p w14:paraId="38A3BAF3" w14:textId="77777777" w:rsidR="00A320E6" w:rsidRDefault="00000000" w:rsidP="00AE0286">
            <w:pPr>
              <w:jc w:val="center"/>
              <w:rPr>
                <w:rFonts w:ascii="宋体" w:hAnsi="宋体" w:cs="宋体"/>
                <w:kern w:val="0"/>
                <w:szCs w:val="21"/>
              </w:rPr>
            </w:pPr>
            <w:r>
              <w:rPr>
                <w:rFonts w:ascii="宋体" w:hAnsi="宋体" w:cs="宋体" w:hint="eastAsia"/>
                <w:kern w:val="0"/>
                <w:szCs w:val="21"/>
              </w:rPr>
              <w:t>苗圃苗木</w:t>
            </w:r>
          </w:p>
        </w:tc>
        <w:tc>
          <w:tcPr>
            <w:tcW w:w="1379" w:type="pct"/>
            <w:gridSpan w:val="2"/>
            <w:shd w:val="clear" w:color="auto" w:fill="auto"/>
            <w:vAlign w:val="center"/>
          </w:tcPr>
          <w:p w14:paraId="7C47E014" w14:textId="77777777" w:rsidR="00A320E6" w:rsidRDefault="00000000" w:rsidP="00AE0286">
            <w:pPr>
              <w:jc w:val="center"/>
              <w:rPr>
                <w:rFonts w:ascii="宋体" w:hAnsi="宋体" w:cs="宋体"/>
                <w:kern w:val="0"/>
                <w:szCs w:val="21"/>
              </w:rPr>
            </w:pPr>
            <w:r>
              <w:rPr>
                <w:rFonts w:ascii="宋体" w:hAnsi="宋体" w:cs="宋体" w:hint="eastAsia"/>
                <w:kern w:val="0"/>
                <w:szCs w:val="21"/>
              </w:rPr>
              <w:t>一年生以内6000-8000元/亩，每增加一年增加1000元/亩，四年生（不含）以上10000-20000元/亩</w:t>
            </w:r>
          </w:p>
        </w:tc>
        <w:tc>
          <w:tcPr>
            <w:tcW w:w="1341" w:type="pct"/>
            <w:shd w:val="clear" w:color="auto" w:fill="auto"/>
            <w:vAlign w:val="center"/>
          </w:tcPr>
          <w:p w14:paraId="6C6C5D5E" w14:textId="77777777" w:rsidR="00A320E6" w:rsidRDefault="00000000" w:rsidP="00AE0286">
            <w:pPr>
              <w:jc w:val="center"/>
              <w:rPr>
                <w:rFonts w:ascii="宋体" w:hAnsi="宋体" w:cs="宋体"/>
                <w:kern w:val="0"/>
                <w:szCs w:val="21"/>
              </w:rPr>
            </w:pPr>
            <w:r>
              <w:rPr>
                <w:rFonts w:ascii="宋体" w:hAnsi="宋体" w:cs="宋体" w:hint="eastAsia"/>
                <w:kern w:val="0"/>
                <w:szCs w:val="21"/>
              </w:rPr>
              <w:t>1.指培育幼株或幼苗园地上的苗木，种类及规格由林业、园林等部门认定。2.果树、花卉类苗木苗圃可适当上浮，原则上不超过30%。3.对于稀有珍贵苗木可以委托有资质的机构进行评估或由林业、园林等部门认证。4.该费用含移栽费。5.苗木归原主。</w:t>
            </w:r>
          </w:p>
        </w:tc>
      </w:tr>
      <w:tr w:rsidR="00A320E6" w14:paraId="3A5E9015" w14:textId="77777777" w:rsidTr="00621C83">
        <w:trPr>
          <w:trHeight w:val="312"/>
        </w:trPr>
        <w:tc>
          <w:tcPr>
            <w:tcW w:w="323" w:type="pct"/>
            <w:vMerge w:val="restart"/>
            <w:shd w:val="clear" w:color="auto" w:fill="auto"/>
            <w:vAlign w:val="center"/>
          </w:tcPr>
          <w:p w14:paraId="7C3E6519" w14:textId="77777777" w:rsidR="00A320E6" w:rsidRDefault="00000000" w:rsidP="00AE0286">
            <w:pPr>
              <w:jc w:val="center"/>
              <w:rPr>
                <w:rFonts w:ascii="宋体" w:hAnsi="宋体" w:cs="宋体"/>
                <w:kern w:val="0"/>
                <w:szCs w:val="21"/>
              </w:rPr>
            </w:pPr>
            <w:r>
              <w:rPr>
                <w:rFonts w:ascii="宋体" w:hAnsi="宋体" w:cs="宋体" w:hint="eastAsia"/>
                <w:kern w:val="0"/>
                <w:szCs w:val="21"/>
              </w:rPr>
              <w:t>17</w:t>
            </w:r>
          </w:p>
        </w:tc>
        <w:tc>
          <w:tcPr>
            <w:tcW w:w="486" w:type="pct"/>
            <w:vMerge w:val="restart"/>
            <w:shd w:val="clear" w:color="auto" w:fill="auto"/>
            <w:vAlign w:val="center"/>
          </w:tcPr>
          <w:p w14:paraId="00B95D08" w14:textId="77777777" w:rsidR="00A320E6" w:rsidRDefault="00000000" w:rsidP="00AE0286">
            <w:pPr>
              <w:jc w:val="center"/>
              <w:rPr>
                <w:rFonts w:ascii="宋体" w:hAnsi="宋体" w:cs="宋体"/>
                <w:kern w:val="0"/>
                <w:szCs w:val="21"/>
              </w:rPr>
            </w:pPr>
            <w:r>
              <w:rPr>
                <w:rFonts w:ascii="宋体" w:hAnsi="宋体" w:cs="宋体" w:hint="eastAsia"/>
                <w:kern w:val="0"/>
                <w:szCs w:val="21"/>
              </w:rPr>
              <w:t>桑园</w:t>
            </w:r>
          </w:p>
        </w:tc>
        <w:tc>
          <w:tcPr>
            <w:tcW w:w="1470" w:type="pct"/>
            <w:gridSpan w:val="2"/>
            <w:shd w:val="clear" w:color="auto" w:fill="auto"/>
            <w:vAlign w:val="center"/>
          </w:tcPr>
          <w:p w14:paraId="6232B394" w14:textId="77777777" w:rsidR="00A320E6" w:rsidRDefault="00000000" w:rsidP="00AE0286">
            <w:pPr>
              <w:jc w:val="center"/>
              <w:rPr>
                <w:rFonts w:ascii="宋体" w:hAnsi="宋体" w:cs="宋体"/>
                <w:kern w:val="0"/>
                <w:szCs w:val="21"/>
              </w:rPr>
            </w:pPr>
            <w:r>
              <w:rPr>
                <w:rFonts w:ascii="宋体" w:hAnsi="宋体" w:cs="宋体" w:hint="eastAsia"/>
                <w:kern w:val="0"/>
                <w:szCs w:val="21"/>
              </w:rPr>
              <w:t>1年以内</w:t>
            </w:r>
          </w:p>
        </w:tc>
        <w:tc>
          <w:tcPr>
            <w:tcW w:w="1379" w:type="pct"/>
            <w:gridSpan w:val="2"/>
            <w:shd w:val="clear" w:color="auto" w:fill="auto"/>
            <w:vAlign w:val="center"/>
          </w:tcPr>
          <w:p w14:paraId="4E200D08" w14:textId="77777777" w:rsidR="00A320E6" w:rsidRDefault="00000000" w:rsidP="00AE0286">
            <w:pPr>
              <w:jc w:val="center"/>
              <w:rPr>
                <w:rFonts w:ascii="宋体" w:hAnsi="宋体" w:cs="宋体"/>
                <w:kern w:val="0"/>
                <w:szCs w:val="21"/>
              </w:rPr>
            </w:pPr>
            <w:r>
              <w:rPr>
                <w:rFonts w:ascii="宋体" w:hAnsi="宋体" w:cs="宋体" w:hint="eastAsia"/>
                <w:kern w:val="0"/>
                <w:szCs w:val="21"/>
              </w:rPr>
              <w:t>4000-4500元/亩</w:t>
            </w:r>
          </w:p>
        </w:tc>
        <w:tc>
          <w:tcPr>
            <w:tcW w:w="1341" w:type="pct"/>
            <w:vMerge w:val="restart"/>
            <w:shd w:val="clear" w:color="auto" w:fill="auto"/>
            <w:vAlign w:val="center"/>
          </w:tcPr>
          <w:p w14:paraId="3EA0D029" w14:textId="77777777" w:rsidR="00A320E6" w:rsidRDefault="00000000" w:rsidP="00AE0286">
            <w:pPr>
              <w:jc w:val="center"/>
              <w:rPr>
                <w:rFonts w:ascii="宋体" w:hAnsi="宋体" w:cs="宋体"/>
                <w:kern w:val="0"/>
                <w:szCs w:val="21"/>
              </w:rPr>
            </w:pPr>
            <w:r>
              <w:rPr>
                <w:rFonts w:ascii="宋体" w:hAnsi="宋体" w:cs="宋体" w:hint="eastAsia"/>
                <w:kern w:val="0"/>
                <w:szCs w:val="21"/>
              </w:rPr>
              <w:t>1.指大面积种植养蚕用桑。2.地径5厘米以上零星桑树30-120元/棵。3.树归原主。</w:t>
            </w:r>
          </w:p>
        </w:tc>
      </w:tr>
      <w:tr w:rsidR="00A320E6" w14:paraId="52293B62" w14:textId="77777777" w:rsidTr="00621C83">
        <w:trPr>
          <w:trHeight w:val="312"/>
        </w:trPr>
        <w:tc>
          <w:tcPr>
            <w:tcW w:w="323" w:type="pct"/>
            <w:vMerge/>
            <w:shd w:val="clear" w:color="auto" w:fill="auto"/>
            <w:vAlign w:val="center"/>
          </w:tcPr>
          <w:p w14:paraId="58CA51A4"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64AADC83"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09DA88ED" w14:textId="77777777" w:rsidR="00A320E6" w:rsidRDefault="00000000" w:rsidP="00AE0286">
            <w:pPr>
              <w:jc w:val="center"/>
              <w:rPr>
                <w:rFonts w:ascii="宋体" w:hAnsi="宋体" w:cs="宋体"/>
                <w:kern w:val="0"/>
                <w:szCs w:val="21"/>
              </w:rPr>
            </w:pPr>
            <w:r>
              <w:rPr>
                <w:rFonts w:ascii="宋体" w:hAnsi="宋体" w:cs="宋体" w:hint="eastAsia"/>
                <w:kern w:val="0"/>
                <w:szCs w:val="21"/>
              </w:rPr>
              <w:t>1-3年（含1年）</w:t>
            </w:r>
          </w:p>
        </w:tc>
        <w:tc>
          <w:tcPr>
            <w:tcW w:w="1379" w:type="pct"/>
            <w:gridSpan w:val="2"/>
            <w:shd w:val="clear" w:color="auto" w:fill="auto"/>
            <w:vAlign w:val="center"/>
          </w:tcPr>
          <w:p w14:paraId="1FC39ED4" w14:textId="77777777" w:rsidR="00A320E6" w:rsidRDefault="00000000" w:rsidP="00AE0286">
            <w:pPr>
              <w:jc w:val="center"/>
              <w:rPr>
                <w:rFonts w:ascii="宋体" w:hAnsi="宋体" w:cs="宋体"/>
                <w:kern w:val="0"/>
                <w:szCs w:val="21"/>
              </w:rPr>
            </w:pPr>
            <w:r>
              <w:rPr>
                <w:rFonts w:ascii="宋体" w:hAnsi="宋体" w:cs="宋体" w:hint="eastAsia"/>
                <w:kern w:val="0"/>
                <w:szCs w:val="21"/>
              </w:rPr>
              <w:t>5000-6000元/亩</w:t>
            </w:r>
          </w:p>
        </w:tc>
        <w:tc>
          <w:tcPr>
            <w:tcW w:w="1341" w:type="pct"/>
            <w:vMerge/>
            <w:shd w:val="clear" w:color="auto" w:fill="auto"/>
            <w:vAlign w:val="center"/>
          </w:tcPr>
          <w:p w14:paraId="2EB0DD5E" w14:textId="77777777" w:rsidR="00A320E6" w:rsidRDefault="00A320E6" w:rsidP="00AE0286">
            <w:pPr>
              <w:jc w:val="left"/>
              <w:rPr>
                <w:rFonts w:ascii="宋体" w:hAnsi="宋体" w:cs="宋体"/>
                <w:kern w:val="0"/>
                <w:szCs w:val="21"/>
              </w:rPr>
            </w:pPr>
          </w:p>
        </w:tc>
      </w:tr>
      <w:tr w:rsidR="00A320E6" w14:paraId="4A302E0B" w14:textId="77777777" w:rsidTr="00621C83">
        <w:trPr>
          <w:trHeight w:val="312"/>
        </w:trPr>
        <w:tc>
          <w:tcPr>
            <w:tcW w:w="323" w:type="pct"/>
            <w:vMerge/>
            <w:shd w:val="clear" w:color="auto" w:fill="auto"/>
            <w:vAlign w:val="center"/>
          </w:tcPr>
          <w:p w14:paraId="12D80F72"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05D55106"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63920707" w14:textId="77777777" w:rsidR="00A320E6" w:rsidRDefault="00000000" w:rsidP="00AE0286">
            <w:pPr>
              <w:jc w:val="center"/>
              <w:rPr>
                <w:rFonts w:ascii="宋体" w:hAnsi="宋体" w:cs="宋体"/>
                <w:kern w:val="0"/>
                <w:szCs w:val="21"/>
              </w:rPr>
            </w:pPr>
            <w:r>
              <w:rPr>
                <w:rFonts w:ascii="宋体" w:hAnsi="宋体" w:cs="宋体" w:hint="eastAsia"/>
                <w:kern w:val="0"/>
                <w:szCs w:val="21"/>
              </w:rPr>
              <w:t>3年生及以上</w:t>
            </w:r>
          </w:p>
        </w:tc>
        <w:tc>
          <w:tcPr>
            <w:tcW w:w="1379" w:type="pct"/>
            <w:gridSpan w:val="2"/>
            <w:shd w:val="clear" w:color="auto" w:fill="auto"/>
            <w:vAlign w:val="center"/>
          </w:tcPr>
          <w:p w14:paraId="74248C0E" w14:textId="77777777" w:rsidR="00A320E6" w:rsidRDefault="00000000" w:rsidP="00AE0286">
            <w:pPr>
              <w:jc w:val="center"/>
              <w:rPr>
                <w:rFonts w:ascii="宋体" w:hAnsi="宋体" w:cs="宋体"/>
                <w:kern w:val="0"/>
                <w:szCs w:val="21"/>
              </w:rPr>
            </w:pPr>
            <w:r>
              <w:rPr>
                <w:rFonts w:ascii="宋体" w:hAnsi="宋体" w:cs="宋体" w:hint="eastAsia"/>
                <w:kern w:val="0"/>
                <w:szCs w:val="21"/>
              </w:rPr>
              <w:t>6500-8000元/亩</w:t>
            </w:r>
          </w:p>
        </w:tc>
        <w:tc>
          <w:tcPr>
            <w:tcW w:w="1341" w:type="pct"/>
            <w:vMerge/>
            <w:shd w:val="clear" w:color="auto" w:fill="auto"/>
            <w:vAlign w:val="center"/>
          </w:tcPr>
          <w:p w14:paraId="391DE03C" w14:textId="77777777" w:rsidR="00A320E6" w:rsidRDefault="00A320E6" w:rsidP="00AE0286">
            <w:pPr>
              <w:jc w:val="left"/>
              <w:rPr>
                <w:rFonts w:ascii="宋体" w:hAnsi="宋体" w:cs="宋体"/>
                <w:kern w:val="0"/>
                <w:szCs w:val="21"/>
              </w:rPr>
            </w:pPr>
          </w:p>
        </w:tc>
      </w:tr>
      <w:tr w:rsidR="00A320E6" w14:paraId="35B994B2" w14:textId="77777777" w:rsidTr="00621C83">
        <w:trPr>
          <w:trHeight w:val="312"/>
        </w:trPr>
        <w:tc>
          <w:tcPr>
            <w:tcW w:w="323" w:type="pct"/>
            <w:vMerge w:val="restart"/>
            <w:shd w:val="clear" w:color="auto" w:fill="auto"/>
            <w:vAlign w:val="center"/>
          </w:tcPr>
          <w:p w14:paraId="35634A71" w14:textId="77777777" w:rsidR="00A320E6" w:rsidRDefault="00000000" w:rsidP="00AE0286">
            <w:pPr>
              <w:jc w:val="center"/>
              <w:rPr>
                <w:rFonts w:ascii="宋体" w:hAnsi="宋体" w:cs="宋体"/>
                <w:kern w:val="0"/>
                <w:szCs w:val="21"/>
              </w:rPr>
            </w:pPr>
            <w:r>
              <w:rPr>
                <w:rFonts w:ascii="宋体" w:hAnsi="宋体" w:cs="宋体" w:hint="eastAsia"/>
                <w:kern w:val="0"/>
                <w:szCs w:val="21"/>
              </w:rPr>
              <w:t>18</w:t>
            </w:r>
          </w:p>
        </w:tc>
        <w:tc>
          <w:tcPr>
            <w:tcW w:w="486" w:type="pct"/>
            <w:vMerge w:val="restart"/>
            <w:shd w:val="clear" w:color="auto" w:fill="auto"/>
            <w:vAlign w:val="center"/>
          </w:tcPr>
          <w:p w14:paraId="3D2BA0DA" w14:textId="77777777" w:rsidR="00A320E6" w:rsidRDefault="00000000" w:rsidP="00AE0286">
            <w:pPr>
              <w:jc w:val="center"/>
              <w:rPr>
                <w:rFonts w:ascii="宋体" w:hAnsi="宋体" w:cs="宋体"/>
                <w:kern w:val="0"/>
                <w:szCs w:val="21"/>
              </w:rPr>
            </w:pPr>
            <w:r>
              <w:rPr>
                <w:rFonts w:ascii="宋体" w:hAnsi="宋体" w:cs="宋体" w:hint="eastAsia"/>
                <w:kern w:val="0"/>
                <w:szCs w:val="21"/>
              </w:rPr>
              <w:t>樱桃、</w:t>
            </w:r>
          </w:p>
          <w:p w14:paraId="4DC68FD4" w14:textId="77777777" w:rsidR="00A320E6" w:rsidRDefault="00000000" w:rsidP="00AE0286">
            <w:pPr>
              <w:jc w:val="center"/>
              <w:rPr>
                <w:rFonts w:ascii="宋体" w:hAnsi="宋体" w:cs="宋体"/>
                <w:kern w:val="0"/>
                <w:szCs w:val="21"/>
              </w:rPr>
            </w:pPr>
            <w:r>
              <w:rPr>
                <w:rFonts w:ascii="宋体" w:hAnsi="宋体" w:cs="宋体" w:hint="eastAsia"/>
                <w:kern w:val="0"/>
                <w:szCs w:val="21"/>
              </w:rPr>
              <w:t>猕猴桃</w:t>
            </w:r>
          </w:p>
        </w:tc>
        <w:tc>
          <w:tcPr>
            <w:tcW w:w="1470" w:type="pct"/>
            <w:gridSpan w:val="2"/>
            <w:shd w:val="clear" w:color="auto" w:fill="auto"/>
            <w:vAlign w:val="center"/>
          </w:tcPr>
          <w:p w14:paraId="5588A08A" w14:textId="77777777" w:rsidR="00A320E6" w:rsidRDefault="00000000" w:rsidP="00AE0286">
            <w:pPr>
              <w:jc w:val="center"/>
              <w:rPr>
                <w:rFonts w:ascii="宋体" w:hAnsi="宋体" w:cs="宋体"/>
                <w:kern w:val="0"/>
                <w:szCs w:val="21"/>
              </w:rPr>
            </w:pPr>
            <w:r>
              <w:rPr>
                <w:rFonts w:ascii="宋体" w:hAnsi="宋体" w:cs="宋体" w:hint="eastAsia"/>
                <w:kern w:val="0"/>
                <w:szCs w:val="21"/>
              </w:rPr>
              <w:t>幼龄期</w:t>
            </w:r>
          </w:p>
        </w:tc>
        <w:tc>
          <w:tcPr>
            <w:tcW w:w="1379" w:type="pct"/>
            <w:gridSpan w:val="2"/>
            <w:shd w:val="clear" w:color="auto" w:fill="auto"/>
            <w:vAlign w:val="center"/>
          </w:tcPr>
          <w:p w14:paraId="7583B6E1" w14:textId="77777777" w:rsidR="00A320E6" w:rsidRDefault="00000000" w:rsidP="00AE0286">
            <w:pPr>
              <w:jc w:val="center"/>
              <w:rPr>
                <w:rFonts w:ascii="宋体" w:hAnsi="宋体" w:cs="宋体"/>
                <w:kern w:val="0"/>
                <w:szCs w:val="21"/>
              </w:rPr>
            </w:pPr>
            <w:r>
              <w:rPr>
                <w:rFonts w:ascii="宋体" w:hAnsi="宋体" w:cs="宋体" w:hint="eastAsia"/>
                <w:kern w:val="0"/>
                <w:szCs w:val="21"/>
              </w:rPr>
              <w:t>10000-20000元/亩</w:t>
            </w:r>
          </w:p>
        </w:tc>
        <w:tc>
          <w:tcPr>
            <w:tcW w:w="1341" w:type="pct"/>
            <w:vMerge w:val="restart"/>
            <w:shd w:val="clear" w:color="auto" w:fill="auto"/>
            <w:vAlign w:val="center"/>
          </w:tcPr>
          <w:p w14:paraId="590BD364" w14:textId="77777777" w:rsidR="00A320E6" w:rsidRDefault="00000000" w:rsidP="00AE0286">
            <w:pPr>
              <w:jc w:val="center"/>
              <w:rPr>
                <w:rFonts w:ascii="宋体" w:hAnsi="宋体" w:cs="宋体"/>
                <w:kern w:val="0"/>
                <w:szCs w:val="21"/>
              </w:rPr>
            </w:pPr>
            <w:r>
              <w:rPr>
                <w:rFonts w:ascii="宋体" w:hAnsi="宋体" w:cs="宋体" w:hint="eastAsia"/>
                <w:kern w:val="0"/>
                <w:szCs w:val="21"/>
              </w:rPr>
              <w:t>1.含水泥杆、铁丝网等附属设施。2.果园外零星樱桃树：幼龄期100-150元/棵，初果期250-350元/棵，盛果期350-600元/棵，衰果期200-350元/棵。3.果园外零星猕猴桃树：幼龄期50-100元/棵，初果期200-300元/棵，盛果期260-400元/棵，衰果期120-260元/棵。4.特殊品种、特殊栽培方式的，可委托有资质的机构进行评估或由农业农村等部门认定。5.树归原主。</w:t>
            </w:r>
          </w:p>
        </w:tc>
      </w:tr>
      <w:tr w:rsidR="00A320E6" w14:paraId="3FFAB5BA" w14:textId="77777777" w:rsidTr="00621C83">
        <w:trPr>
          <w:trHeight w:val="312"/>
        </w:trPr>
        <w:tc>
          <w:tcPr>
            <w:tcW w:w="323" w:type="pct"/>
            <w:vMerge/>
            <w:shd w:val="clear" w:color="auto" w:fill="auto"/>
            <w:vAlign w:val="center"/>
          </w:tcPr>
          <w:p w14:paraId="2B8A43B0" w14:textId="77777777" w:rsidR="00A320E6" w:rsidRDefault="00A320E6" w:rsidP="00AE0286">
            <w:pPr>
              <w:jc w:val="center"/>
              <w:rPr>
                <w:rFonts w:ascii="宋体" w:hAnsi="宋体" w:cs="宋体"/>
                <w:kern w:val="0"/>
                <w:szCs w:val="21"/>
              </w:rPr>
            </w:pPr>
          </w:p>
        </w:tc>
        <w:tc>
          <w:tcPr>
            <w:tcW w:w="486" w:type="pct"/>
            <w:vMerge/>
            <w:shd w:val="clear" w:color="auto" w:fill="auto"/>
            <w:vAlign w:val="center"/>
          </w:tcPr>
          <w:p w14:paraId="7253744D" w14:textId="77777777" w:rsidR="00A320E6" w:rsidRDefault="00A320E6" w:rsidP="00AE0286">
            <w:pPr>
              <w:jc w:val="center"/>
              <w:rPr>
                <w:rFonts w:ascii="宋体" w:hAnsi="宋体" w:cs="宋体"/>
                <w:kern w:val="0"/>
                <w:szCs w:val="21"/>
              </w:rPr>
            </w:pPr>
          </w:p>
        </w:tc>
        <w:tc>
          <w:tcPr>
            <w:tcW w:w="1470" w:type="pct"/>
            <w:gridSpan w:val="2"/>
            <w:shd w:val="clear" w:color="auto" w:fill="auto"/>
            <w:vAlign w:val="center"/>
          </w:tcPr>
          <w:p w14:paraId="06A1A51D" w14:textId="77777777" w:rsidR="00A320E6" w:rsidRDefault="00000000" w:rsidP="00AE0286">
            <w:pPr>
              <w:jc w:val="center"/>
              <w:rPr>
                <w:rFonts w:ascii="宋体" w:hAnsi="宋体" w:cs="宋体"/>
                <w:kern w:val="0"/>
                <w:szCs w:val="21"/>
              </w:rPr>
            </w:pPr>
            <w:r>
              <w:rPr>
                <w:rFonts w:ascii="宋体" w:hAnsi="宋体" w:cs="宋体" w:hint="eastAsia"/>
                <w:kern w:val="0"/>
                <w:szCs w:val="21"/>
              </w:rPr>
              <w:t>初果期</w:t>
            </w:r>
          </w:p>
        </w:tc>
        <w:tc>
          <w:tcPr>
            <w:tcW w:w="1379" w:type="pct"/>
            <w:gridSpan w:val="2"/>
            <w:shd w:val="clear" w:color="auto" w:fill="auto"/>
            <w:vAlign w:val="center"/>
          </w:tcPr>
          <w:p w14:paraId="0247F5D2" w14:textId="77777777" w:rsidR="00A320E6" w:rsidRDefault="00000000" w:rsidP="00AE0286">
            <w:pPr>
              <w:jc w:val="center"/>
              <w:rPr>
                <w:rFonts w:ascii="宋体" w:hAnsi="宋体" w:cs="宋体"/>
                <w:kern w:val="0"/>
                <w:szCs w:val="21"/>
              </w:rPr>
            </w:pPr>
            <w:r>
              <w:rPr>
                <w:rFonts w:ascii="宋体" w:hAnsi="宋体" w:cs="宋体" w:hint="eastAsia"/>
                <w:kern w:val="0"/>
                <w:szCs w:val="21"/>
              </w:rPr>
              <w:t>25000-35000元/亩</w:t>
            </w:r>
          </w:p>
        </w:tc>
        <w:tc>
          <w:tcPr>
            <w:tcW w:w="1341" w:type="pct"/>
            <w:vMerge/>
            <w:shd w:val="clear" w:color="auto" w:fill="auto"/>
            <w:vAlign w:val="center"/>
          </w:tcPr>
          <w:p w14:paraId="1DAE3A2E" w14:textId="77777777" w:rsidR="00A320E6" w:rsidRDefault="00A320E6" w:rsidP="00AE0286">
            <w:pPr>
              <w:jc w:val="center"/>
              <w:rPr>
                <w:rFonts w:ascii="宋体" w:hAnsi="宋体" w:cs="宋体"/>
                <w:kern w:val="0"/>
                <w:szCs w:val="21"/>
              </w:rPr>
            </w:pPr>
          </w:p>
        </w:tc>
      </w:tr>
      <w:tr w:rsidR="00A320E6" w14:paraId="1DA27B00" w14:textId="77777777" w:rsidTr="00621C83">
        <w:trPr>
          <w:trHeight w:val="312"/>
        </w:trPr>
        <w:tc>
          <w:tcPr>
            <w:tcW w:w="323" w:type="pct"/>
            <w:vMerge/>
            <w:shd w:val="clear" w:color="auto" w:fill="auto"/>
            <w:vAlign w:val="center"/>
          </w:tcPr>
          <w:p w14:paraId="101A8833" w14:textId="77777777" w:rsidR="00A320E6" w:rsidRDefault="00A320E6" w:rsidP="00AE0286">
            <w:pPr>
              <w:jc w:val="center"/>
              <w:rPr>
                <w:rFonts w:ascii="宋体" w:hAnsi="宋体" w:cs="宋体"/>
                <w:kern w:val="0"/>
                <w:szCs w:val="21"/>
              </w:rPr>
            </w:pPr>
          </w:p>
        </w:tc>
        <w:tc>
          <w:tcPr>
            <w:tcW w:w="486" w:type="pct"/>
            <w:vMerge/>
            <w:shd w:val="clear" w:color="auto" w:fill="auto"/>
            <w:vAlign w:val="center"/>
          </w:tcPr>
          <w:p w14:paraId="64E7C805" w14:textId="77777777" w:rsidR="00A320E6" w:rsidRDefault="00A320E6" w:rsidP="00AE0286">
            <w:pPr>
              <w:jc w:val="center"/>
              <w:rPr>
                <w:rFonts w:ascii="宋体" w:hAnsi="宋体" w:cs="宋体"/>
                <w:kern w:val="0"/>
                <w:szCs w:val="21"/>
              </w:rPr>
            </w:pPr>
          </w:p>
        </w:tc>
        <w:tc>
          <w:tcPr>
            <w:tcW w:w="1470" w:type="pct"/>
            <w:gridSpan w:val="2"/>
            <w:shd w:val="clear" w:color="auto" w:fill="auto"/>
            <w:vAlign w:val="center"/>
          </w:tcPr>
          <w:p w14:paraId="2AF14A33" w14:textId="77777777" w:rsidR="00A320E6" w:rsidRDefault="00000000" w:rsidP="00AE0286">
            <w:pPr>
              <w:jc w:val="center"/>
              <w:rPr>
                <w:rFonts w:ascii="宋体" w:hAnsi="宋体" w:cs="宋体"/>
                <w:kern w:val="0"/>
                <w:szCs w:val="21"/>
              </w:rPr>
            </w:pPr>
            <w:r>
              <w:rPr>
                <w:rFonts w:ascii="宋体" w:hAnsi="宋体" w:cs="宋体" w:hint="eastAsia"/>
                <w:kern w:val="0"/>
                <w:szCs w:val="21"/>
              </w:rPr>
              <w:t>盛果期</w:t>
            </w:r>
          </w:p>
        </w:tc>
        <w:tc>
          <w:tcPr>
            <w:tcW w:w="1379" w:type="pct"/>
            <w:gridSpan w:val="2"/>
            <w:shd w:val="clear" w:color="auto" w:fill="auto"/>
            <w:vAlign w:val="center"/>
          </w:tcPr>
          <w:p w14:paraId="05B84CF7" w14:textId="77777777" w:rsidR="00A320E6" w:rsidRDefault="00000000" w:rsidP="00AE0286">
            <w:pPr>
              <w:jc w:val="center"/>
              <w:rPr>
                <w:rFonts w:ascii="宋体" w:hAnsi="宋体" w:cs="宋体"/>
                <w:kern w:val="0"/>
                <w:szCs w:val="21"/>
              </w:rPr>
            </w:pPr>
            <w:r>
              <w:rPr>
                <w:rFonts w:ascii="宋体" w:hAnsi="宋体" w:cs="宋体" w:hint="eastAsia"/>
                <w:kern w:val="0"/>
                <w:szCs w:val="21"/>
              </w:rPr>
              <w:t>29000-45000元/亩</w:t>
            </w:r>
          </w:p>
        </w:tc>
        <w:tc>
          <w:tcPr>
            <w:tcW w:w="1341" w:type="pct"/>
            <w:vMerge/>
            <w:shd w:val="clear" w:color="auto" w:fill="auto"/>
            <w:vAlign w:val="center"/>
          </w:tcPr>
          <w:p w14:paraId="0A6D4952" w14:textId="77777777" w:rsidR="00A320E6" w:rsidRDefault="00A320E6" w:rsidP="00AE0286">
            <w:pPr>
              <w:jc w:val="center"/>
              <w:rPr>
                <w:rFonts w:ascii="宋体" w:hAnsi="宋体" w:cs="宋体"/>
                <w:kern w:val="0"/>
                <w:szCs w:val="21"/>
              </w:rPr>
            </w:pPr>
          </w:p>
        </w:tc>
      </w:tr>
      <w:tr w:rsidR="00A320E6" w14:paraId="550031FA" w14:textId="77777777" w:rsidTr="00621C83">
        <w:trPr>
          <w:trHeight w:val="312"/>
        </w:trPr>
        <w:tc>
          <w:tcPr>
            <w:tcW w:w="323" w:type="pct"/>
            <w:vMerge/>
            <w:shd w:val="clear" w:color="auto" w:fill="auto"/>
            <w:vAlign w:val="center"/>
          </w:tcPr>
          <w:p w14:paraId="7D5568EB" w14:textId="77777777" w:rsidR="00A320E6" w:rsidRDefault="00A320E6" w:rsidP="00AE0286">
            <w:pPr>
              <w:jc w:val="center"/>
              <w:rPr>
                <w:rFonts w:ascii="宋体" w:hAnsi="宋体" w:cs="宋体"/>
                <w:kern w:val="0"/>
                <w:szCs w:val="21"/>
              </w:rPr>
            </w:pPr>
          </w:p>
        </w:tc>
        <w:tc>
          <w:tcPr>
            <w:tcW w:w="486" w:type="pct"/>
            <w:vMerge/>
            <w:shd w:val="clear" w:color="auto" w:fill="auto"/>
            <w:vAlign w:val="center"/>
          </w:tcPr>
          <w:p w14:paraId="50A6E8DF" w14:textId="77777777" w:rsidR="00A320E6" w:rsidRDefault="00A320E6" w:rsidP="00AE0286">
            <w:pPr>
              <w:jc w:val="center"/>
              <w:rPr>
                <w:rFonts w:ascii="宋体" w:hAnsi="宋体" w:cs="宋体"/>
                <w:kern w:val="0"/>
                <w:szCs w:val="21"/>
              </w:rPr>
            </w:pPr>
          </w:p>
        </w:tc>
        <w:tc>
          <w:tcPr>
            <w:tcW w:w="1470" w:type="pct"/>
            <w:gridSpan w:val="2"/>
            <w:shd w:val="clear" w:color="auto" w:fill="auto"/>
            <w:vAlign w:val="center"/>
          </w:tcPr>
          <w:p w14:paraId="2E408343" w14:textId="77777777" w:rsidR="00A320E6" w:rsidRDefault="00000000" w:rsidP="00AE0286">
            <w:pPr>
              <w:jc w:val="center"/>
              <w:rPr>
                <w:rFonts w:ascii="宋体" w:hAnsi="宋体" w:cs="宋体"/>
                <w:kern w:val="0"/>
                <w:szCs w:val="21"/>
              </w:rPr>
            </w:pPr>
            <w:r>
              <w:rPr>
                <w:rFonts w:ascii="宋体" w:hAnsi="宋体" w:cs="宋体" w:hint="eastAsia"/>
                <w:kern w:val="0"/>
                <w:szCs w:val="21"/>
              </w:rPr>
              <w:t>衰老期</w:t>
            </w:r>
          </w:p>
        </w:tc>
        <w:tc>
          <w:tcPr>
            <w:tcW w:w="1379" w:type="pct"/>
            <w:gridSpan w:val="2"/>
            <w:shd w:val="clear" w:color="auto" w:fill="auto"/>
            <w:vAlign w:val="center"/>
          </w:tcPr>
          <w:p w14:paraId="7BF8696B" w14:textId="77777777" w:rsidR="00A320E6" w:rsidRDefault="00000000" w:rsidP="00AE0286">
            <w:pPr>
              <w:jc w:val="center"/>
              <w:rPr>
                <w:rFonts w:ascii="宋体" w:hAnsi="宋体" w:cs="宋体"/>
                <w:kern w:val="0"/>
                <w:szCs w:val="21"/>
              </w:rPr>
            </w:pPr>
            <w:r>
              <w:rPr>
                <w:rFonts w:ascii="宋体" w:hAnsi="宋体" w:cs="宋体" w:hint="eastAsia"/>
                <w:kern w:val="0"/>
                <w:szCs w:val="21"/>
              </w:rPr>
              <w:t>15000-30000元/亩</w:t>
            </w:r>
          </w:p>
        </w:tc>
        <w:tc>
          <w:tcPr>
            <w:tcW w:w="1341" w:type="pct"/>
            <w:vMerge/>
            <w:shd w:val="clear" w:color="auto" w:fill="auto"/>
            <w:vAlign w:val="center"/>
          </w:tcPr>
          <w:p w14:paraId="03F12409" w14:textId="77777777" w:rsidR="00A320E6" w:rsidRDefault="00A320E6" w:rsidP="00AE0286">
            <w:pPr>
              <w:jc w:val="center"/>
              <w:rPr>
                <w:rFonts w:ascii="宋体" w:hAnsi="宋体" w:cs="宋体"/>
                <w:kern w:val="0"/>
                <w:szCs w:val="21"/>
              </w:rPr>
            </w:pPr>
          </w:p>
        </w:tc>
      </w:tr>
      <w:tr w:rsidR="00A320E6" w14:paraId="5F5119E3" w14:textId="77777777" w:rsidTr="00621C83">
        <w:trPr>
          <w:trHeight w:val="312"/>
        </w:trPr>
        <w:tc>
          <w:tcPr>
            <w:tcW w:w="323" w:type="pct"/>
            <w:vMerge w:val="restart"/>
            <w:shd w:val="clear" w:color="auto" w:fill="auto"/>
            <w:vAlign w:val="center"/>
          </w:tcPr>
          <w:p w14:paraId="038A3351" w14:textId="77777777" w:rsidR="00A320E6" w:rsidRDefault="00000000" w:rsidP="00AE0286">
            <w:pPr>
              <w:jc w:val="center"/>
              <w:rPr>
                <w:rFonts w:ascii="宋体" w:hAnsi="宋体" w:cs="宋体"/>
                <w:kern w:val="0"/>
                <w:szCs w:val="21"/>
              </w:rPr>
            </w:pPr>
            <w:r>
              <w:rPr>
                <w:rFonts w:ascii="宋体" w:hAnsi="宋体" w:cs="宋体" w:hint="eastAsia"/>
                <w:kern w:val="0"/>
                <w:szCs w:val="21"/>
              </w:rPr>
              <w:t>19</w:t>
            </w:r>
          </w:p>
        </w:tc>
        <w:tc>
          <w:tcPr>
            <w:tcW w:w="486" w:type="pct"/>
            <w:vMerge w:val="restart"/>
            <w:shd w:val="clear" w:color="auto" w:fill="auto"/>
            <w:vAlign w:val="center"/>
          </w:tcPr>
          <w:p w14:paraId="67DF68B0" w14:textId="77777777" w:rsidR="00A320E6" w:rsidRDefault="00000000" w:rsidP="00AE0286">
            <w:pPr>
              <w:jc w:val="center"/>
              <w:rPr>
                <w:rFonts w:ascii="宋体" w:hAnsi="宋体" w:cs="宋体"/>
                <w:kern w:val="0"/>
                <w:szCs w:val="21"/>
              </w:rPr>
            </w:pPr>
            <w:r>
              <w:rPr>
                <w:rFonts w:ascii="宋体" w:hAnsi="宋体" w:cs="宋体" w:hint="eastAsia"/>
                <w:kern w:val="0"/>
                <w:szCs w:val="21"/>
              </w:rPr>
              <w:t>葡萄</w:t>
            </w:r>
          </w:p>
        </w:tc>
        <w:tc>
          <w:tcPr>
            <w:tcW w:w="1470" w:type="pct"/>
            <w:gridSpan w:val="2"/>
            <w:shd w:val="clear" w:color="auto" w:fill="auto"/>
            <w:vAlign w:val="center"/>
          </w:tcPr>
          <w:p w14:paraId="00C025F9" w14:textId="77777777" w:rsidR="00A320E6" w:rsidRDefault="00000000" w:rsidP="00AE0286">
            <w:pPr>
              <w:jc w:val="center"/>
              <w:rPr>
                <w:rFonts w:ascii="宋体" w:hAnsi="宋体" w:cs="宋体"/>
                <w:kern w:val="0"/>
                <w:szCs w:val="21"/>
              </w:rPr>
            </w:pPr>
            <w:r>
              <w:rPr>
                <w:rFonts w:ascii="宋体" w:hAnsi="宋体" w:cs="宋体" w:hint="eastAsia"/>
                <w:kern w:val="0"/>
                <w:szCs w:val="21"/>
              </w:rPr>
              <w:t>葡萄幼龄期</w:t>
            </w:r>
          </w:p>
        </w:tc>
        <w:tc>
          <w:tcPr>
            <w:tcW w:w="1379" w:type="pct"/>
            <w:gridSpan w:val="2"/>
            <w:shd w:val="clear" w:color="auto" w:fill="auto"/>
            <w:vAlign w:val="center"/>
          </w:tcPr>
          <w:p w14:paraId="667D6280" w14:textId="77777777" w:rsidR="00A320E6" w:rsidRDefault="00000000" w:rsidP="00AE0286">
            <w:pPr>
              <w:jc w:val="center"/>
              <w:rPr>
                <w:rFonts w:ascii="宋体" w:hAnsi="宋体" w:cs="宋体"/>
                <w:kern w:val="0"/>
                <w:szCs w:val="21"/>
              </w:rPr>
            </w:pPr>
            <w:r>
              <w:rPr>
                <w:rFonts w:ascii="宋体" w:hAnsi="宋体" w:cs="宋体" w:hint="eastAsia"/>
                <w:kern w:val="0"/>
                <w:szCs w:val="21"/>
              </w:rPr>
              <w:t>1500-4000元/亩</w:t>
            </w:r>
          </w:p>
        </w:tc>
        <w:tc>
          <w:tcPr>
            <w:tcW w:w="1341" w:type="pct"/>
            <w:vMerge w:val="restart"/>
            <w:shd w:val="clear" w:color="auto" w:fill="auto"/>
            <w:vAlign w:val="center"/>
          </w:tcPr>
          <w:p w14:paraId="7338A64F" w14:textId="77777777" w:rsidR="00A320E6" w:rsidRDefault="00000000" w:rsidP="00AE0286">
            <w:pPr>
              <w:jc w:val="center"/>
              <w:rPr>
                <w:rFonts w:ascii="宋体" w:hAnsi="宋体" w:cs="宋体"/>
                <w:kern w:val="0"/>
                <w:szCs w:val="21"/>
              </w:rPr>
            </w:pPr>
            <w:r>
              <w:rPr>
                <w:rFonts w:ascii="宋体" w:hAnsi="宋体" w:cs="宋体" w:hint="eastAsia"/>
                <w:kern w:val="0"/>
                <w:szCs w:val="21"/>
              </w:rPr>
              <w:t>1.果园外零星葡萄：幼龄期5-10元/棵，初果期15-30元/棵，盛果期30-50元/棵，衰果期10-30元/棵。2.特殊品种、特殊栽培方式的，可委托有资质的机构进行评估或由农业农村等部门认定。3.树归原主。</w:t>
            </w:r>
          </w:p>
        </w:tc>
      </w:tr>
      <w:tr w:rsidR="00A320E6" w14:paraId="7BD3FC19" w14:textId="77777777" w:rsidTr="00621C83">
        <w:trPr>
          <w:trHeight w:val="312"/>
        </w:trPr>
        <w:tc>
          <w:tcPr>
            <w:tcW w:w="323" w:type="pct"/>
            <w:vMerge/>
            <w:shd w:val="clear" w:color="auto" w:fill="auto"/>
            <w:vAlign w:val="center"/>
          </w:tcPr>
          <w:p w14:paraId="455AF69A"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4DB34351"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712A5E4D" w14:textId="77777777" w:rsidR="00A320E6" w:rsidRDefault="00000000" w:rsidP="00AE0286">
            <w:pPr>
              <w:jc w:val="center"/>
              <w:rPr>
                <w:rFonts w:ascii="宋体" w:hAnsi="宋体" w:cs="宋体"/>
                <w:kern w:val="0"/>
                <w:szCs w:val="21"/>
              </w:rPr>
            </w:pPr>
            <w:r>
              <w:rPr>
                <w:rFonts w:ascii="宋体" w:hAnsi="宋体" w:cs="宋体" w:hint="eastAsia"/>
                <w:kern w:val="0"/>
                <w:szCs w:val="21"/>
              </w:rPr>
              <w:t>葡萄初果期</w:t>
            </w:r>
          </w:p>
        </w:tc>
        <w:tc>
          <w:tcPr>
            <w:tcW w:w="1379" w:type="pct"/>
            <w:gridSpan w:val="2"/>
            <w:shd w:val="clear" w:color="auto" w:fill="auto"/>
            <w:vAlign w:val="center"/>
          </w:tcPr>
          <w:p w14:paraId="0170B50D" w14:textId="77777777" w:rsidR="00A320E6" w:rsidRDefault="00000000" w:rsidP="00AE0286">
            <w:pPr>
              <w:jc w:val="center"/>
              <w:rPr>
                <w:rFonts w:ascii="宋体" w:hAnsi="宋体" w:cs="宋体"/>
                <w:kern w:val="0"/>
                <w:szCs w:val="21"/>
              </w:rPr>
            </w:pPr>
            <w:r>
              <w:rPr>
                <w:rFonts w:ascii="宋体" w:hAnsi="宋体" w:cs="宋体" w:hint="eastAsia"/>
                <w:kern w:val="0"/>
                <w:szCs w:val="21"/>
              </w:rPr>
              <w:t>5000-9000元/亩</w:t>
            </w:r>
          </w:p>
        </w:tc>
        <w:tc>
          <w:tcPr>
            <w:tcW w:w="1341" w:type="pct"/>
            <w:vMerge/>
            <w:shd w:val="clear" w:color="auto" w:fill="auto"/>
            <w:vAlign w:val="center"/>
          </w:tcPr>
          <w:p w14:paraId="5BDE579D" w14:textId="77777777" w:rsidR="00A320E6" w:rsidRDefault="00A320E6" w:rsidP="00AE0286">
            <w:pPr>
              <w:jc w:val="left"/>
              <w:rPr>
                <w:rFonts w:ascii="宋体" w:hAnsi="宋体" w:cs="宋体"/>
                <w:kern w:val="0"/>
                <w:szCs w:val="21"/>
              </w:rPr>
            </w:pPr>
          </w:p>
        </w:tc>
      </w:tr>
      <w:tr w:rsidR="00A320E6" w14:paraId="1F2A8D02" w14:textId="77777777" w:rsidTr="00621C83">
        <w:trPr>
          <w:trHeight w:val="312"/>
        </w:trPr>
        <w:tc>
          <w:tcPr>
            <w:tcW w:w="323" w:type="pct"/>
            <w:vMerge/>
            <w:shd w:val="clear" w:color="auto" w:fill="auto"/>
            <w:vAlign w:val="center"/>
          </w:tcPr>
          <w:p w14:paraId="0E7B3D20"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28E4B9C9"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69B82098" w14:textId="77777777" w:rsidR="00A320E6" w:rsidRDefault="00000000" w:rsidP="00AE0286">
            <w:pPr>
              <w:jc w:val="center"/>
              <w:rPr>
                <w:rFonts w:ascii="宋体" w:hAnsi="宋体" w:cs="宋体"/>
                <w:kern w:val="0"/>
                <w:szCs w:val="21"/>
              </w:rPr>
            </w:pPr>
            <w:r>
              <w:rPr>
                <w:rFonts w:ascii="宋体" w:hAnsi="宋体" w:cs="宋体" w:hint="eastAsia"/>
                <w:kern w:val="0"/>
                <w:szCs w:val="21"/>
              </w:rPr>
              <w:t>葡萄盛果期</w:t>
            </w:r>
          </w:p>
        </w:tc>
        <w:tc>
          <w:tcPr>
            <w:tcW w:w="1379" w:type="pct"/>
            <w:gridSpan w:val="2"/>
            <w:shd w:val="clear" w:color="auto" w:fill="auto"/>
            <w:vAlign w:val="center"/>
          </w:tcPr>
          <w:p w14:paraId="57C7597C" w14:textId="77777777" w:rsidR="00A320E6" w:rsidRDefault="00000000" w:rsidP="00AE0286">
            <w:pPr>
              <w:jc w:val="center"/>
              <w:rPr>
                <w:rFonts w:ascii="宋体" w:hAnsi="宋体" w:cs="宋体"/>
                <w:kern w:val="0"/>
                <w:szCs w:val="21"/>
              </w:rPr>
            </w:pPr>
            <w:r>
              <w:rPr>
                <w:rFonts w:ascii="宋体" w:hAnsi="宋体" w:cs="宋体" w:hint="eastAsia"/>
                <w:kern w:val="0"/>
                <w:szCs w:val="21"/>
              </w:rPr>
              <w:t>10000-25000元/亩</w:t>
            </w:r>
          </w:p>
        </w:tc>
        <w:tc>
          <w:tcPr>
            <w:tcW w:w="1341" w:type="pct"/>
            <w:vMerge/>
            <w:shd w:val="clear" w:color="auto" w:fill="auto"/>
            <w:vAlign w:val="center"/>
          </w:tcPr>
          <w:p w14:paraId="15C0C3F7" w14:textId="77777777" w:rsidR="00A320E6" w:rsidRDefault="00A320E6" w:rsidP="00AE0286">
            <w:pPr>
              <w:jc w:val="left"/>
              <w:rPr>
                <w:rFonts w:ascii="宋体" w:hAnsi="宋体" w:cs="宋体"/>
                <w:kern w:val="0"/>
                <w:szCs w:val="21"/>
              </w:rPr>
            </w:pPr>
          </w:p>
        </w:tc>
      </w:tr>
      <w:tr w:rsidR="00A320E6" w14:paraId="36C2F8F3" w14:textId="77777777" w:rsidTr="00621C83">
        <w:trPr>
          <w:trHeight w:val="312"/>
        </w:trPr>
        <w:tc>
          <w:tcPr>
            <w:tcW w:w="323" w:type="pct"/>
            <w:vMerge/>
            <w:shd w:val="clear" w:color="auto" w:fill="auto"/>
            <w:vAlign w:val="center"/>
          </w:tcPr>
          <w:p w14:paraId="3E705AFF"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775FB73C"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E056764" w14:textId="77777777" w:rsidR="00A320E6" w:rsidRDefault="00000000" w:rsidP="00AE0286">
            <w:pPr>
              <w:jc w:val="center"/>
              <w:rPr>
                <w:rFonts w:ascii="宋体" w:hAnsi="宋体" w:cs="宋体"/>
                <w:kern w:val="0"/>
                <w:szCs w:val="21"/>
              </w:rPr>
            </w:pPr>
            <w:r>
              <w:rPr>
                <w:rFonts w:ascii="宋体" w:hAnsi="宋体" w:cs="宋体" w:hint="eastAsia"/>
                <w:kern w:val="0"/>
                <w:szCs w:val="21"/>
              </w:rPr>
              <w:t>葡萄衰老期</w:t>
            </w:r>
          </w:p>
        </w:tc>
        <w:tc>
          <w:tcPr>
            <w:tcW w:w="1379" w:type="pct"/>
            <w:gridSpan w:val="2"/>
            <w:shd w:val="clear" w:color="auto" w:fill="auto"/>
            <w:vAlign w:val="center"/>
          </w:tcPr>
          <w:p w14:paraId="205C4511" w14:textId="77777777" w:rsidR="00A320E6" w:rsidRDefault="00000000" w:rsidP="00AE0286">
            <w:pPr>
              <w:jc w:val="center"/>
              <w:rPr>
                <w:rFonts w:ascii="宋体" w:hAnsi="宋体" w:cs="宋体"/>
                <w:kern w:val="0"/>
                <w:szCs w:val="21"/>
              </w:rPr>
            </w:pPr>
            <w:r>
              <w:rPr>
                <w:rFonts w:ascii="宋体" w:hAnsi="宋体" w:cs="宋体" w:hint="eastAsia"/>
                <w:kern w:val="0"/>
                <w:szCs w:val="21"/>
              </w:rPr>
              <w:t>4000-10000元/亩</w:t>
            </w:r>
          </w:p>
        </w:tc>
        <w:tc>
          <w:tcPr>
            <w:tcW w:w="1341" w:type="pct"/>
            <w:vMerge/>
            <w:shd w:val="clear" w:color="auto" w:fill="auto"/>
            <w:vAlign w:val="center"/>
          </w:tcPr>
          <w:p w14:paraId="0ED25992" w14:textId="77777777" w:rsidR="00A320E6" w:rsidRDefault="00A320E6" w:rsidP="00AE0286">
            <w:pPr>
              <w:jc w:val="left"/>
              <w:rPr>
                <w:rFonts w:ascii="宋体" w:hAnsi="宋体" w:cs="宋体"/>
                <w:kern w:val="0"/>
                <w:szCs w:val="21"/>
              </w:rPr>
            </w:pPr>
          </w:p>
        </w:tc>
      </w:tr>
      <w:tr w:rsidR="00A320E6" w14:paraId="2DC7E28C" w14:textId="77777777" w:rsidTr="00621C83">
        <w:trPr>
          <w:trHeight w:val="312"/>
        </w:trPr>
        <w:tc>
          <w:tcPr>
            <w:tcW w:w="323" w:type="pct"/>
            <w:vMerge w:val="restart"/>
            <w:shd w:val="clear" w:color="auto" w:fill="auto"/>
            <w:vAlign w:val="center"/>
          </w:tcPr>
          <w:p w14:paraId="70D563FB" w14:textId="77777777" w:rsidR="00A320E6" w:rsidRDefault="00000000" w:rsidP="00AE0286">
            <w:pPr>
              <w:jc w:val="center"/>
              <w:rPr>
                <w:rFonts w:ascii="宋体" w:hAnsi="宋体" w:cs="宋体"/>
                <w:kern w:val="0"/>
                <w:szCs w:val="21"/>
              </w:rPr>
            </w:pPr>
            <w:r>
              <w:rPr>
                <w:rFonts w:ascii="宋体" w:hAnsi="宋体" w:cs="宋体" w:hint="eastAsia"/>
                <w:kern w:val="0"/>
                <w:szCs w:val="21"/>
              </w:rPr>
              <w:t>20</w:t>
            </w:r>
          </w:p>
        </w:tc>
        <w:tc>
          <w:tcPr>
            <w:tcW w:w="486" w:type="pct"/>
            <w:vMerge w:val="restart"/>
            <w:shd w:val="clear" w:color="auto" w:fill="auto"/>
            <w:vAlign w:val="center"/>
          </w:tcPr>
          <w:p w14:paraId="45698EFE" w14:textId="77777777" w:rsidR="00A320E6" w:rsidRDefault="00000000" w:rsidP="00AE0286">
            <w:pPr>
              <w:jc w:val="center"/>
              <w:rPr>
                <w:rFonts w:ascii="宋体" w:hAnsi="宋体" w:cs="宋体"/>
                <w:kern w:val="0"/>
                <w:szCs w:val="21"/>
              </w:rPr>
            </w:pPr>
            <w:r>
              <w:rPr>
                <w:rFonts w:ascii="宋体" w:hAnsi="宋体" w:cs="宋体" w:hint="eastAsia"/>
                <w:kern w:val="0"/>
                <w:szCs w:val="21"/>
              </w:rPr>
              <w:t>其他</w:t>
            </w:r>
          </w:p>
          <w:p w14:paraId="7D9F7505" w14:textId="77777777" w:rsidR="00A320E6" w:rsidRDefault="00000000" w:rsidP="00AE0286">
            <w:pPr>
              <w:jc w:val="center"/>
              <w:rPr>
                <w:rFonts w:ascii="宋体" w:hAnsi="宋体" w:cs="宋体"/>
                <w:kern w:val="0"/>
                <w:szCs w:val="21"/>
              </w:rPr>
            </w:pPr>
            <w:r>
              <w:rPr>
                <w:rFonts w:ascii="宋体" w:hAnsi="宋体" w:cs="宋体" w:hint="eastAsia"/>
                <w:kern w:val="0"/>
                <w:szCs w:val="21"/>
              </w:rPr>
              <w:t>果树</w:t>
            </w:r>
          </w:p>
        </w:tc>
        <w:tc>
          <w:tcPr>
            <w:tcW w:w="1470" w:type="pct"/>
            <w:gridSpan w:val="2"/>
            <w:shd w:val="clear" w:color="auto" w:fill="auto"/>
            <w:vAlign w:val="center"/>
          </w:tcPr>
          <w:p w14:paraId="69593D58" w14:textId="77777777" w:rsidR="00A320E6" w:rsidRDefault="00000000" w:rsidP="00AE0286">
            <w:pPr>
              <w:jc w:val="center"/>
              <w:rPr>
                <w:rFonts w:ascii="宋体" w:hAnsi="宋体" w:cs="宋体"/>
                <w:kern w:val="0"/>
                <w:szCs w:val="21"/>
              </w:rPr>
            </w:pPr>
            <w:r>
              <w:rPr>
                <w:rFonts w:ascii="宋体" w:hAnsi="宋体" w:cs="宋体" w:hint="eastAsia"/>
                <w:kern w:val="0"/>
                <w:szCs w:val="21"/>
              </w:rPr>
              <w:t>幼龄期（区分树种）</w:t>
            </w:r>
          </w:p>
        </w:tc>
        <w:tc>
          <w:tcPr>
            <w:tcW w:w="1379" w:type="pct"/>
            <w:gridSpan w:val="2"/>
            <w:shd w:val="clear" w:color="auto" w:fill="auto"/>
            <w:vAlign w:val="center"/>
          </w:tcPr>
          <w:p w14:paraId="1F9354FA" w14:textId="77777777" w:rsidR="00A320E6" w:rsidRDefault="00000000" w:rsidP="00AE0286">
            <w:pPr>
              <w:jc w:val="center"/>
              <w:rPr>
                <w:rFonts w:ascii="宋体" w:hAnsi="宋体" w:cs="宋体"/>
                <w:kern w:val="0"/>
                <w:szCs w:val="21"/>
              </w:rPr>
            </w:pPr>
            <w:r>
              <w:rPr>
                <w:rFonts w:ascii="宋体" w:hAnsi="宋体" w:cs="宋体" w:hint="eastAsia"/>
                <w:kern w:val="0"/>
                <w:szCs w:val="21"/>
              </w:rPr>
              <w:t>7200-11000元/亩</w:t>
            </w:r>
          </w:p>
        </w:tc>
        <w:tc>
          <w:tcPr>
            <w:tcW w:w="1341" w:type="pct"/>
            <w:vMerge w:val="restart"/>
            <w:shd w:val="clear" w:color="auto" w:fill="auto"/>
            <w:vAlign w:val="center"/>
          </w:tcPr>
          <w:p w14:paraId="722FC5E5" w14:textId="77777777" w:rsidR="00A320E6" w:rsidRDefault="00000000" w:rsidP="00AE0286">
            <w:pPr>
              <w:jc w:val="center"/>
              <w:rPr>
                <w:rFonts w:ascii="宋体" w:hAnsi="宋体" w:cs="宋体"/>
                <w:kern w:val="0"/>
                <w:szCs w:val="21"/>
              </w:rPr>
            </w:pPr>
            <w:r>
              <w:rPr>
                <w:rFonts w:ascii="宋体" w:hAnsi="宋体" w:cs="宋体" w:hint="eastAsia"/>
                <w:bCs/>
                <w:kern w:val="0"/>
                <w:szCs w:val="21"/>
              </w:rPr>
              <w:t>1.果树包括苹果、梨、桃、杏、核桃、板栗、山楂、柿、枣、桑葚等树种。</w:t>
            </w:r>
            <w:r>
              <w:rPr>
                <w:rFonts w:ascii="宋体" w:hAnsi="宋体" w:cs="宋体" w:hint="eastAsia"/>
                <w:kern w:val="0"/>
                <w:szCs w:val="21"/>
              </w:rPr>
              <w:t>2.果园外零星果树：幼龄期50-100元/棵，初果期200-300元/棵，盛果期300-550元/棵，衰果期140-300元/棵。3.果树生长期由农业农村、林业等部门认定。</w:t>
            </w:r>
            <w:r>
              <w:rPr>
                <w:rFonts w:ascii="宋体" w:hAnsi="宋体" w:cs="宋体" w:hint="eastAsia"/>
                <w:bCs/>
                <w:kern w:val="0"/>
                <w:szCs w:val="21"/>
              </w:rPr>
              <w:t>4.</w:t>
            </w:r>
            <w:r>
              <w:rPr>
                <w:rFonts w:ascii="宋体" w:hAnsi="宋体" w:cs="宋体" w:hint="eastAsia"/>
                <w:kern w:val="0"/>
                <w:szCs w:val="21"/>
              </w:rPr>
              <w:t>特殊品种、特殊栽培方式的，可委托有资质的机构进行评估或由农业农村、林业等部门认定。5.树归原主。</w:t>
            </w:r>
          </w:p>
        </w:tc>
      </w:tr>
      <w:tr w:rsidR="00A320E6" w14:paraId="6552F766" w14:textId="77777777" w:rsidTr="00621C83">
        <w:trPr>
          <w:trHeight w:val="312"/>
        </w:trPr>
        <w:tc>
          <w:tcPr>
            <w:tcW w:w="323" w:type="pct"/>
            <w:vMerge/>
            <w:shd w:val="clear" w:color="auto" w:fill="auto"/>
            <w:vAlign w:val="center"/>
          </w:tcPr>
          <w:p w14:paraId="684ACE2D"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18D492D4"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E1199DF" w14:textId="77777777" w:rsidR="00A320E6" w:rsidRDefault="00000000" w:rsidP="00AE0286">
            <w:pPr>
              <w:jc w:val="center"/>
              <w:rPr>
                <w:rFonts w:ascii="宋体" w:hAnsi="宋体" w:cs="宋体"/>
                <w:kern w:val="0"/>
                <w:szCs w:val="21"/>
              </w:rPr>
            </w:pPr>
            <w:r>
              <w:rPr>
                <w:rFonts w:ascii="宋体" w:hAnsi="宋体" w:cs="宋体" w:hint="eastAsia"/>
                <w:kern w:val="0"/>
                <w:szCs w:val="21"/>
              </w:rPr>
              <w:t>初果期（区分树种）</w:t>
            </w:r>
          </w:p>
        </w:tc>
        <w:tc>
          <w:tcPr>
            <w:tcW w:w="1379" w:type="pct"/>
            <w:gridSpan w:val="2"/>
            <w:shd w:val="clear" w:color="auto" w:fill="auto"/>
            <w:vAlign w:val="center"/>
          </w:tcPr>
          <w:p w14:paraId="7448C518" w14:textId="77777777" w:rsidR="00A320E6" w:rsidRDefault="00000000" w:rsidP="00AE0286">
            <w:pPr>
              <w:jc w:val="center"/>
              <w:rPr>
                <w:rFonts w:ascii="宋体" w:hAnsi="宋体" w:cs="宋体"/>
                <w:kern w:val="0"/>
                <w:szCs w:val="21"/>
              </w:rPr>
            </w:pPr>
            <w:r>
              <w:rPr>
                <w:rFonts w:ascii="宋体" w:hAnsi="宋体" w:cs="宋体" w:hint="eastAsia"/>
                <w:kern w:val="0"/>
                <w:szCs w:val="21"/>
              </w:rPr>
              <w:t>20000-30000元/亩</w:t>
            </w:r>
          </w:p>
        </w:tc>
        <w:tc>
          <w:tcPr>
            <w:tcW w:w="1341" w:type="pct"/>
            <w:vMerge/>
            <w:shd w:val="clear" w:color="auto" w:fill="auto"/>
            <w:vAlign w:val="center"/>
          </w:tcPr>
          <w:p w14:paraId="26BE15B1" w14:textId="77777777" w:rsidR="00A320E6" w:rsidRDefault="00A320E6" w:rsidP="00AE0286">
            <w:pPr>
              <w:jc w:val="left"/>
              <w:rPr>
                <w:rFonts w:ascii="宋体" w:hAnsi="宋体" w:cs="宋体"/>
                <w:kern w:val="0"/>
                <w:szCs w:val="21"/>
              </w:rPr>
            </w:pPr>
          </w:p>
        </w:tc>
      </w:tr>
      <w:tr w:rsidR="00A320E6" w14:paraId="4905D0AE" w14:textId="77777777" w:rsidTr="00621C83">
        <w:trPr>
          <w:trHeight w:val="312"/>
        </w:trPr>
        <w:tc>
          <w:tcPr>
            <w:tcW w:w="323" w:type="pct"/>
            <w:vMerge/>
            <w:shd w:val="clear" w:color="auto" w:fill="auto"/>
            <w:vAlign w:val="center"/>
          </w:tcPr>
          <w:p w14:paraId="3AE9E490"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39F2405B"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1D9BA6F2" w14:textId="77777777" w:rsidR="00A320E6" w:rsidRDefault="00000000" w:rsidP="00AE0286">
            <w:pPr>
              <w:jc w:val="center"/>
              <w:rPr>
                <w:rFonts w:ascii="宋体" w:hAnsi="宋体" w:cs="宋体"/>
                <w:kern w:val="0"/>
                <w:szCs w:val="21"/>
              </w:rPr>
            </w:pPr>
            <w:r>
              <w:rPr>
                <w:rFonts w:ascii="宋体" w:hAnsi="宋体" w:cs="宋体" w:hint="eastAsia"/>
                <w:kern w:val="0"/>
                <w:szCs w:val="21"/>
              </w:rPr>
              <w:t>盛果期（区分树种）</w:t>
            </w:r>
          </w:p>
        </w:tc>
        <w:tc>
          <w:tcPr>
            <w:tcW w:w="1379" w:type="pct"/>
            <w:gridSpan w:val="2"/>
            <w:shd w:val="clear" w:color="auto" w:fill="auto"/>
            <w:vAlign w:val="center"/>
          </w:tcPr>
          <w:p w14:paraId="77605B1E" w14:textId="77777777" w:rsidR="00A320E6" w:rsidRDefault="00000000" w:rsidP="00AE0286">
            <w:pPr>
              <w:jc w:val="center"/>
              <w:rPr>
                <w:rFonts w:ascii="宋体" w:hAnsi="宋体" w:cs="宋体"/>
                <w:kern w:val="0"/>
                <w:szCs w:val="21"/>
              </w:rPr>
            </w:pPr>
            <w:r>
              <w:rPr>
                <w:rFonts w:ascii="宋体" w:hAnsi="宋体" w:cs="宋体" w:hint="eastAsia"/>
                <w:kern w:val="0"/>
                <w:szCs w:val="21"/>
              </w:rPr>
              <w:t>24000-40000元/亩</w:t>
            </w:r>
          </w:p>
        </w:tc>
        <w:tc>
          <w:tcPr>
            <w:tcW w:w="1341" w:type="pct"/>
            <w:vMerge/>
            <w:shd w:val="clear" w:color="auto" w:fill="auto"/>
            <w:vAlign w:val="center"/>
          </w:tcPr>
          <w:p w14:paraId="4694797F" w14:textId="77777777" w:rsidR="00A320E6" w:rsidRDefault="00A320E6" w:rsidP="00AE0286">
            <w:pPr>
              <w:jc w:val="left"/>
              <w:rPr>
                <w:rFonts w:ascii="宋体" w:hAnsi="宋体" w:cs="宋体"/>
                <w:kern w:val="0"/>
                <w:szCs w:val="21"/>
              </w:rPr>
            </w:pPr>
          </w:p>
        </w:tc>
      </w:tr>
      <w:tr w:rsidR="00A320E6" w14:paraId="146F69E4" w14:textId="77777777" w:rsidTr="00621C83">
        <w:trPr>
          <w:trHeight w:val="312"/>
        </w:trPr>
        <w:tc>
          <w:tcPr>
            <w:tcW w:w="323" w:type="pct"/>
            <w:vMerge/>
            <w:shd w:val="clear" w:color="auto" w:fill="auto"/>
            <w:vAlign w:val="center"/>
          </w:tcPr>
          <w:p w14:paraId="7F23915A"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128C2A5A" w14:textId="77777777" w:rsidR="00A320E6" w:rsidRDefault="00A320E6" w:rsidP="00AE0286">
            <w:pPr>
              <w:jc w:val="left"/>
              <w:rPr>
                <w:rFonts w:ascii="宋体" w:hAnsi="宋体" w:cs="宋体"/>
                <w:kern w:val="0"/>
                <w:szCs w:val="21"/>
              </w:rPr>
            </w:pPr>
          </w:p>
        </w:tc>
        <w:tc>
          <w:tcPr>
            <w:tcW w:w="1470" w:type="pct"/>
            <w:gridSpan w:val="2"/>
            <w:shd w:val="clear" w:color="auto" w:fill="auto"/>
            <w:vAlign w:val="center"/>
          </w:tcPr>
          <w:p w14:paraId="26416D87" w14:textId="77777777" w:rsidR="00A320E6" w:rsidRDefault="00000000" w:rsidP="00AE0286">
            <w:pPr>
              <w:jc w:val="center"/>
              <w:rPr>
                <w:rFonts w:ascii="宋体" w:hAnsi="宋体" w:cs="宋体"/>
                <w:kern w:val="0"/>
                <w:szCs w:val="21"/>
              </w:rPr>
            </w:pPr>
            <w:r>
              <w:rPr>
                <w:rFonts w:ascii="宋体" w:hAnsi="宋体" w:cs="宋体" w:hint="eastAsia"/>
                <w:kern w:val="0"/>
                <w:szCs w:val="21"/>
              </w:rPr>
              <w:t>衰老期（区分树种）</w:t>
            </w:r>
          </w:p>
        </w:tc>
        <w:tc>
          <w:tcPr>
            <w:tcW w:w="1379" w:type="pct"/>
            <w:gridSpan w:val="2"/>
            <w:shd w:val="clear" w:color="auto" w:fill="auto"/>
            <w:vAlign w:val="center"/>
          </w:tcPr>
          <w:p w14:paraId="37139BAD" w14:textId="77777777" w:rsidR="00A320E6" w:rsidRDefault="00000000" w:rsidP="00AE0286">
            <w:pPr>
              <w:jc w:val="center"/>
              <w:rPr>
                <w:rFonts w:ascii="宋体" w:hAnsi="宋体" w:cs="宋体"/>
                <w:kern w:val="0"/>
                <w:szCs w:val="21"/>
              </w:rPr>
            </w:pPr>
            <w:r>
              <w:rPr>
                <w:rFonts w:ascii="宋体" w:hAnsi="宋体" w:cs="宋体" w:hint="eastAsia"/>
                <w:kern w:val="0"/>
                <w:szCs w:val="21"/>
              </w:rPr>
              <w:t>10000-25000元/亩</w:t>
            </w:r>
          </w:p>
        </w:tc>
        <w:tc>
          <w:tcPr>
            <w:tcW w:w="1341" w:type="pct"/>
            <w:vMerge/>
            <w:shd w:val="clear" w:color="auto" w:fill="auto"/>
            <w:vAlign w:val="center"/>
          </w:tcPr>
          <w:p w14:paraId="06480834" w14:textId="77777777" w:rsidR="00A320E6" w:rsidRDefault="00A320E6" w:rsidP="00AE0286">
            <w:pPr>
              <w:jc w:val="left"/>
              <w:rPr>
                <w:rFonts w:ascii="宋体" w:hAnsi="宋体" w:cs="宋体"/>
                <w:kern w:val="0"/>
                <w:szCs w:val="21"/>
              </w:rPr>
            </w:pPr>
          </w:p>
        </w:tc>
      </w:tr>
      <w:tr w:rsidR="00A320E6" w14:paraId="6C8B5480" w14:textId="77777777" w:rsidTr="00621C83">
        <w:trPr>
          <w:trHeight w:val="312"/>
        </w:trPr>
        <w:tc>
          <w:tcPr>
            <w:tcW w:w="323" w:type="pct"/>
            <w:vMerge w:val="restart"/>
            <w:shd w:val="clear" w:color="auto" w:fill="auto"/>
            <w:vAlign w:val="center"/>
          </w:tcPr>
          <w:p w14:paraId="113E0FBF" w14:textId="77777777" w:rsidR="00A320E6" w:rsidRDefault="00000000" w:rsidP="00AE0286">
            <w:pPr>
              <w:jc w:val="center"/>
              <w:rPr>
                <w:rFonts w:ascii="宋体" w:hAnsi="宋体" w:cs="宋体"/>
                <w:kern w:val="0"/>
                <w:szCs w:val="21"/>
              </w:rPr>
            </w:pPr>
            <w:r>
              <w:rPr>
                <w:rFonts w:ascii="宋体" w:hAnsi="宋体" w:cs="宋体" w:hint="eastAsia"/>
                <w:kern w:val="0"/>
                <w:szCs w:val="21"/>
              </w:rPr>
              <w:t>21</w:t>
            </w:r>
          </w:p>
        </w:tc>
        <w:tc>
          <w:tcPr>
            <w:tcW w:w="486" w:type="pct"/>
            <w:vMerge w:val="restart"/>
            <w:shd w:val="clear" w:color="auto" w:fill="auto"/>
            <w:vAlign w:val="center"/>
          </w:tcPr>
          <w:p w14:paraId="14EEC38B" w14:textId="77777777" w:rsidR="00A320E6" w:rsidRDefault="00000000" w:rsidP="00AE0286">
            <w:pPr>
              <w:jc w:val="center"/>
              <w:rPr>
                <w:rFonts w:ascii="宋体" w:hAnsi="宋体" w:cs="宋体"/>
                <w:kern w:val="0"/>
                <w:szCs w:val="21"/>
              </w:rPr>
            </w:pPr>
            <w:r>
              <w:rPr>
                <w:rFonts w:ascii="宋体" w:hAnsi="宋体" w:cs="宋体" w:hint="eastAsia"/>
                <w:kern w:val="0"/>
                <w:szCs w:val="21"/>
              </w:rPr>
              <w:t>青苗</w:t>
            </w:r>
          </w:p>
          <w:p w14:paraId="26D064F8" w14:textId="77777777" w:rsidR="00A320E6" w:rsidRDefault="00000000" w:rsidP="00AE0286">
            <w:pPr>
              <w:jc w:val="center"/>
              <w:rPr>
                <w:rFonts w:ascii="宋体" w:hAnsi="宋体" w:cs="宋体"/>
                <w:kern w:val="0"/>
                <w:szCs w:val="21"/>
              </w:rPr>
            </w:pPr>
            <w:r>
              <w:rPr>
                <w:rFonts w:ascii="宋体" w:hAnsi="宋体" w:cs="宋体" w:hint="eastAsia"/>
                <w:kern w:val="0"/>
                <w:szCs w:val="21"/>
              </w:rPr>
              <w:t>补偿</w:t>
            </w:r>
          </w:p>
        </w:tc>
        <w:tc>
          <w:tcPr>
            <w:tcW w:w="1470" w:type="pct"/>
            <w:gridSpan w:val="2"/>
            <w:shd w:val="clear" w:color="auto" w:fill="auto"/>
            <w:vAlign w:val="center"/>
          </w:tcPr>
          <w:p w14:paraId="23BE3DC9" w14:textId="77777777" w:rsidR="00A320E6" w:rsidRDefault="00000000" w:rsidP="00AE0286">
            <w:pPr>
              <w:jc w:val="center"/>
              <w:rPr>
                <w:rFonts w:ascii="宋体" w:hAnsi="宋体" w:cs="宋体"/>
                <w:kern w:val="0"/>
                <w:szCs w:val="21"/>
              </w:rPr>
            </w:pPr>
            <w:r>
              <w:rPr>
                <w:rFonts w:ascii="宋体" w:hAnsi="宋体" w:cs="宋体" w:hint="eastAsia"/>
                <w:kern w:val="0"/>
                <w:szCs w:val="21"/>
              </w:rPr>
              <w:t>粮食作物</w:t>
            </w:r>
          </w:p>
        </w:tc>
        <w:tc>
          <w:tcPr>
            <w:tcW w:w="1379" w:type="pct"/>
            <w:gridSpan w:val="2"/>
            <w:shd w:val="clear" w:color="auto" w:fill="auto"/>
            <w:vAlign w:val="center"/>
          </w:tcPr>
          <w:p w14:paraId="54550AA1" w14:textId="77777777" w:rsidR="00A320E6" w:rsidRDefault="00000000" w:rsidP="00AE0286">
            <w:pPr>
              <w:jc w:val="center"/>
              <w:rPr>
                <w:rFonts w:ascii="宋体" w:hAnsi="宋体" w:cs="宋体"/>
                <w:kern w:val="0"/>
                <w:szCs w:val="21"/>
              </w:rPr>
            </w:pPr>
            <w:r>
              <w:rPr>
                <w:rFonts w:ascii="宋体" w:hAnsi="宋体" w:cs="宋体" w:hint="eastAsia"/>
                <w:kern w:val="0"/>
                <w:szCs w:val="21"/>
              </w:rPr>
              <w:t>2200-3600元/亩/年</w:t>
            </w:r>
          </w:p>
        </w:tc>
        <w:tc>
          <w:tcPr>
            <w:tcW w:w="1341" w:type="pct"/>
            <w:vMerge w:val="restart"/>
            <w:shd w:val="clear" w:color="auto" w:fill="auto"/>
            <w:vAlign w:val="center"/>
          </w:tcPr>
          <w:p w14:paraId="5D85AEAF" w14:textId="77777777" w:rsidR="00A320E6" w:rsidRDefault="00000000" w:rsidP="00AE0286">
            <w:pPr>
              <w:jc w:val="center"/>
              <w:rPr>
                <w:rFonts w:ascii="宋体" w:hAnsi="宋体" w:cs="宋体"/>
                <w:bCs/>
                <w:kern w:val="0"/>
                <w:szCs w:val="21"/>
              </w:rPr>
            </w:pPr>
            <w:r>
              <w:rPr>
                <w:rFonts w:ascii="宋体" w:hAnsi="宋体" w:cs="宋体" w:hint="eastAsia"/>
                <w:bCs/>
                <w:kern w:val="0"/>
                <w:szCs w:val="21"/>
              </w:rPr>
              <w:t>1.种植一年两季作物的，按年补偿标准的50%补偿；种植一年一季作物的，按年补偿标准补偿。2.大棚蔬菜可按市场行情评估，或由农业农村等部门认定。3.经济作物指棉花、花生、芝麻等。4.特殊品种或特殊市场行情可委托有资质的机构根据市场价格评估或由农业农村等部门认定。5.能收获的不予补偿。</w:t>
            </w:r>
          </w:p>
        </w:tc>
      </w:tr>
      <w:tr w:rsidR="00A320E6" w14:paraId="1EF2ECFA" w14:textId="77777777" w:rsidTr="00621C83">
        <w:trPr>
          <w:trHeight w:val="312"/>
        </w:trPr>
        <w:tc>
          <w:tcPr>
            <w:tcW w:w="323" w:type="pct"/>
            <w:vMerge/>
            <w:shd w:val="clear" w:color="auto" w:fill="auto"/>
            <w:vAlign w:val="center"/>
          </w:tcPr>
          <w:p w14:paraId="3835A60A"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7D2FAB11" w14:textId="77777777" w:rsidR="00A320E6" w:rsidRDefault="00A320E6" w:rsidP="00AE0286">
            <w:pPr>
              <w:jc w:val="left"/>
              <w:rPr>
                <w:rFonts w:ascii="宋体" w:hAnsi="宋体" w:cs="宋体"/>
                <w:kern w:val="0"/>
                <w:szCs w:val="21"/>
              </w:rPr>
            </w:pPr>
          </w:p>
        </w:tc>
        <w:tc>
          <w:tcPr>
            <w:tcW w:w="1470" w:type="pct"/>
            <w:gridSpan w:val="2"/>
            <w:vMerge w:val="restart"/>
            <w:shd w:val="clear" w:color="auto" w:fill="auto"/>
            <w:vAlign w:val="center"/>
          </w:tcPr>
          <w:p w14:paraId="28C2986C" w14:textId="77777777" w:rsidR="00A320E6" w:rsidRDefault="00000000" w:rsidP="00AE0286">
            <w:pPr>
              <w:jc w:val="center"/>
              <w:rPr>
                <w:rFonts w:ascii="宋体" w:hAnsi="宋体" w:cs="宋体"/>
                <w:kern w:val="0"/>
                <w:szCs w:val="21"/>
              </w:rPr>
            </w:pPr>
            <w:r>
              <w:rPr>
                <w:rFonts w:ascii="宋体" w:hAnsi="宋体" w:cs="宋体" w:hint="eastAsia"/>
                <w:kern w:val="0"/>
                <w:szCs w:val="21"/>
              </w:rPr>
              <w:t>其他作物</w:t>
            </w:r>
          </w:p>
        </w:tc>
        <w:tc>
          <w:tcPr>
            <w:tcW w:w="1379" w:type="pct"/>
            <w:gridSpan w:val="2"/>
            <w:vMerge w:val="restart"/>
            <w:shd w:val="clear" w:color="auto" w:fill="auto"/>
            <w:vAlign w:val="center"/>
          </w:tcPr>
          <w:p w14:paraId="4C5E3AC7" w14:textId="77777777" w:rsidR="00A320E6" w:rsidRDefault="00000000" w:rsidP="00AE0286">
            <w:pPr>
              <w:jc w:val="center"/>
              <w:rPr>
                <w:rFonts w:ascii="宋体" w:hAnsi="宋体" w:cs="宋体"/>
                <w:kern w:val="0"/>
                <w:szCs w:val="21"/>
              </w:rPr>
            </w:pPr>
            <w:r>
              <w:rPr>
                <w:rFonts w:ascii="宋体" w:hAnsi="宋体" w:cs="宋体" w:hint="eastAsia"/>
                <w:kern w:val="0"/>
                <w:szCs w:val="21"/>
              </w:rPr>
              <w:t>露天蔬菜、经济作物3000-5000元/亩</w:t>
            </w:r>
          </w:p>
        </w:tc>
        <w:tc>
          <w:tcPr>
            <w:tcW w:w="1341" w:type="pct"/>
            <w:vMerge/>
            <w:shd w:val="clear" w:color="auto" w:fill="auto"/>
            <w:vAlign w:val="center"/>
          </w:tcPr>
          <w:p w14:paraId="5601D270" w14:textId="77777777" w:rsidR="00A320E6" w:rsidRDefault="00A320E6" w:rsidP="00AE0286">
            <w:pPr>
              <w:jc w:val="left"/>
              <w:rPr>
                <w:rFonts w:ascii="宋体" w:hAnsi="宋体" w:cs="宋体"/>
                <w:b/>
                <w:bCs/>
                <w:kern w:val="0"/>
                <w:szCs w:val="21"/>
              </w:rPr>
            </w:pPr>
          </w:p>
        </w:tc>
      </w:tr>
      <w:tr w:rsidR="00A320E6" w14:paraId="6A59525B" w14:textId="77777777" w:rsidTr="00621C83">
        <w:trPr>
          <w:trHeight w:val="312"/>
        </w:trPr>
        <w:tc>
          <w:tcPr>
            <w:tcW w:w="323" w:type="pct"/>
            <w:vMerge/>
            <w:shd w:val="clear" w:color="auto" w:fill="auto"/>
            <w:vAlign w:val="center"/>
          </w:tcPr>
          <w:p w14:paraId="687A07F0" w14:textId="77777777" w:rsidR="00A320E6" w:rsidRDefault="00A320E6" w:rsidP="00AE0286">
            <w:pPr>
              <w:jc w:val="left"/>
              <w:rPr>
                <w:rFonts w:ascii="宋体" w:hAnsi="宋体" w:cs="宋体"/>
                <w:kern w:val="0"/>
                <w:szCs w:val="21"/>
              </w:rPr>
            </w:pPr>
          </w:p>
        </w:tc>
        <w:tc>
          <w:tcPr>
            <w:tcW w:w="486" w:type="pct"/>
            <w:vMerge/>
            <w:shd w:val="clear" w:color="auto" w:fill="auto"/>
            <w:vAlign w:val="center"/>
          </w:tcPr>
          <w:p w14:paraId="2C8F6937" w14:textId="77777777" w:rsidR="00A320E6" w:rsidRDefault="00A320E6" w:rsidP="00AE0286">
            <w:pPr>
              <w:jc w:val="left"/>
              <w:rPr>
                <w:rFonts w:ascii="宋体" w:hAnsi="宋体" w:cs="宋体"/>
                <w:kern w:val="0"/>
                <w:szCs w:val="21"/>
              </w:rPr>
            </w:pPr>
          </w:p>
        </w:tc>
        <w:tc>
          <w:tcPr>
            <w:tcW w:w="1470" w:type="pct"/>
            <w:gridSpan w:val="2"/>
            <w:vMerge/>
            <w:shd w:val="clear" w:color="auto" w:fill="auto"/>
            <w:vAlign w:val="center"/>
          </w:tcPr>
          <w:p w14:paraId="14C43375" w14:textId="77777777" w:rsidR="00A320E6" w:rsidRDefault="00A320E6" w:rsidP="00AE0286">
            <w:pPr>
              <w:jc w:val="center"/>
              <w:rPr>
                <w:rFonts w:ascii="宋体" w:hAnsi="宋体" w:cs="宋体"/>
                <w:kern w:val="0"/>
                <w:szCs w:val="21"/>
              </w:rPr>
            </w:pPr>
          </w:p>
        </w:tc>
        <w:tc>
          <w:tcPr>
            <w:tcW w:w="1379" w:type="pct"/>
            <w:gridSpan w:val="2"/>
            <w:vMerge/>
            <w:shd w:val="clear" w:color="auto" w:fill="auto"/>
            <w:vAlign w:val="center"/>
          </w:tcPr>
          <w:p w14:paraId="45F6C620" w14:textId="77777777" w:rsidR="00A320E6" w:rsidRDefault="00A320E6" w:rsidP="00AE0286">
            <w:pPr>
              <w:jc w:val="center"/>
              <w:rPr>
                <w:rFonts w:ascii="宋体" w:hAnsi="宋体" w:cs="宋体"/>
                <w:kern w:val="0"/>
                <w:szCs w:val="21"/>
              </w:rPr>
            </w:pPr>
          </w:p>
        </w:tc>
        <w:tc>
          <w:tcPr>
            <w:tcW w:w="1341" w:type="pct"/>
            <w:vMerge/>
            <w:shd w:val="clear" w:color="auto" w:fill="auto"/>
            <w:vAlign w:val="center"/>
          </w:tcPr>
          <w:p w14:paraId="271BA36D" w14:textId="77777777" w:rsidR="00A320E6" w:rsidRDefault="00A320E6" w:rsidP="00AE0286">
            <w:pPr>
              <w:jc w:val="left"/>
              <w:rPr>
                <w:rFonts w:ascii="宋体" w:hAnsi="宋体" w:cs="宋体"/>
                <w:b/>
                <w:bCs/>
                <w:kern w:val="0"/>
                <w:szCs w:val="21"/>
              </w:rPr>
            </w:pPr>
          </w:p>
        </w:tc>
      </w:tr>
      <w:tr w:rsidR="00A320E6" w14:paraId="57018829" w14:textId="77777777" w:rsidTr="00621C83">
        <w:trPr>
          <w:trHeight w:val="312"/>
        </w:trPr>
        <w:tc>
          <w:tcPr>
            <w:tcW w:w="323" w:type="pct"/>
            <w:shd w:val="clear" w:color="auto" w:fill="auto"/>
            <w:vAlign w:val="center"/>
          </w:tcPr>
          <w:p w14:paraId="7FB94B04" w14:textId="77777777" w:rsidR="00A320E6" w:rsidRDefault="00000000" w:rsidP="00AE0286">
            <w:pPr>
              <w:jc w:val="center"/>
              <w:rPr>
                <w:rFonts w:ascii="宋体" w:hAnsi="宋体" w:cs="宋体"/>
                <w:kern w:val="0"/>
                <w:szCs w:val="21"/>
              </w:rPr>
            </w:pPr>
            <w:r>
              <w:rPr>
                <w:rFonts w:ascii="宋体" w:hAnsi="宋体" w:cs="宋体" w:hint="eastAsia"/>
                <w:kern w:val="0"/>
                <w:szCs w:val="21"/>
              </w:rPr>
              <w:t>22</w:t>
            </w:r>
          </w:p>
        </w:tc>
        <w:tc>
          <w:tcPr>
            <w:tcW w:w="486" w:type="pct"/>
            <w:shd w:val="clear" w:color="auto" w:fill="auto"/>
            <w:vAlign w:val="center"/>
          </w:tcPr>
          <w:p w14:paraId="027FD01E" w14:textId="77777777" w:rsidR="00A320E6" w:rsidRDefault="00000000" w:rsidP="00AE0286">
            <w:pPr>
              <w:jc w:val="center"/>
              <w:rPr>
                <w:rFonts w:ascii="宋体" w:hAnsi="宋体" w:cs="宋体"/>
                <w:kern w:val="0"/>
                <w:szCs w:val="21"/>
              </w:rPr>
            </w:pPr>
            <w:r>
              <w:rPr>
                <w:rFonts w:ascii="宋体" w:hAnsi="宋体" w:cs="宋体" w:hint="eastAsia"/>
                <w:kern w:val="0"/>
                <w:szCs w:val="21"/>
              </w:rPr>
              <w:t>迁坟</w:t>
            </w:r>
          </w:p>
        </w:tc>
        <w:tc>
          <w:tcPr>
            <w:tcW w:w="1470" w:type="pct"/>
            <w:gridSpan w:val="2"/>
            <w:shd w:val="clear" w:color="auto" w:fill="auto"/>
            <w:vAlign w:val="center"/>
          </w:tcPr>
          <w:p w14:paraId="7C5FC585" w14:textId="77777777" w:rsidR="00A320E6" w:rsidRDefault="00000000" w:rsidP="00AE0286">
            <w:pPr>
              <w:jc w:val="center"/>
              <w:rPr>
                <w:rFonts w:ascii="宋体" w:hAnsi="宋体" w:cs="宋体"/>
                <w:kern w:val="0"/>
                <w:szCs w:val="21"/>
              </w:rPr>
            </w:pPr>
            <w:r>
              <w:rPr>
                <w:rFonts w:ascii="宋体" w:hAnsi="宋体" w:cs="宋体" w:hint="eastAsia"/>
                <w:kern w:val="0"/>
                <w:szCs w:val="21"/>
              </w:rPr>
              <w:t>棺木、拾骨、骨灰盒</w:t>
            </w:r>
          </w:p>
        </w:tc>
        <w:tc>
          <w:tcPr>
            <w:tcW w:w="1379" w:type="pct"/>
            <w:gridSpan w:val="2"/>
            <w:shd w:val="clear" w:color="auto" w:fill="auto"/>
            <w:vAlign w:val="center"/>
          </w:tcPr>
          <w:p w14:paraId="0129691F" w14:textId="77777777" w:rsidR="00A320E6" w:rsidRDefault="00000000" w:rsidP="00AE0286">
            <w:pPr>
              <w:jc w:val="center"/>
              <w:rPr>
                <w:rFonts w:ascii="宋体" w:hAnsi="宋体" w:cs="宋体"/>
                <w:kern w:val="0"/>
                <w:szCs w:val="21"/>
              </w:rPr>
            </w:pPr>
            <w:r>
              <w:rPr>
                <w:rFonts w:ascii="宋体" w:hAnsi="宋体" w:cs="宋体" w:hint="eastAsia"/>
                <w:kern w:val="0"/>
                <w:szCs w:val="21"/>
              </w:rPr>
              <w:t>1500-2500元/座</w:t>
            </w:r>
          </w:p>
        </w:tc>
        <w:tc>
          <w:tcPr>
            <w:tcW w:w="1341" w:type="pct"/>
            <w:shd w:val="clear" w:color="auto" w:fill="auto"/>
            <w:vAlign w:val="center"/>
          </w:tcPr>
          <w:p w14:paraId="2CB280BC" w14:textId="77777777" w:rsidR="00A320E6" w:rsidRDefault="00000000" w:rsidP="00AE0286">
            <w:pPr>
              <w:jc w:val="center"/>
              <w:rPr>
                <w:rFonts w:ascii="宋体" w:hAnsi="宋体" w:cs="宋体"/>
                <w:kern w:val="0"/>
                <w:szCs w:val="21"/>
              </w:rPr>
            </w:pPr>
            <w:r>
              <w:rPr>
                <w:rFonts w:ascii="宋体" w:hAnsi="宋体" w:cs="宋体" w:hint="eastAsia"/>
                <w:kern w:val="0"/>
                <w:szCs w:val="21"/>
              </w:rPr>
              <w:t>1.包括迁葬、工料费等。2.双棺及以上可适当增加补偿标准，每棺可增加500元，最高不超过1000元。</w:t>
            </w:r>
          </w:p>
        </w:tc>
      </w:tr>
      <w:tr w:rsidR="00A320E6" w14:paraId="63F65FA8" w14:textId="77777777" w:rsidTr="00621C83">
        <w:trPr>
          <w:trHeight w:val="312"/>
        </w:trPr>
        <w:tc>
          <w:tcPr>
            <w:tcW w:w="323" w:type="pct"/>
            <w:vMerge w:val="restart"/>
            <w:shd w:val="clear" w:color="auto" w:fill="auto"/>
            <w:vAlign w:val="center"/>
          </w:tcPr>
          <w:p w14:paraId="70D16665" w14:textId="77777777" w:rsidR="00A320E6" w:rsidRDefault="00000000" w:rsidP="00AE0286">
            <w:pPr>
              <w:jc w:val="center"/>
              <w:rPr>
                <w:rFonts w:ascii="宋体" w:hAnsi="宋体" w:cs="宋体"/>
                <w:kern w:val="0"/>
                <w:szCs w:val="21"/>
              </w:rPr>
            </w:pPr>
            <w:r>
              <w:rPr>
                <w:rFonts w:ascii="宋体" w:hAnsi="宋体" w:cs="宋体" w:hint="eastAsia"/>
                <w:kern w:val="0"/>
                <w:szCs w:val="21"/>
              </w:rPr>
              <w:t>23</w:t>
            </w:r>
          </w:p>
        </w:tc>
        <w:tc>
          <w:tcPr>
            <w:tcW w:w="486" w:type="pct"/>
            <w:vMerge w:val="restart"/>
            <w:shd w:val="clear" w:color="auto" w:fill="auto"/>
            <w:vAlign w:val="center"/>
          </w:tcPr>
          <w:p w14:paraId="2C521C97" w14:textId="77777777" w:rsidR="00A320E6" w:rsidRDefault="00000000" w:rsidP="00AE0286">
            <w:pPr>
              <w:jc w:val="center"/>
              <w:rPr>
                <w:rFonts w:ascii="宋体" w:hAnsi="宋体" w:cs="宋体"/>
                <w:kern w:val="0"/>
                <w:szCs w:val="21"/>
              </w:rPr>
            </w:pPr>
            <w:r>
              <w:rPr>
                <w:rFonts w:ascii="宋体" w:hAnsi="宋体" w:cs="宋体" w:hint="eastAsia"/>
                <w:kern w:val="0"/>
                <w:szCs w:val="21"/>
              </w:rPr>
              <w:t>电力通讯线路</w:t>
            </w:r>
          </w:p>
        </w:tc>
        <w:tc>
          <w:tcPr>
            <w:tcW w:w="1470" w:type="pct"/>
            <w:gridSpan w:val="2"/>
            <w:shd w:val="clear" w:color="auto" w:fill="auto"/>
            <w:vAlign w:val="center"/>
          </w:tcPr>
          <w:p w14:paraId="651F95E9" w14:textId="77777777" w:rsidR="00A320E6" w:rsidRDefault="00000000" w:rsidP="00AE0286">
            <w:pPr>
              <w:jc w:val="center"/>
              <w:rPr>
                <w:rFonts w:ascii="宋体" w:hAnsi="宋体" w:cs="宋体"/>
                <w:kern w:val="0"/>
                <w:szCs w:val="21"/>
              </w:rPr>
            </w:pPr>
            <w:r>
              <w:rPr>
                <w:rFonts w:ascii="宋体" w:hAnsi="宋体" w:cs="宋体" w:hint="eastAsia"/>
                <w:kern w:val="0"/>
                <w:szCs w:val="21"/>
              </w:rPr>
              <w:t>低压线路（含杆）、通讯广播线路（含杆）</w:t>
            </w:r>
          </w:p>
        </w:tc>
        <w:tc>
          <w:tcPr>
            <w:tcW w:w="1379" w:type="pct"/>
            <w:gridSpan w:val="2"/>
            <w:shd w:val="clear" w:color="auto" w:fill="auto"/>
            <w:vAlign w:val="center"/>
          </w:tcPr>
          <w:p w14:paraId="07C6E94F" w14:textId="77777777" w:rsidR="00A320E6" w:rsidRDefault="00000000" w:rsidP="00AE0286">
            <w:pPr>
              <w:jc w:val="center"/>
              <w:rPr>
                <w:rFonts w:ascii="宋体" w:hAnsi="宋体" w:cs="宋体"/>
                <w:kern w:val="0"/>
                <w:szCs w:val="21"/>
              </w:rPr>
            </w:pPr>
            <w:r>
              <w:rPr>
                <w:rFonts w:ascii="宋体" w:hAnsi="宋体" w:cs="宋体" w:hint="eastAsia"/>
                <w:kern w:val="0"/>
                <w:szCs w:val="21"/>
              </w:rPr>
              <w:t>2000元/杆</w:t>
            </w:r>
          </w:p>
        </w:tc>
        <w:tc>
          <w:tcPr>
            <w:tcW w:w="1341" w:type="pct"/>
            <w:vMerge w:val="restart"/>
            <w:shd w:val="clear" w:color="auto" w:fill="auto"/>
            <w:vAlign w:val="center"/>
          </w:tcPr>
          <w:p w14:paraId="74F1311F" w14:textId="77777777" w:rsidR="00A320E6" w:rsidRDefault="00000000" w:rsidP="00AE0286">
            <w:pPr>
              <w:jc w:val="center"/>
              <w:rPr>
                <w:rFonts w:ascii="宋体" w:hAnsi="宋体" w:cs="宋体"/>
                <w:kern w:val="0"/>
                <w:szCs w:val="21"/>
              </w:rPr>
            </w:pPr>
            <w:r>
              <w:rPr>
                <w:rFonts w:ascii="宋体" w:hAnsi="宋体" w:cs="宋体" w:hint="eastAsia"/>
                <w:kern w:val="0"/>
                <w:szCs w:val="21"/>
              </w:rPr>
              <w:t>1.包括电线或电缆等材料损失及拆建工费。2.旧料归原主。</w:t>
            </w:r>
          </w:p>
        </w:tc>
      </w:tr>
      <w:tr w:rsidR="00A320E6" w14:paraId="50F81F81" w14:textId="77777777" w:rsidTr="00621C83">
        <w:trPr>
          <w:trHeight w:val="312"/>
        </w:trPr>
        <w:tc>
          <w:tcPr>
            <w:tcW w:w="323" w:type="pct"/>
            <w:vMerge/>
            <w:shd w:val="clear" w:color="auto" w:fill="auto"/>
            <w:vAlign w:val="center"/>
          </w:tcPr>
          <w:p w14:paraId="7DC0915C" w14:textId="77777777" w:rsidR="00A320E6" w:rsidRDefault="00A320E6" w:rsidP="00AE0286">
            <w:pPr>
              <w:jc w:val="center"/>
              <w:rPr>
                <w:rFonts w:ascii="宋体" w:hAnsi="宋体" w:cs="宋体"/>
                <w:kern w:val="0"/>
                <w:szCs w:val="21"/>
              </w:rPr>
            </w:pPr>
          </w:p>
        </w:tc>
        <w:tc>
          <w:tcPr>
            <w:tcW w:w="486" w:type="pct"/>
            <w:vMerge/>
            <w:shd w:val="clear" w:color="auto" w:fill="auto"/>
            <w:vAlign w:val="center"/>
          </w:tcPr>
          <w:p w14:paraId="5F9574C0" w14:textId="77777777" w:rsidR="00A320E6" w:rsidRDefault="00A320E6" w:rsidP="00AE0286">
            <w:pPr>
              <w:jc w:val="center"/>
              <w:rPr>
                <w:rFonts w:ascii="宋体" w:hAnsi="宋体" w:cs="宋体"/>
                <w:kern w:val="0"/>
                <w:szCs w:val="21"/>
              </w:rPr>
            </w:pPr>
          </w:p>
        </w:tc>
        <w:tc>
          <w:tcPr>
            <w:tcW w:w="1470" w:type="pct"/>
            <w:gridSpan w:val="2"/>
            <w:shd w:val="clear" w:color="auto" w:fill="auto"/>
            <w:vAlign w:val="center"/>
          </w:tcPr>
          <w:p w14:paraId="03ACCD2F" w14:textId="77777777" w:rsidR="00A320E6" w:rsidRDefault="00000000" w:rsidP="00AE0286">
            <w:pPr>
              <w:jc w:val="center"/>
              <w:rPr>
                <w:rFonts w:ascii="宋体" w:hAnsi="宋体" w:cs="宋体"/>
                <w:kern w:val="0"/>
                <w:szCs w:val="21"/>
              </w:rPr>
            </w:pPr>
            <w:r>
              <w:rPr>
                <w:rFonts w:ascii="宋体" w:hAnsi="宋体" w:cs="宋体" w:hint="eastAsia"/>
                <w:kern w:val="0"/>
                <w:szCs w:val="21"/>
              </w:rPr>
              <w:t>照明水泥线杆</w:t>
            </w:r>
          </w:p>
        </w:tc>
        <w:tc>
          <w:tcPr>
            <w:tcW w:w="1379" w:type="pct"/>
            <w:gridSpan w:val="2"/>
            <w:shd w:val="clear" w:color="auto" w:fill="auto"/>
            <w:vAlign w:val="center"/>
          </w:tcPr>
          <w:p w14:paraId="174838FA" w14:textId="77777777" w:rsidR="00A320E6" w:rsidRDefault="00000000" w:rsidP="00AE0286">
            <w:pPr>
              <w:jc w:val="center"/>
              <w:rPr>
                <w:rFonts w:ascii="宋体" w:hAnsi="宋体" w:cs="宋体"/>
                <w:kern w:val="0"/>
                <w:szCs w:val="21"/>
              </w:rPr>
            </w:pPr>
            <w:r>
              <w:rPr>
                <w:rFonts w:ascii="宋体" w:hAnsi="宋体" w:cs="宋体" w:hint="eastAsia"/>
                <w:kern w:val="0"/>
                <w:szCs w:val="21"/>
              </w:rPr>
              <w:t>130-150元/杆</w:t>
            </w:r>
          </w:p>
        </w:tc>
        <w:tc>
          <w:tcPr>
            <w:tcW w:w="1341" w:type="pct"/>
            <w:vMerge/>
            <w:shd w:val="clear" w:color="auto" w:fill="auto"/>
            <w:vAlign w:val="center"/>
          </w:tcPr>
          <w:p w14:paraId="48BE8B70" w14:textId="77777777" w:rsidR="00A320E6" w:rsidRDefault="00A320E6" w:rsidP="00AE0286">
            <w:pPr>
              <w:jc w:val="center"/>
              <w:rPr>
                <w:rFonts w:ascii="宋体" w:hAnsi="宋体" w:cs="宋体"/>
                <w:kern w:val="0"/>
                <w:szCs w:val="21"/>
              </w:rPr>
            </w:pPr>
          </w:p>
        </w:tc>
      </w:tr>
    </w:tbl>
    <w:p w14:paraId="59DD6D35"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1EB35FD3"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1.表中未列出的地上附着物可参照本标准中相近标准进行补偿；无法参照的地上附着物，可委托有资质的机构进行评估或由相关部门认定。</w:t>
      </w:r>
    </w:p>
    <w:p w14:paraId="626FE5C3"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2.各区县政府（管委会）可根据实际情况确定是否施行包干补偿，按包干方式补偿的要明确包干的方式、类别和补偿标准。</w:t>
      </w:r>
    </w:p>
    <w:p w14:paraId="79CE47F2"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3.乔木、灌木、苗圃苗木、桑园因季节因素对移栽成活率有较大影响的可委托评估。</w:t>
      </w:r>
    </w:p>
    <w:p w14:paraId="79AB1482"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4.政府发布征收土地预公告之日起，抢种、抢栽的青苗、树木以及抢建的建筑物、构筑物等不予补偿。</w:t>
      </w:r>
    </w:p>
    <w:p w14:paraId="333EBA56" w14:textId="77777777" w:rsidR="00A320E6" w:rsidRDefault="00000000" w:rsidP="00AE0286">
      <w:pPr>
        <w:adjustRightInd w:val="0"/>
        <w:snapToGrid w:val="0"/>
        <w:spacing w:line="360" w:lineRule="auto"/>
        <w:ind w:firstLineChars="200" w:firstLine="480"/>
        <w:jc w:val="left"/>
        <w:rPr>
          <w:rFonts w:ascii="仿宋" w:eastAsia="仿宋" w:hAnsi="仿宋" w:cs="宋体"/>
          <w:kern w:val="0"/>
          <w:sz w:val="24"/>
        </w:rPr>
      </w:pPr>
      <w:r>
        <w:rPr>
          <w:rFonts w:ascii="宋体" w:hAnsi="宋体" w:cs="宋体" w:hint="eastAsia"/>
          <w:kern w:val="0"/>
          <w:sz w:val="24"/>
          <w:szCs w:val="24"/>
        </w:rPr>
        <w:t>5.国家和省确定的铁路、公路、机场、航道港口、水利工程、能源工程等重大基础设施项目征收土地地上附着物和青苗补偿等标准另有规定的，从其规定。</w:t>
      </w:r>
    </w:p>
    <w:p w14:paraId="087F3981" w14:textId="77777777" w:rsidR="00A320E6" w:rsidRDefault="00000000" w:rsidP="00F67407">
      <w:pPr>
        <w:keepNext/>
        <w:spacing w:beforeLines="50" w:before="156" w:afterLines="20" w:after="62" w:line="360" w:lineRule="auto"/>
        <w:jc w:val="center"/>
        <w:outlineLvl w:val="2"/>
        <w:rPr>
          <w:b/>
          <w:bCs/>
          <w:sz w:val="24"/>
          <w:lang w:eastAsia="zh-Hans"/>
        </w:rPr>
      </w:pPr>
      <w:bookmarkStart w:id="128" w:name="_Toc112227426"/>
      <w:r>
        <w:rPr>
          <w:rFonts w:hint="eastAsia"/>
          <w:b/>
          <w:bCs/>
          <w:sz w:val="24"/>
          <w:lang w:eastAsia="zh-Hans"/>
        </w:rPr>
        <w:t>关于日照市征地地上附着物和青苗补偿标准的批复</w:t>
      </w:r>
      <w:bookmarkEnd w:id="128"/>
    </w:p>
    <w:p w14:paraId="13CDCF8D" w14:textId="77777777" w:rsidR="00A320E6" w:rsidRDefault="00000000" w:rsidP="00AE0286">
      <w:pPr>
        <w:pStyle w:val="a3"/>
        <w:spacing w:line="360" w:lineRule="auto"/>
        <w:ind w:firstLineChars="0" w:firstLine="0"/>
        <w:rPr>
          <w:sz w:val="24"/>
          <w:lang w:eastAsia="zh-Hans"/>
        </w:rPr>
      </w:pPr>
      <w:r>
        <w:rPr>
          <w:rFonts w:hint="eastAsia"/>
          <w:sz w:val="24"/>
          <w:lang w:eastAsia="zh-Hans"/>
        </w:rPr>
        <w:t>日照市自然资源和规划局、财政局：</w:t>
      </w:r>
    </w:p>
    <w:p w14:paraId="59A004DA" w14:textId="77777777" w:rsidR="00A320E6" w:rsidRDefault="00000000" w:rsidP="00AE0286">
      <w:pPr>
        <w:pStyle w:val="a3"/>
        <w:spacing w:line="360" w:lineRule="auto"/>
        <w:ind w:firstLine="480"/>
        <w:rPr>
          <w:sz w:val="24"/>
          <w:lang w:eastAsia="zh-Hans"/>
        </w:rPr>
      </w:pPr>
      <w:r>
        <w:rPr>
          <w:rFonts w:hint="eastAsia"/>
          <w:sz w:val="24"/>
          <w:lang w:eastAsia="zh-Hans"/>
        </w:rPr>
        <w:t>你市《关于调整地上附着物和青苗补偿标准的请示》（日自然资呈〔</w:t>
      </w:r>
      <w:r>
        <w:rPr>
          <w:rFonts w:hint="eastAsia"/>
          <w:sz w:val="24"/>
          <w:lang w:eastAsia="zh-Hans"/>
        </w:rPr>
        <w:t>2021</w:t>
      </w:r>
      <w:r>
        <w:rPr>
          <w:rFonts w:hint="eastAsia"/>
          <w:sz w:val="24"/>
          <w:lang w:eastAsia="zh-Hans"/>
        </w:rPr>
        <w:t>〕</w:t>
      </w:r>
      <w:r>
        <w:rPr>
          <w:rFonts w:hint="eastAsia"/>
          <w:sz w:val="24"/>
          <w:lang w:eastAsia="zh-Hans"/>
        </w:rPr>
        <w:t>351</w:t>
      </w:r>
      <w:r>
        <w:rPr>
          <w:rFonts w:hint="eastAsia"/>
          <w:sz w:val="24"/>
          <w:lang w:eastAsia="zh-Hans"/>
        </w:rPr>
        <w:t>号）收悉。经研究，同意你市制定的征地地上附着物和青苗补偿标准（详见附件）。</w:t>
      </w:r>
    </w:p>
    <w:p w14:paraId="6AE6F49C" w14:textId="77777777" w:rsidR="00A320E6" w:rsidRDefault="00000000" w:rsidP="00AE0286">
      <w:pPr>
        <w:pStyle w:val="a3"/>
        <w:spacing w:line="360" w:lineRule="auto"/>
        <w:ind w:firstLine="480"/>
        <w:rPr>
          <w:sz w:val="24"/>
          <w:lang w:eastAsia="zh-Hans"/>
        </w:rPr>
      </w:pPr>
      <w:r>
        <w:rPr>
          <w:rFonts w:hint="eastAsia"/>
          <w:sz w:val="24"/>
          <w:lang w:eastAsia="zh-Hans"/>
        </w:rPr>
        <w:t>标准自批复之日起执行。</w:t>
      </w:r>
    </w:p>
    <w:p w14:paraId="39430793" w14:textId="77777777" w:rsidR="00A320E6" w:rsidRDefault="00000000" w:rsidP="00AE0286">
      <w:pPr>
        <w:pStyle w:val="a3"/>
        <w:spacing w:line="360" w:lineRule="auto"/>
        <w:ind w:firstLine="480"/>
        <w:rPr>
          <w:sz w:val="24"/>
          <w:lang w:eastAsia="zh-Hans"/>
        </w:rPr>
      </w:pPr>
      <w:r>
        <w:rPr>
          <w:rFonts w:hint="eastAsia"/>
          <w:sz w:val="24"/>
          <w:lang w:eastAsia="zh-Hans"/>
        </w:rPr>
        <w:t>附件：日照市征地地上附着物和青苗补偿标准</w:t>
      </w:r>
    </w:p>
    <w:p w14:paraId="5B865277" w14:textId="77777777" w:rsidR="00A320E6" w:rsidRDefault="00000000" w:rsidP="00AE0286">
      <w:pPr>
        <w:pStyle w:val="a3"/>
        <w:spacing w:line="360" w:lineRule="auto"/>
        <w:ind w:firstLine="480"/>
        <w:jc w:val="right"/>
        <w:rPr>
          <w:sz w:val="24"/>
          <w:lang w:eastAsia="zh-Hans"/>
        </w:rPr>
      </w:pPr>
      <w:r>
        <w:rPr>
          <w:rFonts w:hint="eastAsia"/>
          <w:sz w:val="24"/>
          <w:lang w:eastAsia="zh-Hans"/>
        </w:rPr>
        <w:t>                         山东省自然资源厅  山东省财政厅  </w:t>
      </w:r>
    </w:p>
    <w:p w14:paraId="4B1684AF" w14:textId="77777777" w:rsidR="00A320E6" w:rsidRDefault="00000000" w:rsidP="00AE0286">
      <w:pPr>
        <w:pStyle w:val="a3"/>
        <w:spacing w:line="360" w:lineRule="auto"/>
        <w:ind w:firstLine="480"/>
        <w:jc w:val="right"/>
        <w:rPr>
          <w:b/>
          <w:bCs/>
          <w:sz w:val="24"/>
          <w:lang w:eastAsia="zh-Hans"/>
        </w:rPr>
      </w:pPr>
      <w:r>
        <w:rPr>
          <w:rFonts w:hint="eastAsia"/>
          <w:sz w:val="24"/>
          <w:lang w:eastAsia="zh-Hans"/>
        </w:rPr>
        <w:t>                         </w:t>
      </w:r>
      <w:r>
        <w:rPr>
          <w:rFonts w:hint="eastAsia"/>
          <w:sz w:val="24"/>
          <w:lang w:eastAsia="zh-Hans"/>
        </w:rPr>
        <w:t>2022</w:t>
      </w:r>
      <w:r>
        <w:rPr>
          <w:rFonts w:hint="eastAsia"/>
          <w:sz w:val="24"/>
          <w:lang w:eastAsia="zh-Hans"/>
        </w:rPr>
        <w:t>年</w:t>
      </w:r>
      <w:r>
        <w:rPr>
          <w:rFonts w:hint="eastAsia"/>
          <w:sz w:val="24"/>
          <w:lang w:eastAsia="zh-Hans"/>
        </w:rPr>
        <w:t>1</w:t>
      </w:r>
      <w:r>
        <w:rPr>
          <w:rFonts w:hint="eastAsia"/>
          <w:sz w:val="24"/>
          <w:lang w:eastAsia="zh-Hans"/>
        </w:rPr>
        <w:t>月</w:t>
      </w:r>
      <w:r>
        <w:rPr>
          <w:rFonts w:hint="eastAsia"/>
          <w:sz w:val="24"/>
          <w:lang w:eastAsia="zh-Hans"/>
        </w:rPr>
        <w:t>8</w:t>
      </w:r>
      <w:r>
        <w:rPr>
          <w:rFonts w:hint="eastAsia"/>
          <w:sz w:val="24"/>
          <w:lang w:eastAsia="zh-Hans"/>
        </w:rPr>
        <w:t>日</w:t>
      </w:r>
    </w:p>
    <w:p w14:paraId="39ED052B" w14:textId="77777777" w:rsidR="00A320E6" w:rsidRDefault="00000000" w:rsidP="00AE0286">
      <w:pPr>
        <w:rPr>
          <w:rFonts w:ascii="宋体" w:hAnsi="宋体" w:cs="宋体"/>
          <w:snapToGrid w:val="0"/>
          <w:kern w:val="0"/>
          <w:sz w:val="24"/>
          <w:szCs w:val="24"/>
        </w:rPr>
      </w:pPr>
      <w:r>
        <w:rPr>
          <w:rFonts w:ascii="宋体" w:hAnsi="宋体" w:cs="宋体" w:hint="eastAsia"/>
          <w:snapToGrid w:val="0"/>
          <w:kern w:val="0"/>
          <w:sz w:val="24"/>
          <w:szCs w:val="24"/>
        </w:rPr>
        <w:t>附件</w:t>
      </w:r>
    </w:p>
    <w:p w14:paraId="54EC030F" w14:textId="77777777" w:rsidR="00A320E6" w:rsidRDefault="00000000" w:rsidP="00AE0286">
      <w:pPr>
        <w:spacing w:line="560" w:lineRule="exact"/>
        <w:jc w:val="center"/>
        <w:rPr>
          <w:rFonts w:ascii="宋体" w:hAnsi="宋体" w:cs="宋体"/>
          <w:snapToGrid w:val="0"/>
          <w:kern w:val="0"/>
          <w:sz w:val="24"/>
          <w:szCs w:val="24"/>
        </w:rPr>
      </w:pPr>
      <w:r>
        <w:rPr>
          <w:rFonts w:ascii="宋体" w:hAnsi="宋体" w:cs="宋体" w:hint="eastAsia"/>
          <w:snapToGrid w:val="0"/>
          <w:kern w:val="0"/>
          <w:sz w:val="24"/>
          <w:szCs w:val="24"/>
        </w:rPr>
        <w:t>日照市征地地上附着物和青苗补偿标准</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751"/>
        <w:gridCol w:w="2834"/>
        <w:gridCol w:w="1984"/>
        <w:gridCol w:w="2742"/>
      </w:tblGrid>
      <w:tr w:rsidR="00A320E6" w14:paraId="296DDBD1" w14:textId="77777777" w:rsidTr="00621C83">
        <w:trPr>
          <w:trHeight w:val="312"/>
          <w:tblHeader/>
        </w:trPr>
        <w:tc>
          <w:tcPr>
            <w:tcW w:w="384" w:type="pct"/>
            <w:noWrap/>
            <w:vAlign w:val="center"/>
          </w:tcPr>
          <w:p w14:paraId="7D3E3861" w14:textId="77777777" w:rsidR="00A320E6" w:rsidRDefault="00000000" w:rsidP="00AE0286">
            <w:pPr>
              <w:jc w:val="center"/>
              <w:rPr>
                <w:rFonts w:ascii="宋体" w:hAnsi="宋体" w:cs="宋体"/>
                <w:bCs/>
                <w:snapToGrid w:val="0"/>
                <w:color w:val="000000"/>
                <w:kern w:val="0"/>
                <w:szCs w:val="21"/>
              </w:rPr>
            </w:pPr>
            <w:r>
              <w:rPr>
                <w:rFonts w:ascii="宋体" w:hAnsi="宋体" w:cs="宋体" w:hint="eastAsia"/>
                <w:bCs/>
                <w:snapToGrid w:val="0"/>
                <w:color w:val="000000"/>
                <w:kern w:val="0"/>
                <w:szCs w:val="21"/>
              </w:rPr>
              <w:t>序号</w:t>
            </w:r>
          </w:p>
        </w:tc>
        <w:tc>
          <w:tcPr>
            <w:tcW w:w="417" w:type="pct"/>
            <w:vAlign w:val="center"/>
          </w:tcPr>
          <w:p w14:paraId="5705CA96" w14:textId="77777777" w:rsidR="00A320E6" w:rsidRDefault="00000000" w:rsidP="00AE0286">
            <w:pPr>
              <w:jc w:val="center"/>
              <w:rPr>
                <w:rFonts w:ascii="宋体" w:hAnsi="宋体" w:cs="宋体"/>
                <w:bCs/>
                <w:snapToGrid w:val="0"/>
                <w:color w:val="000000"/>
                <w:kern w:val="0"/>
                <w:szCs w:val="21"/>
              </w:rPr>
            </w:pPr>
            <w:r>
              <w:rPr>
                <w:rFonts w:ascii="宋体" w:hAnsi="宋体" w:cs="宋体" w:hint="eastAsia"/>
                <w:bCs/>
                <w:snapToGrid w:val="0"/>
                <w:color w:val="000000"/>
                <w:kern w:val="0"/>
                <w:szCs w:val="21"/>
              </w:rPr>
              <w:t>名称</w:t>
            </w:r>
          </w:p>
        </w:tc>
        <w:tc>
          <w:tcPr>
            <w:tcW w:w="1574" w:type="pct"/>
            <w:vAlign w:val="center"/>
          </w:tcPr>
          <w:p w14:paraId="1439C552" w14:textId="77777777" w:rsidR="00A320E6" w:rsidRDefault="00000000" w:rsidP="00AE0286">
            <w:pPr>
              <w:jc w:val="center"/>
              <w:rPr>
                <w:rFonts w:ascii="宋体" w:hAnsi="宋体" w:cs="宋体"/>
                <w:bCs/>
                <w:snapToGrid w:val="0"/>
                <w:color w:val="000000"/>
                <w:kern w:val="0"/>
                <w:szCs w:val="21"/>
              </w:rPr>
            </w:pPr>
            <w:r>
              <w:rPr>
                <w:rFonts w:ascii="宋体" w:hAnsi="宋体" w:cs="宋体" w:hint="eastAsia"/>
                <w:bCs/>
                <w:snapToGrid w:val="0"/>
                <w:color w:val="000000"/>
                <w:kern w:val="0"/>
                <w:szCs w:val="21"/>
              </w:rPr>
              <w:t>类别</w:t>
            </w:r>
          </w:p>
        </w:tc>
        <w:tc>
          <w:tcPr>
            <w:tcW w:w="1102" w:type="pct"/>
            <w:vAlign w:val="center"/>
          </w:tcPr>
          <w:p w14:paraId="075392B0" w14:textId="77777777" w:rsidR="00A320E6" w:rsidRDefault="00000000" w:rsidP="00AE0286">
            <w:pPr>
              <w:jc w:val="center"/>
              <w:rPr>
                <w:rFonts w:ascii="宋体" w:hAnsi="宋体" w:cs="宋体"/>
                <w:bCs/>
                <w:snapToGrid w:val="0"/>
                <w:color w:val="000000"/>
                <w:kern w:val="0"/>
                <w:szCs w:val="21"/>
              </w:rPr>
            </w:pPr>
            <w:r>
              <w:rPr>
                <w:rFonts w:ascii="宋体" w:hAnsi="宋体" w:cs="宋体" w:hint="eastAsia"/>
                <w:bCs/>
                <w:snapToGrid w:val="0"/>
                <w:color w:val="000000"/>
                <w:kern w:val="0"/>
                <w:szCs w:val="21"/>
              </w:rPr>
              <w:t>补偿标准</w:t>
            </w:r>
          </w:p>
        </w:tc>
        <w:tc>
          <w:tcPr>
            <w:tcW w:w="1523" w:type="pct"/>
            <w:vAlign w:val="center"/>
          </w:tcPr>
          <w:p w14:paraId="2C2F30BF" w14:textId="77777777" w:rsidR="00A320E6" w:rsidRDefault="00000000" w:rsidP="00AE0286">
            <w:pPr>
              <w:jc w:val="center"/>
              <w:rPr>
                <w:rFonts w:ascii="宋体" w:hAnsi="宋体" w:cs="宋体"/>
                <w:bCs/>
                <w:snapToGrid w:val="0"/>
                <w:color w:val="000000"/>
                <w:kern w:val="0"/>
                <w:szCs w:val="21"/>
              </w:rPr>
            </w:pPr>
            <w:r>
              <w:rPr>
                <w:rFonts w:ascii="宋体" w:hAnsi="宋体" w:cs="宋体" w:hint="eastAsia"/>
                <w:bCs/>
                <w:snapToGrid w:val="0"/>
                <w:color w:val="000000"/>
                <w:kern w:val="0"/>
                <w:szCs w:val="21"/>
              </w:rPr>
              <w:t>备注</w:t>
            </w:r>
          </w:p>
        </w:tc>
      </w:tr>
      <w:tr w:rsidR="00A320E6" w14:paraId="4CC21F5F" w14:textId="77777777" w:rsidTr="00621C83">
        <w:trPr>
          <w:trHeight w:val="312"/>
        </w:trPr>
        <w:tc>
          <w:tcPr>
            <w:tcW w:w="384" w:type="pct"/>
            <w:vMerge w:val="restart"/>
            <w:vAlign w:val="center"/>
          </w:tcPr>
          <w:p w14:paraId="76969EE3"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w:t>
            </w:r>
          </w:p>
        </w:tc>
        <w:tc>
          <w:tcPr>
            <w:tcW w:w="417" w:type="pct"/>
            <w:vMerge w:val="restart"/>
            <w:vAlign w:val="center"/>
          </w:tcPr>
          <w:p w14:paraId="0B5A72F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房屋1</w:t>
            </w:r>
          </w:p>
        </w:tc>
        <w:tc>
          <w:tcPr>
            <w:tcW w:w="1574" w:type="pct"/>
            <w:vAlign w:val="center"/>
          </w:tcPr>
          <w:p w14:paraId="27FA059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钢筋混凝土楼房</w:t>
            </w:r>
          </w:p>
        </w:tc>
        <w:tc>
          <w:tcPr>
            <w:tcW w:w="1102" w:type="pct"/>
            <w:vAlign w:val="center"/>
          </w:tcPr>
          <w:p w14:paraId="3DB535B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1500-1800元/㎡</w:t>
            </w:r>
          </w:p>
        </w:tc>
        <w:tc>
          <w:tcPr>
            <w:tcW w:w="1523" w:type="pct"/>
            <w:vMerge w:val="restart"/>
            <w:vAlign w:val="center"/>
          </w:tcPr>
          <w:p w14:paraId="6BDB833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1、表中面积系指建筑面积；</w:t>
            </w:r>
          </w:p>
          <w:p w14:paraId="5F4633A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2、房屋补偿费用系指旧料损失、拆建人工费用；</w:t>
            </w:r>
          </w:p>
          <w:p w14:paraId="2338FAA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3、旧料归原主；</w:t>
            </w:r>
          </w:p>
          <w:p w14:paraId="5BF539E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4、屋内有装修的可根据情况进行评估；</w:t>
            </w:r>
          </w:p>
          <w:p w14:paraId="69BB2D3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5、房屋2仅限承包地内看护用房及临时建筑</w:t>
            </w:r>
          </w:p>
        </w:tc>
      </w:tr>
      <w:tr w:rsidR="00A320E6" w14:paraId="7E78C4DB" w14:textId="77777777" w:rsidTr="00621C83">
        <w:trPr>
          <w:trHeight w:val="312"/>
        </w:trPr>
        <w:tc>
          <w:tcPr>
            <w:tcW w:w="384" w:type="pct"/>
            <w:vMerge/>
            <w:vAlign w:val="center"/>
          </w:tcPr>
          <w:p w14:paraId="4E3A668A"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17C8C9B"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22AF34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楼房（1）、砖混结构。砖石墙基，设基础圈梁，主要砖墙体承重、部分钢筋混凝土柱、梁承重，按抗震要求设圈梁。预制或现浇混凝土楼面，层高2.8m</w:t>
            </w:r>
          </w:p>
        </w:tc>
        <w:tc>
          <w:tcPr>
            <w:tcW w:w="1102" w:type="pct"/>
            <w:vAlign w:val="center"/>
          </w:tcPr>
          <w:p w14:paraId="14C46E0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1300-1500元/㎡</w:t>
            </w:r>
          </w:p>
        </w:tc>
        <w:tc>
          <w:tcPr>
            <w:tcW w:w="1523" w:type="pct"/>
            <w:vMerge/>
            <w:vAlign w:val="center"/>
          </w:tcPr>
          <w:p w14:paraId="4EBE881E" w14:textId="77777777" w:rsidR="00A320E6" w:rsidRDefault="00A320E6" w:rsidP="00AE0286">
            <w:pPr>
              <w:jc w:val="left"/>
              <w:rPr>
                <w:rFonts w:ascii="宋体" w:hAnsi="宋体" w:cs="宋体"/>
                <w:snapToGrid w:val="0"/>
                <w:color w:val="000000"/>
                <w:kern w:val="0"/>
                <w:szCs w:val="21"/>
              </w:rPr>
            </w:pPr>
          </w:p>
        </w:tc>
      </w:tr>
      <w:tr w:rsidR="00A320E6" w14:paraId="4A1144A9" w14:textId="77777777" w:rsidTr="00621C83">
        <w:trPr>
          <w:trHeight w:val="312"/>
        </w:trPr>
        <w:tc>
          <w:tcPr>
            <w:tcW w:w="384" w:type="pct"/>
            <w:vMerge/>
            <w:vAlign w:val="center"/>
          </w:tcPr>
          <w:p w14:paraId="7A24FD37"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8132A54"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24BC26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楼房（2）、砖混结构。砖石墙基，砖墙体承重，设有圈梁、预制或现浇混凝土楼面，层高2.8m</w:t>
            </w:r>
          </w:p>
        </w:tc>
        <w:tc>
          <w:tcPr>
            <w:tcW w:w="1102" w:type="pct"/>
            <w:vAlign w:val="center"/>
          </w:tcPr>
          <w:p w14:paraId="7F6D432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1200-1400元/㎡</w:t>
            </w:r>
          </w:p>
        </w:tc>
        <w:tc>
          <w:tcPr>
            <w:tcW w:w="1523" w:type="pct"/>
            <w:vMerge/>
            <w:vAlign w:val="center"/>
          </w:tcPr>
          <w:p w14:paraId="1DB529CC" w14:textId="77777777" w:rsidR="00A320E6" w:rsidRDefault="00A320E6" w:rsidP="00AE0286">
            <w:pPr>
              <w:jc w:val="left"/>
              <w:rPr>
                <w:rFonts w:ascii="宋体" w:hAnsi="宋体" w:cs="宋体"/>
                <w:snapToGrid w:val="0"/>
                <w:color w:val="000000"/>
                <w:kern w:val="0"/>
                <w:szCs w:val="21"/>
              </w:rPr>
            </w:pPr>
          </w:p>
        </w:tc>
      </w:tr>
      <w:tr w:rsidR="00A320E6" w14:paraId="523D46A5" w14:textId="77777777" w:rsidTr="00621C83">
        <w:trPr>
          <w:trHeight w:val="312"/>
        </w:trPr>
        <w:tc>
          <w:tcPr>
            <w:tcW w:w="384" w:type="pct"/>
            <w:vMerge/>
            <w:vAlign w:val="center"/>
          </w:tcPr>
          <w:p w14:paraId="1383E129"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561AC99"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4F27471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平房（1）、砖混结构。砖墙体承重、圈梁，屋面现浇，有防水处理，檐高2.8m</w:t>
            </w:r>
          </w:p>
        </w:tc>
        <w:tc>
          <w:tcPr>
            <w:tcW w:w="1102" w:type="pct"/>
            <w:vAlign w:val="center"/>
          </w:tcPr>
          <w:p w14:paraId="30DF319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800-1100元/㎡</w:t>
            </w:r>
          </w:p>
        </w:tc>
        <w:tc>
          <w:tcPr>
            <w:tcW w:w="1523" w:type="pct"/>
            <w:vMerge/>
            <w:vAlign w:val="center"/>
          </w:tcPr>
          <w:p w14:paraId="7D7D7D4F" w14:textId="77777777" w:rsidR="00A320E6" w:rsidRDefault="00A320E6" w:rsidP="00AE0286">
            <w:pPr>
              <w:jc w:val="left"/>
              <w:rPr>
                <w:rFonts w:ascii="宋体" w:hAnsi="宋体" w:cs="宋体"/>
                <w:snapToGrid w:val="0"/>
                <w:color w:val="000000"/>
                <w:kern w:val="0"/>
                <w:szCs w:val="21"/>
              </w:rPr>
            </w:pPr>
          </w:p>
        </w:tc>
      </w:tr>
      <w:tr w:rsidR="00A320E6" w14:paraId="4C6EC69C" w14:textId="77777777" w:rsidTr="00621C83">
        <w:trPr>
          <w:trHeight w:val="312"/>
        </w:trPr>
        <w:tc>
          <w:tcPr>
            <w:tcW w:w="384" w:type="pct"/>
            <w:vMerge/>
            <w:vAlign w:val="center"/>
          </w:tcPr>
          <w:p w14:paraId="13CC0707"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5365E47"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1CB8F4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平房（2）、砖混结构。砖墙体承重、屋面现浇，有防水处理，檐高2.8m</w:t>
            </w:r>
          </w:p>
        </w:tc>
        <w:tc>
          <w:tcPr>
            <w:tcW w:w="1102" w:type="pct"/>
            <w:vAlign w:val="center"/>
          </w:tcPr>
          <w:p w14:paraId="594372B3"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700-900元/㎡</w:t>
            </w:r>
          </w:p>
        </w:tc>
        <w:tc>
          <w:tcPr>
            <w:tcW w:w="1523" w:type="pct"/>
            <w:vMerge/>
            <w:vAlign w:val="center"/>
          </w:tcPr>
          <w:p w14:paraId="0B941ED0" w14:textId="77777777" w:rsidR="00A320E6" w:rsidRDefault="00A320E6" w:rsidP="00AE0286">
            <w:pPr>
              <w:jc w:val="left"/>
              <w:rPr>
                <w:rFonts w:ascii="宋体" w:hAnsi="宋体" w:cs="宋体"/>
                <w:snapToGrid w:val="0"/>
                <w:color w:val="000000"/>
                <w:kern w:val="0"/>
                <w:szCs w:val="21"/>
              </w:rPr>
            </w:pPr>
          </w:p>
        </w:tc>
      </w:tr>
      <w:tr w:rsidR="00A320E6" w14:paraId="11A24079" w14:textId="77777777" w:rsidTr="00621C83">
        <w:trPr>
          <w:trHeight w:val="312"/>
        </w:trPr>
        <w:tc>
          <w:tcPr>
            <w:tcW w:w="384" w:type="pct"/>
            <w:vMerge/>
            <w:vAlign w:val="center"/>
          </w:tcPr>
          <w:p w14:paraId="50C63F97"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082536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2C7790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砖木结构（1）、石基础、24cm以上砖墙体承重、瓦屋面。梁、檩材料上等，檐高3.3m</w:t>
            </w:r>
          </w:p>
        </w:tc>
        <w:tc>
          <w:tcPr>
            <w:tcW w:w="1102" w:type="pct"/>
            <w:vAlign w:val="center"/>
          </w:tcPr>
          <w:p w14:paraId="397BDC9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800-1100元/㎡</w:t>
            </w:r>
          </w:p>
        </w:tc>
        <w:tc>
          <w:tcPr>
            <w:tcW w:w="1523" w:type="pct"/>
            <w:vMerge/>
            <w:vAlign w:val="center"/>
          </w:tcPr>
          <w:p w14:paraId="5FCB344C" w14:textId="77777777" w:rsidR="00A320E6" w:rsidRDefault="00A320E6" w:rsidP="00AE0286">
            <w:pPr>
              <w:jc w:val="left"/>
              <w:rPr>
                <w:rFonts w:ascii="宋体" w:hAnsi="宋体" w:cs="宋体"/>
                <w:snapToGrid w:val="0"/>
                <w:color w:val="000000"/>
                <w:kern w:val="0"/>
                <w:szCs w:val="21"/>
              </w:rPr>
            </w:pPr>
          </w:p>
        </w:tc>
      </w:tr>
      <w:tr w:rsidR="00A320E6" w14:paraId="30237C6C" w14:textId="77777777" w:rsidTr="00621C83">
        <w:trPr>
          <w:trHeight w:val="312"/>
        </w:trPr>
        <w:tc>
          <w:tcPr>
            <w:tcW w:w="384" w:type="pct"/>
            <w:vMerge/>
            <w:vAlign w:val="center"/>
          </w:tcPr>
          <w:p w14:paraId="189014E9"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A7EF5E6"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3AC6EC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砖木结构（2）、石基础、砖墙体或整体石墙承重，木梁檩或水泥预制檩、瓦屋面，檐高3.0m</w:t>
            </w:r>
          </w:p>
        </w:tc>
        <w:tc>
          <w:tcPr>
            <w:tcW w:w="1102" w:type="pct"/>
            <w:vAlign w:val="center"/>
          </w:tcPr>
          <w:p w14:paraId="29232D5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700-900元/㎡</w:t>
            </w:r>
          </w:p>
        </w:tc>
        <w:tc>
          <w:tcPr>
            <w:tcW w:w="1523" w:type="pct"/>
            <w:vMerge/>
            <w:vAlign w:val="center"/>
          </w:tcPr>
          <w:p w14:paraId="458F93BC" w14:textId="77777777" w:rsidR="00A320E6" w:rsidRDefault="00A320E6" w:rsidP="00AE0286">
            <w:pPr>
              <w:jc w:val="left"/>
              <w:rPr>
                <w:rFonts w:ascii="宋体" w:hAnsi="宋体" w:cs="宋体"/>
                <w:snapToGrid w:val="0"/>
                <w:color w:val="000000"/>
                <w:kern w:val="0"/>
                <w:szCs w:val="21"/>
              </w:rPr>
            </w:pPr>
          </w:p>
        </w:tc>
      </w:tr>
      <w:tr w:rsidR="00A320E6" w14:paraId="38897A55" w14:textId="77777777" w:rsidTr="00621C83">
        <w:trPr>
          <w:trHeight w:val="312"/>
        </w:trPr>
        <w:tc>
          <w:tcPr>
            <w:tcW w:w="384" w:type="pct"/>
            <w:vMerge/>
            <w:vAlign w:val="center"/>
          </w:tcPr>
          <w:p w14:paraId="5C690F01"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571760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4351C8B" w14:textId="4E8251D5" w:rsidR="00A320E6" w:rsidRPr="00621C83" w:rsidRDefault="00000000" w:rsidP="00621C83">
            <w:pPr>
              <w:jc w:val="left"/>
              <w:rPr>
                <w:rFonts w:ascii="宋体" w:hAnsi="宋体" w:cs="宋体"/>
                <w:snapToGrid w:val="0"/>
                <w:color w:val="000000"/>
                <w:kern w:val="0"/>
                <w:szCs w:val="21"/>
              </w:rPr>
            </w:pPr>
            <w:r>
              <w:rPr>
                <w:rFonts w:ascii="宋体" w:hAnsi="宋体" w:cs="宋体" w:hint="eastAsia"/>
                <w:snapToGrid w:val="0"/>
                <w:color w:val="000000"/>
                <w:kern w:val="0"/>
                <w:szCs w:val="21"/>
              </w:rPr>
              <w:t>砖木结构（3）、简易基础、砌块墙、乱石墙或空斗墙承重、瓦屋面或草屋顶，檐高2.6m</w:t>
            </w:r>
          </w:p>
        </w:tc>
        <w:tc>
          <w:tcPr>
            <w:tcW w:w="1102" w:type="pct"/>
            <w:vAlign w:val="center"/>
          </w:tcPr>
          <w:p w14:paraId="3495035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700-800元/㎡</w:t>
            </w:r>
          </w:p>
        </w:tc>
        <w:tc>
          <w:tcPr>
            <w:tcW w:w="1523" w:type="pct"/>
            <w:vMerge/>
            <w:vAlign w:val="center"/>
          </w:tcPr>
          <w:p w14:paraId="53AD4052" w14:textId="77777777" w:rsidR="00A320E6" w:rsidRDefault="00A320E6" w:rsidP="00AE0286">
            <w:pPr>
              <w:jc w:val="left"/>
              <w:rPr>
                <w:rFonts w:ascii="宋体" w:hAnsi="宋体" w:cs="宋体"/>
                <w:snapToGrid w:val="0"/>
                <w:color w:val="000000"/>
                <w:kern w:val="0"/>
                <w:szCs w:val="21"/>
              </w:rPr>
            </w:pPr>
          </w:p>
        </w:tc>
      </w:tr>
      <w:tr w:rsidR="00A320E6" w14:paraId="0E6501C6" w14:textId="77777777" w:rsidTr="00621C83">
        <w:trPr>
          <w:trHeight w:val="312"/>
        </w:trPr>
        <w:tc>
          <w:tcPr>
            <w:tcW w:w="384" w:type="pct"/>
            <w:vMerge/>
            <w:vAlign w:val="center"/>
          </w:tcPr>
          <w:p w14:paraId="0D26E1FA"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27B7F828"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7B7E32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地下架空层</w:t>
            </w:r>
          </w:p>
        </w:tc>
        <w:tc>
          <w:tcPr>
            <w:tcW w:w="1102" w:type="pct"/>
            <w:vAlign w:val="center"/>
          </w:tcPr>
          <w:p w14:paraId="449354F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450元/㎡</w:t>
            </w:r>
          </w:p>
        </w:tc>
        <w:tc>
          <w:tcPr>
            <w:tcW w:w="1523" w:type="pct"/>
            <w:vMerge/>
            <w:vAlign w:val="center"/>
          </w:tcPr>
          <w:p w14:paraId="632E9DB5" w14:textId="77777777" w:rsidR="00A320E6" w:rsidRDefault="00A320E6" w:rsidP="00AE0286">
            <w:pPr>
              <w:jc w:val="left"/>
              <w:rPr>
                <w:rFonts w:ascii="宋体" w:hAnsi="宋体" w:cs="宋体"/>
                <w:snapToGrid w:val="0"/>
                <w:color w:val="000000"/>
                <w:kern w:val="0"/>
                <w:szCs w:val="21"/>
              </w:rPr>
            </w:pPr>
          </w:p>
        </w:tc>
      </w:tr>
      <w:tr w:rsidR="00A320E6" w14:paraId="54DF8764" w14:textId="77777777" w:rsidTr="00621C83">
        <w:trPr>
          <w:trHeight w:val="312"/>
        </w:trPr>
        <w:tc>
          <w:tcPr>
            <w:tcW w:w="384" w:type="pct"/>
            <w:vMerge/>
            <w:vAlign w:val="center"/>
          </w:tcPr>
          <w:p w14:paraId="5401B450" w14:textId="77777777" w:rsidR="00A320E6" w:rsidRDefault="00A320E6" w:rsidP="00AE0286">
            <w:pPr>
              <w:jc w:val="left"/>
              <w:rPr>
                <w:rFonts w:ascii="宋体" w:hAnsi="宋体" w:cs="宋体"/>
                <w:snapToGrid w:val="0"/>
                <w:color w:val="000000"/>
                <w:kern w:val="0"/>
                <w:szCs w:val="21"/>
              </w:rPr>
            </w:pPr>
          </w:p>
        </w:tc>
        <w:tc>
          <w:tcPr>
            <w:tcW w:w="417" w:type="pct"/>
            <w:vMerge w:val="restart"/>
            <w:vAlign w:val="center"/>
          </w:tcPr>
          <w:p w14:paraId="606F416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房屋2</w:t>
            </w:r>
          </w:p>
        </w:tc>
        <w:tc>
          <w:tcPr>
            <w:tcW w:w="1574" w:type="pct"/>
            <w:vAlign w:val="center"/>
          </w:tcPr>
          <w:p w14:paraId="272D965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乱石基（1）、砖石墙、钢筋混凝土预制或现浇平顶屋顶、檐高2.8—3.3m</w:t>
            </w:r>
          </w:p>
        </w:tc>
        <w:tc>
          <w:tcPr>
            <w:tcW w:w="1102" w:type="pct"/>
            <w:vAlign w:val="center"/>
          </w:tcPr>
          <w:p w14:paraId="1AED53B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600-750元/㎡</w:t>
            </w:r>
          </w:p>
        </w:tc>
        <w:tc>
          <w:tcPr>
            <w:tcW w:w="1523" w:type="pct"/>
            <w:vMerge/>
            <w:vAlign w:val="center"/>
          </w:tcPr>
          <w:p w14:paraId="1DB21BC1" w14:textId="77777777" w:rsidR="00A320E6" w:rsidRDefault="00A320E6" w:rsidP="00AE0286">
            <w:pPr>
              <w:jc w:val="left"/>
              <w:rPr>
                <w:rFonts w:ascii="宋体" w:hAnsi="宋体" w:cs="宋体"/>
                <w:snapToGrid w:val="0"/>
                <w:color w:val="000000"/>
                <w:kern w:val="0"/>
                <w:szCs w:val="21"/>
              </w:rPr>
            </w:pPr>
          </w:p>
        </w:tc>
      </w:tr>
      <w:tr w:rsidR="00A320E6" w14:paraId="5A0D6202" w14:textId="77777777" w:rsidTr="00621C83">
        <w:trPr>
          <w:trHeight w:val="312"/>
        </w:trPr>
        <w:tc>
          <w:tcPr>
            <w:tcW w:w="384" w:type="pct"/>
            <w:vMerge/>
            <w:vAlign w:val="center"/>
          </w:tcPr>
          <w:p w14:paraId="1E59DDB9"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89BC63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B110FA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乱石基（2）、砖石墙、木结构斜坡屋顶、檐高2.8—3.3m</w:t>
            </w:r>
          </w:p>
        </w:tc>
        <w:tc>
          <w:tcPr>
            <w:tcW w:w="1102" w:type="pct"/>
            <w:vAlign w:val="center"/>
          </w:tcPr>
          <w:p w14:paraId="2892D03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400-600元/㎡</w:t>
            </w:r>
          </w:p>
        </w:tc>
        <w:tc>
          <w:tcPr>
            <w:tcW w:w="1523" w:type="pct"/>
            <w:vMerge/>
            <w:vAlign w:val="center"/>
          </w:tcPr>
          <w:p w14:paraId="23499CB4" w14:textId="77777777" w:rsidR="00A320E6" w:rsidRDefault="00A320E6" w:rsidP="00AE0286">
            <w:pPr>
              <w:jc w:val="left"/>
              <w:rPr>
                <w:rFonts w:ascii="宋体" w:hAnsi="宋体" w:cs="宋体"/>
                <w:snapToGrid w:val="0"/>
                <w:color w:val="000000"/>
                <w:kern w:val="0"/>
                <w:szCs w:val="21"/>
              </w:rPr>
            </w:pPr>
          </w:p>
        </w:tc>
      </w:tr>
      <w:tr w:rsidR="00A320E6" w14:paraId="0A8EA8C6" w14:textId="77777777" w:rsidTr="00621C83">
        <w:trPr>
          <w:trHeight w:val="312"/>
        </w:trPr>
        <w:tc>
          <w:tcPr>
            <w:tcW w:w="384" w:type="pct"/>
            <w:vMerge/>
            <w:vAlign w:val="center"/>
          </w:tcPr>
          <w:p w14:paraId="4E75BE8B"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61BAFD8"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F35A0A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乱石基（3）、砖垛或土坯墙、木结构斜坡草或瓦房屋</w:t>
            </w:r>
          </w:p>
        </w:tc>
        <w:tc>
          <w:tcPr>
            <w:tcW w:w="1102" w:type="pct"/>
            <w:vAlign w:val="center"/>
          </w:tcPr>
          <w:p w14:paraId="0761D0F6"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350-550元/㎡</w:t>
            </w:r>
          </w:p>
        </w:tc>
        <w:tc>
          <w:tcPr>
            <w:tcW w:w="1523" w:type="pct"/>
            <w:vMerge/>
            <w:vAlign w:val="center"/>
          </w:tcPr>
          <w:p w14:paraId="4E9A251D" w14:textId="77777777" w:rsidR="00A320E6" w:rsidRDefault="00A320E6" w:rsidP="00AE0286">
            <w:pPr>
              <w:jc w:val="left"/>
              <w:rPr>
                <w:rFonts w:ascii="宋体" w:hAnsi="宋体" w:cs="宋体"/>
                <w:snapToGrid w:val="0"/>
                <w:color w:val="000000"/>
                <w:kern w:val="0"/>
                <w:szCs w:val="21"/>
              </w:rPr>
            </w:pPr>
          </w:p>
        </w:tc>
      </w:tr>
      <w:tr w:rsidR="00A320E6" w14:paraId="173507BF" w14:textId="77777777" w:rsidTr="00621C83">
        <w:trPr>
          <w:trHeight w:val="312"/>
        </w:trPr>
        <w:tc>
          <w:tcPr>
            <w:tcW w:w="384" w:type="pct"/>
            <w:vMerge/>
            <w:vAlign w:val="center"/>
          </w:tcPr>
          <w:p w14:paraId="1DED623D"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6DE7B6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02FFB1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砖垛、苇箔、草顶等简易平房</w:t>
            </w:r>
          </w:p>
        </w:tc>
        <w:tc>
          <w:tcPr>
            <w:tcW w:w="1102" w:type="pct"/>
            <w:vAlign w:val="center"/>
          </w:tcPr>
          <w:p w14:paraId="1BBFE2A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250-350元/㎡</w:t>
            </w:r>
          </w:p>
        </w:tc>
        <w:tc>
          <w:tcPr>
            <w:tcW w:w="1523" w:type="pct"/>
            <w:vMerge/>
            <w:vAlign w:val="center"/>
          </w:tcPr>
          <w:p w14:paraId="2B668625" w14:textId="77777777" w:rsidR="00A320E6" w:rsidRDefault="00A320E6" w:rsidP="00AE0286">
            <w:pPr>
              <w:jc w:val="left"/>
              <w:rPr>
                <w:rFonts w:ascii="宋体" w:hAnsi="宋体" w:cs="宋体"/>
                <w:snapToGrid w:val="0"/>
                <w:color w:val="000000"/>
                <w:kern w:val="0"/>
                <w:szCs w:val="21"/>
              </w:rPr>
            </w:pPr>
          </w:p>
        </w:tc>
      </w:tr>
      <w:tr w:rsidR="00A320E6" w14:paraId="6998D27D" w14:textId="77777777" w:rsidTr="00621C83">
        <w:trPr>
          <w:trHeight w:val="312"/>
        </w:trPr>
        <w:tc>
          <w:tcPr>
            <w:tcW w:w="384" w:type="pct"/>
            <w:vMerge/>
            <w:vAlign w:val="center"/>
          </w:tcPr>
          <w:p w14:paraId="6876D6BE" w14:textId="77777777" w:rsidR="00A320E6" w:rsidRDefault="00A320E6" w:rsidP="00AE0286">
            <w:pPr>
              <w:jc w:val="left"/>
              <w:rPr>
                <w:rFonts w:ascii="宋体" w:hAnsi="宋体" w:cs="宋体"/>
                <w:snapToGrid w:val="0"/>
                <w:color w:val="000000"/>
                <w:kern w:val="0"/>
                <w:szCs w:val="21"/>
              </w:rPr>
            </w:pPr>
          </w:p>
        </w:tc>
        <w:tc>
          <w:tcPr>
            <w:tcW w:w="417" w:type="pct"/>
            <w:vMerge w:val="restart"/>
            <w:vAlign w:val="center"/>
          </w:tcPr>
          <w:p w14:paraId="3219253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钢结构厂房</w:t>
            </w:r>
          </w:p>
        </w:tc>
        <w:tc>
          <w:tcPr>
            <w:tcW w:w="1574" w:type="pct"/>
            <w:vAlign w:val="center"/>
          </w:tcPr>
          <w:p w14:paraId="09B69CC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保温材料厚度7cm以上，跨度10m以上，高度10m以上</w:t>
            </w:r>
          </w:p>
        </w:tc>
        <w:tc>
          <w:tcPr>
            <w:tcW w:w="1102" w:type="pct"/>
            <w:noWrap/>
            <w:vAlign w:val="center"/>
          </w:tcPr>
          <w:p w14:paraId="3DA975A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kern w:val="0"/>
                <w:szCs w:val="21"/>
              </w:rPr>
              <w:t>500-900元/㎡</w:t>
            </w:r>
          </w:p>
        </w:tc>
        <w:tc>
          <w:tcPr>
            <w:tcW w:w="1523" w:type="pct"/>
            <w:vMerge/>
            <w:vAlign w:val="center"/>
          </w:tcPr>
          <w:p w14:paraId="29136F12" w14:textId="77777777" w:rsidR="00A320E6" w:rsidRDefault="00A320E6" w:rsidP="00AE0286">
            <w:pPr>
              <w:jc w:val="left"/>
              <w:rPr>
                <w:rFonts w:ascii="宋体" w:hAnsi="宋体" w:cs="宋体"/>
                <w:snapToGrid w:val="0"/>
                <w:color w:val="000000"/>
                <w:kern w:val="0"/>
                <w:szCs w:val="21"/>
              </w:rPr>
            </w:pPr>
          </w:p>
        </w:tc>
      </w:tr>
      <w:tr w:rsidR="00A320E6" w14:paraId="58B38E27" w14:textId="77777777" w:rsidTr="00621C83">
        <w:trPr>
          <w:trHeight w:val="312"/>
        </w:trPr>
        <w:tc>
          <w:tcPr>
            <w:tcW w:w="384" w:type="pct"/>
            <w:vMerge/>
            <w:vAlign w:val="center"/>
          </w:tcPr>
          <w:p w14:paraId="26CFF42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2D667D8"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465A7D9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保温材料厚度7cm以上，跨度10m以上，高度10m以下</w:t>
            </w:r>
          </w:p>
        </w:tc>
        <w:tc>
          <w:tcPr>
            <w:tcW w:w="1102" w:type="pct"/>
            <w:noWrap/>
            <w:vAlign w:val="center"/>
          </w:tcPr>
          <w:p w14:paraId="1892006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350-700元/㎡</w:t>
            </w:r>
          </w:p>
        </w:tc>
        <w:tc>
          <w:tcPr>
            <w:tcW w:w="1523" w:type="pct"/>
            <w:vMerge/>
            <w:vAlign w:val="center"/>
          </w:tcPr>
          <w:p w14:paraId="342709E6" w14:textId="77777777" w:rsidR="00A320E6" w:rsidRDefault="00A320E6" w:rsidP="00AE0286">
            <w:pPr>
              <w:jc w:val="left"/>
              <w:rPr>
                <w:rFonts w:ascii="宋体" w:hAnsi="宋体" w:cs="宋体"/>
                <w:snapToGrid w:val="0"/>
                <w:color w:val="000000"/>
                <w:kern w:val="0"/>
                <w:szCs w:val="21"/>
              </w:rPr>
            </w:pPr>
          </w:p>
        </w:tc>
      </w:tr>
      <w:tr w:rsidR="00A320E6" w14:paraId="7E698751" w14:textId="77777777" w:rsidTr="00621C83">
        <w:trPr>
          <w:trHeight w:val="312"/>
        </w:trPr>
        <w:tc>
          <w:tcPr>
            <w:tcW w:w="384" w:type="pct"/>
            <w:vMerge/>
            <w:vAlign w:val="center"/>
          </w:tcPr>
          <w:p w14:paraId="7B614096"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CF7B333"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5A29D5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保温层厚度5.5-7cm,跨度10m以上，高度10m以下</w:t>
            </w:r>
          </w:p>
        </w:tc>
        <w:tc>
          <w:tcPr>
            <w:tcW w:w="1102" w:type="pct"/>
            <w:noWrap/>
            <w:vAlign w:val="center"/>
          </w:tcPr>
          <w:p w14:paraId="6A7B0F6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300-600元/㎡</w:t>
            </w:r>
          </w:p>
        </w:tc>
        <w:tc>
          <w:tcPr>
            <w:tcW w:w="1523" w:type="pct"/>
            <w:vMerge/>
            <w:vAlign w:val="center"/>
          </w:tcPr>
          <w:p w14:paraId="0E0C06B2" w14:textId="77777777" w:rsidR="00A320E6" w:rsidRDefault="00A320E6" w:rsidP="00AE0286">
            <w:pPr>
              <w:jc w:val="left"/>
              <w:rPr>
                <w:rFonts w:ascii="宋体" w:hAnsi="宋体" w:cs="宋体"/>
                <w:snapToGrid w:val="0"/>
                <w:color w:val="000000"/>
                <w:kern w:val="0"/>
                <w:szCs w:val="21"/>
              </w:rPr>
            </w:pPr>
          </w:p>
        </w:tc>
      </w:tr>
      <w:tr w:rsidR="00A320E6" w14:paraId="169692F3" w14:textId="77777777" w:rsidTr="00621C83">
        <w:trPr>
          <w:trHeight w:val="312"/>
        </w:trPr>
        <w:tc>
          <w:tcPr>
            <w:tcW w:w="384" w:type="pct"/>
            <w:vMerge/>
            <w:vAlign w:val="center"/>
          </w:tcPr>
          <w:p w14:paraId="31793885"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27A172B"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0D77FB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单板跨度3.5-10m，高度10m以下</w:t>
            </w:r>
          </w:p>
        </w:tc>
        <w:tc>
          <w:tcPr>
            <w:tcW w:w="1102" w:type="pct"/>
            <w:noWrap/>
            <w:vAlign w:val="center"/>
          </w:tcPr>
          <w:p w14:paraId="164BB16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180-480元/㎡</w:t>
            </w:r>
          </w:p>
        </w:tc>
        <w:tc>
          <w:tcPr>
            <w:tcW w:w="1523" w:type="pct"/>
            <w:vMerge/>
            <w:vAlign w:val="center"/>
          </w:tcPr>
          <w:p w14:paraId="70E1841F" w14:textId="77777777" w:rsidR="00A320E6" w:rsidRDefault="00A320E6" w:rsidP="00AE0286">
            <w:pPr>
              <w:jc w:val="left"/>
              <w:rPr>
                <w:rFonts w:ascii="宋体" w:hAnsi="宋体" w:cs="宋体"/>
                <w:snapToGrid w:val="0"/>
                <w:color w:val="000000"/>
                <w:kern w:val="0"/>
                <w:szCs w:val="21"/>
              </w:rPr>
            </w:pPr>
          </w:p>
        </w:tc>
      </w:tr>
      <w:tr w:rsidR="00A320E6" w14:paraId="77FE6780" w14:textId="77777777" w:rsidTr="00621C83">
        <w:trPr>
          <w:trHeight w:val="312"/>
        </w:trPr>
        <w:tc>
          <w:tcPr>
            <w:tcW w:w="384" w:type="pct"/>
            <w:vMerge/>
            <w:vAlign w:val="center"/>
          </w:tcPr>
          <w:p w14:paraId="2990272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A3AE9D3"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128F14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活动板房、石棉瓦顶房（拆建费）</w:t>
            </w:r>
          </w:p>
        </w:tc>
        <w:tc>
          <w:tcPr>
            <w:tcW w:w="1102" w:type="pct"/>
            <w:noWrap/>
            <w:vAlign w:val="center"/>
          </w:tcPr>
          <w:p w14:paraId="7ABD48B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120-300元/㎡</w:t>
            </w:r>
          </w:p>
        </w:tc>
        <w:tc>
          <w:tcPr>
            <w:tcW w:w="1523" w:type="pct"/>
            <w:vMerge/>
            <w:vAlign w:val="center"/>
          </w:tcPr>
          <w:p w14:paraId="4A9CAF50" w14:textId="77777777" w:rsidR="00A320E6" w:rsidRDefault="00A320E6" w:rsidP="00AE0286">
            <w:pPr>
              <w:jc w:val="left"/>
              <w:rPr>
                <w:rFonts w:ascii="宋体" w:hAnsi="宋体" w:cs="宋体"/>
                <w:snapToGrid w:val="0"/>
                <w:color w:val="000000"/>
                <w:kern w:val="0"/>
                <w:szCs w:val="21"/>
              </w:rPr>
            </w:pPr>
          </w:p>
        </w:tc>
      </w:tr>
      <w:tr w:rsidR="00A320E6" w14:paraId="60B009CD" w14:textId="77777777" w:rsidTr="00621C83">
        <w:trPr>
          <w:trHeight w:val="312"/>
        </w:trPr>
        <w:tc>
          <w:tcPr>
            <w:tcW w:w="384" w:type="pct"/>
            <w:vMerge w:val="restart"/>
            <w:vAlign w:val="center"/>
          </w:tcPr>
          <w:p w14:paraId="75D598B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w:t>
            </w:r>
          </w:p>
        </w:tc>
        <w:tc>
          <w:tcPr>
            <w:tcW w:w="417" w:type="pct"/>
            <w:vMerge w:val="restart"/>
            <w:noWrap/>
            <w:vAlign w:val="center"/>
          </w:tcPr>
          <w:p w14:paraId="1E5101E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围墙</w:t>
            </w:r>
          </w:p>
        </w:tc>
        <w:tc>
          <w:tcPr>
            <w:tcW w:w="1574" w:type="pct"/>
            <w:vAlign w:val="center"/>
          </w:tcPr>
          <w:p w14:paraId="24C27E7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砖墙、抹灰、厚25厘米以上、高2米以上</w:t>
            </w:r>
          </w:p>
        </w:tc>
        <w:tc>
          <w:tcPr>
            <w:tcW w:w="1102" w:type="pct"/>
            <w:noWrap/>
            <w:vAlign w:val="center"/>
          </w:tcPr>
          <w:p w14:paraId="54797D2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90-140元/㎡</w:t>
            </w:r>
          </w:p>
        </w:tc>
        <w:tc>
          <w:tcPr>
            <w:tcW w:w="1523" w:type="pct"/>
            <w:vMerge w:val="restart"/>
            <w:vAlign w:val="center"/>
          </w:tcPr>
          <w:p w14:paraId="53C2512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旧料归原主</w:t>
            </w:r>
          </w:p>
        </w:tc>
      </w:tr>
      <w:tr w:rsidR="00A320E6" w14:paraId="5A5143BA" w14:textId="77777777" w:rsidTr="00621C83">
        <w:trPr>
          <w:trHeight w:val="312"/>
        </w:trPr>
        <w:tc>
          <w:tcPr>
            <w:tcW w:w="384" w:type="pct"/>
            <w:vMerge/>
            <w:vAlign w:val="center"/>
          </w:tcPr>
          <w:p w14:paraId="5C74E5F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0BA85064"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320BD4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水泥砖/空心砖/花墙/石</w:t>
            </w:r>
            <w:r>
              <w:rPr>
                <w:rFonts w:ascii="宋体" w:hAnsi="宋体" w:cs="宋体" w:hint="eastAsia"/>
                <w:snapToGrid w:val="0"/>
                <w:color w:val="000000"/>
                <w:spacing w:val="-6"/>
                <w:kern w:val="0"/>
                <w:szCs w:val="21"/>
              </w:rPr>
              <w:t>墙、抹灰、高2米以上</w:t>
            </w:r>
          </w:p>
        </w:tc>
        <w:tc>
          <w:tcPr>
            <w:tcW w:w="1102" w:type="pct"/>
            <w:noWrap/>
            <w:vAlign w:val="center"/>
          </w:tcPr>
          <w:p w14:paraId="2A0957E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70-90元/㎡</w:t>
            </w:r>
          </w:p>
        </w:tc>
        <w:tc>
          <w:tcPr>
            <w:tcW w:w="1523" w:type="pct"/>
            <w:vMerge/>
            <w:vAlign w:val="center"/>
          </w:tcPr>
          <w:p w14:paraId="437E2B55" w14:textId="77777777" w:rsidR="00A320E6" w:rsidRDefault="00A320E6" w:rsidP="00AE0286">
            <w:pPr>
              <w:jc w:val="left"/>
              <w:rPr>
                <w:rFonts w:ascii="宋体" w:hAnsi="宋体" w:cs="宋体"/>
                <w:snapToGrid w:val="0"/>
                <w:color w:val="000000"/>
                <w:kern w:val="0"/>
                <w:szCs w:val="21"/>
              </w:rPr>
            </w:pPr>
          </w:p>
        </w:tc>
      </w:tr>
      <w:tr w:rsidR="00A320E6" w14:paraId="586D8DFD" w14:textId="77777777" w:rsidTr="00621C83">
        <w:trPr>
          <w:trHeight w:val="312"/>
        </w:trPr>
        <w:tc>
          <w:tcPr>
            <w:tcW w:w="384" w:type="pct"/>
            <w:vMerge/>
            <w:vAlign w:val="center"/>
          </w:tcPr>
          <w:p w14:paraId="7AA02D54"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DF7EBE5"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B219E1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土杂墙、干垛墙、乱石墙、高1.5米以上</w:t>
            </w:r>
          </w:p>
        </w:tc>
        <w:tc>
          <w:tcPr>
            <w:tcW w:w="1102" w:type="pct"/>
            <w:noWrap/>
            <w:vAlign w:val="center"/>
          </w:tcPr>
          <w:p w14:paraId="33BB83F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45-60元/㎡</w:t>
            </w:r>
          </w:p>
        </w:tc>
        <w:tc>
          <w:tcPr>
            <w:tcW w:w="1523" w:type="pct"/>
            <w:vMerge/>
            <w:vAlign w:val="center"/>
          </w:tcPr>
          <w:p w14:paraId="3BC38FB9" w14:textId="77777777" w:rsidR="00A320E6" w:rsidRDefault="00A320E6" w:rsidP="00AE0286">
            <w:pPr>
              <w:jc w:val="left"/>
              <w:rPr>
                <w:rFonts w:ascii="宋体" w:hAnsi="宋体" w:cs="宋体"/>
                <w:snapToGrid w:val="0"/>
                <w:color w:val="000000"/>
                <w:kern w:val="0"/>
                <w:szCs w:val="21"/>
              </w:rPr>
            </w:pPr>
          </w:p>
        </w:tc>
      </w:tr>
      <w:tr w:rsidR="00A320E6" w14:paraId="798EBFFD" w14:textId="77777777" w:rsidTr="00621C83">
        <w:trPr>
          <w:trHeight w:val="312"/>
        </w:trPr>
        <w:tc>
          <w:tcPr>
            <w:tcW w:w="384" w:type="pct"/>
            <w:vMerge/>
            <w:vAlign w:val="center"/>
          </w:tcPr>
          <w:p w14:paraId="7DECFE5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07E580B6"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A876F6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铁艺围墙</w:t>
            </w:r>
          </w:p>
        </w:tc>
        <w:tc>
          <w:tcPr>
            <w:tcW w:w="1102" w:type="pct"/>
            <w:noWrap/>
            <w:vAlign w:val="center"/>
          </w:tcPr>
          <w:p w14:paraId="08C99F7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50-130元/㎡</w:t>
            </w:r>
          </w:p>
        </w:tc>
        <w:tc>
          <w:tcPr>
            <w:tcW w:w="1523" w:type="pct"/>
            <w:vMerge/>
            <w:vAlign w:val="center"/>
          </w:tcPr>
          <w:p w14:paraId="39F7FC17" w14:textId="77777777" w:rsidR="00A320E6" w:rsidRDefault="00A320E6" w:rsidP="00AE0286">
            <w:pPr>
              <w:jc w:val="left"/>
              <w:rPr>
                <w:rFonts w:ascii="宋体" w:hAnsi="宋体" w:cs="宋体"/>
                <w:snapToGrid w:val="0"/>
                <w:color w:val="000000"/>
                <w:kern w:val="0"/>
                <w:szCs w:val="21"/>
              </w:rPr>
            </w:pPr>
          </w:p>
        </w:tc>
      </w:tr>
      <w:tr w:rsidR="00A320E6" w14:paraId="03277AD1" w14:textId="77777777" w:rsidTr="00621C83">
        <w:trPr>
          <w:trHeight w:val="312"/>
        </w:trPr>
        <w:tc>
          <w:tcPr>
            <w:tcW w:w="384" w:type="pct"/>
            <w:vMerge/>
            <w:vAlign w:val="center"/>
          </w:tcPr>
          <w:p w14:paraId="7468519B"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10F9B85"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ECE330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彩钢板围墙</w:t>
            </w:r>
          </w:p>
        </w:tc>
        <w:tc>
          <w:tcPr>
            <w:tcW w:w="1102" w:type="pct"/>
            <w:noWrap/>
            <w:vAlign w:val="center"/>
          </w:tcPr>
          <w:p w14:paraId="37887B1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35-60元/㎡</w:t>
            </w:r>
          </w:p>
        </w:tc>
        <w:tc>
          <w:tcPr>
            <w:tcW w:w="1523" w:type="pct"/>
            <w:vMerge/>
            <w:vAlign w:val="center"/>
          </w:tcPr>
          <w:p w14:paraId="09E7229C" w14:textId="77777777" w:rsidR="00A320E6" w:rsidRDefault="00A320E6" w:rsidP="00AE0286">
            <w:pPr>
              <w:jc w:val="left"/>
              <w:rPr>
                <w:rFonts w:ascii="宋体" w:hAnsi="宋体" w:cs="宋体"/>
                <w:snapToGrid w:val="0"/>
                <w:color w:val="000000"/>
                <w:kern w:val="0"/>
                <w:szCs w:val="21"/>
              </w:rPr>
            </w:pPr>
          </w:p>
        </w:tc>
      </w:tr>
      <w:tr w:rsidR="00A320E6" w14:paraId="3B23922E" w14:textId="77777777" w:rsidTr="00621C83">
        <w:trPr>
          <w:trHeight w:val="312"/>
        </w:trPr>
        <w:tc>
          <w:tcPr>
            <w:tcW w:w="384" w:type="pct"/>
            <w:vMerge w:val="restart"/>
            <w:vAlign w:val="center"/>
          </w:tcPr>
          <w:p w14:paraId="1C9F439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w:t>
            </w:r>
          </w:p>
        </w:tc>
        <w:tc>
          <w:tcPr>
            <w:tcW w:w="417" w:type="pct"/>
            <w:vMerge w:val="restart"/>
            <w:noWrap/>
            <w:vAlign w:val="center"/>
          </w:tcPr>
          <w:p w14:paraId="24F1FE3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畜禽舍</w:t>
            </w:r>
          </w:p>
        </w:tc>
        <w:tc>
          <w:tcPr>
            <w:tcW w:w="1574" w:type="pct"/>
            <w:vAlign w:val="center"/>
          </w:tcPr>
          <w:p w14:paraId="72B31B9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砖混结构</w:t>
            </w:r>
          </w:p>
        </w:tc>
        <w:tc>
          <w:tcPr>
            <w:tcW w:w="1102" w:type="pct"/>
            <w:noWrap/>
            <w:vAlign w:val="center"/>
          </w:tcPr>
          <w:p w14:paraId="5C372B6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120-450元/㎡</w:t>
            </w:r>
          </w:p>
        </w:tc>
        <w:tc>
          <w:tcPr>
            <w:tcW w:w="1523" w:type="pct"/>
            <w:vMerge w:val="restart"/>
            <w:vAlign w:val="center"/>
          </w:tcPr>
          <w:p w14:paraId="4B87FDE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1、表中畜禽舍系指征地涉及的零星畜禽舍，规模化养殖畜禽舍可委托有资质的机构进行评估或认证；</w:t>
            </w:r>
            <w:r>
              <w:rPr>
                <w:rFonts w:ascii="宋体" w:hAnsi="宋体" w:cs="宋体" w:hint="eastAsia"/>
                <w:snapToGrid w:val="0"/>
                <w:color w:val="000000"/>
                <w:kern w:val="0"/>
                <w:szCs w:val="21"/>
              </w:rPr>
              <w:br/>
              <w:t>2、旧料归原主</w:t>
            </w:r>
          </w:p>
        </w:tc>
      </w:tr>
      <w:tr w:rsidR="00A320E6" w14:paraId="45951B3E" w14:textId="77777777" w:rsidTr="00621C83">
        <w:trPr>
          <w:trHeight w:val="312"/>
        </w:trPr>
        <w:tc>
          <w:tcPr>
            <w:tcW w:w="384" w:type="pct"/>
            <w:vMerge/>
            <w:vAlign w:val="center"/>
          </w:tcPr>
          <w:p w14:paraId="5EABC8B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F3F5AA2"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C84F05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砖木结构</w:t>
            </w:r>
          </w:p>
        </w:tc>
        <w:tc>
          <w:tcPr>
            <w:tcW w:w="1102" w:type="pct"/>
            <w:noWrap/>
            <w:vAlign w:val="center"/>
          </w:tcPr>
          <w:p w14:paraId="5305EED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90-190元/㎡</w:t>
            </w:r>
          </w:p>
        </w:tc>
        <w:tc>
          <w:tcPr>
            <w:tcW w:w="1523" w:type="pct"/>
            <w:vMerge/>
            <w:vAlign w:val="center"/>
          </w:tcPr>
          <w:p w14:paraId="25A8536C" w14:textId="77777777" w:rsidR="00A320E6" w:rsidRDefault="00A320E6" w:rsidP="00AE0286">
            <w:pPr>
              <w:jc w:val="left"/>
              <w:rPr>
                <w:rFonts w:ascii="宋体" w:hAnsi="宋体" w:cs="宋体"/>
                <w:snapToGrid w:val="0"/>
                <w:color w:val="000000"/>
                <w:kern w:val="0"/>
                <w:szCs w:val="21"/>
              </w:rPr>
            </w:pPr>
          </w:p>
        </w:tc>
      </w:tr>
      <w:tr w:rsidR="00A320E6" w14:paraId="23CA7F2A" w14:textId="77777777" w:rsidTr="00621C83">
        <w:trPr>
          <w:trHeight w:val="312"/>
        </w:trPr>
        <w:tc>
          <w:tcPr>
            <w:tcW w:w="384" w:type="pct"/>
            <w:vMerge/>
            <w:vAlign w:val="center"/>
          </w:tcPr>
          <w:p w14:paraId="0442FE8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92B553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E6FEB9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简易结构</w:t>
            </w:r>
          </w:p>
        </w:tc>
        <w:tc>
          <w:tcPr>
            <w:tcW w:w="1102" w:type="pct"/>
            <w:noWrap/>
            <w:vAlign w:val="center"/>
          </w:tcPr>
          <w:p w14:paraId="16AE52A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50-200元/㎡</w:t>
            </w:r>
          </w:p>
        </w:tc>
        <w:tc>
          <w:tcPr>
            <w:tcW w:w="1523" w:type="pct"/>
            <w:vMerge/>
            <w:vAlign w:val="center"/>
          </w:tcPr>
          <w:p w14:paraId="38A4C29B" w14:textId="77777777" w:rsidR="00A320E6" w:rsidRDefault="00A320E6" w:rsidP="00AE0286">
            <w:pPr>
              <w:jc w:val="left"/>
              <w:rPr>
                <w:rFonts w:ascii="宋体" w:hAnsi="宋体" w:cs="宋体"/>
                <w:snapToGrid w:val="0"/>
                <w:color w:val="000000"/>
                <w:kern w:val="0"/>
                <w:szCs w:val="21"/>
              </w:rPr>
            </w:pPr>
          </w:p>
        </w:tc>
      </w:tr>
      <w:tr w:rsidR="00A320E6" w14:paraId="502C77FA" w14:textId="77777777" w:rsidTr="00621C83">
        <w:trPr>
          <w:trHeight w:val="312"/>
        </w:trPr>
        <w:tc>
          <w:tcPr>
            <w:tcW w:w="384" w:type="pct"/>
            <w:vMerge w:val="restart"/>
            <w:vAlign w:val="center"/>
          </w:tcPr>
          <w:p w14:paraId="2A7D335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w:t>
            </w:r>
          </w:p>
        </w:tc>
        <w:tc>
          <w:tcPr>
            <w:tcW w:w="417" w:type="pct"/>
            <w:vMerge w:val="restart"/>
            <w:noWrap/>
            <w:vAlign w:val="center"/>
          </w:tcPr>
          <w:p w14:paraId="20277C9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温室（棚）</w:t>
            </w:r>
          </w:p>
        </w:tc>
        <w:tc>
          <w:tcPr>
            <w:tcW w:w="1574" w:type="pct"/>
            <w:vAlign w:val="center"/>
          </w:tcPr>
          <w:p w14:paraId="25E309C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砖石结构、钢、砼骨架、玻璃顶</w:t>
            </w:r>
          </w:p>
        </w:tc>
        <w:tc>
          <w:tcPr>
            <w:tcW w:w="1102" w:type="pct"/>
            <w:noWrap/>
            <w:vAlign w:val="center"/>
          </w:tcPr>
          <w:p w14:paraId="11FB63E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140-250元/㎡</w:t>
            </w:r>
          </w:p>
        </w:tc>
        <w:tc>
          <w:tcPr>
            <w:tcW w:w="1523" w:type="pct"/>
            <w:vMerge w:val="restart"/>
            <w:vAlign w:val="center"/>
          </w:tcPr>
          <w:p w14:paraId="743530E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1、表中面积是指温室（棚）占地面积；</w:t>
            </w:r>
          </w:p>
          <w:p w14:paraId="37A1AB1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2、旧料归原主</w:t>
            </w:r>
          </w:p>
        </w:tc>
      </w:tr>
      <w:tr w:rsidR="00A320E6" w14:paraId="4F38AAC3" w14:textId="77777777" w:rsidTr="00621C83">
        <w:trPr>
          <w:trHeight w:val="312"/>
        </w:trPr>
        <w:tc>
          <w:tcPr>
            <w:tcW w:w="384" w:type="pct"/>
            <w:vMerge/>
            <w:vAlign w:val="center"/>
          </w:tcPr>
          <w:p w14:paraId="550392A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051CF80B"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4364716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砖石结构、竹、钢、砼骨架、塑料薄膜顶、毛毡</w:t>
            </w:r>
          </w:p>
        </w:tc>
        <w:tc>
          <w:tcPr>
            <w:tcW w:w="1102" w:type="pct"/>
            <w:noWrap/>
            <w:vAlign w:val="center"/>
          </w:tcPr>
          <w:p w14:paraId="7F5F20C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80-150元/㎡</w:t>
            </w:r>
          </w:p>
        </w:tc>
        <w:tc>
          <w:tcPr>
            <w:tcW w:w="1523" w:type="pct"/>
            <w:vMerge/>
            <w:vAlign w:val="center"/>
          </w:tcPr>
          <w:p w14:paraId="7F788FFC" w14:textId="77777777" w:rsidR="00A320E6" w:rsidRDefault="00A320E6" w:rsidP="00AE0286">
            <w:pPr>
              <w:jc w:val="left"/>
              <w:rPr>
                <w:rFonts w:ascii="宋体" w:hAnsi="宋体" w:cs="宋体"/>
                <w:snapToGrid w:val="0"/>
                <w:color w:val="000000"/>
                <w:kern w:val="0"/>
                <w:szCs w:val="21"/>
              </w:rPr>
            </w:pPr>
          </w:p>
        </w:tc>
      </w:tr>
      <w:tr w:rsidR="00A320E6" w14:paraId="4A070B30" w14:textId="77777777" w:rsidTr="00621C83">
        <w:trPr>
          <w:trHeight w:val="312"/>
        </w:trPr>
        <w:tc>
          <w:tcPr>
            <w:tcW w:w="384" w:type="pct"/>
            <w:vMerge/>
            <w:vAlign w:val="center"/>
          </w:tcPr>
          <w:p w14:paraId="4BFBCA3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5887AFE"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FE316CD" w14:textId="77777777" w:rsidR="00A320E6" w:rsidRDefault="00000000" w:rsidP="00AE0286">
            <w:pPr>
              <w:jc w:val="left"/>
              <w:rPr>
                <w:rFonts w:ascii="宋体" w:hAnsi="宋体" w:cs="宋体"/>
                <w:snapToGrid w:val="0"/>
                <w:color w:val="000000"/>
                <w:spacing w:val="-6"/>
                <w:kern w:val="0"/>
                <w:szCs w:val="21"/>
              </w:rPr>
            </w:pPr>
            <w:r>
              <w:rPr>
                <w:rFonts w:ascii="宋体" w:hAnsi="宋体" w:cs="宋体" w:hint="eastAsia"/>
                <w:snapToGrid w:val="0"/>
                <w:color w:val="000000"/>
                <w:spacing w:val="-6"/>
                <w:kern w:val="0"/>
                <w:szCs w:val="21"/>
              </w:rPr>
              <w:t>砖石结构、塑料薄膜顶</w:t>
            </w:r>
          </w:p>
        </w:tc>
        <w:tc>
          <w:tcPr>
            <w:tcW w:w="1102" w:type="pct"/>
            <w:noWrap/>
            <w:vAlign w:val="center"/>
          </w:tcPr>
          <w:p w14:paraId="35EE769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45-100元/㎡</w:t>
            </w:r>
          </w:p>
        </w:tc>
        <w:tc>
          <w:tcPr>
            <w:tcW w:w="1523" w:type="pct"/>
            <w:vMerge/>
            <w:vAlign w:val="center"/>
          </w:tcPr>
          <w:p w14:paraId="18492B19" w14:textId="77777777" w:rsidR="00A320E6" w:rsidRDefault="00A320E6" w:rsidP="00AE0286">
            <w:pPr>
              <w:jc w:val="left"/>
              <w:rPr>
                <w:rFonts w:ascii="宋体" w:hAnsi="宋体" w:cs="宋体"/>
                <w:snapToGrid w:val="0"/>
                <w:color w:val="000000"/>
                <w:kern w:val="0"/>
                <w:szCs w:val="21"/>
              </w:rPr>
            </w:pPr>
          </w:p>
        </w:tc>
      </w:tr>
      <w:tr w:rsidR="00A320E6" w14:paraId="48758BF9" w14:textId="77777777" w:rsidTr="00621C83">
        <w:trPr>
          <w:trHeight w:val="312"/>
        </w:trPr>
        <w:tc>
          <w:tcPr>
            <w:tcW w:w="384" w:type="pct"/>
            <w:vMerge/>
            <w:vAlign w:val="center"/>
          </w:tcPr>
          <w:p w14:paraId="0B45179E"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4A7C07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28EAA2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钢、砼骨架、塑料薄膜顶、毛毡</w:t>
            </w:r>
          </w:p>
        </w:tc>
        <w:tc>
          <w:tcPr>
            <w:tcW w:w="1102" w:type="pct"/>
            <w:noWrap/>
            <w:vAlign w:val="center"/>
          </w:tcPr>
          <w:p w14:paraId="1622AB2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50-95元/㎡</w:t>
            </w:r>
          </w:p>
        </w:tc>
        <w:tc>
          <w:tcPr>
            <w:tcW w:w="1523" w:type="pct"/>
            <w:vMerge/>
            <w:vAlign w:val="center"/>
          </w:tcPr>
          <w:p w14:paraId="4B0CE337" w14:textId="77777777" w:rsidR="00A320E6" w:rsidRDefault="00A320E6" w:rsidP="00AE0286">
            <w:pPr>
              <w:jc w:val="left"/>
              <w:rPr>
                <w:rFonts w:ascii="宋体" w:hAnsi="宋体" w:cs="宋体"/>
                <w:snapToGrid w:val="0"/>
                <w:color w:val="000000"/>
                <w:kern w:val="0"/>
                <w:szCs w:val="21"/>
              </w:rPr>
            </w:pPr>
          </w:p>
        </w:tc>
      </w:tr>
      <w:tr w:rsidR="00A320E6" w14:paraId="095E14E3" w14:textId="77777777" w:rsidTr="00621C83">
        <w:trPr>
          <w:trHeight w:val="312"/>
        </w:trPr>
        <w:tc>
          <w:tcPr>
            <w:tcW w:w="384" w:type="pct"/>
            <w:vMerge/>
            <w:vAlign w:val="center"/>
          </w:tcPr>
          <w:p w14:paraId="6087A4E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ECD01E9"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9CF2E0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简易大弓棚</w:t>
            </w:r>
          </w:p>
        </w:tc>
        <w:tc>
          <w:tcPr>
            <w:tcW w:w="1102" w:type="pct"/>
            <w:noWrap/>
            <w:vAlign w:val="center"/>
          </w:tcPr>
          <w:p w14:paraId="0C246E2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14-25元/㎡</w:t>
            </w:r>
          </w:p>
        </w:tc>
        <w:tc>
          <w:tcPr>
            <w:tcW w:w="1523" w:type="pct"/>
            <w:vMerge/>
            <w:vAlign w:val="center"/>
          </w:tcPr>
          <w:p w14:paraId="6CA176F9" w14:textId="77777777" w:rsidR="00A320E6" w:rsidRDefault="00A320E6" w:rsidP="00AE0286">
            <w:pPr>
              <w:jc w:val="left"/>
              <w:rPr>
                <w:rFonts w:ascii="宋体" w:hAnsi="宋体" w:cs="宋体"/>
                <w:snapToGrid w:val="0"/>
                <w:color w:val="000000"/>
                <w:kern w:val="0"/>
                <w:szCs w:val="21"/>
              </w:rPr>
            </w:pPr>
          </w:p>
        </w:tc>
      </w:tr>
      <w:tr w:rsidR="00A320E6" w14:paraId="70DE54AB" w14:textId="77777777" w:rsidTr="00621C83">
        <w:trPr>
          <w:trHeight w:val="312"/>
        </w:trPr>
        <w:tc>
          <w:tcPr>
            <w:tcW w:w="384" w:type="pct"/>
            <w:vMerge/>
            <w:vAlign w:val="center"/>
          </w:tcPr>
          <w:p w14:paraId="795407A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27B58A0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A7DD13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简易小弓棚</w:t>
            </w:r>
          </w:p>
        </w:tc>
        <w:tc>
          <w:tcPr>
            <w:tcW w:w="1102" w:type="pct"/>
            <w:noWrap/>
            <w:vAlign w:val="center"/>
          </w:tcPr>
          <w:p w14:paraId="47CF0EA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6-14元/㎡</w:t>
            </w:r>
          </w:p>
        </w:tc>
        <w:tc>
          <w:tcPr>
            <w:tcW w:w="1523" w:type="pct"/>
            <w:vMerge/>
            <w:vAlign w:val="center"/>
          </w:tcPr>
          <w:p w14:paraId="6D7306F2" w14:textId="77777777" w:rsidR="00A320E6" w:rsidRDefault="00A320E6" w:rsidP="00AE0286">
            <w:pPr>
              <w:jc w:val="left"/>
              <w:rPr>
                <w:rFonts w:ascii="宋体" w:hAnsi="宋体" w:cs="宋体"/>
                <w:snapToGrid w:val="0"/>
                <w:color w:val="000000"/>
                <w:kern w:val="0"/>
                <w:szCs w:val="21"/>
              </w:rPr>
            </w:pPr>
          </w:p>
        </w:tc>
      </w:tr>
      <w:tr w:rsidR="00A320E6" w14:paraId="21E6184E" w14:textId="77777777" w:rsidTr="00621C83">
        <w:trPr>
          <w:trHeight w:val="312"/>
        </w:trPr>
        <w:tc>
          <w:tcPr>
            <w:tcW w:w="384" w:type="pct"/>
            <w:vMerge w:val="restart"/>
            <w:vAlign w:val="center"/>
          </w:tcPr>
          <w:p w14:paraId="1C630D8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w:t>
            </w:r>
          </w:p>
        </w:tc>
        <w:tc>
          <w:tcPr>
            <w:tcW w:w="417" w:type="pct"/>
            <w:vMerge w:val="restart"/>
            <w:noWrap/>
            <w:vAlign w:val="center"/>
          </w:tcPr>
          <w:p w14:paraId="1F0B7D3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路面</w:t>
            </w:r>
          </w:p>
        </w:tc>
        <w:tc>
          <w:tcPr>
            <w:tcW w:w="1574" w:type="pct"/>
            <w:vAlign w:val="center"/>
          </w:tcPr>
          <w:p w14:paraId="16CF7A2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水泥地面</w:t>
            </w:r>
          </w:p>
        </w:tc>
        <w:tc>
          <w:tcPr>
            <w:tcW w:w="1102" w:type="pct"/>
            <w:noWrap/>
            <w:vAlign w:val="center"/>
          </w:tcPr>
          <w:p w14:paraId="308DF57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30-50元/㎡</w:t>
            </w:r>
          </w:p>
        </w:tc>
        <w:tc>
          <w:tcPr>
            <w:tcW w:w="1523" w:type="pct"/>
            <w:vMerge w:val="restart"/>
            <w:vAlign w:val="center"/>
          </w:tcPr>
          <w:p w14:paraId="510EEB7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1、旧料归原主；</w:t>
            </w:r>
          </w:p>
          <w:p w14:paraId="446CEDA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2、水泥路面厚度每增减1cm，价格增减4元/平方米</w:t>
            </w:r>
          </w:p>
        </w:tc>
      </w:tr>
      <w:tr w:rsidR="00A320E6" w14:paraId="1722EF51" w14:textId="77777777" w:rsidTr="00621C83">
        <w:trPr>
          <w:trHeight w:val="312"/>
        </w:trPr>
        <w:tc>
          <w:tcPr>
            <w:tcW w:w="384" w:type="pct"/>
            <w:vMerge/>
            <w:vAlign w:val="center"/>
          </w:tcPr>
          <w:p w14:paraId="133F2CC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9A46F0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4436E7A" w14:textId="77777777" w:rsidR="00A320E6" w:rsidRDefault="00000000" w:rsidP="00AE0286">
            <w:pPr>
              <w:jc w:val="left"/>
              <w:rPr>
                <w:rFonts w:ascii="宋体" w:hAnsi="宋体" w:cs="宋体"/>
                <w:snapToGrid w:val="0"/>
                <w:color w:val="000000"/>
                <w:spacing w:val="-6"/>
                <w:kern w:val="0"/>
                <w:szCs w:val="21"/>
              </w:rPr>
            </w:pPr>
            <w:r>
              <w:rPr>
                <w:rFonts w:ascii="宋体" w:hAnsi="宋体" w:cs="宋体" w:hint="eastAsia"/>
                <w:snapToGrid w:val="0"/>
                <w:color w:val="000000"/>
                <w:spacing w:val="-6"/>
                <w:kern w:val="0"/>
                <w:szCs w:val="21"/>
              </w:rPr>
              <w:t>砖地面（红砖或花砖）</w:t>
            </w:r>
          </w:p>
        </w:tc>
        <w:tc>
          <w:tcPr>
            <w:tcW w:w="1102" w:type="pct"/>
            <w:vAlign w:val="center"/>
          </w:tcPr>
          <w:p w14:paraId="19F2149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30-50元/㎡</w:t>
            </w:r>
          </w:p>
        </w:tc>
        <w:tc>
          <w:tcPr>
            <w:tcW w:w="1523" w:type="pct"/>
            <w:vMerge/>
            <w:vAlign w:val="center"/>
          </w:tcPr>
          <w:p w14:paraId="770BB4C5" w14:textId="77777777" w:rsidR="00A320E6" w:rsidRDefault="00A320E6" w:rsidP="00AE0286">
            <w:pPr>
              <w:jc w:val="left"/>
              <w:rPr>
                <w:rFonts w:ascii="宋体" w:hAnsi="宋体" w:cs="宋体"/>
                <w:snapToGrid w:val="0"/>
                <w:color w:val="000000"/>
                <w:kern w:val="0"/>
                <w:szCs w:val="21"/>
              </w:rPr>
            </w:pPr>
          </w:p>
        </w:tc>
      </w:tr>
      <w:tr w:rsidR="00A320E6" w14:paraId="17EABAD3" w14:textId="77777777" w:rsidTr="00621C83">
        <w:trPr>
          <w:trHeight w:val="312"/>
        </w:trPr>
        <w:tc>
          <w:tcPr>
            <w:tcW w:w="384" w:type="pct"/>
            <w:vMerge/>
            <w:vAlign w:val="center"/>
          </w:tcPr>
          <w:p w14:paraId="3243B2B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A2D0554"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C324D5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水泥路面(厚度18cm)</w:t>
            </w:r>
          </w:p>
        </w:tc>
        <w:tc>
          <w:tcPr>
            <w:tcW w:w="1102" w:type="pct"/>
            <w:vAlign w:val="center"/>
          </w:tcPr>
          <w:p w14:paraId="10CDFD0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70-100元/㎡</w:t>
            </w:r>
          </w:p>
        </w:tc>
        <w:tc>
          <w:tcPr>
            <w:tcW w:w="1523" w:type="pct"/>
            <w:vMerge/>
            <w:vAlign w:val="center"/>
          </w:tcPr>
          <w:p w14:paraId="49713AD4" w14:textId="77777777" w:rsidR="00A320E6" w:rsidRDefault="00A320E6" w:rsidP="00AE0286">
            <w:pPr>
              <w:jc w:val="left"/>
              <w:rPr>
                <w:rFonts w:ascii="宋体" w:hAnsi="宋体" w:cs="宋体"/>
                <w:snapToGrid w:val="0"/>
                <w:color w:val="000000"/>
                <w:kern w:val="0"/>
                <w:szCs w:val="21"/>
              </w:rPr>
            </w:pPr>
          </w:p>
        </w:tc>
      </w:tr>
      <w:tr w:rsidR="00A320E6" w14:paraId="08FF122E" w14:textId="77777777" w:rsidTr="00621C83">
        <w:trPr>
          <w:trHeight w:val="312"/>
        </w:trPr>
        <w:tc>
          <w:tcPr>
            <w:tcW w:w="384" w:type="pct"/>
            <w:vAlign w:val="center"/>
          </w:tcPr>
          <w:p w14:paraId="230DE20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w:t>
            </w:r>
          </w:p>
        </w:tc>
        <w:tc>
          <w:tcPr>
            <w:tcW w:w="417" w:type="pct"/>
            <w:noWrap/>
            <w:vAlign w:val="center"/>
          </w:tcPr>
          <w:p w14:paraId="66A51B4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台田石堰</w:t>
            </w:r>
          </w:p>
        </w:tc>
        <w:tc>
          <w:tcPr>
            <w:tcW w:w="1574" w:type="pct"/>
            <w:vAlign w:val="center"/>
          </w:tcPr>
          <w:p w14:paraId="671472D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台田石堰</w:t>
            </w:r>
          </w:p>
        </w:tc>
        <w:tc>
          <w:tcPr>
            <w:tcW w:w="1102" w:type="pct"/>
            <w:vAlign w:val="center"/>
          </w:tcPr>
          <w:p w14:paraId="1686B29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25-60元/㎡</w:t>
            </w:r>
          </w:p>
        </w:tc>
        <w:tc>
          <w:tcPr>
            <w:tcW w:w="1523" w:type="pct"/>
            <w:vAlign w:val="center"/>
          </w:tcPr>
          <w:p w14:paraId="487D464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按砌体侧面积计算</w:t>
            </w:r>
          </w:p>
        </w:tc>
      </w:tr>
      <w:tr w:rsidR="00A320E6" w14:paraId="4F2FD06A" w14:textId="77777777" w:rsidTr="00621C83">
        <w:trPr>
          <w:trHeight w:val="312"/>
        </w:trPr>
        <w:tc>
          <w:tcPr>
            <w:tcW w:w="384" w:type="pct"/>
            <w:vMerge w:val="restart"/>
            <w:vAlign w:val="center"/>
          </w:tcPr>
          <w:p w14:paraId="3C691B2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w:t>
            </w:r>
          </w:p>
        </w:tc>
        <w:tc>
          <w:tcPr>
            <w:tcW w:w="417" w:type="pct"/>
            <w:vMerge w:val="restart"/>
            <w:noWrap/>
            <w:vAlign w:val="center"/>
          </w:tcPr>
          <w:p w14:paraId="2743294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桥涵</w:t>
            </w:r>
          </w:p>
        </w:tc>
        <w:tc>
          <w:tcPr>
            <w:tcW w:w="1574" w:type="pct"/>
            <w:vAlign w:val="center"/>
          </w:tcPr>
          <w:p w14:paraId="5692F2D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钢筋混凝土矩形板桥4米以上</w:t>
            </w:r>
          </w:p>
        </w:tc>
        <w:tc>
          <w:tcPr>
            <w:tcW w:w="1102" w:type="pct"/>
            <w:vAlign w:val="center"/>
          </w:tcPr>
          <w:p w14:paraId="5E7AF37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1400-2000元/㎡</w:t>
            </w:r>
          </w:p>
        </w:tc>
        <w:tc>
          <w:tcPr>
            <w:tcW w:w="1523" w:type="pct"/>
            <w:vMerge w:val="restart"/>
            <w:vAlign w:val="center"/>
          </w:tcPr>
          <w:p w14:paraId="2DDB733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1、按桥面面积计算；</w:t>
            </w:r>
          </w:p>
          <w:p w14:paraId="56DF4A3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2、按涵洞长度计算</w:t>
            </w:r>
          </w:p>
        </w:tc>
      </w:tr>
      <w:tr w:rsidR="00A320E6" w14:paraId="2FF01853" w14:textId="77777777" w:rsidTr="00621C83">
        <w:trPr>
          <w:trHeight w:val="312"/>
        </w:trPr>
        <w:tc>
          <w:tcPr>
            <w:tcW w:w="384" w:type="pct"/>
            <w:vMerge/>
            <w:vAlign w:val="center"/>
          </w:tcPr>
          <w:p w14:paraId="785B4C9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195639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B1B718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平坦石拱桥4米以上</w:t>
            </w:r>
          </w:p>
        </w:tc>
        <w:tc>
          <w:tcPr>
            <w:tcW w:w="1102" w:type="pct"/>
            <w:vAlign w:val="center"/>
          </w:tcPr>
          <w:p w14:paraId="26DE11D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1300-1700元/㎡</w:t>
            </w:r>
          </w:p>
        </w:tc>
        <w:tc>
          <w:tcPr>
            <w:tcW w:w="1523" w:type="pct"/>
            <w:vMerge/>
            <w:vAlign w:val="center"/>
          </w:tcPr>
          <w:p w14:paraId="305E625B" w14:textId="77777777" w:rsidR="00A320E6" w:rsidRDefault="00A320E6" w:rsidP="00AE0286">
            <w:pPr>
              <w:jc w:val="left"/>
              <w:rPr>
                <w:rFonts w:ascii="宋体" w:hAnsi="宋体" w:cs="宋体"/>
                <w:snapToGrid w:val="0"/>
                <w:color w:val="000000"/>
                <w:kern w:val="0"/>
                <w:szCs w:val="21"/>
              </w:rPr>
            </w:pPr>
          </w:p>
        </w:tc>
      </w:tr>
      <w:tr w:rsidR="00A320E6" w14:paraId="2B2ED189" w14:textId="77777777" w:rsidTr="00621C83">
        <w:trPr>
          <w:trHeight w:val="312"/>
        </w:trPr>
        <w:tc>
          <w:tcPr>
            <w:tcW w:w="384" w:type="pct"/>
            <w:vMerge/>
            <w:vAlign w:val="center"/>
          </w:tcPr>
          <w:p w14:paraId="28E1E4C5"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D12316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DFD51F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石拱桥4米以上</w:t>
            </w:r>
          </w:p>
        </w:tc>
        <w:tc>
          <w:tcPr>
            <w:tcW w:w="1102" w:type="pct"/>
            <w:vAlign w:val="center"/>
          </w:tcPr>
          <w:p w14:paraId="3A3D868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1900-2500元/㎡</w:t>
            </w:r>
          </w:p>
        </w:tc>
        <w:tc>
          <w:tcPr>
            <w:tcW w:w="1523" w:type="pct"/>
            <w:vMerge/>
            <w:vAlign w:val="center"/>
          </w:tcPr>
          <w:p w14:paraId="655FE707" w14:textId="77777777" w:rsidR="00A320E6" w:rsidRDefault="00A320E6" w:rsidP="00AE0286">
            <w:pPr>
              <w:jc w:val="left"/>
              <w:rPr>
                <w:rFonts w:ascii="宋体" w:hAnsi="宋体" w:cs="宋体"/>
                <w:snapToGrid w:val="0"/>
                <w:color w:val="000000"/>
                <w:kern w:val="0"/>
                <w:szCs w:val="21"/>
              </w:rPr>
            </w:pPr>
          </w:p>
        </w:tc>
      </w:tr>
      <w:tr w:rsidR="00A320E6" w14:paraId="439B7AFF" w14:textId="77777777" w:rsidTr="00621C83">
        <w:trPr>
          <w:trHeight w:val="312"/>
        </w:trPr>
        <w:tc>
          <w:tcPr>
            <w:tcW w:w="384" w:type="pct"/>
            <w:vMerge/>
            <w:vAlign w:val="center"/>
          </w:tcPr>
          <w:p w14:paraId="3E292E04"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CD7209A"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40A82E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水泥管涵跨径0.5-1m</w:t>
            </w:r>
          </w:p>
        </w:tc>
        <w:tc>
          <w:tcPr>
            <w:tcW w:w="1102" w:type="pct"/>
            <w:vAlign w:val="center"/>
          </w:tcPr>
          <w:p w14:paraId="524D5C7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350-600元/m</w:t>
            </w:r>
          </w:p>
        </w:tc>
        <w:tc>
          <w:tcPr>
            <w:tcW w:w="1523" w:type="pct"/>
            <w:vMerge/>
            <w:vAlign w:val="center"/>
          </w:tcPr>
          <w:p w14:paraId="7CE04A9E" w14:textId="77777777" w:rsidR="00A320E6" w:rsidRDefault="00A320E6" w:rsidP="00AE0286">
            <w:pPr>
              <w:jc w:val="left"/>
              <w:rPr>
                <w:rFonts w:ascii="宋体" w:hAnsi="宋体" w:cs="宋体"/>
                <w:snapToGrid w:val="0"/>
                <w:color w:val="000000"/>
                <w:kern w:val="0"/>
                <w:szCs w:val="21"/>
              </w:rPr>
            </w:pPr>
          </w:p>
        </w:tc>
      </w:tr>
      <w:tr w:rsidR="00A320E6" w14:paraId="34AF2DB3" w14:textId="77777777" w:rsidTr="00621C83">
        <w:trPr>
          <w:trHeight w:val="312"/>
        </w:trPr>
        <w:tc>
          <w:tcPr>
            <w:tcW w:w="384" w:type="pct"/>
            <w:vMerge/>
            <w:vAlign w:val="center"/>
          </w:tcPr>
          <w:p w14:paraId="3ECA5C2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43F3EDA"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95B31D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石盖板涵跨径1-3m</w:t>
            </w:r>
          </w:p>
        </w:tc>
        <w:tc>
          <w:tcPr>
            <w:tcW w:w="1102" w:type="pct"/>
            <w:vAlign w:val="center"/>
          </w:tcPr>
          <w:p w14:paraId="7A942706"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700-950元/m</w:t>
            </w:r>
          </w:p>
        </w:tc>
        <w:tc>
          <w:tcPr>
            <w:tcW w:w="1523" w:type="pct"/>
            <w:vMerge/>
            <w:vAlign w:val="center"/>
          </w:tcPr>
          <w:p w14:paraId="20A9FF2D" w14:textId="77777777" w:rsidR="00A320E6" w:rsidRDefault="00A320E6" w:rsidP="00AE0286">
            <w:pPr>
              <w:jc w:val="left"/>
              <w:rPr>
                <w:rFonts w:ascii="宋体" w:hAnsi="宋体" w:cs="宋体"/>
                <w:snapToGrid w:val="0"/>
                <w:color w:val="000000"/>
                <w:kern w:val="0"/>
                <w:szCs w:val="21"/>
              </w:rPr>
            </w:pPr>
          </w:p>
        </w:tc>
      </w:tr>
      <w:tr w:rsidR="00A320E6" w14:paraId="26629414" w14:textId="77777777" w:rsidTr="00621C83">
        <w:trPr>
          <w:trHeight w:val="312"/>
        </w:trPr>
        <w:tc>
          <w:tcPr>
            <w:tcW w:w="384" w:type="pct"/>
            <w:vMerge/>
            <w:vAlign w:val="center"/>
          </w:tcPr>
          <w:p w14:paraId="3F79096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216A013F"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ABE7F0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钢筋混凝土涵洞跨径3-4m</w:t>
            </w:r>
          </w:p>
        </w:tc>
        <w:tc>
          <w:tcPr>
            <w:tcW w:w="1102" w:type="pct"/>
            <w:vAlign w:val="center"/>
          </w:tcPr>
          <w:p w14:paraId="791C827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1200-2300元/m</w:t>
            </w:r>
          </w:p>
        </w:tc>
        <w:tc>
          <w:tcPr>
            <w:tcW w:w="1523" w:type="pct"/>
            <w:vMerge/>
            <w:vAlign w:val="center"/>
          </w:tcPr>
          <w:p w14:paraId="55C5F55B" w14:textId="77777777" w:rsidR="00A320E6" w:rsidRDefault="00A320E6" w:rsidP="00AE0286">
            <w:pPr>
              <w:jc w:val="left"/>
              <w:rPr>
                <w:rFonts w:ascii="宋体" w:hAnsi="宋体" w:cs="宋体"/>
                <w:snapToGrid w:val="0"/>
                <w:color w:val="000000"/>
                <w:kern w:val="0"/>
                <w:szCs w:val="21"/>
              </w:rPr>
            </w:pPr>
          </w:p>
        </w:tc>
      </w:tr>
      <w:tr w:rsidR="00A320E6" w14:paraId="7238616D" w14:textId="77777777" w:rsidTr="00621C83">
        <w:trPr>
          <w:trHeight w:val="312"/>
        </w:trPr>
        <w:tc>
          <w:tcPr>
            <w:tcW w:w="384" w:type="pct"/>
            <w:vMerge/>
            <w:vAlign w:val="center"/>
          </w:tcPr>
          <w:p w14:paraId="2ED78BF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E20A419"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5441D1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简易小桥</w:t>
            </w:r>
          </w:p>
        </w:tc>
        <w:tc>
          <w:tcPr>
            <w:tcW w:w="1102" w:type="pct"/>
            <w:vAlign w:val="center"/>
          </w:tcPr>
          <w:p w14:paraId="011DA6B3"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350-600元/㎡</w:t>
            </w:r>
          </w:p>
        </w:tc>
        <w:tc>
          <w:tcPr>
            <w:tcW w:w="1523" w:type="pct"/>
            <w:vMerge/>
            <w:vAlign w:val="center"/>
          </w:tcPr>
          <w:p w14:paraId="6990C73D" w14:textId="77777777" w:rsidR="00A320E6" w:rsidRDefault="00A320E6" w:rsidP="00AE0286">
            <w:pPr>
              <w:jc w:val="left"/>
              <w:rPr>
                <w:rFonts w:ascii="宋体" w:hAnsi="宋体" w:cs="宋体"/>
                <w:snapToGrid w:val="0"/>
                <w:color w:val="000000"/>
                <w:kern w:val="0"/>
                <w:szCs w:val="21"/>
              </w:rPr>
            </w:pPr>
          </w:p>
        </w:tc>
      </w:tr>
      <w:tr w:rsidR="00A320E6" w14:paraId="756069BE" w14:textId="77777777" w:rsidTr="00621C83">
        <w:trPr>
          <w:trHeight w:val="312"/>
        </w:trPr>
        <w:tc>
          <w:tcPr>
            <w:tcW w:w="384" w:type="pct"/>
            <w:vMerge w:val="restart"/>
            <w:vAlign w:val="center"/>
          </w:tcPr>
          <w:p w14:paraId="77FE77F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w:t>
            </w:r>
          </w:p>
        </w:tc>
        <w:tc>
          <w:tcPr>
            <w:tcW w:w="417" w:type="pct"/>
            <w:vMerge w:val="restart"/>
            <w:vAlign w:val="center"/>
          </w:tcPr>
          <w:p w14:paraId="784D828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水泥管</w:t>
            </w:r>
          </w:p>
        </w:tc>
        <w:tc>
          <w:tcPr>
            <w:tcW w:w="1574" w:type="pct"/>
            <w:vAlign w:val="center"/>
          </w:tcPr>
          <w:p w14:paraId="5094F3EB" w14:textId="77777777" w:rsidR="00A320E6" w:rsidRDefault="00000000" w:rsidP="00AE0286">
            <w:pPr>
              <w:jc w:val="left"/>
              <w:rPr>
                <w:rFonts w:ascii="宋体" w:hAnsi="宋体" w:cs="宋体"/>
                <w:snapToGrid w:val="0"/>
                <w:color w:val="000000"/>
                <w:spacing w:val="-10"/>
                <w:kern w:val="0"/>
                <w:szCs w:val="21"/>
              </w:rPr>
            </w:pPr>
            <w:r>
              <w:rPr>
                <w:rFonts w:ascii="宋体" w:hAnsi="宋体" w:cs="宋体" w:hint="eastAsia"/>
                <w:snapToGrid w:val="0"/>
                <w:color w:val="000000"/>
                <w:spacing w:val="-10"/>
                <w:kern w:val="0"/>
                <w:szCs w:val="21"/>
              </w:rPr>
              <w:t>（带筋）直径20cm以下</w:t>
            </w:r>
          </w:p>
        </w:tc>
        <w:tc>
          <w:tcPr>
            <w:tcW w:w="1102" w:type="pct"/>
            <w:vAlign w:val="center"/>
          </w:tcPr>
          <w:p w14:paraId="7D5E62D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50-70元/m</w:t>
            </w:r>
          </w:p>
        </w:tc>
        <w:tc>
          <w:tcPr>
            <w:tcW w:w="1523" w:type="pct"/>
            <w:vMerge w:val="restart"/>
            <w:vAlign w:val="center"/>
          </w:tcPr>
          <w:p w14:paraId="29030EE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含人工材料费及出水口设施等费用</w:t>
            </w:r>
          </w:p>
        </w:tc>
      </w:tr>
      <w:tr w:rsidR="00A320E6" w14:paraId="265CF46B" w14:textId="77777777" w:rsidTr="00621C83">
        <w:trPr>
          <w:trHeight w:val="312"/>
        </w:trPr>
        <w:tc>
          <w:tcPr>
            <w:tcW w:w="384" w:type="pct"/>
            <w:vMerge/>
            <w:vAlign w:val="center"/>
          </w:tcPr>
          <w:p w14:paraId="0EC5A17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ECF8355"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9EE237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（带筋）直径20-50cm</w:t>
            </w:r>
          </w:p>
        </w:tc>
        <w:tc>
          <w:tcPr>
            <w:tcW w:w="1102" w:type="pct"/>
            <w:vAlign w:val="center"/>
          </w:tcPr>
          <w:p w14:paraId="0FD2EF3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70-165元/m</w:t>
            </w:r>
          </w:p>
        </w:tc>
        <w:tc>
          <w:tcPr>
            <w:tcW w:w="1523" w:type="pct"/>
            <w:vMerge/>
            <w:vAlign w:val="center"/>
          </w:tcPr>
          <w:p w14:paraId="2A309F53" w14:textId="77777777" w:rsidR="00A320E6" w:rsidRDefault="00A320E6" w:rsidP="00AE0286">
            <w:pPr>
              <w:jc w:val="left"/>
              <w:rPr>
                <w:rFonts w:ascii="宋体" w:hAnsi="宋体" w:cs="宋体"/>
                <w:snapToGrid w:val="0"/>
                <w:color w:val="000000"/>
                <w:kern w:val="0"/>
                <w:szCs w:val="21"/>
              </w:rPr>
            </w:pPr>
          </w:p>
        </w:tc>
      </w:tr>
      <w:tr w:rsidR="00A320E6" w14:paraId="7AD77A63" w14:textId="77777777" w:rsidTr="00621C83">
        <w:trPr>
          <w:trHeight w:val="312"/>
        </w:trPr>
        <w:tc>
          <w:tcPr>
            <w:tcW w:w="384" w:type="pct"/>
            <w:vMerge/>
            <w:vAlign w:val="center"/>
          </w:tcPr>
          <w:p w14:paraId="5719685D"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04C59A2C"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BB82A0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（带筋）直径50-90cm</w:t>
            </w:r>
          </w:p>
        </w:tc>
        <w:tc>
          <w:tcPr>
            <w:tcW w:w="1102" w:type="pct"/>
            <w:vAlign w:val="center"/>
          </w:tcPr>
          <w:p w14:paraId="53322B0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165-220元/m</w:t>
            </w:r>
          </w:p>
        </w:tc>
        <w:tc>
          <w:tcPr>
            <w:tcW w:w="1523" w:type="pct"/>
            <w:vMerge/>
            <w:vAlign w:val="center"/>
          </w:tcPr>
          <w:p w14:paraId="46A9CAD7" w14:textId="77777777" w:rsidR="00A320E6" w:rsidRDefault="00A320E6" w:rsidP="00AE0286">
            <w:pPr>
              <w:jc w:val="left"/>
              <w:rPr>
                <w:rFonts w:ascii="宋体" w:hAnsi="宋体" w:cs="宋体"/>
                <w:snapToGrid w:val="0"/>
                <w:color w:val="000000"/>
                <w:kern w:val="0"/>
                <w:szCs w:val="21"/>
              </w:rPr>
            </w:pPr>
          </w:p>
        </w:tc>
      </w:tr>
      <w:tr w:rsidR="00A320E6" w14:paraId="26C4882A" w14:textId="77777777" w:rsidTr="00621C83">
        <w:trPr>
          <w:trHeight w:val="312"/>
        </w:trPr>
        <w:tc>
          <w:tcPr>
            <w:tcW w:w="384" w:type="pct"/>
            <w:vMerge/>
            <w:vAlign w:val="center"/>
          </w:tcPr>
          <w:p w14:paraId="377F1177"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20CDD27B"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31080C5" w14:textId="77777777" w:rsidR="00A320E6" w:rsidRDefault="00000000" w:rsidP="00AE0286">
            <w:pPr>
              <w:jc w:val="left"/>
              <w:rPr>
                <w:rFonts w:ascii="宋体" w:hAnsi="宋体" w:cs="宋体"/>
                <w:snapToGrid w:val="0"/>
                <w:color w:val="000000"/>
                <w:spacing w:val="-6"/>
                <w:kern w:val="0"/>
                <w:szCs w:val="21"/>
              </w:rPr>
            </w:pPr>
            <w:r>
              <w:rPr>
                <w:rFonts w:ascii="宋体" w:hAnsi="宋体" w:cs="宋体" w:hint="eastAsia"/>
                <w:snapToGrid w:val="0"/>
                <w:color w:val="000000"/>
                <w:spacing w:val="-6"/>
                <w:kern w:val="0"/>
                <w:szCs w:val="21"/>
              </w:rPr>
              <w:t>（带筋）直径90-120cm</w:t>
            </w:r>
          </w:p>
        </w:tc>
        <w:tc>
          <w:tcPr>
            <w:tcW w:w="1102" w:type="pct"/>
            <w:vAlign w:val="center"/>
          </w:tcPr>
          <w:p w14:paraId="7B28AF0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300-450元/m</w:t>
            </w:r>
          </w:p>
        </w:tc>
        <w:tc>
          <w:tcPr>
            <w:tcW w:w="1523" w:type="pct"/>
            <w:vMerge/>
            <w:vAlign w:val="center"/>
          </w:tcPr>
          <w:p w14:paraId="62CE7DFF" w14:textId="77777777" w:rsidR="00A320E6" w:rsidRDefault="00A320E6" w:rsidP="00AE0286">
            <w:pPr>
              <w:jc w:val="left"/>
              <w:rPr>
                <w:rFonts w:ascii="宋体" w:hAnsi="宋体" w:cs="宋体"/>
                <w:snapToGrid w:val="0"/>
                <w:color w:val="000000"/>
                <w:kern w:val="0"/>
                <w:szCs w:val="21"/>
              </w:rPr>
            </w:pPr>
          </w:p>
        </w:tc>
      </w:tr>
      <w:tr w:rsidR="00A320E6" w14:paraId="27FE034E" w14:textId="77777777" w:rsidTr="00621C83">
        <w:trPr>
          <w:trHeight w:val="312"/>
        </w:trPr>
        <w:tc>
          <w:tcPr>
            <w:tcW w:w="384" w:type="pct"/>
            <w:vMerge/>
            <w:vAlign w:val="center"/>
          </w:tcPr>
          <w:p w14:paraId="5CA875A5"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5B6123C"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4E652B9" w14:textId="77777777" w:rsidR="00A320E6" w:rsidRDefault="00000000" w:rsidP="00AE0286">
            <w:pPr>
              <w:jc w:val="left"/>
              <w:rPr>
                <w:rFonts w:ascii="宋体" w:hAnsi="宋体" w:cs="宋体"/>
                <w:snapToGrid w:val="0"/>
                <w:color w:val="000000"/>
                <w:spacing w:val="-10"/>
                <w:kern w:val="0"/>
                <w:szCs w:val="21"/>
              </w:rPr>
            </w:pPr>
            <w:r>
              <w:rPr>
                <w:rFonts w:ascii="宋体" w:hAnsi="宋体" w:cs="宋体" w:hint="eastAsia"/>
                <w:snapToGrid w:val="0"/>
                <w:color w:val="000000"/>
                <w:spacing w:val="-10"/>
                <w:kern w:val="0"/>
                <w:szCs w:val="21"/>
              </w:rPr>
              <w:t>（无筋）直径20cm以下</w:t>
            </w:r>
          </w:p>
        </w:tc>
        <w:tc>
          <w:tcPr>
            <w:tcW w:w="1102" w:type="pct"/>
            <w:vAlign w:val="center"/>
          </w:tcPr>
          <w:p w14:paraId="4300759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25-60元/m</w:t>
            </w:r>
          </w:p>
        </w:tc>
        <w:tc>
          <w:tcPr>
            <w:tcW w:w="1523" w:type="pct"/>
            <w:vMerge/>
            <w:vAlign w:val="center"/>
          </w:tcPr>
          <w:p w14:paraId="03AD3CB1" w14:textId="77777777" w:rsidR="00A320E6" w:rsidRDefault="00A320E6" w:rsidP="00AE0286">
            <w:pPr>
              <w:jc w:val="left"/>
              <w:rPr>
                <w:rFonts w:ascii="宋体" w:hAnsi="宋体" w:cs="宋体"/>
                <w:snapToGrid w:val="0"/>
                <w:color w:val="000000"/>
                <w:kern w:val="0"/>
                <w:szCs w:val="21"/>
              </w:rPr>
            </w:pPr>
          </w:p>
        </w:tc>
      </w:tr>
      <w:tr w:rsidR="00A320E6" w14:paraId="2F098395" w14:textId="77777777" w:rsidTr="00621C83">
        <w:trPr>
          <w:trHeight w:val="312"/>
        </w:trPr>
        <w:tc>
          <w:tcPr>
            <w:tcW w:w="384" w:type="pct"/>
            <w:vMerge/>
            <w:vAlign w:val="center"/>
          </w:tcPr>
          <w:p w14:paraId="56D1993B"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1F05ABA"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CD579C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（无筋）直径20-50cm</w:t>
            </w:r>
          </w:p>
        </w:tc>
        <w:tc>
          <w:tcPr>
            <w:tcW w:w="1102" w:type="pct"/>
            <w:vAlign w:val="center"/>
          </w:tcPr>
          <w:p w14:paraId="64AE53F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60-110元/m</w:t>
            </w:r>
          </w:p>
        </w:tc>
        <w:tc>
          <w:tcPr>
            <w:tcW w:w="1523" w:type="pct"/>
            <w:vMerge/>
            <w:vAlign w:val="center"/>
          </w:tcPr>
          <w:p w14:paraId="0ED8D253" w14:textId="77777777" w:rsidR="00A320E6" w:rsidRDefault="00A320E6" w:rsidP="00AE0286">
            <w:pPr>
              <w:jc w:val="left"/>
              <w:rPr>
                <w:rFonts w:ascii="宋体" w:hAnsi="宋体" w:cs="宋体"/>
                <w:snapToGrid w:val="0"/>
                <w:color w:val="000000"/>
                <w:kern w:val="0"/>
                <w:szCs w:val="21"/>
              </w:rPr>
            </w:pPr>
          </w:p>
        </w:tc>
      </w:tr>
      <w:tr w:rsidR="00A320E6" w14:paraId="0C367A3A" w14:textId="77777777" w:rsidTr="00621C83">
        <w:trPr>
          <w:trHeight w:val="312"/>
        </w:trPr>
        <w:tc>
          <w:tcPr>
            <w:tcW w:w="384" w:type="pct"/>
            <w:vMerge w:val="restart"/>
            <w:vAlign w:val="center"/>
          </w:tcPr>
          <w:p w14:paraId="1B09C54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w:t>
            </w:r>
          </w:p>
        </w:tc>
        <w:tc>
          <w:tcPr>
            <w:tcW w:w="417" w:type="pct"/>
            <w:vMerge w:val="restart"/>
            <w:noWrap/>
            <w:vAlign w:val="center"/>
          </w:tcPr>
          <w:p w14:paraId="60E1AF3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塑料管</w:t>
            </w:r>
          </w:p>
        </w:tc>
        <w:tc>
          <w:tcPr>
            <w:tcW w:w="1574" w:type="pct"/>
            <w:vAlign w:val="center"/>
          </w:tcPr>
          <w:p w14:paraId="4D0CF32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直径1-5cm</w:t>
            </w:r>
          </w:p>
        </w:tc>
        <w:tc>
          <w:tcPr>
            <w:tcW w:w="1102" w:type="pct"/>
            <w:vAlign w:val="center"/>
          </w:tcPr>
          <w:p w14:paraId="04D9154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10-20元/m</w:t>
            </w:r>
          </w:p>
        </w:tc>
        <w:tc>
          <w:tcPr>
            <w:tcW w:w="1523" w:type="pct"/>
            <w:vMerge/>
            <w:vAlign w:val="center"/>
          </w:tcPr>
          <w:p w14:paraId="171142A5" w14:textId="77777777" w:rsidR="00A320E6" w:rsidRDefault="00A320E6" w:rsidP="00AE0286">
            <w:pPr>
              <w:jc w:val="left"/>
              <w:rPr>
                <w:rFonts w:ascii="宋体" w:hAnsi="宋体" w:cs="宋体"/>
                <w:snapToGrid w:val="0"/>
                <w:color w:val="000000"/>
                <w:kern w:val="0"/>
                <w:szCs w:val="21"/>
              </w:rPr>
            </w:pPr>
          </w:p>
        </w:tc>
      </w:tr>
      <w:tr w:rsidR="00A320E6" w14:paraId="2B5FE25B" w14:textId="77777777" w:rsidTr="00621C83">
        <w:trPr>
          <w:trHeight w:val="312"/>
        </w:trPr>
        <w:tc>
          <w:tcPr>
            <w:tcW w:w="384" w:type="pct"/>
            <w:vMerge/>
            <w:vAlign w:val="center"/>
          </w:tcPr>
          <w:p w14:paraId="20FBC516"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5C49170"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10C7B9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直径6-10cm</w:t>
            </w:r>
          </w:p>
        </w:tc>
        <w:tc>
          <w:tcPr>
            <w:tcW w:w="1102" w:type="pct"/>
            <w:vAlign w:val="center"/>
          </w:tcPr>
          <w:p w14:paraId="26EDF3B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25-35元/m</w:t>
            </w:r>
          </w:p>
        </w:tc>
        <w:tc>
          <w:tcPr>
            <w:tcW w:w="1523" w:type="pct"/>
            <w:vMerge/>
            <w:vAlign w:val="center"/>
          </w:tcPr>
          <w:p w14:paraId="11ACC074" w14:textId="77777777" w:rsidR="00A320E6" w:rsidRDefault="00A320E6" w:rsidP="00AE0286">
            <w:pPr>
              <w:jc w:val="left"/>
              <w:rPr>
                <w:rFonts w:ascii="宋体" w:hAnsi="宋体" w:cs="宋体"/>
                <w:snapToGrid w:val="0"/>
                <w:color w:val="000000"/>
                <w:kern w:val="0"/>
                <w:szCs w:val="21"/>
              </w:rPr>
            </w:pPr>
          </w:p>
        </w:tc>
      </w:tr>
      <w:tr w:rsidR="00A320E6" w14:paraId="649CDEEE" w14:textId="77777777" w:rsidTr="00621C83">
        <w:trPr>
          <w:trHeight w:val="312"/>
        </w:trPr>
        <w:tc>
          <w:tcPr>
            <w:tcW w:w="384" w:type="pct"/>
            <w:vMerge/>
            <w:vAlign w:val="center"/>
          </w:tcPr>
          <w:p w14:paraId="187B8A16"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66D3D57"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7D71A2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直径11-15cm</w:t>
            </w:r>
          </w:p>
        </w:tc>
        <w:tc>
          <w:tcPr>
            <w:tcW w:w="1102" w:type="pct"/>
            <w:vAlign w:val="center"/>
          </w:tcPr>
          <w:p w14:paraId="52134B6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35-45元/m</w:t>
            </w:r>
          </w:p>
        </w:tc>
        <w:tc>
          <w:tcPr>
            <w:tcW w:w="1523" w:type="pct"/>
            <w:vMerge/>
            <w:vAlign w:val="center"/>
          </w:tcPr>
          <w:p w14:paraId="49412E5F" w14:textId="77777777" w:rsidR="00A320E6" w:rsidRDefault="00A320E6" w:rsidP="00AE0286">
            <w:pPr>
              <w:jc w:val="left"/>
              <w:rPr>
                <w:rFonts w:ascii="宋体" w:hAnsi="宋体" w:cs="宋体"/>
                <w:snapToGrid w:val="0"/>
                <w:color w:val="000000"/>
                <w:kern w:val="0"/>
                <w:szCs w:val="21"/>
              </w:rPr>
            </w:pPr>
          </w:p>
        </w:tc>
      </w:tr>
      <w:tr w:rsidR="00A320E6" w14:paraId="0754939F" w14:textId="77777777" w:rsidTr="00621C83">
        <w:trPr>
          <w:trHeight w:val="312"/>
        </w:trPr>
        <w:tc>
          <w:tcPr>
            <w:tcW w:w="384" w:type="pct"/>
            <w:vMerge/>
            <w:vAlign w:val="center"/>
          </w:tcPr>
          <w:p w14:paraId="71214A4B"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252C066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4FF3BB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直径16-20cm</w:t>
            </w:r>
          </w:p>
        </w:tc>
        <w:tc>
          <w:tcPr>
            <w:tcW w:w="1102" w:type="pct"/>
            <w:vAlign w:val="center"/>
          </w:tcPr>
          <w:p w14:paraId="6EA2DD8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45-55元/m</w:t>
            </w:r>
          </w:p>
        </w:tc>
        <w:tc>
          <w:tcPr>
            <w:tcW w:w="1523" w:type="pct"/>
            <w:vMerge/>
            <w:vAlign w:val="center"/>
          </w:tcPr>
          <w:p w14:paraId="791A7702" w14:textId="77777777" w:rsidR="00A320E6" w:rsidRDefault="00A320E6" w:rsidP="00AE0286">
            <w:pPr>
              <w:jc w:val="left"/>
              <w:rPr>
                <w:rFonts w:ascii="宋体" w:hAnsi="宋体" w:cs="宋体"/>
                <w:snapToGrid w:val="0"/>
                <w:color w:val="000000"/>
                <w:kern w:val="0"/>
                <w:szCs w:val="21"/>
              </w:rPr>
            </w:pPr>
          </w:p>
        </w:tc>
      </w:tr>
      <w:tr w:rsidR="00A320E6" w14:paraId="5776C5F5" w14:textId="77777777" w:rsidTr="00621C83">
        <w:trPr>
          <w:trHeight w:val="312"/>
        </w:trPr>
        <w:tc>
          <w:tcPr>
            <w:tcW w:w="384" w:type="pct"/>
            <w:vMerge w:val="restart"/>
            <w:vAlign w:val="center"/>
          </w:tcPr>
          <w:p w14:paraId="52AFF30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10</w:t>
            </w:r>
          </w:p>
        </w:tc>
        <w:tc>
          <w:tcPr>
            <w:tcW w:w="417" w:type="pct"/>
            <w:vMerge w:val="restart"/>
            <w:vAlign w:val="center"/>
          </w:tcPr>
          <w:p w14:paraId="430B638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水渠、水池</w:t>
            </w:r>
          </w:p>
        </w:tc>
        <w:tc>
          <w:tcPr>
            <w:tcW w:w="1574" w:type="pct"/>
            <w:vAlign w:val="center"/>
          </w:tcPr>
          <w:p w14:paraId="26F71CC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土筑水渠、水池</w:t>
            </w:r>
          </w:p>
        </w:tc>
        <w:tc>
          <w:tcPr>
            <w:tcW w:w="1102" w:type="pct"/>
            <w:vAlign w:val="center"/>
          </w:tcPr>
          <w:p w14:paraId="711797C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10-20元/m</w:t>
            </w:r>
            <w:r>
              <w:rPr>
                <w:rFonts w:ascii="宋体" w:hAnsi="宋体" w:cs="宋体" w:hint="eastAsia"/>
                <w:snapToGrid w:val="0"/>
                <w:color w:val="000000"/>
                <w:kern w:val="0"/>
                <w:szCs w:val="21"/>
                <w:vertAlign w:val="superscript"/>
              </w:rPr>
              <w:t>3</w:t>
            </w:r>
          </w:p>
        </w:tc>
        <w:tc>
          <w:tcPr>
            <w:tcW w:w="1523" w:type="pct"/>
            <w:vMerge w:val="restart"/>
            <w:vAlign w:val="center"/>
          </w:tcPr>
          <w:p w14:paraId="3126311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1、不包括田间毛渠；</w:t>
            </w:r>
          </w:p>
          <w:p w14:paraId="2137099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2、按挖土方体积计算</w:t>
            </w:r>
          </w:p>
        </w:tc>
      </w:tr>
      <w:tr w:rsidR="00A320E6" w14:paraId="3B06A5B9" w14:textId="77777777" w:rsidTr="00621C83">
        <w:trPr>
          <w:trHeight w:val="312"/>
        </w:trPr>
        <w:tc>
          <w:tcPr>
            <w:tcW w:w="384" w:type="pct"/>
            <w:vMerge/>
            <w:vAlign w:val="center"/>
          </w:tcPr>
          <w:p w14:paraId="0295306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06DD40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06CD64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石（砖）水渠、水池</w:t>
            </w:r>
          </w:p>
        </w:tc>
        <w:tc>
          <w:tcPr>
            <w:tcW w:w="1102" w:type="pct"/>
            <w:vAlign w:val="center"/>
          </w:tcPr>
          <w:p w14:paraId="6A64832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80-120元/m</w:t>
            </w:r>
            <w:r>
              <w:rPr>
                <w:rFonts w:ascii="宋体" w:hAnsi="宋体" w:cs="宋体" w:hint="eastAsia"/>
                <w:snapToGrid w:val="0"/>
                <w:color w:val="000000"/>
                <w:kern w:val="0"/>
                <w:szCs w:val="21"/>
                <w:vertAlign w:val="superscript"/>
              </w:rPr>
              <w:t>3</w:t>
            </w:r>
          </w:p>
        </w:tc>
        <w:tc>
          <w:tcPr>
            <w:tcW w:w="1523" w:type="pct"/>
            <w:vMerge/>
            <w:vAlign w:val="center"/>
          </w:tcPr>
          <w:p w14:paraId="2D0885ED" w14:textId="77777777" w:rsidR="00A320E6" w:rsidRDefault="00A320E6" w:rsidP="00AE0286">
            <w:pPr>
              <w:jc w:val="left"/>
              <w:rPr>
                <w:rFonts w:ascii="宋体" w:hAnsi="宋体" w:cs="宋体"/>
                <w:snapToGrid w:val="0"/>
                <w:color w:val="000000"/>
                <w:kern w:val="0"/>
                <w:szCs w:val="21"/>
              </w:rPr>
            </w:pPr>
          </w:p>
        </w:tc>
      </w:tr>
      <w:tr w:rsidR="00A320E6" w14:paraId="5DAC9FF8" w14:textId="77777777" w:rsidTr="00621C83">
        <w:trPr>
          <w:trHeight w:val="312"/>
        </w:trPr>
        <w:tc>
          <w:tcPr>
            <w:tcW w:w="384" w:type="pct"/>
            <w:vMerge w:val="restart"/>
            <w:vAlign w:val="center"/>
          </w:tcPr>
          <w:p w14:paraId="09106EC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11</w:t>
            </w:r>
          </w:p>
        </w:tc>
        <w:tc>
          <w:tcPr>
            <w:tcW w:w="417" w:type="pct"/>
            <w:noWrap/>
            <w:vAlign w:val="center"/>
          </w:tcPr>
          <w:p w14:paraId="567636C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压水井</w:t>
            </w:r>
          </w:p>
        </w:tc>
        <w:tc>
          <w:tcPr>
            <w:tcW w:w="1574" w:type="pct"/>
            <w:vAlign w:val="center"/>
          </w:tcPr>
          <w:p w14:paraId="101F9D5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压水井</w:t>
            </w:r>
          </w:p>
        </w:tc>
        <w:tc>
          <w:tcPr>
            <w:tcW w:w="1102" w:type="pct"/>
            <w:vAlign w:val="center"/>
          </w:tcPr>
          <w:p w14:paraId="27E4364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600-800元/眼</w:t>
            </w:r>
          </w:p>
        </w:tc>
        <w:tc>
          <w:tcPr>
            <w:tcW w:w="1523" w:type="pct"/>
            <w:vMerge w:val="restart"/>
            <w:vAlign w:val="center"/>
          </w:tcPr>
          <w:p w14:paraId="790203B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1、水井包括开凿工程、用料及用工等费用；</w:t>
            </w:r>
          </w:p>
          <w:p w14:paraId="5D54CAA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2、废、枯井按同类井补偿标准30%-50%补偿；</w:t>
            </w:r>
          </w:p>
          <w:p w14:paraId="18F081B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3、对超出合理种植、养殖需求的按照1眼井/亩、棚计算</w:t>
            </w:r>
          </w:p>
        </w:tc>
      </w:tr>
      <w:tr w:rsidR="00A320E6" w14:paraId="5EF04C7D" w14:textId="77777777" w:rsidTr="00621C83">
        <w:trPr>
          <w:trHeight w:val="312"/>
        </w:trPr>
        <w:tc>
          <w:tcPr>
            <w:tcW w:w="384" w:type="pct"/>
            <w:vMerge/>
            <w:vAlign w:val="center"/>
          </w:tcPr>
          <w:p w14:paraId="4281D52B" w14:textId="77777777" w:rsidR="00A320E6" w:rsidRDefault="00A320E6" w:rsidP="00AE0286">
            <w:pPr>
              <w:jc w:val="left"/>
              <w:rPr>
                <w:rFonts w:ascii="宋体" w:hAnsi="宋体" w:cs="宋体"/>
                <w:snapToGrid w:val="0"/>
                <w:color w:val="000000"/>
                <w:kern w:val="0"/>
                <w:szCs w:val="21"/>
              </w:rPr>
            </w:pPr>
          </w:p>
        </w:tc>
        <w:tc>
          <w:tcPr>
            <w:tcW w:w="417" w:type="pct"/>
            <w:vMerge w:val="restart"/>
            <w:vAlign w:val="center"/>
          </w:tcPr>
          <w:p w14:paraId="09DBB7E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水泥下管井</w:t>
            </w:r>
          </w:p>
        </w:tc>
        <w:tc>
          <w:tcPr>
            <w:tcW w:w="1574" w:type="pct"/>
            <w:vAlign w:val="center"/>
          </w:tcPr>
          <w:p w14:paraId="4D2BC8C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直径10-30cm</w:t>
            </w:r>
          </w:p>
        </w:tc>
        <w:tc>
          <w:tcPr>
            <w:tcW w:w="1102" w:type="pct"/>
            <w:vAlign w:val="center"/>
          </w:tcPr>
          <w:p w14:paraId="23C15CC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200-300元/m每眼最高不超过6000元</w:t>
            </w:r>
          </w:p>
        </w:tc>
        <w:tc>
          <w:tcPr>
            <w:tcW w:w="1523" w:type="pct"/>
            <w:vMerge/>
            <w:vAlign w:val="center"/>
          </w:tcPr>
          <w:p w14:paraId="4C11B8ED" w14:textId="77777777" w:rsidR="00A320E6" w:rsidRDefault="00A320E6" w:rsidP="00AE0286">
            <w:pPr>
              <w:jc w:val="left"/>
              <w:rPr>
                <w:rFonts w:ascii="宋体" w:hAnsi="宋体" w:cs="宋体"/>
                <w:snapToGrid w:val="0"/>
                <w:color w:val="000000"/>
                <w:kern w:val="0"/>
                <w:szCs w:val="21"/>
              </w:rPr>
            </w:pPr>
          </w:p>
        </w:tc>
      </w:tr>
      <w:tr w:rsidR="00A320E6" w14:paraId="1A313B2D" w14:textId="77777777" w:rsidTr="00621C83">
        <w:trPr>
          <w:trHeight w:val="312"/>
        </w:trPr>
        <w:tc>
          <w:tcPr>
            <w:tcW w:w="384" w:type="pct"/>
            <w:vMerge/>
            <w:vAlign w:val="center"/>
          </w:tcPr>
          <w:p w14:paraId="43B342E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F1B9766"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08C165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直径30-60cm</w:t>
            </w:r>
          </w:p>
        </w:tc>
        <w:tc>
          <w:tcPr>
            <w:tcW w:w="1102" w:type="pct"/>
            <w:vAlign w:val="center"/>
          </w:tcPr>
          <w:p w14:paraId="494121B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300-400元/m每眼最高不超过8000元</w:t>
            </w:r>
          </w:p>
        </w:tc>
        <w:tc>
          <w:tcPr>
            <w:tcW w:w="1523" w:type="pct"/>
            <w:vMerge/>
            <w:vAlign w:val="center"/>
          </w:tcPr>
          <w:p w14:paraId="62B6CF07" w14:textId="77777777" w:rsidR="00A320E6" w:rsidRDefault="00A320E6" w:rsidP="00AE0286">
            <w:pPr>
              <w:jc w:val="left"/>
              <w:rPr>
                <w:rFonts w:ascii="宋体" w:hAnsi="宋体" w:cs="宋体"/>
                <w:snapToGrid w:val="0"/>
                <w:color w:val="000000"/>
                <w:kern w:val="0"/>
                <w:szCs w:val="21"/>
              </w:rPr>
            </w:pPr>
          </w:p>
        </w:tc>
      </w:tr>
      <w:tr w:rsidR="00A320E6" w14:paraId="3CB6A88D" w14:textId="77777777" w:rsidTr="00621C83">
        <w:trPr>
          <w:trHeight w:val="312"/>
        </w:trPr>
        <w:tc>
          <w:tcPr>
            <w:tcW w:w="384" w:type="pct"/>
            <w:vMerge/>
            <w:vAlign w:val="center"/>
          </w:tcPr>
          <w:p w14:paraId="6DB7FBF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6496182"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82E95F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直径60cm以上</w:t>
            </w:r>
          </w:p>
        </w:tc>
        <w:tc>
          <w:tcPr>
            <w:tcW w:w="1102" w:type="pct"/>
            <w:vAlign w:val="center"/>
          </w:tcPr>
          <w:p w14:paraId="7E3BE11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400-500元/m每眼最高不超过10000元</w:t>
            </w:r>
          </w:p>
        </w:tc>
        <w:tc>
          <w:tcPr>
            <w:tcW w:w="1523" w:type="pct"/>
            <w:vMerge/>
            <w:vAlign w:val="center"/>
          </w:tcPr>
          <w:p w14:paraId="5A384B89" w14:textId="77777777" w:rsidR="00A320E6" w:rsidRDefault="00A320E6" w:rsidP="00AE0286">
            <w:pPr>
              <w:jc w:val="left"/>
              <w:rPr>
                <w:rFonts w:ascii="宋体" w:hAnsi="宋体" w:cs="宋体"/>
                <w:snapToGrid w:val="0"/>
                <w:color w:val="000000"/>
                <w:kern w:val="0"/>
                <w:szCs w:val="21"/>
              </w:rPr>
            </w:pPr>
          </w:p>
        </w:tc>
      </w:tr>
      <w:tr w:rsidR="00A320E6" w14:paraId="33CB07DA" w14:textId="77777777" w:rsidTr="00621C83">
        <w:trPr>
          <w:trHeight w:val="312"/>
        </w:trPr>
        <w:tc>
          <w:tcPr>
            <w:tcW w:w="384" w:type="pct"/>
            <w:vMerge/>
            <w:vAlign w:val="center"/>
          </w:tcPr>
          <w:p w14:paraId="466D04A3" w14:textId="77777777" w:rsidR="00A320E6" w:rsidRDefault="00A320E6" w:rsidP="00AE0286">
            <w:pPr>
              <w:jc w:val="left"/>
              <w:rPr>
                <w:rFonts w:ascii="宋体" w:hAnsi="宋体" w:cs="宋体"/>
                <w:snapToGrid w:val="0"/>
                <w:color w:val="000000"/>
                <w:kern w:val="0"/>
                <w:szCs w:val="21"/>
              </w:rPr>
            </w:pPr>
          </w:p>
        </w:tc>
        <w:tc>
          <w:tcPr>
            <w:tcW w:w="417" w:type="pct"/>
            <w:vAlign w:val="center"/>
          </w:tcPr>
          <w:p w14:paraId="5F57ABC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塑料下管井</w:t>
            </w:r>
          </w:p>
        </w:tc>
        <w:tc>
          <w:tcPr>
            <w:tcW w:w="1574" w:type="pct"/>
            <w:vAlign w:val="center"/>
          </w:tcPr>
          <w:p w14:paraId="4165742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直径10-20cm</w:t>
            </w:r>
          </w:p>
        </w:tc>
        <w:tc>
          <w:tcPr>
            <w:tcW w:w="1102" w:type="pct"/>
            <w:vAlign w:val="center"/>
          </w:tcPr>
          <w:p w14:paraId="6C255F2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150-240元/m每眼最高不超过4000元</w:t>
            </w:r>
          </w:p>
        </w:tc>
        <w:tc>
          <w:tcPr>
            <w:tcW w:w="1523" w:type="pct"/>
            <w:vMerge/>
            <w:vAlign w:val="center"/>
          </w:tcPr>
          <w:p w14:paraId="70C0E982" w14:textId="77777777" w:rsidR="00A320E6" w:rsidRDefault="00A320E6" w:rsidP="00AE0286">
            <w:pPr>
              <w:jc w:val="left"/>
              <w:rPr>
                <w:rFonts w:ascii="宋体" w:hAnsi="宋体" w:cs="宋体"/>
                <w:snapToGrid w:val="0"/>
                <w:color w:val="000000"/>
                <w:kern w:val="0"/>
                <w:szCs w:val="21"/>
              </w:rPr>
            </w:pPr>
          </w:p>
        </w:tc>
      </w:tr>
      <w:tr w:rsidR="00A320E6" w14:paraId="5BF8A33B" w14:textId="77777777" w:rsidTr="00621C83">
        <w:trPr>
          <w:trHeight w:val="312"/>
        </w:trPr>
        <w:tc>
          <w:tcPr>
            <w:tcW w:w="384" w:type="pct"/>
            <w:vMerge/>
            <w:vAlign w:val="center"/>
          </w:tcPr>
          <w:p w14:paraId="0EF91821" w14:textId="77777777" w:rsidR="00A320E6" w:rsidRDefault="00A320E6" w:rsidP="00AE0286">
            <w:pPr>
              <w:jc w:val="left"/>
              <w:rPr>
                <w:rFonts w:ascii="宋体" w:hAnsi="宋体" w:cs="宋体"/>
                <w:snapToGrid w:val="0"/>
                <w:color w:val="000000"/>
                <w:kern w:val="0"/>
                <w:szCs w:val="21"/>
              </w:rPr>
            </w:pPr>
          </w:p>
        </w:tc>
        <w:tc>
          <w:tcPr>
            <w:tcW w:w="417" w:type="pct"/>
            <w:vMerge w:val="restart"/>
            <w:noWrap/>
            <w:vAlign w:val="center"/>
          </w:tcPr>
          <w:p w14:paraId="051F6CF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石砌水井</w:t>
            </w:r>
          </w:p>
        </w:tc>
        <w:tc>
          <w:tcPr>
            <w:tcW w:w="1574" w:type="pct"/>
            <w:vAlign w:val="center"/>
          </w:tcPr>
          <w:p w14:paraId="21A4752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直径1m以下，深5-10m</w:t>
            </w:r>
          </w:p>
        </w:tc>
        <w:tc>
          <w:tcPr>
            <w:tcW w:w="1102" w:type="pct"/>
            <w:vAlign w:val="center"/>
          </w:tcPr>
          <w:p w14:paraId="3D2E69A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1700-2400元/眼</w:t>
            </w:r>
          </w:p>
        </w:tc>
        <w:tc>
          <w:tcPr>
            <w:tcW w:w="1523" w:type="pct"/>
            <w:vMerge/>
            <w:vAlign w:val="center"/>
          </w:tcPr>
          <w:p w14:paraId="3898E0E6" w14:textId="77777777" w:rsidR="00A320E6" w:rsidRDefault="00A320E6" w:rsidP="00AE0286">
            <w:pPr>
              <w:jc w:val="left"/>
              <w:rPr>
                <w:rFonts w:ascii="宋体" w:hAnsi="宋体" w:cs="宋体"/>
                <w:snapToGrid w:val="0"/>
                <w:color w:val="000000"/>
                <w:kern w:val="0"/>
                <w:szCs w:val="21"/>
              </w:rPr>
            </w:pPr>
          </w:p>
        </w:tc>
      </w:tr>
      <w:tr w:rsidR="00A320E6" w14:paraId="7E6B4DA8" w14:textId="77777777" w:rsidTr="00621C83">
        <w:trPr>
          <w:trHeight w:val="312"/>
        </w:trPr>
        <w:tc>
          <w:tcPr>
            <w:tcW w:w="384" w:type="pct"/>
            <w:vMerge/>
            <w:vAlign w:val="center"/>
          </w:tcPr>
          <w:p w14:paraId="6C9AF9CE"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06E38D8"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F87643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直径1m以下，深超过10m</w:t>
            </w:r>
          </w:p>
        </w:tc>
        <w:tc>
          <w:tcPr>
            <w:tcW w:w="1102" w:type="pct"/>
            <w:vAlign w:val="center"/>
          </w:tcPr>
          <w:p w14:paraId="381DC46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2300-3500元/眼</w:t>
            </w:r>
          </w:p>
        </w:tc>
        <w:tc>
          <w:tcPr>
            <w:tcW w:w="1523" w:type="pct"/>
            <w:vMerge/>
            <w:vAlign w:val="center"/>
          </w:tcPr>
          <w:p w14:paraId="6904F657" w14:textId="77777777" w:rsidR="00A320E6" w:rsidRDefault="00A320E6" w:rsidP="00AE0286">
            <w:pPr>
              <w:jc w:val="left"/>
              <w:rPr>
                <w:rFonts w:ascii="宋体" w:hAnsi="宋体" w:cs="宋体"/>
                <w:snapToGrid w:val="0"/>
                <w:color w:val="000000"/>
                <w:kern w:val="0"/>
                <w:szCs w:val="21"/>
              </w:rPr>
            </w:pPr>
          </w:p>
        </w:tc>
      </w:tr>
      <w:tr w:rsidR="00A320E6" w14:paraId="69D68D20" w14:textId="77777777" w:rsidTr="00621C83">
        <w:trPr>
          <w:trHeight w:val="312"/>
        </w:trPr>
        <w:tc>
          <w:tcPr>
            <w:tcW w:w="384" w:type="pct"/>
            <w:vMerge/>
            <w:vAlign w:val="center"/>
          </w:tcPr>
          <w:p w14:paraId="758F0F01"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0C3F85A3"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BF683D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直径1-1.5m，深5-10m</w:t>
            </w:r>
          </w:p>
        </w:tc>
        <w:tc>
          <w:tcPr>
            <w:tcW w:w="1102" w:type="pct"/>
            <w:vAlign w:val="center"/>
          </w:tcPr>
          <w:p w14:paraId="3B2C05A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2300-4000元/眼</w:t>
            </w:r>
          </w:p>
        </w:tc>
        <w:tc>
          <w:tcPr>
            <w:tcW w:w="1523" w:type="pct"/>
            <w:vMerge/>
            <w:vAlign w:val="center"/>
          </w:tcPr>
          <w:p w14:paraId="22E29764" w14:textId="77777777" w:rsidR="00A320E6" w:rsidRDefault="00A320E6" w:rsidP="00AE0286">
            <w:pPr>
              <w:jc w:val="left"/>
              <w:rPr>
                <w:rFonts w:ascii="宋体" w:hAnsi="宋体" w:cs="宋体"/>
                <w:snapToGrid w:val="0"/>
                <w:color w:val="000000"/>
                <w:kern w:val="0"/>
                <w:szCs w:val="21"/>
              </w:rPr>
            </w:pPr>
          </w:p>
        </w:tc>
      </w:tr>
      <w:tr w:rsidR="00A320E6" w14:paraId="7F1CFAE4" w14:textId="77777777" w:rsidTr="00621C83">
        <w:trPr>
          <w:trHeight w:val="312"/>
        </w:trPr>
        <w:tc>
          <w:tcPr>
            <w:tcW w:w="384" w:type="pct"/>
            <w:vMerge/>
            <w:vAlign w:val="center"/>
          </w:tcPr>
          <w:p w14:paraId="66F0EE7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3FA713A"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9D697E8"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直径1-1.5m，深超过10m</w:t>
            </w:r>
          </w:p>
        </w:tc>
        <w:tc>
          <w:tcPr>
            <w:tcW w:w="1102" w:type="pct"/>
            <w:vAlign w:val="center"/>
          </w:tcPr>
          <w:p w14:paraId="388E975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3500-6000元/眼</w:t>
            </w:r>
          </w:p>
        </w:tc>
        <w:tc>
          <w:tcPr>
            <w:tcW w:w="1523" w:type="pct"/>
            <w:vMerge/>
            <w:vAlign w:val="center"/>
          </w:tcPr>
          <w:p w14:paraId="514FD7F7" w14:textId="77777777" w:rsidR="00A320E6" w:rsidRDefault="00A320E6" w:rsidP="00AE0286">
            <w:pPr>
              <w:jc w:val="left"/>
              <w:rPr>
                <w:rFonts w:ascii="宋体" w:hAnsi="宋体" w:cs="宋体"/>
                <w:snapToGrid w:val="0"/>
                <w:color w:val="000000"/>
                <w:kern w:val="0"/>
                <w:szCs w:val="21"/>
              </w:rPr>
            </w:pPr>
          </w:p>
        </w:tc>
      </w:tr>
      <w:tr w:rsidR="00A320E6" w14:paraId="099C0AAA" w14:textId="77777777" w:rsidTr="00621C83">
        <w:trPr>
          <w:trHeight w:val="312"/>
        </w:trPr>
        <w:tc>
          <w:tcPr>
            <w:tcW w:w="384" w:type="pct"/>
            <w:vMerge/>
            <w:vAlign w:val="center"/>
          </w:tcPr>
          <w:p w14:paraId="15D1E6B4"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08C5432"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286BC9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直径1.6-3m，深5-10m</w:t>
            </w:r>
          </w:p>
        </w:tc>
        <w:tc>
          <w:tcPr>
            <w:tcW w:w="1102" w:type="pct"/>
            <w:vAlign w:val="center"/>
          </w:tcPr>
          <w:p w14:paraId="55FE7A3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3000-7500元/眼</w:t>
            </w:r>
          </w:p>
        </w:tc>
        <w:tc>
          <w:tcPr>
            <w:tcW w:w="1523" w:type="pct"/>
            <w:vMerge/>
            <w:vAlign w:val="center"/>
          </w:tcPr>
          <w:p w14:paraId="1EA3B679" w14:textId="77777777" w:rsidR="00A320E6" w:rsidRDefault="00A320E6" w:rsidP="00AE0286">
            <w:pPr>
              <w:jc w:val="left"/>
              <w:rPr>
                <w:rFonts w:ascii="宋体" w:hAnsi="宋体" w:cs="宋体"/>
                <w:snapToGrid w:val="0"/>
                <w:color w:val="000000"/>
                <w:kern w:val="0"/>
                <w:szCs w:val="21"/>
              </w:rPr>
            </w:pPr>
          </w:p>
        </w:tc>
      </w:tr>
      <w:tr w:rsidR="00A320E6" w14:paraId="49A3ADF8" w14:textId="77777777" w:rsidTr="00621C83">
        <w:trPr>
          <w:trHeight w:val="312"/>
        </w:trPr>
        <w:tc>
          <w:tcPr>
            <w:tcW w:w="384" w:type="pct"/>
            <w:vMerge/>
            <w:vAlign w:val="center"/>
          </w:tcPr>
          <w:p w14:paraId="4251D2E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814DC2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34DD3A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直径1.6-3m，深超过10m</w:t>
            </w:r>
          </w:p>
        </w:tc>
        <w:tc>
          <w:tcPr>
            <w:tcW w:w="1102" w:type="pct"/>
            <w:vAlign w:val="center"/>
          </w:tcPr>
          <w:p w14:paraId="4BBC81B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5000-12000元/眼</w:t>
            </w:r>
          </w:p>
        </w:tc>
        <w:tc>
          <w:tcPr>
            <w:tcW w:w="1523" w:type="pct"/>
            <w:vMerge/>
            <w:vAlign w:val="center"/>
          </w:tcPr>
          <w:p w14:paraId="19C8DBC4" w14:textId="77777777" w:rsidR="00A320E6" w:rsidRDefault="00A320E6" w:rsidP="00AE0286">
            <w:pPr>
              <w:jc w:val="left"/>
              <w:rPr>
                <w:rFonts w:ascii="宋体" w:hAnsi="宋体" w:cs="宋体"/>
                <w:snapToGrid w:val="0"/>
                <w:color w:val="000000"/>
                <w:kern w:val="0"/>
                <w:szCs w:val="21"/>
              </w:rPr>
            </w:pPr>
          </w:p>
        </w:tc>
      </w:tr>
      <w:tr w:rsidR="00A320E6" w14:paraId="50DC4B91" w14:textId="77777777" w:rsidTr="00621C83">
        <w:trPr>
          <w:trHeight w:val="312"/>
        </w:trPr>
        <w:tc>
          <w:tcPr>
            <w:tcW w:w="384" w:type="pct"/>
            <w:vMerge w:val="restart"/>
            <w:vAlign w:val="center"/>
          </w:tcPr>
          <w:p w14:paraId="2755CCA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w:t>
            </w:r>
          </w:p>
        </w:tc>
        <w:tc>
          <w:tcPr>
            <w:tcW w:w="417" w:type="pct"/>
            <w:vMerge w:val="restart"/>
            <w:noWrap/>
            <w:vAlign w:val="center"/>
          </w:tcPr>
          <w:p w14:paraId="2199CA9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鱼塘</w:t>
            </w:r>
          </w:p>
        </w:tc>
        <w:tc>
          <w:tcPr>
            <w:tcW w:w="1574" w:type="pct"/>
            <w:vAlign w:val="center"/>
          </w:tcPr>
          <w:p w14:paraId="23FCB54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淡水养殖</w:t>
            </w:r>
          </w:p>
        </w:tc>
        <w:tc>
          <w:tcPr>
            <w:tcW w:w="1102" w:type="pct"/>
            <w:vAlign w:val="center"/>
          </w:tcPr>
          <w:p w14:paraId="30C2484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9000-20000元/亩</w:t>
            </w:r>
          </w:p>
        </w:tc>
        <w:tc>
          <w:tcPr>
            <w:tcW w:w="1523" w:type="pct"/>
            <w:vMerge w:val="restart"/>
            <w:vAlign w:val="center"/>
          </w:tcPr>
          <w:p w14:paraId="285B47C0"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含土石方工程及鱼苗损失费，鱼归原主</w:t>
            </w:r>
          </w:p>
        </w:tc>
      </w:tr>
      <w:tr w:rsidR="00A320E6" w14:paraId="50D8610C" w14:textId="77777777" w:rsidTr="00621C83">
        <w:trPr>
          <w:trHeight w:val="312"/>
        </w:trPr>
        <w:tc>
          <w:tcPr>
            <w:tcW w:w="384" w:type="pct"/>
            <w:vMerge/>
            <w:vAlign w:val="center"/>
          </w:tcPr>
          <w:p w14:paraId="2E4BEA1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15F79B3"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36CC949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海水养殖</w:t>
            </w:r>
          </w:p>
        </w:tc>
        <w:tc>
          <w:tcPr>
            <w:tcW w:w="1102" w:type="pct"/>
            <w:vAlign w:val="center"/>
          </w:tcPr>
          <w:p w14:paraId="616DCA36" w14:textId="77777777" w:rsidR="00A320E6" w:rsidRDefault="00000000" w:rsidP="00AE0286">
            <w:pPr>
              <w:rPr>
                <w:rFonts w:ascii="宋体" w:hAnsi="宋体" w:cs="宋体"/>
                <w:snapToGrid w:val="0"/>
                <w:color w:val="000000"/>
                <w:kern w:val="0"/>
                <w:szCs w:val="21"/>
              </w:rPr>
            </w:pPr>
            <w:r>
              <w:rPr>
                <w:rFonts w:ascii="宋体" w:hAnsi="宋体" w:cs="宋体" w:hint="eastAsia"/>
                <w:snapToGrid w:val="0"/>
                <w:color w:val="000000"/>
                <w:kern w:val="0"/>
                <w:szCs w:val="21"/>
              </w:rPr>
              <w:t>12000-22000元/亩</w:t>
            </w:r>
          </w:p>
        </w:tc>
        <w:tc>
          <w:tcPr>
            <w:tcW w:w="1523" w:type="pct"/>
            <w:vMerge/>
            <w:vAlign w:val="center"/>
          </w:tcPr>
          <w:p w14:paraId="4BF35388" w14:textId="77777777" w:rsidR="00A320E6" w:rsidRDefault="00A320E6" w:rsidP="00AE0286">
            <w:pPr>
              <w:jc w:val="left"/>
              <w:rPr>
                <w:rFonts w:ascii="宋体" w:hAnsi="宋体" w:cs="宋体"/>
                <w:snapToGrid w:val="0"/>
                <w:color w:val="000000"/>
                <w:kern w:val="0"/>
                <w:szCs w:val="21"/>
              </w:rPr>
            </w:pPr>
          </w:p>
        </w:tc>
      </w:tr>
      <w:tr w:rsidR="00A320E6" w14:paraId="6E36CDED" w14:textId="77777777" w:rsidTr="00621C83">
        <w:trPr>
          <w:trHeight w:val="312"/>
        </w:trPr>
        <w:tc>
          <w:tcPr>
            <w:tcW w:w="384" w:type="pct"/>
            <w:vMerge/>
            <w:vAlign w:val="center"/>
          </w:tcPr>
          <w:p w14:paraId="180FDEA1" w14:textId="77777777" w:rsidR="00A320E6" w:rsidRDefault="00A320E6" w:rsidP="00AE0286">
            <w:pPr>
              <w:jc w:val="left"/>
              <w:rPr>
                <w:rFonts w:ascii="宋体" w:hAnsi="宋体" w:cs="宋体"/>
                <w:snapToGrid w:val="0"/>
                <w:color w:val="000000"/>
                <w:kern w:val="0"/>
                <w:szCs w:val="21"/>
              </w:rPr>
            </w:pPr>
          </w:p>
        </w:tc>
        <w:tc>
          <w:tcPr>
            <w:tcW w:w="417" w:type="pct"/>
            <w:noWrap/>
            <w:vAlign w:val="center"/>
          </w:tcPr>
          <w:p w14:paraId="33DC951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藕塘</w:t>
            </w:r>
          </w:p>
        </w:tc>
        <w:tc>
          <w:tcPr>
            <w:tcW w:w="1574" w:type="pct"/>
            <w:vAlign w:val="center"/>
          </w:tcPr>
          <w:p w14:paraId="30505B9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藕塘</w:t>
            </w:r>
          </w:p>
        </w:tc>
        <w:tc>
          <w:tcPr>
            <w:tcW w:w="1102" w:type="pct"/>
            <w:vAlign w:val="center"/>
          </w:tcPr>
          <w:p w14:paraId="15D6673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9000-20000元/亩</w:t>
            </w:r>
          </w:p>
        </w:tc>
        <w:tc>
          <w:tcPr>
            <w:tcW w:w="1523" w:type="pct"/>
            <w:vAlign w:val="center"/>
          </w:tcPr>
          <w:p w14:paraId="5D42FED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含土石方工程及藕苗损失费，藕归原主</w:t>
            </w:r>
          </w:p>
        </w:tc>
      </w:tr>
      <w:tr w:rsidR="00A320E6" w14:paraId="541AA25E" w14:textId="77777777" w:rsidTr="00621C83">
        <w:trPr>
          <w:trHeight w:val="312"/>
        </w:trPr>
        <w:tc>
          <w:tcPr>
            <w:tcW w:w="384" w:type="pct"/>
            <w:vMerge/>
            <w:vAlign w:val="center"/>
          </w:tcPr>
          <w:p w14:paraId="4786DECE" w14:textId="77777777" w:rsidR="00A320E6" w:rsidRDefault="00A320E6" w:rsidP="00AE0286">
            <w:pPr>
              <w:jc w:val="left"/>
              <w:rPr>
                <w:rFonts w:ascii="宋体" w:hAnsi="宋体" w:cs="宋体"/>
                <w:snapToGrid w:val="0"/>
                <w:color w:val="000000"/>
                <w:kern w:val="0"/>
                <w:szCs w:val="21"/>
              </w:rPr>
            </w:pPr>
          </w:p>
        </w:tc>
        <w:tc>
          <w:tcPr>
            <w:tcW w:w="417" w:type="pct"/>
            <w:noWrap/>
            <w:vAlign w:val="center"/>
          </w:tcPr>
          <w:p w14:paraId="1C1E594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汪塘</w:t>
            </w:r>
          </w:p>
        </w:tc>
        <w:tc>
          <w:tcPr>
            <w:tcW w:w="1574" w:type="pct"/>
            <w:vAlign w:val="center"/>
          </w:tcPr>
          <w:p w14:paraId="5353EDD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汪塘</w:t>
            </w:r>
          </w:p>
        </w:tc>
        <w:tc>
          <w:tcPr>
            <w:tcW w:w="1102" w:type="pct"/>
            <w:vAlign w:val="center"/>
          </w:tcPr>
          <w:p w14:paraId="55D7D39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8-14元/m³</w:t>
            </w:r>
          </w:p>
        </w:tc>
        <w:tc>
          <w:tcPr>
            <w:tcW w:w="1523" w:type="pct"/>
            <w:vAlign w:val="center"/>
          </w:tcPr>
          <w:p w14:paraId="53DCAE6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 xml:space="preserve">　</w:t>
            </w:r>
          </w:p>
        </w:tc>
      </w:tr>
      <w:tr w:rsidR="00A320E6" w14:paraId="14402E3A" w14:textId="77777777" w:rsidTr="00621C83">
        <w:trPr>
          <w:trHeight w:val="312"/>
        </w:trPr>
        <w:tc>
          <w:tcPr>
            <w:tcW w:w="384" w:type="pct"/>
            <w:vMerge w:val="restart"/>
            <w:vAlign w:val="center"/>
          </w:tcPr>
          <w:p w14:paraId="1CD3D5E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13</w:t>
            </w:r>
          </w:p>
        </w:tc>
        <w:tc>
          <w:tcPr>
            <w:tcW w:w="417" w:type="pct"/>
            <w:vMerge w:val="restart"/>
            <w:vAlign w:val="center"/>
          </w:tcPr>
          <w:p w14:paraId="05C1CC06"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坟墓</w:t>
            </w:r>
          </w:p>
        </w:tc>
        <w:tc>
          <w:tcPr>
            <w:tcW w:w="1574" w:type="pct"/>
            <w:vAlign w:val="center"/>
          </w:tcPr>
          <w:p w14:paraId="76BCB22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单棺</w:t>
            </w:r>
          </w:p>
        </w:tc>
        <w:tc>
          <w:tcPr>
            <w:tcW w:w="1102" w:type="pct"/>
            <w:vAlign w:val="center"/>
          </w:tcPr>
          <w:p w14:paraId="400AA5C8"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2000元/座</w:t>
            </w:r>
          </w:p>
        </w:tc>
        <w:tc>
          <w:tcPr>
            <w:tcW w:w="1523" w:type="pct"/>
            <w:vMerge w:val="restart"/>
            <w:vAlign w:val="center"/>
          </w:tcPr>
          <w:p w14:paraId="7386C4F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包括迁葬及工料费等费用</w:t>
            </w:r>
          </w:p>
        </w:tc>
      </w:tr>
      <w:tr w:rsidR="00A320E6" w14:paraId="75711080" w14:textId="77777777" w:rsidTr="00621C83">
        <w:trPr>
          <w:trHeight w:val="312"/>
        </w:trPr>
        <w:tc>
          <w:tcPr>
            <w:tcW w:w="384" w:type="pct"/>
            <w:vMerge/>
            <w:vAlign w:val="center"/>
          </w:tcPr>
          <w:p w14:paraId="7D3A148C"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83348E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27FA9B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双棺</w:t>
            </w:r>
          </w:p>
        </w:tc>
        <w:tc>
          <w:tcPr>
            <w:tcW w:w="1102" w:type="pct"/>
            <w:vAlign w:val="center"/>
          </w:tcPr>
          <w:p w14:paraId="169DCFD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2000元/座</w:t>
            </w:r>
          </w:p>
        </w:tc>
        <w:tc>
          <w:tcPr>
            <w:tcW w:w="1523" w:type="pct"/>
            <w:vMerge/>
            <w:vAlign w:val="center"/>
          </w:tcPr>
          <w:p w14:paraId="3F3BD542" w14:textId="77777777" w:rsidR="00A320E6" w:rsidRDefault="00A320E6" w:rsidP="00AE0286">
            <w:pPr>
              <w:jc w:val="left"/>
              <w:rPr>
                <w:rFonts w:ascii="宋体" w:hAnsi="宋体" w:cs="宋体"/>
                <w:snapToGrid w:val="0"/>
                <w:color w:val="000000"/>
                <w:kern w:val="0"/>
                <w:szCs w:val="21"/>
              </w:rPr>
            </w:pPr>
          </w:p>
        </w:tc>
      </w:tr>
      <w:tr w:rsidR="00A320E6" w14:paraId="0DEE7226" w14:textId="77777777" w:rsidTr="00621C83">
        <w:trPr>
          <w:trHeight w:val="312"/>
        </w:trPr>
        <w:tc>
          <w:tcPr>
            <w:tcW w:w="384" w:type="pct"/>
            <w:vMerge w:val="restart"/>
            <w:vAlign w:val="center"/>
          </w:tcPr>
          <w:p w14:paraId="0D93024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14</w:t>
            </w:r>
          </w:p>
        </w:tc>
        <w:tc>
          <w:tcPr>
            <w:tcW w:w="417" w:type="pct"/>
            <w:vMerge w:val="restart"/>
            <w:noWrap/>
            <w:vAlign w:val="center"/>
          </w:tcPr>
          <w:p w14:paraId="5BCC0AE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电力通讯线杆</w:t>
            </w:r>
          </w:p>
        </w:tc>
        <w:tc>
          <w:tcPr>
            <w:tcW w:w="1574" w:type="pct"/>
            <w:vAlign w:val="center"/>
          </w:tcPr>
          <w:p w14:paraId="3DCC26D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低压水泥线杆</w:t>
            </w:r>
          </w:p>
        </w:tc>
        <w:tc>
          <w:tcPr>
            <w:tcW w:w="1102" w:type="pct"/>
            <w:vAlign w:val="center"/>
          </w:tcPr>
          <w:p w14:paraId="5BFA48B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1800-2400元/杆</w:t>
            </w:r>
          </w:p>
        </w:tc>
        <w:tc>
          <w:tcPr>
            <w:tcW w:w="1523" w:type="pct"/>
            <w:vMerge w:val="restart"/>
            <w:vAlign w:val="center"/>
          </w:tcPr>
          <w:p w14:paraId="2BC55D9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1、包括电线等材料损失及拆建工费，已废弃的线杆不予补偿；</w:t>
            </w:r>
          </w:p>
          <w:p w14:paraId="4DA35486"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2、非合理架设（无电力部门相关</w:t>
            </w:r>
            <w:r>
              <w:rPr>
                <w:rFonts w:ascii="宋体" w:hAnsi="宋体" w:cs="宋体" w:hint="eastAsia"/>
                <w:snapToGrid w:val="0"/>
                <w:color w:val="000000"/>
                <w:spacing w:val="-16"/>
                <w:kern w:val="0"/>
                <w:szCs w:val="21"/>
              </w:rPr>
              <w:t>审批材料）不予补偿</w:t>
            </w:r>
          </w:p>
        </w:tc>
      </w:tr>
      <w:tr w:rsidR="00A320E6" w14:paraId="58DF4634" w14:textId="77777777" w:rsidTr="00621C83">
        <w:trPr>
          <w:trHeight w:val="312"/>
        </w:trPr>
        <w:tc>
          <w:tcPr>
            <w:tcW w:w="384" w:type="pct"/>
            <w:vMerge/>
            <w:vAlign w:val="center"/>
          </w:tcPr>
          <w:p w14:paraId="0F9DCAA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37396D9"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746ECF2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通讯广播线路</w:t>
            </w:r>
          </w:p>
        </w:tc>
        <w:tc>
          <w:tcPr>
            <w:tcW w:w="1102" w:type="pct"/>
            <w:vAlign w:val="center"/>
          </w:tcPr>
          <w:p w14:paraId="5A0F1B6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1800-2400元/杆</w:t>
            </w:r>
          </w:p>
        </w:tc>
        <w:tc>
          <w:tcPr>
            <w:tcW w:w="1523" w:type="pct"/>
            <w:vMerge/>
            <w:vAlign w:val="center"/>
          </w:tcPr>
          <w:p w14:paraId="109C57C1" w14:textId="77777777" w:rsidR="00A320E6" w:rsidRDefault="00A320E6" w:rsidP="00AE0286">
            <w:pPr>
              <w:jc w:val="left"/>
              <w:rPr>
                <w:rFonts w:ascii="宋体" w:hAnsi="宋体" w:cs="宋体"/>
                <w:snapToGrid w:val="0"/>
                <w:color w:val="000000"/>
                <w:kern w:val="0"/>
                <w:szCs w:val="21"/>
              </w:rPr>
            </w:pPr>
          </w:p>
        </w:tc>
      </w:tr>
      <w:tr w:rsidR="00A320E6" w14:paraId="033DC8F0" w14:textId="77777777" w:rsidTr="00621C83">
        <w:trPr>
          <w:trHeight w:val="312"/>
        </w:trPr>
        <w:tc>
          <w:tcPr>
            <w:tcW w:w="384" w:type="pct"/>
            <w:vMerge/>
            <w:vAlign w:val="center"/>
          </w:tcPr>
          <w:p w14:paraId="0895107C"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9A6257C"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5F8E7F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照明木线杆</w:t>
            </w:r>
          </w:p>
        </w:tc>
        <w:tc>
          <w:tcPr>
            <w:tcW w:w="1102" w:type="pct"/>
            <w:vAlign w:val="center"/>
          </w:tcPr>
          <w:p w14:paraId="48E84B2B"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120-180元/杆</w:t>
            </w:r>
          </w:p>
        </w:tc>
        <w:tc>
          <w:tcPr>
            <w:tcW w:w="1523" w:type="pct"/>
            <w:vMerge/>
            <w:vAlign w:val="center"/>
          </w:tcPr>
          <w:p w14:paraId="1298994D" w14:textId="77777777" w:rsidR="00A320E6" w:rsidRDefault="00A320E6" w:rsidP="00AE0286">
            <w:pPr>
              <w:jc w:val="left"/>
              <w:rPr>
                <w:rFonts w:ascii="宋体" w:hAnsi="宋体" w:cs="宋体"/>
                <w:snapToGrid w:val="0"/>
                <w:color w:val="000000"/>
                <w:kern w:val="0"/>
                <w:szCs w:val="21"/>
              </w:rPr>
            </w:pPr>
          </w:p>
        </w:tc>
      </w:tr>
      <w:tr w:rsidR="00A320E6" w14:paraId="3F601E06" w14:textId="77777777" w:rsidTr="00621C83">
        <w:trPr>
          <w:trHeight w:val="312"/>
        </w:trPr>
        <w:tc>
          <w:tcPr>
            <w:tcW w:w="384" w:type="pct"/>
            <w:vMerge w:val="restart"/>
            <w:vAlign w:val="center"/>
          </w:tcPr>
          <w:p w14:paraId="745247D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w:t>
            </w:r>
          </w:p>
        </w:tc>
        <w:tc>
          <w:tcPr>
            <w:tcW w:w="417" w:type="pct"/>
            <w:vMerge w:val="restart"/>
            <w:noWrap/>
            <w:vAlign w:val="center"/>
          </w:tcPr>
          <w:p w14:paraId="139C280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乔木</w:t>
            </w:r>
          </w:p>
        </w:tc>
        <w:tc>
          <w:tcPr>
            <w:tcW w:w="1574" w:type="pct"/>
            <w:vAlign w:val="center"/>
          </w:tcPr>
          <w:p w14:paraId="68B97D2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胸径小于3cm</w:t>
            </w:r>
          </w:p>
        </w:tc>
        <w:tc>
          <w:tcPr>
            <w:tcW w:w="1102" w:type="pct"/>
            <w:vAlign w:val="center"/>
          </w:tcPr>
          <w:p w14:paraId="2F03E3E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4-10元/棵</w:t>
            </w:r>
          </w:p>
        </w:tc>
        <w:tc>
          <w:tcPr>
            <w:tcW w:w="1523" w:type="pct"/>
            <w:vMerge w:val="restart"/>
            <w:vAlign w:val="center"/>
          </w:tcPr>
          <w:p w14:paraId="434A72A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1、指用材林种，沿海防护林基干林带、山丘地区防护林乔木补偿标准可提高40%-60%，特种用途林树木价格另议；</w:t>
            </w:r>
          </w:p>
          <w:p w14:paraId="1A1E305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2、树归原主；</w:t>
            </w:r>
          </w:p>
          <w:p w14:paraId="1330424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3、乔木根据科学合理栽植的原则，每亩不超过110棵，超出部分不予补偿；</w:t>
            </w:r>
          </w:p>
          <w:p w14:paraId="3D6AA59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4、经济、观赏、绿化类等特殊树种由园林部门根据实际情况认定，补偿标准可委托有资质的机构评估或认证</w:t>
            </w:r>
          </w:p>
        </w:tc>
      </w:tr>
      <w:tr w:rsidR="00A320E6" w14:paraId="74099C3C" w14:textId="77777777" w:rsidTr="00621C83">
        <w:trPr>
          <w:trHeight w:val="312"/>
        </w:trPr>
        <w:tc>
          <w:tcPr>
            <w:tcW w:w="384" w:type="pct"/>
            <w:vMerge/>
            <w:vAlign w:val="center"/>
          </w:tcPr>
          <w:p w14:paraId="656CA98A"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14B0F96A"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45D08A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胸径3-5cm(松柏小于3cm)</w:t>
            </w:r>
          </w:p>
        </w:tc>
        <w:tc>
          <w:tcPr>
            <w:tcW w:w="1102" w:type="pct"/>
            <w:vAlign w:val="center"/>
          </w:tcPr>
          <w:p w14:paraId="60221B3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15-50元/棵</w:t>
            </w:r>
          </w:p>
        </w:tc>
        <w:tc>
          <w:tcPr>
            <w:tcW w:w="1523" w:type="pct"/>
            <w:vMerge/>
            <w:vAlign w:val="center"/>
          </w:tcPr>
          <w:p w14:paraId="177B6620" w14:textId="77777777" w:rsidR="00A320E6" w:rsidRDefault="00A320E6" w:rsidP="00AE0286">
            <w:pPr>
              <w:jc w:val="left"/>
              <w:rPr>
                <w:rFonts w:ascii="宋体" w:hAnsi="宋体" w:cs="宋体"/>
                <w:snapToGrid w:val="0"/>
                <w:color w:val="000000"/>
                <w:kern w:val="0"/>
                <w:szCs w:val="21"/>
              </w:rPr>
            </w:pPr>
          </w:p>
        </w:tc>
      </w:tr>
      <w:tr w:rsidR="00A320E6" w14:paraId="68488EFC" w14:textId="77777777" w:rsidTr="00621C83">
        <w:trPr>
          <w:trHeight w:val="312"/>
        </w:trPr>
        <w:tc>
          <w:tcPr>
            <w:tcW w:w="384" w:type="pct"/>
            <w:vMerge/>
            <w:vAlign w:val="center"/>
          </w:tcPr>
          <w:p w14:paraId="2FBB95FF"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A761634"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F3E9611"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胸径5-10cm(松柏3-6cm)</w:t>
            </w:r>
          </w:p>
        </w:tc>
        <w:tc>
          <w:tcPr>
            <w:tcW w:w="1102" w:type="pct"/>
            <w:vAlign w:val="center"/>
          </w:tcPr>
          <w:p w14:paraId="0F0FE77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50-60元/棵</w:t>
            </w:r>
          </w:p>
        </w:tc>
        <w:tc>
          <w:tcPr>
            <w:tcW w:w="1523" w:type="pct"/>
            <w:vMerge/>
            <w:vAlign w:val="center"/>
          </w:tcPr>
          <w:p w14:paraId="702F792C" w14:textId="77777777" w:rsidR="00A320E6" w:rsidRDefault="00A320E6" w:rsidP="00AE0286">
            <w:pPr>
              <w:jc w:val="left"/>
              <w:rPr>
                <w:rFonts w:ascii="宋体" w:hAnsi="宋体" w:cs="宋体"/>
                <w:snapToGrid w:val="0"/>
                <w:color w:val="000000"/>
                <w:kern w:val="0"/>
                <w:szCs w:val="21"/>
              </w:rPr>
            </w:pPr>
          </w:p>
        </w:tc>
      </w:tr>
      <w:tr w:rsidR="00A320E6" w14:paraId="39E8188C" w14:textId="77777777" w:rsidTr="00621C83">
        <w:trPr>
          <w:trHeight w:val="312"/>
        </w:trPr>
        <w:tc>
          <w:tcPr>
            <w:tcW w:w="384" w:type="pct"/>
            <w:vMerge/>
            <w:vAlign w:val="center"/>
          </w:tcPr>
          <w:p w14:paraId="42A23915"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474A4CE"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69E36C4B"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胸径10-20cm（松柏6-10cm）</w:t>
            </w:r>
          </w:p>
        </w:tc>
        <w:tc>
          <w:tcPr>
            <w:tcW w:w="1102" w:type="pct"/>
            <w:vAlign w:val="center"/>
          </w:tcPr>
          <w:p w14:paraId="54BE63F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70-80元/棵</w:t>
            </w:r>
          </w:p>
        </w:tc>
        <w:tc>
          <w:tcPr>
            <w:tcW w:w="1523" w:type="pct"/>
            <w:vMerge/>
            <w:vAlign w:val="center"/>
          </w:tcPr>
          <w:p w14:paraId="270D0791" w14:textId="77777777" w:rsidR="00A320E6" w:rsidRDefault="00A320E6" w:rsidP="00AE0286">
            <w:pPr>
              <w:jc w:val="left"/>
              <w:rPr>
                <w:rFonts w:ascii="宋体" w:hAnsi="宋体" w:cs="宋体"/>
                <w:snapToGrid w:val="0"/>
                <w:color w:val="000000"/>
                <w:kern w:val="0"/>
                <w:szCs w:val="21"/>
              </w:rPr>
            </w:pPr>
          </w:p>
        </w:tc>
      </w:tr>
      <w:tr w:rsidR="00A320E6" w14:paraId="46238DD9" w14:textId="77777777" w:rsidTr="00621C83">
        <w:trPr>
          <w:trHeight w:val="312"/>
        </w:trPr>
        <w:tc>
          <w:tcPr>
            <w:tcW w:w="384" w:type="pct"/>
            <w:vMerge/>
            <w:vAlign w:val="center"/>
          </w:tcPr>
          <w:p w14:paraId="180288A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44147AF"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4767D65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胸径大于20cm（松柏大于10cm）</w:t>
            </w:r>
          </w:p>
        </w:tc>
        <w:tc>
          <w:tcPr>
            <w:tcW w:w="1102" w:type="pct"/>
            <w:vAlign w:val="center"/>
          </w:tcPr>
          <w:p w14:paraId="7595E82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90元/棵</w:t>
            </w:r>
          </w:p>
        </w:tc>
        <w:tc>
          <w:tcPr>
            <w:tcW w:w="1523" w:type="pct"/>
            <w:vMerge/>
            <w:vAlign w:val="center"/>
          </w:tcPr>
          <w:p w14:paraId="12F7C3E9" w14:textId="77777777" w:rsidR="00A320E6" w:rsidRDefault="00A320E6" w:rsidP="00AE0286">
            <w:pPr>
              <w:jc w:val="left"/>
              <w:rPr>
                <w:rFonts w:ascii="宋体" w:hAnsi="宋体" w:cs="宋体"/>
                <w:snapToGrid w:val="0"/>
                <w:color w:val="000000"/>
                <w:kern w:val="0"/>
                <w:szCs w:val="21"/>
              </w:rPr>
            </w:pPr>
          </w:p>
        </w:tc>
      </w:tr>
      <w:tr w:rsidR="00A320E6" w14:paraId="0A4D5B3F" w14:textId="77777777" w:rsidTr="00621C83">
        <w:trPr>
          <w:trHeight w:val="312"/>
        </w:trPr>
        <w:tc>
          <w:tcPr>
            <w:tcW w:w="384" w:type="pct"/>
            <w:vAlign w:val="center"/>
          </w:tcPr>
          <w:p w14:paraId="5D058D4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16</w:t>
            </w:r>
          </w:p>
        </w:tc>
        <w:tc>
          <w:tcPr>
            <w:tcW w:w="417" w:type="pct"/>
            <w:noWrap/>
            <w:vAlign w:val="center"/>
          </w:tcPr>
          <w:p w14:paraId="3908E52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灌木</w:t>
            </w:r>
          </w:p>
        </w:tc>
        <w:tc>
          <w:tcPr>
            <w:tcW w:w="1574" w:type="pct"/>
            <w:vAlign w:val="center"/>
          </w:tcPr>
          <w:p w14:paraId="254B201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灌木</w:t>
            </w:r>
          </w:p>
        </w:tc>
        <w:tc>
          <w:tcPr>
            <w:tcW w:w="1102" w:type="pct"/>
            <w:vAlign w:val="center"/>
          </w:tcPr>
          <w:p w14:paraId="4E1C05C6"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6-10元/墩</w:t>
            </w:r>
          </w:p>
        </w:tc>
        <w:tc>
          <w:tcPr>
            <w:tcW w:w="1523" w:type="pct"/>
            <w:vAlign w:val="center"/>
          </w:tcPr>
          <w:p w14:paraId="241665D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每墩出条数按10-20根计算</w:t>
            </w:r>
          </w:p>
        </w:tc>
      </w:tr>
      <w:tr w:rsidR="00A320E6" w14:paraId="135DBBFC" w14:textId="77777777" w:rsidTr="00621C83">
        <w:trPr>
          <w:trHeight w:val="312"/>
        </w:trPr>
        <w:tc>
          <w:tcPr>
            <w:tcW w:w="384" w:type="pct"/>
            <w:vAlign w:val="center"/>
          </w:tcPr>
          <w:p w14:paraId="54B2429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17</w:t>
            </w:r>
          </w:p>
        </w:tc>
        <w:tc>
          <w:tcPr>
            <w:tcW w:w="417" w:type="pct"/>
            <w:noWrap/>
            <w:vAlign w:val="center"/>
          </w:tcPr>
          <w:p w14:paraId="55B0CE3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竹园</w:t>
            </w:r>
          </w:p>
        </w:tc>
        <w:tc>
          <w:tcPr>
            <w:tcW w:w="1574" w:type="pct"/>
            <w:vAlign w:val="center"/>
          </w:tcPr>
          <w:p w14:paraId="7AE381B2"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竹园</w:t>
            </w:r>
          </w:p>
        </w:tc>
        <w:tc>
          <w:tcPr>
            <w:tcW w:w="1102" w:type="pct"/>
            <w:vAlign w:val="center"/>
          </w:tcPr>
          <w:p w14:paraId="04F37D9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6000-14000元/亩</w:t>
            </w:r>
          </w:p>
        </w:tc>
        <w:tc>
          <w:tcPr>
            <w:tcW w:w="1523" w:type="pct"/>
            <w:vMerge w:val="restart"/>
            <w:vAlign w:val="center"/>
          </w:tcPr>
          <w:p w14:paraId="0C25709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 xml:space="preserve">　</w:t>
            </w:r>
          </w:p>
        </w:tc>
      </w:tr>
      <w:tr w:rsidR="00A320E6" w14:paraId="07423F33" w14:textId="77777777" w:rsidTr="00621C83">
        <w:trPr>
          <w:trHeight w:val="312"/>
        </w:trPr>
        <w:tc>
          <w:tcPr>
            <w:tcW w:w="384" w:type="pct"/>
            <w:vAlign w:val="center"/>
          </w:tcPr>
          <w:p w14:paraId="0E01659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18</w:t>
            </w:r>
          </w:p>
        </w:tc>
        <w:tc>
          <w:tcPr>
            <w:tcW w:w="417" w:type="pct"/>
            <w:noWrap/>
            <w:vAlign w:val="center"/>
          </w:tcPr>
          <w:p w14:paraId="66A286A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桑园</w:t>
            </w:r>
          </w:p>
        </w:tc>
        <w:tc>
          <w:tcPr>
            <w:tcW w:w="1574" w:type="pct"/>
            <w:vAlign w:val="center"/>
          </w:tcPr>
          <w:p w14:paraId="04139A3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桑园</w:t>
            </w:r>
          </w:p>
        </w:tc>
        <w:tc>
          <w:tcPr>
            <w:tcW w:w="1102" w:type="pct"/>
            <w:vAlign w:val="center"/>
          </w:tcPr>
          <w:p w14:paraId="7F11087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5000-12000元/亩</w:t>
            </w:r>
          </w:p>
        </w:tc>
        <w:tc>
          <w:tcPr>
            <w:tcW w:w="1523" w:type="pct"/>
            <w:vMerge/>
            <w:vAlign w:val="center"/>
          </w:tcPr>
          <w:p w14:paraId="4B7FF762" w14:textId="77777777" w:rsidR="00A320E6" w:rsidRDefault="00A320E6" w:rsidP="00AE0286">
            <w:pPr>
              <w:jc w:val="left"/>
              <w:rPr>
                <w:rFonts w:ascii="宋体" w:hAnsi="宋体" w:cs="宋体"/>
                <w:snapToGrid w:val="0"/>
                <w:color w:val="000000"/>
                <w:kern w:val="0"/>
                <w:szCs w:val="21"/>
              </w:rPr>
            </w:pPr>
          </w:p>
        </w:tc>
      </w:tr>
      <w:tr w:rsidR="00A320E6" w14:paraId="2BEFFC78" w14:textId="77777777" w:rsidTr="00621C83">
        <w:trPr>
          <w:trHeight w:val="312"/>
        </w:trPr>
        <w:tc>
          <w:tcPr>
            <w:tcW w:w="384" w:type="pct"/>
            <w:vAlign w:val="center"/>
          </w:tcPr>
          <w:p w14:paraId="137F3DC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19</w:t>
            </w:r>
          </w:p>
        </w:tc>
        <w:tc>
          <w:tcPr>
            <w:tcW w:w="417" w:type="pct"/>
            <w:noWrap/>
            <w:vAlign w:val="center"/>
          </w:tcPr>
          <w:p w14:paraId="1371C241"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茶园</w:t>
            </w:r>
          </w:p>
        </w:tc>
        <w:tc>
          <w:tcPr>
            <w:tcW w:w="1574" w:type="pct"/>
            <w:vAlign w:val="center"/>
          </w:tcPr>
          <w:p w14:paraId="0E35EB9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茶园</w:t>
            </w:r>
          </w:p>
        </w:tc>
        <w:tc>
          <w:tcPr>
            <w:tcW w:w="1102" w:type="pct"/>
            <w:vAlign w:val="center"/>
          </w:tcPr>
          <w:p w14:paraId="459CC21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6000-30000元/亩</w:t>
            </w:r>
          </w:p>
        </w:tc>
        <w:tc>
          <w:tcPr>
            <w:tcW w:w="1523" w:type="pct"/>
            <w:vMerge/>
            <w:vAlign w:val="center"/>
          </w:tcPr>
          <w:p w14:paraId="29D0022B" w14:textId="77777777" w:rsidR="00A320E6" w:rsidRDefault="00A320E6" w:rsidP="00AE0286">
            <w:pPr>
              <w:jc w:val="left"/>
              <w:rPr>
                <w:rFonts w:ascii="宋体" w:hAnsi="宋体" w:cs="宋体"/>
                <w:snapToGrid w:val="0"/>
                <w:color w:val="000000"/>
                <w:kern w:val="0"/>
                <w:szCs w:val="21"/>
              </w:rPr>
            </w:pPr>
          </w:p>
        </w:tc>
      </w:tr>
      <w:tr w:rsidR="00A320E6" w14:paraId="77FCBB0D" w14:textId="77777777" w:rsidTr="00621C83">
        <w:trPr>
          <w:trHeight w:val="312"/>
        </w:trPr>
        <w:tc>
          <w:tcPr>
            <w:tcW w:w="384" w:type="pct"/>
            <w:vAlign w:val="center"/>
          </w:tcPr>
          <w:p w14:paraId="30B5610F"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20</w:t>
            </w:r>
          </w:p>
        </w:tc>
        <w:tc>
          <w:tcPr>
            <w:tcW w:w="417" w:type="pct"/>
            <w:noWrap/>
            <w:vAlign w:val="center"/>
          </w:tcPr>
          <w:p w14:paraId="395951A5"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苗圃</w:t>
            </w:r>
          </w:p>
        </w:tc>
        <w:tc>
          <w:tcPr>
            <w:tcW w:w="1574" w:type="pct"/>
            <w:vAlign w:val="center"/>
          </w:tcPr>
          <w:p w14:paraId="329DEE9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苗木</w:t>
            </w:r>
          </w:p>
        </w:tc>
        <w:tc>
          <w:tcPr>
            <w:tcW w:w="1102" w:type="pct"/>
            <w:vAlign w:val="center"/>
          </w:tcPr>
          <w:p w14:paraId="6FD649C0"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9000-19000元/亩</w:t>
            </w:r>
          </w:p>
        </w:tc>
        <w:tc>
          <w:tcPr>
            <w:tcW w:w="1523" w:type="pct"/>
            <w:vAlign w:val="center"/>
          </w:tcPr>
          <w:p w14:paraId="0AD84E7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1、含苗木树种及</w:t>
            </w:r>
            <w:r>
              <w:rPr>
                <w:rFonts w:ascii="宋体" w:hAnsi="宋体" w:cs="宋体" w:hint="eastAsia"/>
                <w:snapToGrid w:val="0"/>
                <w:color w:val="000000"/>
                <w:spacing w:val="-16"/>
                <w:kern w:val="0"/>
                <w:szCs w:val="21"/>
              </w:rPr>
              <w:t>培育、移栽各种费用</w:t>
            </w:r>
            <w:r>
              <w:rPr>
                <w:rFonts w:ascii="宋体" w:hAnsi="宋体" w:cs="宋体" w:hint="eastAsia"/>
                <w:snapToGrid w:val="0"/>
                <w:color w:val="000000"/>
                <w:kern w:val="0"/>
                <w:szCs w:val="21"/>
              </w:rPr>
              <w:t>；</w:t>
            </w:r>
          </w:p>
          <w:p w14:paraId="27475E63"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2、对于稀有珍贵苗木可以委托有资质的机构进行评估、认证</w:t>
            </w:r>
          </w:p>
        </w:tc>
      </w:tr>
      <w:tr w:rsidR="00A320E6" w14:paraId="6FF50989" w14:textId="77777777" w:rsidTr="00621C83">
        <w:trPr>
          <w:trHeight w:val="312"/>
        </w:trPr>
        <w:tc>
          <w:tcPr>
            <w:tcW w:w="384" w:type="pct"/>
            <w:vMerge w:val="restart"/>
            <w:vAlign w:val="center"/>
          </w:tcPr>
          <w:p w14:paraId="35A0DFA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21</w:t>
            </w:r>
          </w:p>
        </w:tc>
        <w:tc>
          <w:tcPr>
            <w:tcW w:w="417" w:type="pct"/>
            <w:vMerge w:val="restart"/>
            <w:noWrap/>
            <w:vAlign w:val="center"/>
          </w:tcPr>
          <w:p w14:paraId="77B1D6B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葡萄园</w:t>
            </w:r>
          </w:p>
        </w:tc>
        <w:tc>
          <w:tcPr>
            <w:tcW w:w="1574" w:type="pct"/>
            <w:vAlign w:val="center"/>
          </w:tcPr>
          <w:p w14:paraId="7C87601A"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幼龄期</w:t>
            </w:r>
          </w:p>
        </w:tc>
        <w:tc>
          <w:tcPr>
            <w:tcW w:w="1102" w:type="pct"/>
            <w:vAlign w:val="center"/>
          </w:tcPr>
          <w:p w14:paraId="707ED10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4000-8000元/亩</w:t>
            </w:r>
          </w:p>
        </w:tc>
        <w:tc>
          <w:tcPr>
            <w:tcW w:w="1523" w:type="pct"/>
            <w:vMerge w:val="restart"/>
            <w:vAlign w:val="center"/>
          </w:tcPr>
          <w:p w14:paraId="4C262F6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猕猴桃、火龙果补偿标准参照葡萄园执行</w:t>
            </w:r>
          </w:p>
        </w:tc>
      </w:tr>
      <w:tr w:rsidR="00A320E6" w14:paraId="1C5A82B1" w14:textId="77777777" w:rsidTr="00621C83">
        <w:trPr>
          <w:trHeight w:val="312"/>
        </w:trPr>
        <w:tc>
          <w:tcPr>
            <w:tcW w:w="384" w:type="pct"/>
            <w:vMerge/>
            <w:vAlign w:val="center"/>
          </w:tcPr>
          <w:p w14:paraId="267BB06D"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722C0F8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1F5D78C7"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初果期</w:t>
            </w:r>
          </w:p>
        </w:tc>
        <w:tc>
          <w:tcPr>
            <w:tcW w:w="1102" w:type="pct"/>
            <w:vAlign w:val="center"/>
          </w:tcPr>
          <w:p w14:paraId="5FEF3B2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6000-14000元/亩</w:t>
            </w:r>
          </w:p>
        </w:tc>
        <w:tc>
          <w:tcPr>
            <w:tcW w:w="1523" w:type="pct"/>
            <w:vMerge/>
            <w:vAlign w:val="center"/>
          </w:tcPr>
          <w:p w14:paraId="77BCAD8A" w14:textId="77777777" w:rsidR="00A320E6" w:rsidRDefault="00A320E6" w:rsidP="00AE0286">
            <w:pPr>
              <w:jc w:val="left"/>
              <w:rPr>
                <w:rFonts w:ascii="宋体" w:hAnsi="宋体" w:cs="宋体"/>
                <w:snapToGrid w:val="0"/>
                <w:color w:val="000000"/>
                <w:kern w:val="0"/>
                <w:szCs w:val="21"/>
              </w:rPr>
            </w:pPr>
          </w:p>
        </w:tc>
      </w:tr>
      <w:tr w:rsidR="00A320E6" w14:paraId="4FADD8F9" w14:textId="77777777" w:rsidTr="00621C83">
        <w:trPr>
          <w:trHeight w:val="312"/>
        </w:trPr>
        <w:tc>
          <w:tcPr>
            <w:tcW w:w="384" w:type="pct"/>
            <w:vMerge/>
            <w:vAlign w:val="center"/>
          </w:tcPr>
          <w:p w14:paraId="57548802"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60F2880C"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35A0D99"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盛果期</w:t>
            </w:r>
          </w:p>
        </w:tc>
        <w:tc>
          <w:tcPr>
            <w:tcW w:w="1102" w:type="pct"/>
            <w:vAlign w:val="center"/>
          </w:tcPr>
          <w:p w14:paraId="40C88D3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12000-28000元/亩</w:t>
            </w:r>
          </w:p>
        </w:tc>
        <w:tc>
          <w:tcPr>
            <w:tcW w:w="1523" w:type="pct"/>
            <w:vMerge/>
            <w:vAlign w:val="center"/>
          </w:tcPr>
          <w:p w14:paraId="68DF0ACA" w14:textId="77777777" w:rsidR="00A320E6" w:rsidRDefault="00A320E6" w:rsidP="00AE0286">
            <w:pPr>
              <w:jc w:val="left"/>
              <w:rPr>
                <w:rFonts w:ascii="宋体" w:hAnsi="宋体" w:cs="宋体"/>
                <w:snapToGrid w:val="0"/>
                <w:color w:val="000000"/>
                <w:kern w:val="0"/>
                <w:szCs w:val="21"/>
              </w:rPr>
            </w:pPr>
          </w:p>
        </w:tc>
      </w:tr>
      <w:tr w:rsidR="00A320E6" w14:paraId="59D163F6" w14:textId="77777777" w:rsidTr="00621C83">
        <w:trPr>
          <w:trHeight w:val="312"/>
        </w:trPr>
        <w:tc>
          <w:tcPr>
            <w:tcW w:w="384" w:type="pct"/>
            <w:vMerge w:val="restart"/>
            <w:vAlign w:val="center"/>
          </w:tcPr>
          <w:p w14:paraId="5B69B062"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22</w:t>
            </w:r>
          </w:p>
        </w:tc>
        <w:tc>
          <w:tcPr>
            <w:tcW w:w="417" w:type="pct"/>
            <w:vMerge w:val="restart"/>
            <w:noWrap/>
            <w:vAlign w:val="center"/>
          </w:tcPr>
          <w:p w14:paraId="00A076F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果树</w:t>
            </w:r>
          </w:p>
        </w:tc>
        <w:tc>
          <w:tcPr>
            <w:tcW w:w="1574" w:type="pct"/>
            <w:vAlign w:val="center"/>
          </w:tcPr>
          <w:p w14:paraId="2700D9F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苗木（区分树种）</w:t>
            </w:r>
          </w:p>
        </w:tc>
        <w:tc>
          <w:tcPr>
            <w:tcW w:w="1102" w:type="pct"/>
            <w:vAlign w:val="center"/>
          </w:tcPr>
          <w:p w14:paraId="66B7AD3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移栽费6-9元/株</w:t>
            </w:r>
          </w:p>
        </w:tc>
        <w:tc>
          <w:tcPr>
            <w:tcW w:w="1523" w:type="pct"/>
            <w:vMerge w:val="restart"/>
            <w:vAlign w:val="center"/>
          </w:tcPr>
          <w:p w14:paraId="2F7C979E"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果树包括：苹果、梨、桃、杏、核桃、樱桃、柿、枣、板栗、李子等树种</w:t>
            </w:r>
          </w:p>
        </w:tc>
      </w:tr>
      <w:tr w:rsidR="00A320E6" w14:paraId="45A573C1" w14:textId="77777777" w:rsidTr="00621C83">
        <w:trPr>
          <w:trHeight w:val="312"/>
        </w:trPr>
        <w:tc>
          <w:tcPr>
            <w:tcW w:w="384" w:type="pct"/>
            <w:vMerge/>
            <w:vAlign w:val="center"/>
          </w:tcPr>
          <w:p w14:paraId="50F4ACDB"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5983B41"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4C260374"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幼龄期（区分树种）</w:t>
            </w:r>
          </w:p>
        </w:tc>
        <w:tc>
          <w:tcPr>
            <w:tcW w:w="1102" w:type="pct"/>
            <w:vAlign w:val="center"/>
          </w:tcPr>
          <w:p w14:paraId="695F66FC"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30-70元/株，每亩不超过220株</w:t>
            </w:r>
          </w:p>
        </w:tc>
        <w:tc>
          <w:tcPr>
            <w:tcW w:w="1523" w:type="pct"/>
            <w:vMerge/>
            <w:vAlign w:val="center"/>
          </w:tcPr>
          <w:p w14:paraId="0BFEB654" w14:textId="77777777" w:rsidR="00A320E6" w:rsidRDefault="00A320E6" w:rsidP="00AE0286">
            <w:pPr>
              <w:jc w:val="left"/>
              <w:rPr>
                <w:rFonts w:ascii="宋体" w:hAnsi="宋体" w:cs="宋体"/>
                <w:snapToGrid w:val="0"/>
                <w:color w:val="000000"/>
                <w:kern w:val="0"/>
                <w:szCs w:val="21"/>
              </w:rPr>
            </w:pPr>
          </w:p>
        </w:tc>
      </w:tr>
      <w:tr w:rsidR="00A320E6" w14:paraId="4EC108B4" w14:textId="77777777" w:rsidTr="00621C83">
        <w:trPr>
          <w:trHeight w:val="312"/>
        </w:trPr>
        <w:tc>
          <w:tcPr>
            <w:tcW w:w="384" w:type="pct"/>
            <w:vMerge/>
            <w:vAlign w:val="center"/>
          </w:tcPr>
          <w:p w14:paraId="775698A3"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502AAA23"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0FCDE38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初果期（区分树种）</w:t>
            </w:r>
          </w:p>
        </w:tc>
        <w:tc>
          <w:tcPr>
            <w:tcW w:w="1102" w:type="pct"/>
            <w:vAlign w:val="center"/>
          </w:tcPr>
          <w:p w14:paraId="689F3BBD"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100-400元/株，每亩不超过110株</w:t>
            </w:r>
          </w:p>
        </w:tc>
        <w:tc>
          <w:tcPr>
            <w:tcW w:w="1523" w:type="pct"/>
            <w:vMerge/>
            <w:vAlign w:val="center"/>
          </w:tcPr>
          <w:p w14:paraId="3FC39F3F" w14:textId="77777777" w:rsidR="00A320E6" w:rsidRDefault="00A320E6" w:rsidP="00AE0286">
            <w:pPr>
              <w:jc w:val="left"/>
              <w:rPr>
                <w:rFonts w:ascii="宋体" w:hAnsi="宋体" w:cs="宋体"/>
                <w:snapToGrid w:val="0"/>
                <w:color w:val="000000"/>
                <w:kern w:val="0"/>
                <w:szCs w:val="21"/>
              </w:rPr>
            </w:pPr>
          </w:p>
        </w:tc>
      </w:tr>
      <w:tr w:rsidR="00A320E6" w14:paraId="5B08350F" w14:textId="77777777" w:rsidTr="00621C83">
        <w:trPr>
          <w:trHeight w:val="312"/>
        </w:trPr>
        <w:tc>
          <w:tcPr>
            <w:tcW w:w="384" w:type="pct"/>
            <w:vMerge/>
            <w:vAlign w:val="center"/>
          </w:tcPr>
          <w:p w14:paraId="5E77D2E8"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35E2EF3D"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5E00D2A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盛果期（区分树种）</w:t>
            </w:r>
          </w:p>
        </w:tc>
        <w:tc>
          <w:tcPr>
            <w:tcW w:w="1102" w:type="pct"/>
            <w:vAlign w:val="center"/>
          </w:tcPr>
          <w:p w14:paraId="609DFBD3"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350-700元/株，每亩不超过75株</w:t>
            </w:r>
          </w:p>
        </w:tc>
        <w:tc>
          <w:tcPr>
            <w:tcW w:w="1523" w:type="pct"/>
            <w:vMerge/>
            <w:vAlign w:val="center"/>
          </w:tcPr>
          <w:p w14:paraId="27D2BF78" w14:textId="77777777" w:rsidR="00A320E6" w:rsidRDefault="00A320E6" w:rsidP="00AE0286">
            <w:pPr>
              <w:jc w:val="left"/>
              <w:rPr>
                <w:rFonts w:ascii="宋体" w:hAnsi="宋体" w:cs="宋体"/>
                <w:snapToGrid w:val="0"/>
                <w:color w:val="000000"/>
                <w:kern w:val="0"/>
                <w:szCs w:val="21"/>
              </w:rPr>
            </w:pPr>
          </w:p>
        </w:tc>
      </w:tr>
      <w:tr w:rsidR="00A320E6" w14:paraId="607FF422" w14:textId="77777777" w:rsidTr="00621C83">
        <w:trPr>
          <w:trHeight w:val="312"/>
        </w:trPr>
        <w:tc>
          <w:tcPr>
            <w:tcW w:w="384" w:type="pct"/>
            <w:vMerge/>
            <w:vAlign w:val="center"/>
          </w:tcPr>
          <w:p w14:paraId="64E871D0" w14:textId="77777777" w:rsidR="00A320E6" w:rsidRDefault="00A320E6" w:rsidP="00AE0286">
            <w:pPr>
              <w:jc w:val="left"/>
              <w:rPr>
                <w:rFonts w:ascii="宋体" w:hAnsi="宋体" w:cs="宋体"/>
                <w:snapToGrid w:val="0"/>
                <w:color w:val="000000"/>
                <w:kern w:val="0"/>
                <w:szCs w:val="21"/>
              </w:rPr>
            </w:pPr>
          </w:p>
        </w:tc>
        <w:tc>
          <w:tcPr>
            <w:tcW w:w="417" w:type="pct"/>
            <w:vMerge/>
            <w:vAlign w:val="center"/>
          </w:tcPr>
          <w:p w14:paraId="446331F2" w14:textId="77777777" w:rsidR="00A320E6" w:rsidRDefault="00A320E6" w:rsidP="00AE0286">
            <w:pPr>
              <w:jc w:val="left"/>
              <w:rPr>
                <w:rFonts w:ascii="宋体" w:hAnsi="宋体" w:cs="宋体"/>
                <w:snapToGrid w:val="0"/>
                <w:color w:val="000000"/>
                <w:kern w:val="0"/>
                <w:szCs w:val="21"/>
              </w:rPr>
            </w:pPr>
          </w:p>
        </w:tc>
        <w:tc>
          <w:tcPr>
            <w:tcW w:w="1574" w:type="pct"/>
            <w:vAlign w:val="center"/>
          </w:tcPr>
          <w:p w14:paraId="2C7FF4A5"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衰老期（区分树种）</w:t>
            </w:r>
          </w:p>
        </w:tc>
        <w:tc>
          <w:tcPr>
            <w:tcW w:w="1102" w:type="pct"/>
            <w:vAlign w:val="center"/>
          </w:tcPr>
          <w:p w14:paraId="43D92EB7"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150-350元/株</w:t>
            </w:r>
          </w:p>
        </w:tc>
        <w:tc>
          <w:tcPr>
            <w:tcW w:w="1523" w:type="pct"/>
            <w:vMerge/>
            <w:vAlign w:val="center"/>
          </w:tcPr>
          <w:p w14:paraId="7DE1F4F9" w14:textId="77777777" w:rsidR="00A320E6" w:rsidRDefault="00A320E6" w:rsidP="00AE0286">
            <w:pPr>
              <w:jc w:val="left"/>
              <w:rPr>
                <w:rFonts w:ascii="宋体" w:hAnsi="宋体" w:cs="宋体"/>
                <w:snapToGrid w:val="0"/>
                <w:color w:val="000000"/>
                <w:kern w:val="0"/>
                <w:szCs w:val="21"/>
              </w:rPr>
            </w:pPr>
          </w:p>
        </w:tc>
      </w:tr>
      <w:tr w:rsidR="00A320E6" w14:paraId="7956FBBD" w14:textId="77777777" w:rsidTr="00621C83">
        <w:trPr>
          <w:trHeight w:val="312"/>
        </w:trPr>
        <w:tc>
          <w:tcPr>
            <w:tcW w:w="384" w:type="pct"/>
            <w:vAlign w:val="center"/>
          </w:tcPr>
          <w:p w14:paraId="27C5A9F9"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23</w:t>
            </w:r>
          </w:p>
        </w:tc>
        <w:tc>
          <w:tcPr>
            <w:tcW w:w="417" w:type="pct"/>
            <w:noWrap/>
            <w:vAlign w:val="center"/>
          </w:tcPr>
          <w:p w14:paraId="65168554"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绿篱</w:t>
            </w:r>
          </w:p>
        </w:tc>
        <w:tc>
          <w:tcPr>
            <w:tcW w:w="1574" w:type="pct"/>
            <w:vAlign w:val="center"/>
          </w:tcPr>
          <w:p w14:paraId="2C05D97C"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绿篱</w:t>
            </w:r>
          </w:p>
        </w:tc>
        <w:tc>
          <w:tcPr>
            <w:tcW w:w="1102" w:type="pct"/>
            <w:vAlign w:val="center"/>
          </w:tcPr>
          <w:p w14:paraId="77752816"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15-50元/m</w:t>
            </w:r>
          </w:p>
        </w:tc>
        <w:tc>
          <w:tcPr>
            <w:tcW w:w="1523" w:type="pct"/>
            <w:vAlign w:val="center"/>
          </w:tcPr>
          <w:p w14:paraId="648FBD1D"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 xml:space="preserve">　</w:t>
            </w:r>
          </w:p>
        </w:tc>
      </w:tr>
      <w:tr w:rsidR="00A320E6" w14:paraId="50B545F4" w14:textId="77777777" w:rsidTr="00621C83">
        <w:trPr>
          <w:trHeight w:val="312"/>
        </w:trPr>
        <w:tc>
          <w:tcPr>
            <w:tcW w:w="384" w:type="pct"/>
            <w:vAlign w:val="center"/>
          </w:tcPr>
          <w:p w14:paraId="19048BAE"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24</w:t>
            </w:r>
          </w:p>
        </w:tc>
        <w:tc>
          <w:tcPr>
            <w:tcW w:w="417" w:type="pct"/>
            <w:noWrap/>
            <w:vAlign w:val="center"/>
          </w:tcPr>
          <w:p w14:paraId="5E6F5C2A"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青苗类</w:t>
            </w:r>
          </w:p>
        </w:tc>
        <w:tc>
          <w:tcPr>
            <w:tcW w:w="1574" w:type="pct"/>
            <w:vAlign w:val="center"/>
          </w:tcPr>
          <w:p w14:paraId="712F9BCF" w14:textId="77777777" w:rsidR="00A320E6" w:rsidRDefault="00000000" w:rsidP="00AE0286">
            <w:pPr>
              <w:jc w:val="left"/>
              <w:rPr>
                <w:rFonts w:ascii="宋体" w:hAnsi="宋体" w:cs="宋体"/>
                <w:snapToGrid w:val="0"/>
                <w:color w:val="000000"/>
                <w:kern w:val="0"/>
                <w:szCs w:val="21"/>
              </w:rPr>
            </w:pPr>
            <w:r>
              <w:rPr>
                <w:rFonts w:ascii="宋体" w:hAnsi="宋体" w:cs="宋体" w:hint="eastAsia"/>
                <w:snapToGrid w:val="0"/>
                <w:color w:val="000000"/>
                <w:kern w:val="0"/>
                <w:szCs w:val="21"/>
              </w:rPr>
              <w:t>粮食作物</w:t>
            </w:r>
          </w:p>
        </w:tc>
        <w:tc>
          <w:tcPr>
            <w:tcW w:w="1102" w:type="pct"/>
            <w:vAlign w:val="center"/>
          </w:tcPr>
          <w:p w14:paraId="4A794B43" w14:textId="77777777" w:rsidR="00A320E6" w:rsidRDefault="00000000" w:rsidP="00AE0286">
            <w:pPr>
              <w:jc w:val="center"/>
              <w:rPr>
                <w:rFonts w:ascii="宋体" w:hAnsi="宋体" w:cs="宋体"/>
                <w:snapToGrid w:val="0"/>
                <w:color w:val="000000"/>
                <w:kern w:val="0"/>
                <w:szCs w:val="21"/>
              </w:rPr>
            </w:pPr>
            <w:r>
              <w:rPr>
                <w:rFonts w:ascii="宋体" w:hAnsi="宋体" w:cs="宋体" w:hint="eastAsia"/>
                <w:snapToGrid w:val="0"/>
                <w:color w:val="000000"/>
                <w:kern w:val="0"/>
                <w:szCs w:val="21"/>
              </w:rPr>
              <w:t>1300-2000元/亩</w:t>
            </w:r>
          </w:p>
        </w:tc>
        <w:tc>
          <w:tcPr>
            <w:tcW w:w="1523" w:type="pct"/>
            <w:vAlign w:val="center"/>
          </w:tcPr>
          <w:p w14:paraId="2A4914F2" w14:textId="77777777" w:rsidR="00A320E6" w:rsidRDefault="00A320E6" w:rsidP="00AE0286">
            <w:pPr>
              <w:jc w:val="left"/>
              <w:rPr>
                <w:rFonts w:ascii="宋体" w:hAnsi="宋体" w:cs="宋体"/>
                <w:snapToGrid w:val="0"/>
                <w:color w:val="000000"/>
                <w:kern w:val="0"/>
                <w:szCs w:val="21"/>
              </w:rPr>
            </w:pPr>
          </w:p>
        </w:tc>
      </w:tr>
    </w:tbl>
    <w:p w14:paraId="55498AC4"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015D54FA"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1、青苗补偿标准按一季作物产值补偿，露天蔬菜按蔬菜作物产值补偿一季，大棚蔬菜原则上不超过露天蔬菜补偿标准的3倍，相关作物产值由各县（区）根据市场价格进行协商或评估认证。</w:t>
      </w:r>
    </w:p>
    <w:p w14:paraId="7491B124"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2、标准中的上限数含本数。</w:t>
      </w:r>
    </w:p>
    <w:p w14:paraId="1445A65F"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3、对本规定中未包括的品种可参照相近的其他类品种补偿，不能参照的可双方协商。协商不成的，可委托有资质的机构进行评估或认证，作为征地补偿的依据。</w:t>
      </w:r>
    </w:p>
    <w:p w14:paraId="4F0C45EE"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4、国家和省确定的铁路、公路、机场、航道港口、水利工程、能源工程等重大基础设施项目征收土地地上附着物和青苗补偿等标准另有规定的，从其规定。</w:t>
      </w:r>
    </w:p>
    <w:p w14:paraId="24E396E0"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5、自土地征收公告之日起，凡在拟征土地上抢建、抢栽、抢种的各类地上附着物和青苗，征地时一律不予补偿。</w:t>
      </w:r>
    </w:p>
    <w:p w14:paraId="4A1FD9EE" w14:textId="77777777" w:rsidR="00A320E6" w:rsidRDefault="00000000" w:rsidP="00AE0286">
      <w:pPr>
        <w:pStyle w:val="a3"/>
        <w:spacing w:line="360" w:lineRule="auto"/>
        <w:ind w:firstLine="480"/>
        <w:rPr>
          <w:rFonts w:ascii="宋体" w:hAnsi="宋体" w:cs="宋体"/>
          <w:kern w:val="0"/>
          <w:sz w:val="24"/>
        </w:rPr>
      </w:pPr>
      <w:r>
        <w:rPr>
          <w:rFonts w:ascii="宋体" w:hAnsi="宋体" w:cs="宋体" w:hint="eastAsia"/>
          <w:kern w:val="0"/>
          <w:sz w:val="24"/>
        </w:rPr>
        <w:t>6、其他电力、电信等设备设施的迁移费按照行业标准执行。</w:t>
      </w:r>
    </w:p>
    <w:p w14:paraId="42F84F09" w14:textId="77777777" w:rsidR="00A320E6" w:rsidRDefault="00000000" w:rsidP="00F67407">
      <w:pPr>
        <w:keepNext/>
        <w:spacing w:beforeLines="50" w:before="156" w:afterLines="20" w:after="62" w:line="360" w:lineRule="auto"/>
        <w:jc w:val="center"/>
        <w:outlineLvl w:val="2"/>
        <w:rPr>
          <w:b/>
          <w:bCs/>
          <w:sz w:val="24"/>
          <w:lang w:eastAsia="zh-Hans"/>
        </w:rPr>
      </w:pPr>
      <w:bookmarkStart w:id="129" w:name="_Toc112227427"/>
      <w:r>
        <w:rPr>
          <w:rFonts w:hint="eastAsia"/>
          <w:b/>
          <w:bCs/>
          <w:sz w:val="24"/>
          <w:lang w:eastAsia="zh-Hans"/>
        </w:rPr>
        <w:t>关于聊城市征地地上附着物和青苗补偿标准的批复</w:t>
      </w:r>
      <w:bookmarkEnd w:id="129"/>
    </w:p>
    <w:p w14:paraId="4AFCE25D" w14:textId="77777777" w:rsidR="00A320E6" w:rsidRDefault="00000000" w:rsidP="00AE0286">
      <w:pPr>
        <w:pStyle w:val="a3"/>
        <w:spacing w:line="360" w:lineRule="auto"/>
        <w:ind w:firstLineChars="0" w:firstLine="0"/>
        <w:rPr>
          <w:sz w:val="24"/>
          <w:lang w:eastAsia="zh-Hans"/>
        </w:rPr>
      </w:pPr>
      <w:r>
        <w:rPr>
          <w:rFonts w:hint="eastAsia"/>
          <w:sz w:val="24"/>
          <w:lang w:eastAsia="zh-Hans"/>
        </w:rPr>
        <w:t>聊城市自然资源和规划局、财政局：</w:t>
      </w:r>
    </w:p>
    <w:p w14:paraId="6284D84F" w14:textId="77777777" w:rsidR="00A320E6" w:rsidRDefault="00000000" w:rsidP="00AE0286">
      <w:pPr>
        <w:pStyle w:val="a3"/>
        <w:spacing w:line="360" w:lineRule="auto"/>
        <w:ind w:firstLine="480"/>
        <w:rPr>
          <w:sz w:val="24"/>
          <w:lang w:eastAsia="zh-Hans"/>
        </w:rPr>
      </w:pPr>
      <w:r>
        <w:rPr>
          <w:rFonts w:hint="eastAsia"/>
          <w:sz w:val="24"/>
          <w:lang w:eastAsia="zh-Hans"/>
        </w:rPr>
        <w:t>你市《关于调整征地地上附着物和青苗补偿标准的请示》（聊自然资规呈〔</w:t>
      </w:r>
      <w:r>
        <w:rPr>
          <w:rFonts w:hint="eastAsia"/>
          <w:sz w:val="24"/>
          <w:lang w:eastAsia="zh-Hans"/>
        </w:rPr>
        <w:t>2022</w:t>
      </w:r>
      <w:r>
        <w:rPr>
          <w:rFonts w:hint="eastAsia"/>
          <w:sz w:val="24"/>
          <w:lang w:eastAsia="zh-Hans"/>
        </w:rPr>
        <w:t>〕</w:t>
      </w:r>
      <w:r>
        <w:rPr>
          <w:rFonts w:hint="eastAsia"/>
          <w:sz w:val="24"/>
          <w:lang w:eastAsia="zh-Hans"/>
        </w:rPr>
        <w:t>1</w:t>
      </w:r>
      <w:r>
        <w:rPr>
          <w:rFonts w:hint="eastAsia"/>
          <w:sz w:val="24"/>
          <w:lang w:eastAsia="zh-Hans"/>
        </w:rPr>
        <w:t>号）收悉。经研究，同意你市制定的征地地上附着物和青苗补偿标准（详见附件）。</w:t>
      </w:r>
    </w:p>
    <w:p w14:paraId="1D6B3654" w14:textId="77777777" w:rsidR="00A320E6" w:rsidRDefault="00000000" w:rsidP="00AE0286">
      <w:pPr>
        <w:pStyle w:val="a3"/>
        <w:spacing w:line="360" w:lineRule="auto"/>
        <w:ind w:firstLine="480"/>
        <w:rPr>
          <w:sz w:val="24"/>
          <w:lang w:eastAsia="zh-Hans"/>
        </w:rPr>
      </w:pPr>
      <w:r>
        <w:rPr>
          <w:rFonts w:hint="eastAsia"/>
          <w:sz w:val="24"/>
          <w:lang w:eastAsia="zh-Hans"/>
        </w:rPr>
        <w:t>标准自批复之日起执行。</w:t>
      </w:r>
    </w:p>
    <w:p w14:paraId="350FF002" w14:textId="77777777" w:rsidR="00A320E6" w:rsidRDefault="00000000" w:rsidP="00AE0286">
      <w:pPr>
        <w:pStyle w:val="a3"/>
        <w:spacing w:line="360" w:lineRule="auto"/>
        <w:ind w:firstLine="480"/>
        <w:rPr>
          <w:sz w:val="24"/>
          <w:lang w:eastAsia="zh-Hans"/>
        </w:rPr>
      </w:pPr>
      <w:r>
        <w:rPr>
          <w:rFonts w:hint="eastAsia"/>
          <w:sz w:val="24"/>
          <w:lang w:eastAsia="zh-Hans"/>
        </w:rPr>
        <w:t>附件：聊城市征地地上附着物和青苗补偿标准</w:t>
      </w:r>
    </w:p>
    <w:p w14:paraId="3F775F1C" w14:textId="77777777" w:rsidR="00A320E6" w:rsidRDefault="00000000" w:rsidP="00AE0286">
      <w:pPr>
        <w:pStyle w:val="a3"/>
        <w:spacing w:line="360" w:lineRule="auto"/>
        <w:ind w:firstLineChars="0" w:firstLine="0"/>
        <w:jc w:val="right"/>
        <w:rPr>
          <w:sz w:val="24"/>
          <w:lang w:eastAsia="zh-Hans"/>
        </w:rPr>
      </w:pPr>
      <w:r>
        <w:rPr>
          <w:rFonts w:hint="eastAsia"/>
          <w:sz w:val="24"/>
          <w:lang w:eastAsia="zh-Hans"/>
        </w:rPr>
        <w:t>                         山东省自然资源厅山东省财政厅 </w:t>
      </w:r>
    </w:p>
    <w:p w14:paraId="61887B9A" w14:textId="77777777" w:rsidR="00A320E6" w:rsidRDefault="00000000" w:rsidP="00AE0286">
      <w:pPr>
        <w:pStyle w:val="a3"/>
        <w:spacing w:line="360" w:lineRule="auto"/>
        <w:ind w:firstLineChars="0" w:firstLine="0"/>
        <w:jc w:val="right"/>
        <w:rPr>
          <w:sz w:val="24"/>
          <w:lang w:eastAsia="zh-Hans"/>
        </w:rPr>
      </w:pPr>
      <w:r>
        <w:rPr>
          <w:rFonts w:hint="eastAsia"/>
          <w:sz w:val="24"/>
          <w:lang w:eastAsia="zh-Hans"/>
        </w:rPr>
        <w:t>                       </w:t>
      </w:r>
      <w:r>
        <w:rPr>
          <w:rFonts w:hint="eastAsia"/>
          <w:sz w:val="24"/>
          <w:lang w:eastAsia="zh-Hans"/>
        </w:rPr>
        <w:t>2022</w:t>
      </w:r>
      <w:r>
        <w:rPr>
          <w:rFonts w:hint="eastAsia"/>
          <w:sz w:val="24"/>
          <w:lang w:eastAsia="zh-Hans"/>
        </w:rPr>
        <w:t>年</w:t>
      </w:r>
      <w:r>
        <w:rPr>
          <w:rFonts w:hint="eastAsia"/>
          <w:sz w:val="24"/>
          <w:lang w:eastAsia="zh-Hans"/>
        </w:rPr>
        <w:t>1</w:t>
      </w:r>
      <w:r>
        <w:rPr>
          <w:rFonts w:hint="eastAsia"/>
          <w:sz w:val="24"/>
          <w:lang w:eastAsia="zh-Hans"/>
        </w:rPr>
        <w:t>月</w:t>
      </w:r>
      <w:r>
        <w:rPr>
          <w:rFonts w:hint="eastAsia"/>
          <w:sz w:val="24"/>
          <w:lang w:eastAsia="zh-Hans"/>
        </w:rPr>
        <w:t>8</w:t>
      </w:r>
      <w:r>
        <w:rPr>
          <w:rFonts w:hint="eastAsia"/>
          <w:sz w:val="24"/>
          <w:lang w:eastAsia="zh-Hans"/>
        </w:rPr>
        <w:t>日</w:t>
      </w:r>
    </w:p>
    <w:p w14:paraId="4BFAB942" w14:textId="77777777" w:rsidR="00A320E6" w:rsidRDefault="00000000" w:rsidP="00AE0286">
      <w:pPr>
        <w:kinsoku w:val="0"/>
        <w:autoSpaceDE w:val="0"/>
        <w:autoSpaceDN w:val="0"/>
        <w:adjustRightInd w:val="0"/>
        <w:snapToGrid w:val="0"/>
        <w:spacing w:line="360" w:lineRule="auto"/>
        <w:textAlignment w:val="baseline"/>
        <w:rPr>
          <w:rFonts w:ascii="宋体" w:hAnsi="宋体" w:cs="宋体"/>
          <w:spacing w:val="12"/>
          <w:sz w:val="24"/>
          <w:szCs w:val="24"/>
        </w:rPr>
      </w:pPr>
      <w:r>
        <w:rPr>
          <w:rFonts w:ascii="宋体" w:hAnsi="宋体" w:cs="宋体" w:hint="eastAsia"/>
          <w:spacing w:val="12"/>
          <w:sz w:val="24"/>
          <w:szCs w:val="24"/>
        </w:rPr>
        <w:t>附件</w:t>
      </w:r>
    </w:p>
    <w:p w14:paraId="6CA1EB8C" w14:textId="77777777" w:rsidR="00A320E6" w:rsidRDefault="00000000" w:rsidP="00AE0286">
      <w:pPr>
        <w:kinsoku w:val="0"/>
        <w:autoSpaceDE w:val="0"/>
        <w:autoSpaceDN w:val="0"/>
        <w:adjustRightInd w:val="0"/>
        <w:snapToGrid w:val="0"/>
        <w:spacing w:line="560" w:lineRule="exact"/>
        <w:jc w:val="center"/>
        <w:textAlignment w:val="baseline"/>
        <w:rPr>
          <w:rFonts w:ascii="宋体" w:hAnsi="宋体" w:cs="宋体"/>
          <w:bCs/>
          <w:color w:val="000000"/>
          <w:sz w:val="24"/>
          <w:szCs w:val="24"/>
        </w:rPr>
      </w:pPr>
      <w:r>
        <w:rPr>
          <w:rFonts w:ascii="宋体" w:hAnsi="宋体" w:cs="宋体" w:hint="eastAsia"/>
          <w:spacing w:val="12"/>
          <w:sz w:val="24"/>
          <w:szCs w:val="24"/>
        </w:rPr>
        <w:t>聊城市征地地上附着物和青苗补偿标准</w:t>
      </w:r>
    </w:p>
    <w:tbl>
      <w:tblPr>
        <w:tblW w:w="5174" w:type="pct"/>
        <w:tblLayout w:type="fixed"/>
        <w:tblLook w:val="04A0" w:firstRow="1" w:lastRow="0" w:firstColumn="1" w:lastColumn="0" w:noHBand="0" w:noVBand="1"/>
      </w:tblPr>
      <w:tblGrid>
        <w:gridCol w:w="857"/>
        <w:gridCol w:w="772"/>
        <w:gridCol w:w="778"/>
        <w:gridCol w:w="2542"/>
        <w:gridCol w:w="2024"/>
        <w:gridCol w:w="1879"/>
        <w:gridCol w:w="405"/>
      </w:tblGrid>
      <w:tr w:rsidR="00A320E6" w14:paraId="761D54EA" w14:textId="77777777" w:rsidTr="00621C83">
        <w:trPr>
          <w:trHeight w:val="312"/>
          <w:tblHeader/>
        </w:trPr>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AD63A2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序号</w:t>
            </w:r>
          </w:p>
        </w:tc>
        <w:tc>
          <w:tcPr>
            <w:tcW w:w="417" w:type="pct"/>
            <w:tcBorders>
              <w:top w:val="single" w:sz="4" w:space="0" w:color="auto"/>
              <w:left w:val="nil"/>
              <w:bottom w:val="single" w:sz="4" w:space="0" w:color="auto"/>
              <w:right w:val="single" w:sz="4" w:space="0" w:color="auto"/>
            </w:tcBorders>
            <w:shd w:val="clear" w:color="auto" w:fill="auto"/>
            <w:vAlign w:val="center"/>
          </w:tcPr>
          <w:p w14:paraId="278160A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名称</w:t>
            </w:r>
          </w:p>
        </w:tc>
        <w:tc>
          <w:tcPr>
            <w:tcW w:w="420" w:type="pct"/>
            <w:tcBorders>
              <w:top w:val="single" w:sz="4" w:space="0" w:color="auto"/>
              <w:left w:val="nil"/>
              <w:bottom w:val="single" w:sz="4" w:space="0" w:color="auto"/>
              <w:right w:val="single" w:sz="4" w:space="0" w:color="auto"/>
            </w:tcBorders>
            <w:shd w:val="clear" w:color="auto" w:fill="auto"/>
            <w:vAlign w:val="center"/>
          </w:tcPr>
          <w:p w14:paraId="2965BDE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类别序号</w:t>
            </w:r>
          </w:p>
        </w:tc>
        <w:tc>
          <w:tcPr>
            <w:tcW w:w="1373" w:type="pct"/>
            <w:tcBorders>
              <w:top w:val="single" w:sz="4" w:space="0" w:color="auto"/>
              <w:left w:val="nil"/>
              <w:bottom w:val="single" w:sz="4" w:space="0" w:color="auto"/>
              <w:right w:val="single" w:sz="4" w:space="0" w:color="auto"/>
            </w:tcBorders>
            <w:shd w:val="clear" w:color="auto" w:fill="auto"/>
            <w:noWrap/>
            <w:vAlign w:val="center"/>
          </w:tcPr>
          <w:p w14:paraId="3F32716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类别</w:t>
            </w:r>
          </w:p>
        </w:tc>
        <w:tc>
          <w:tcPr>
            <w:tcW w:w="1093" w:type="pct"/>
            <w:tcBorders>
              <w:top w:val="single" w:sz="4" w:space="0" w:color="auto"/>
              <w:left w:val="nil"/>
              <w:bottom w:val="single" w:sz="4" w:space="0" w:color="auto"/>
              <w:right w:val="single" w:sz="4" w:space="0" w:color="auto"/>
            </w:tcBorders>
            <w:shd w:val="clear" w:color="auto" w:fill="auto"/>
            <w:noWrap/>
            <w:vAlign w:val="center"/>
          </w:tcPr>
          <w:p w14:paraId="0D3632C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补偿标准</w:t>
            </w:r>
          </w:p>
        </w:tc>
        <w:tc>
          <w:tcPr>
            <w:tcW w:w="1235" w:type="pct"/>
            <w:gridSpan w:val="2"/>
            <w:tcBorders>
              <w:top w:val="single" w:sz="4" w:space="0" w:color="auto"/>
              <w:left w:val="nil"/>
              <w:bottom w:val="single" w:sz="4" w:space="0" w:color="auto"/>
              <w:right w:val="single" w:sz="4" w:space="0" w:color="auto"/>
            </w:tcBorders>
            <w:shd w:val="clear" w:color="auto" w:fill="auto"/>
            <w:noWrap/>
            <w:vAlign w:val="center"/>
          </w:tcPr>
          <w:p w14:paraId="7346970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备注</w:t>
            </w:r>
          </w:p>
        </w:tc>
      </w:tr>
      <w:tr w:rsidR="00A320E6" w14:paraId="36F129E7"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4F7FA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w:t>
            </w:r>
          </w:p>
          <w:p w14:paraId="2AE02F9D"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8F51A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房屋</w:t>
            </w:r>
          </w:p>
          <w:p w14:paraId="163B8527"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FDFC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9322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乱石基、砖石墙、预制楼板或现浇平屋顶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736FAD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850-1050元/m²</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419B56" w14:textId="77777777" w:rsidR="00A320E6" w:rsidRDefault="00000000" w:rsidP="00AE0286">
            <w:pPr>
              <w:spacing w:line="240" w:lineRule="exact"/>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1.仅限承包地内看护用房和临时建筑,涉及居民住宅、工矿企业及其他建筑设施成片拆迁的，由市、县（区）政府（管委会）另行制定拆迁补偿方案。</w:t>
            </w:r>
            <w:r>
              <w:rPr>
                <w:rFonts w:ascii="宋体" w:hAnsi="宋体" w:cs="宋体" w:hint="eastAsia"/>
                <w:color w:val="000000" w:themeColor="text1"/>
                <w:kern w:val="0"/>
                <w:szCs w:val="21"/>
              </w:rPr>
              <w:br/>
              <w:t>2.表中面积指建筑面积。</w:t>
            </w:r>
            <w:r>
              <w:rPr>
                <w:rFonts w:ascii="宋体" w:hAnsi="宋体" w:cs="宋体" w:hint="eastAsia"/>
                <w:color w:val="000000" w:themeColor="text1"/>
                <w:kern w:val="0"/>
                <w:szCs w:val="21"/>
              </w:rPr>
              <w:br/>
              <w:t>3.类别序号1-7项房屋指檐高3米（含3米）以上的房屋，檐高3米以下的房屋参照檐高3米（含3米）以上的房屋价格的60%以上。</w:t>
            </w:r>
            <w:r>
              <w:rPr>
                <w:rFonts w:ascii="宋体" w:hAnsi="宋体" w:cs="宋体" w:hint="eastAsia"/>
                <w:color w:val="000000" w:themeColor="text1"/>
                <w:kern w:val="0"/>
                <w:szCs w:val="21"/>
              </w:rPr>
              <w:br/>
              <w:t>4.同类别房屋的补偿标准按房屋成新度在补偿标准区间适当调整。</w:t>
            </w:r>
            <w:r>
              <w:rPr>
                <w:rFonts w:ascii="宋体" w:hAnsi="宋体" w:cs="宋体" w:hint="eastAsia"/>
                <w:color w:val="000000" w:themeColor="text1"/>
                <w:kern w:val="0"/>
                <w:szCs w:val="21"/>
              </w:rPr>
              <w:br/>
              <w:t>5.房屋连体的大门同连体房屋的价格。</w:t>
            </w:r>
            <w:r>
              <w:rPr>
                <w:rFonts w:ascii="宋体" w:hAnsi="宋体" w:cs="宋体" w:hint="eastAsia"/>
                <w:color w:val="000000" w:themeColor="text1"/>
                <w:kern w:val="0"/>
                <w:szCs w:val="21"/>
              </w:rPr>
              <w:br/>
              <w:t>6.旧料归原主。</w:t>
            </w:r>
          </w:p>
        </w:tc>
      </w:tr>
      <w:tr w:rsidR="00A320E6" w14:paraId="53643DA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E15FE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290AB7"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CFA9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6C3E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乱石基、砖石墙、木结构斜坡瓦屋顶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0466C9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600-750元/m²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8C046AE" w14:textId="77777777" w:rsidR="00A320E6" w:rsidRDefault="00A320E6" w:rsidP="00AE0286">
            <w:pPr>
              <w:rPr>
                <w:rFonts w:ascii="宋体" w:hAnsi="宋体" w:cs="宋体"/>
                <w:color w:val="000000" w:themeColor="text1"/>
                <w:szCs w:val="21"/>
              </w:rPr>
            </w:pPr>
          </w:p>
        </w:tc>
      </w:tr>
      <w:tr w:rsidR="00A320E6" w14:paraId="430A488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79F061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B97DF1"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15B5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B16A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乱石基、砖石墙、水泥檩条斜坡瓦屋顶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76158C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550-700元/m²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C981FD8" w14:textId="77777777" w:rsidR="00A320E6" w:rsidRDefault="00A320E6" w:rsidP="00AE0286">
            <w:pPr>
              <w:rPr>
                <w:rFonts w:ascii="宋体" w:hAnsi="宋体" w:cs="宋体"/>
                <w:color w:val="000000" w:themeColor="text1"/>
                <w:szCs w:val="21"/>
              </w:rPr>
            </w:pPr>
          </w:p>
        </w:tc>
      </w:tr>
      <w:tr w:rsidR="00A320E6" w14:paraId="7C063D0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8C6F0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8D3F0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7F2B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83EE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砖墙、木樑檩平房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EC1589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700-800元/m²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A716A42" w14:textId="77777777" w:rsidR="00A320E6" w:rsidRDefault="00A320E6" w:rsidP="00AE0286">
            <w:pPr>
              <w:rPr>
                <w:rFonts w:ascii="宋体" w:hAnsi="宋体" w:cs="宋体"/>
                <w:color w:val="000000" w:themeColor="text1"/>
                <w:szCs w:val="21"/>
              </w:rPr>
            </w:pPr>
          </w:p>
        </w:tc>
      </w:tr>
      <w:tr w:rsidR="00A320E6" w14:paraId="44C72D4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660AB63"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9BA71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60B0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2C89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砖垛土墙、木樑檩平房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3952A2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350-500元/m²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C7F254F" w14:textId="77777777" w:rsidR="00A320E6" w:rsidRDefault="00A320E6" w:rsidP="00AE0286">
            <w:pPr>
              <w:rPr>
                <w:rFonts w:ascii="宋体" w:hAnsi="宋体" w:cs="宋体"/>
                <w:color w:val="000000" w:themeColor="text1"/>
                <w:szCs w:val="21"/>
              </w:rPr>
            </w:pPr>
          </w:p>
        </w:tc>
      </w:tr>
      <w:tr w:rsidR="00A320E6" w14:paraId="593C90A8"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21C88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15B510"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FE32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94B4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砖混结构厂房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2DA621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750-900元/m²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EF146FA" w14:textId="77777777" w:rsidR="00A320E6" w:rsidRDefault="00A320E6" w:rsidP="00AE0286">
            <w:pPr>
              <w:rPr>
                <w:rFonts w:ascii="宋体" w:hAnsi="宋体" w:cs="宋体"/>
                <w:color w:val="000000" w:themeColor="text1"/>
                <w:szCs w:val="21"/>
              </w:rPr>
            </w:pPr>
          </w:p>
        </w:tc>
      </w:tr>
      <w:tr w:rsidR="00A320E6" w14:paraId="628E88C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86517B"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F083FF"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49CD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1975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钢结构厂房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418613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600-750元/m²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6555445" w14:textId="77777777" w:rsidR="00A320E6" w:rsidRDefault="00A320E6" w:rsidP="00AE0286">
            <w:pPr>
              <w:rPr>
                <w:rFonts w:ascii="宋体" w:hAnsi="宋体" w:cs="宋体"/>
                <w:color w:val="000000" w:themeColor="text1"/>
                <w:szCs w:val="21"/>
              </w:rPr>
            </w:pPr>
          </w:p>
        </w:tc>
      </w:tr>
      <w:tr w:rsidR="00A320E6" w14:paraId="6267C0B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21E62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863D6E"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F7CB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FD3C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板房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2BBDFE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120-220元/m²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C8917ED" w14:textId="77777777" w:rsidR="00A320E6" w:rsidRDefault="00A320E6" w:rsidP="00AE0286">
            <w:pPr>
              <w:rPr>
                <w:rFonts w:ascii="宋体" w:hAnsi="宋体" w:cs="宋体"/>
                <w:color w:val="000000" w:themeColor="text1"/>
                <w:szCs w:val="21"/>
              </w:rPr>
            </w:pPr>
          </w:p>
        </w:tc>
      </w:tr>
      <w:tr w:rsidR="00A320E6" w14:paraId="4FFA491F"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159937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7BD5D0"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6574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EA93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变压器房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67E70D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BBB6ABB" w14:textId="77777777" w:rsidR="00A320E6" w:rsidRDefault="00A320E6" w:rsidP="00AE0286">
            <w:pPr>
              <w:rPr>
                <w:rFonts w:ascii="宋体" w:hAnsi="宋体" w:cs="宋体"/>
                <w:color w:val="000000" w:themeColor="text1"/>
                <w:szCs w:val="21"/>
              </w:rPr>
            </w:pPr>
          </w:p>
        </w:tc>
      </w:tr>
      <w:tr w:rsidR="00A320E6" w14:paraId="4F8110F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D40526"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D6694F"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2C1C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002F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机井房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71DE51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EA81C4" w14:textId="77777777" w:rsidR="00A320E6" w:rsidRDefault="00A320E6" w:rsidP="00AE0286">
            <w:pPr>
              <w:rPr>
                <w:rFonts w:ascii="宋体" w:hAnsi="宋体" w:cs="宋体"/>
                <w:color w:val="000000" w:themeColor="text1"/>
                <w:szCs w:val="21"/>
              </w:rPr>
            </w:pPr>
          </w:p>
        </w:tc>
      </w:tr>
      <w:tr w:rsidR="00A320E6" w14:paraId="0DAA728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73FE7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F5D9F1"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6F40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C859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瓷砖墙独立大门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F5DAB8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700-900元/m²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78B14D1" w14:textId="77777777" w:rsidR="00A320E6" w:rsidRDefault="00A320E6" w:rsidP="00AE0286">
            <w:pPr>
              <w:rPr>
                <w:rFonts w:ascii="宋体" w:hAnsi="宋体" w:cs="宋体"/>
                <w:color w:val="000000" w:themeColor="text1"/>
                <w:szCs w:val="21"/>
              </w:rPr>
            </w:pPr>
          </w:p>
        </w:tc>
      </w:tr>
      <w:tr w:rsidR="00A320E6" w14:paraId="30ACD2A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F8DF1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934FB9"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621E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08A5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带顶简易大门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03908F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150-230元/m²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71AF81B" w14:textId="77777777" w:rsidR="00A320E6" w:rsidRDefault="00A320E6" w:rsidP="00AE0286">
            <w:pPr>
              <w:rPr>
                <w:rFonts w:ascii="宋体" w:hAnsi="宋体" w:cs="宋体"/>
                <w:color w:val="000000" w:themeColor="text1"/>
                <w:szCs w:val="21"/>
              </w:rPr>
            </w:pPr>
          </w:p>
        </w:tc>
      </w:tr>
      <w:tr w:rsidR="00A320E6" w14:paraId="602EA3B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19A53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E3D4F7"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E0B8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D275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敞棚</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D9BF52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80-150元/m²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188EE5" w14:textId="77777777" w:rsidR="00A320E6" w:rsidRDefault="00A320E6" w:rsidP="00AE0286">
            <w:pPr>
              <w:rPr>
                <w:rFonts w:ascii="宋体" w:hAnsi="宋体" w:cs="宋体"/>
                <w:color w:val="000000" w:themeColor="text1"/>
                <w:szCs w:val="21"/>
              </w:rPr>
            </w:pPr>
          </w:p>
        </w:tc>
      </w:tr>
      <w:tr w:rsidR="00A320E6" w14:paraId="2F7635F1"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84C342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w:t>
            </w:r>
          </w:p>
          <w:p w14:paraId="1E795FE9"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6139D9"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围墙</w:t>
            </w:r>
          </w:p>
          <w:p w14:paraId="79F5094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0F12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F7C3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乱石基砖墙高2.5m以上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BAC51A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200-300元/m</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C50BB9"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1.迎门墙按墙面面积计算。</w:t>
            </w:r>
          </w:p>
          <w:p w14:paraId="7E5F7771"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2.旧料归原主。</w:t>
            </w:r>
          </w:p>
        </w:tc>
      </w:tr>
      <w:tr w:rsidR="00A320E6" w14:paraId="77D0B3D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003D2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381DB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9206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C828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乱石基砖墙高2-2.5m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2E86BF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150-260元/m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8253AB" w14:textId="77777777" w:rsidR="00A320E6" w:rsidRDefault="00A320E6" w:rsidP="00AE0286">
            <w:pPr>
              <w:rPr>
                <w:rFonts w:ascii="宋体" w:hAnsi="宋体" w:cs="宋体"/>
                <w:color w:val="000000" w:themeColor="text1"/>
                <w:szCs w:val="21"/>
              </w:rPr>
            </w:pPr>
          </w:p>
        </w:tc>
      </w:tr>
      <w:tr w:rsidR="00A320E6" w14:paraId="64F40A0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902E7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52C89E"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7433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B864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乱石基砖墙高1.5-2m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82C1D9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130-200元/m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7775EE" w14:textId="77777777" w:rsidR="00A320E6" w:rsidRDefault="00A320E6" w:rsidP="00AE0286">
            <w:pPr>
              <w:rPr>
                <w:rFonts w:ascii="宋体" w:hAnsi="宋体" w:cs="宋体"/>
                <w:color w:val="000000" w:themeColor="text1"/>
                <w:szCs w:val="21"/>
              </w:rPr>
            </w:pPr>
          </w:p>
        </w:tc>
      </w:tr>
      <w:tr w:rsidR="00A320E6" w14:paraId="5C8EDCE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31448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1D9E7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43AE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3A94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乱石基铁栅墙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161AC9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100-150元/m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27AFC5" w14:textId="77777777" w:rsidR="00A320E6" w:rsidRDefault="00A320E6" w:rsidP="00AE0286">
            <w:pPr>
              <w:rPr>
                <w:rFonts w:ascii="宋体" w:hAnsi="宋体" w:cs="宋体"/>
                <w:color w:val="000000" w:themeColor="text1"/>
                <w:szCs w:val="21"/>
              </w:rPr>
            </w:pPr>
          </w:p>
        </w:tc>
      </w:tr>
      <w:tr w:rsidR="00A320E6" w14:paraId="424E32C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FBD6212"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682E18"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D3BB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9A68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简易砖围墙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F65DC2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60-100元/m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BBF261" w14:textId="77777777" w:rsidR="00A320E6" w:rsidRDefault="00A320E6" w:rsidP="00AE0286">
            <w:pPr>
              <w:rPr>
                <w:rFonts w:ascii="宋体" w:hAnsi="宋体" w:cs="宋体"/>
                <w:color w:val="000000" w:themeColor="text1"/>
                <w:szCs w:val="21"/>
              </w:rPr>
            </w:pPr>
          </w:p>
        </w:tc>
      </w:tr>
      <w:tr w:rsidR="00A320E6" w14:paraId="47A79430"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FED75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97A5F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665D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CFD8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彩钢板墙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3D6445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0958FB" w14:textId="77777777" w:rsidR="00A320E6" w:rsidRDefault="00A320E6" w:rsidP="00AE0286">
            <w:pPr>
              <w:rPr>
                <w:rFonts w:ascii="宋体" w:hAnsi="宋体" w:cs="宋体"/>
                <w:color w:val="000000" w:themeColor="text1"/>
                <w:szCs w:val="21"/>
              </w:rPr>
            </w:pPr>
          </w:p>
        </w:tc>
      </w:tr>
      <w:tr w:rsidR="00A320E6" w14:paraId="3CE71B3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ECCAC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2C303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2E52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F0AD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钢丝网状墙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52F16D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15-25元/m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8B4BC9" w14:textId="77777777" w:rsidR="00A320E6" w:rsidRDefault="00A320E6" w:rsidP="00AE0286">
            <w:pPr>
              <w:rPr>
                <w:rFonts w:ascii="宋体" w:hAnsi="宋体" w:cs="宋体"/>
                <w:color w:val="000000" w:themeColor="text1"/>
                <w:szCs w:val="21"/>
              </w:rPr>
            </w:pPr>
          </w:p>
        </w:tc>
      </w:tr>
      <w:tr w:rsidR="00A320E6" w14:paraId="5BC09DD3"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0CB60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7AED260"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9857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10E5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迎门墙（砖混瓷瓦结构）</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760656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400-650元/m²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1F81BB" w14:textId="77777777" w:rsidR="00A320E6" w:rsidRDefault="00A320E6" w:rsidP="00AE0286">
            <w:pPr>
              <w:rPr>
                <w:rFonts w:ascii="宋体" w:hAnsi="宋体" w:cs="宋体"/>
                <w:color w:val="000000" w:themeColor="text1"/>
                <w:szCs w:val="21"/>
              </w:rPr>
            </w:pPr>
          </w:p>
        </w:tc>
      </w:tr>
      <w:tr w:rsidR="00A320E6" w14:paraId="5F08DA5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739F0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9A81D7D"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037B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6A30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迎门墙（砖简易结构）</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1090FD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150-200元/m²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B0C1D4" w14:textId="77777777" w:rsidR="00A320E6" w:rsidRDefault="00A320E6" w:rsidP="00AE0286">
            <w:pPr>
              <w:rPr>
                <w:rFonts w:ascii="宋体" w:hAnsi="宋体" w:cs="宋体"/>
                <w:color w:val="000000" w:themeColor="text1"/>
                <w:szCs w:val="21"/>
              </w:rPr>
            </w:pPr>
          </w:p>
        </w:tc>
      </w:tr>
      <w:tr w:rsidR="00A320E6" w14:paraId="47C9E89B"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AD7DB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7BDD41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畜禽舍</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D555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F90D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砖混结构</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0A3943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260-320元/m²</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E78F5B6"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1.高标准建设的畜禽舍可委托具有资质的机构进行评估确定。</w:t>
            </w:r>
          </w:p>
          <w:p w14:paraId="3177461F"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2.旧料归原主。</w:t>
            </w:r>
          </w:p>
        </w:tc>
      </w:tr>
      <w:tr w:rsidR="00A320E6" w14:paraId="2CFF1F2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7ED57E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75116D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660F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1DCC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钢混结构</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71FDFB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200-300元/m²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D54684" w14:textId="77777777" w:rsidR="00A320E6" w:rsidRDefault="00A320E6" w:rsidP="00AE0286">
            <w:pPr>
              <w:rPr>
                <w:rFonts w:ascii="宋体" w:hAnsi="宋体" w:cs="宋体"/>
                <w:color w:val="000000" w:themeColor="text1"/>
                <w:szCs w:val="21"/>
              </w:rPr>
            </w:pPr>
          </w:p>
        </w:tc>
      </w:tr>
      <w:tr w:rsidR="00A320E6" w14:paraId="44C9974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5AF5E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989DD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C5C2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75713" w14:textId="77777777" w:rsidR="00A320E6" w:rsidRDefault="00000000" w:rsidP="00AE0286">
            <w:pPr>
              <w:jc w:val="center"/>
              <w:textAlignment w:val="center"/>
              <w:rPr>
                <w:rFonts w:ascii="宋体" w:hAnsi="宋体" w:cs="宋体"/>
                <w:szCs w:val="21"/>
              </w:rPr>
            </w:pPr>
            <w:r>
              <w:rPr>
                <w:rFonts w:ascii="宋体" w:hAnsi="宋体" w:cs="宋体" w:hint="eastAsia"/>
                <w:kern w:val="0"/>
                <w:szCs w:val="21"/>
              </w:rPr>
              <w:t>简易结构</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5F43BC3" w14:textId="77777777" w:rsidR="00A320E6" w:rsidRDefault="00000000" w:rsidP="00AE0286">
            <w:pPr>
              <w:jc w:val="center"/>
              <w:textAlignment w:val="center"/>
              <w:rPr>
                <w:rFonts w:ascii="宋体" w:hAnsi="宋体" w:cs="宋体"/>
                <w:szCs w:val="21"/>
              </w:rPr>
            </w:pPr>
            <w:r>
              <w:rPr>
                <w:rFonts w:ascii="宋体" w:hAnsi="宋体" w:cs="宋体" w:hint="eastAsia"/>
                <w:kern w:val="0"/>
                <w:szCs w:val="21"/>
              </w:rPr>
              <w:t>80-130元/m²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A562BC" w14:textId="77777777" w:rsidR="00A320E6" w:rsidRDefault="00A320E6" w:rsidP="00AE0286">
            <w:pPr>
              <w:rPr>
                <w:rFonts w:ascii="宋体" w:hAnsi="宋体" w:cs="宋体"/>
                <w:color w:val="000000" w:themeColor="text1"/>
                <w:szCs w:val="21"/>
              </w:rPr>
            </w:pPr>
          </w:p>
        </w:tc>
      </w:tr>
      <w:tr w:rsidR="00A320E6" w14:paraId="4A2B686D" w14:textId="77777777" w:rsidTr="00621C83">
        <w:trPr>
          <w:trHeight w:val="312"/>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DFFA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5504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迁坟</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4BC5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ADAB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棺木、拾骨、骨灰盒</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946127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1800元/座</w:t>
            </w:r>
          </w:p>
        </w:tc>
        <w:tc>
          <w:tcPr>
            <w:tcW w:w="12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E8971" w14:textId="77777777" w:rsidR="00A320E6" w:rsidRDefault="00000000" w:rsidP="00AE0286">
            <w:pPr>
              <w:spacing w:line="240" w:lineRule="exact"/>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包括迁葬费、工料费等。</w:t>
            </w:r>
          </w:p>
        </w:tc>
      </w:tr>
      <w:tr w:rsidR="00A320E6" w14:paraId="5979339C"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E51F629" w14:textId="77777777" w:rsidR="00A320E6" w:rsidRDefault="00A320E6" w:rsidP="00AE0286">
            <w:pPr>
              <w:jc w:val="center"/>
              <w:textAlignment w:val="center"/>
              <w:rPr>
                <w:rFonts w:ascii="宋体" w:hAnsi="宋体" w:cs="宋体"/>
                <w:color w:val="000000" w:themeColor="text1"/>
                <w:kern w:val="0"/>
                <w:szCs w:val="21"/>
              </w:rPr>
            </w:pPr>
          </w:p>
          <w:p w14:paraId="295D778F" w14:textId="77777777" w:rsidR="00A320E6" w:rsidRDefault="00A320E6" w:rsidP="00AE0286">
            <w:pPr>
              <w:pStyle w:val="2"/>
            </w:pPr>
          </w:p>
          <w:p w14:paraId="01C07BC0" w14:textId="77777777" w:rsidR="00A320E6" w:rsidRDefault="00A320E6" w:rsidP="00AE0286">
            <w:pPr>
              <w:pStyle w:val="2"/>
            </w:pPr>
          </w:p>
          <w:p w14:paraId="50581D3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w:t>
            </w:r>
          </w:p>
          <w:p w14:paraId="5F657DC1" w14:textId="77777777" w:rsidR="00A320E6" w:rsidRDefault="00A320E6" w:rsidP="00AE0286">
            <w:pPr>
              <w:pStyle w:val="2"/>
            </w:pPr>
          </w:p>
          <w:p w14:paraId="53963D7D" w14:textId="77777777" w:rsidR="00A320E6" w:rsidRDefault="00A320E6" w:rsidP="00AE0286">
            <w:pPr>
              <w:pStyle w:val="2"/>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C1BF39" w14:textId="77777777" w:rsidR="00A320E6" w:rsidRDefault="00A320E6" w:rsidP="00AE0286">
            <w:pPr>
              <w:jc w:val="center"/>
              <w:textAlignment w:val="center"/>
              <w:rPr>
                <w:rFonts w:ascii="宋体" w:hAnsi="宋体" w:cs="宋体"/>
                <w:color w:val="000000" w:themeColor="text1"/>
                <w:kern w:val="0"/>
                <w:szCs w:val="21"/>
              </w:rPr>
            </w:pPr>
          </w:p>
          <w:p w14:paraId="34D1CD3E" w14:textId="77777777" w:rsidR="00A320E6" w:rsidRDefault="00A320E6" w:rsidP="00AE0286">
            <w:pPr>
              <w:pStyle w:val="2"/>
            </w:pPr>
          </w:p>
          <w:p w14:paraId="6FBB8DB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温室</w:t>
            </w:r>
          </w:p>
          <w:p w14:paraId="0938057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大棚</w:t>
            </w:r>
          </w:p>
          <w:p w14:paraId="453750D2" w14:textId="77777777" w:rsidR="00A320E6" w:rsidRDefault="00A320E6" w:rsidP="00AE0286">
            <w:pPr>
              <w:pStyle w:val="2"/>
            </w:pPr>
          </w:p>
          <w:p w14:paraId="76245BE8" w14:textId="77777777" w:rsidR="00A320E6" w:rsidRDefault="00A320E6" w:rsidP="00AE0286">
            <w:pPr>
              <w:pStyle w:val="2"/>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6C86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2A0F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钢、砼骨架、玻璃顶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D04CD5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200-300元/m²</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728C6"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1.不包括棚内作物补偿。</w:t>
            </w:r>
          </w:p>
          <w:p w14:paraId="00F41291"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2.同类别的补偿标准按新旧程度在补偿标准区间适当调整。</w:t>
            </w:r>
          </w:p>
          <w:p w14:paraId="2E79080A"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3.按占地面积计算。</w:t>
            </w:r>
          </w:p>
          <w:p w14:paraId="7436266C"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kern w:val="0"/>
                <w:szCs w:val="21"/>
              </w:rPr>
              <w:t>4.废弃的或不能使用的大棚按照标准的低限的一定比例进行补偿，最高不超过最低补偿标准的50%。</w:t>
            </w:r>
          </w:p>
          <w:p w14:paraId="5C6CEAD1"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5.旧料归原主。</w:t>
            </w:r>
          </w:p>
        </w:tc>
      </w:tr>
      <w:tr w:rsidR="00A320E6" w14:paraId="3AC71A7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BDBFC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73733D"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8B03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E267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钢、砼骨架、塑料顶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E87A62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100-150元/m²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4FE4C6F" w14:textId="77777777" w:rsidR="00A320E6" w:rsidRDefault="00A320E6" w:rsidP="00AE0286">
            <w:pPr>
              <w:rPr>
                <w:rFonts w:ascii="宋体" w:hAnsi="宋体" w:cs="宋体"/>
                <w:color w:val="000000" w:themeColor="text1"/>
                <w:szCs w:val="21"/>
              </w:rPr>
            </w:pPr>
          </w:p>
        </w:tc>
      </w:tr>
      <w:tr w:rsidR="00A320E6" w14:paraId="77243DB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4FF0E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DA5A7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D3AB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21A6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钢、木骨架、塑料顶</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BCCBE4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50-120元/m²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8ACC591" w14:textId="77777777" w:rsidR="00A320E6" w:rsidRDefault="00A320E6" w:rsidP="00AE0286">
            <w:pPr>
              <w:rPr>
                <w:rFonts w:ascii="宋体" w:hAnsi="宋体" w:cs="宋体"/>
                <w:color w:val="000000" w:themeColor="text1"/>
                <w:szCs w:val="21"/>
              </w:rPr>
            </w:pPr>
          </w:p>
        </w:tc>
      </w:tr>
      <w:tr w:rsidR="00A320E6" w14:paraId="1A9C6D4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6080D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3C104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9288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318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冬暖式、塑料薄膜棚</w:t>
            </w:r>
          </w:p>
          <w:p w14:paraId="156A5B3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（土墙）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C393B6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70-100元/m²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AA86E4E" w14:textId="77777777" w:rsidR="00A320E6" w:rsidRDefault="00A320E6" w:rsidP="00AE0286">
            <w:pPr>
              <w:rPr>
                <w:rFonts w:ascii="宋体" w:hAnsi="宋体" w:cs="宋体"/>
                <w:color w:val="000000" w:themeColor="text1"/>
                <w:szCs w:val="21"/>
              </w:rPr>
            </w:pPr>
          </w:p>
        </w:tc>
      </w:tr>
      <w:tr w:rsidR="00A320E6" w14:paraId="0636669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19B09B"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992CC2"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6F17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9ED5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冬暖式、塑料薄膜棚</w:t>
            </w:r>
          </w:p>
          <w:p w14:paraId="2392382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（砖混墙）</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B8045E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100-150元/m²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30732D8" w14:textId="77777777" w:rsidR="00A320E6" w:rsidRDefault="00A320E6" w:rsidP="00AE0286">
            <w:pPr>
              <w:rPr>
                <w:rFonts w:ascii="宋体" w:hAnsi="宋体" w:cs="宋体"/>
                <w:color w:val="000000" w:themeColor="text1"/>
                <w:szCs w:val="21"/>
              </w:rPr>
            </w:pPr>
          </w:p>
        </w:tc>
      </w:tr>
      <w:tr w:rsidR="00A320E6" w14:paraId="36FBCE3E"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00A1AF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BAA3AB"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5BAD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E0DF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竹骨架拱棚宽度3m以上、高度1.5m以上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9EAB59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20-40元/m²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C453B2B" w14:textId="77777777" w:rsidR="00A320E6" w:rsidRDefault="00A320E6" w:rsidP="00AE0286">
            <w:pPr>
              <w:rPr>
                <w:rFonts w:ascii="宋体" w:hAnsi="宋体" w:cs="宋体"/>
                <w:color w:val="000000" w:themeColor="text1"/>
                <w:szCs w:val="21"/>
              </w:rPr>
            </w:pPr>
          </w:p>
        </w:tc>
      </w:tr>
      <w:tr w:rsidR="00A320E6" w14:paraId="1FEDF5E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23F07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CD248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F2F7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D2C78" w14:textId="77777777" w:rsidR="00A320E6" w:rsidRDefault="00000000" w:rsidP="00621C83">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竹骨架拱棚宽度3m以下、高度1.5m以下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02FC69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12-30元/m²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E193C0" w14:textId="77777777" w:rsidR="00A320E6" w:rsidRDefault="00A320E6" w:rsidP="00AE0286">
            <w:pPr>
              <w:rPr>
                <w:rFonts w:ascii="宋体" w:hAnsi="宋体" w:cs="宋体"/>
                <w:color w:val="000000" w:themeColor="text1"/>
                <w:szCs w:val="21"/>
              </w:rPr>
            </w:pPr>
          </w:p>
        </w:tc>
      </w:tr>
      <w:tr w:rsidR="00A320E6" w14:paraId="07A3FF3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FE9D5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0E7F6D0"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47756" w14:textId="77777777" w:rsidR="00A320E6" w:rsidRDefault="00000000" w:rsidP="00AE0286">
            <w:pPr>
              <w:jc w:val="center"/>
              <w:textAlignment w:val="top"/>
              <w:rPr>
                <w:rFonts w:ascii="宋体" w:hAnsi="宋体" w:cs="宋体"/>
                <w:color w:val="000000" w:themeColor="text1"/>
                <w:kern w:val="0"/>
                <w:szCs w:val="21"/>
              </w:rPr>
            </w:pPr>
            <w:r>
              <w:rPr>
                <w:rFonts w:ascii="宋体" w:hAnsi="宋体" w:cs="宋体" w:hint="eastAsia"/>
                <w:color w:val="000000" w:themeColor="text1"/>
                <w:kern w:val="0"/>
                <w:szCs w:val="21"/>
              </w:rPr>
              <w:t>34</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7692D5C3" w14:textId="77777777" w:rsidR="00A320E6" w:rsidRDefault="00000000" w:rsidP="00621C83">
            <w:pPr>
              <w:jc w:val="center"/>
              <w:textAlignment w:val="top"/>
              <w:rPr>
                <w:rFonts w:ascii="宋体" w:hAnsi="宋体" w:cs="宋体"/>
                <w:color w:val="000000" w:themeColor="text1"/>
                <w:szCs w:val="21"/>
              </w:rPr>
            </w:pPr>
            <w:r>
              <w:rPr>
                <w:rFonts w:ascii="宋体" w:hAnsi="宋体" w:cs="宋体" w:hint="eastAsia"/>
                <w:color w:val="000000" w:themeColor="text1"/>
                <w:kern w:val="0"/>
                <w:szCs w:val="21"/>
              </w:rPr>
              <w:t>拱棚（钢管高4m以上）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A1F8A87" w14:textId="77777777" w:rsidR="00A320E6" w:rsidRDefault="00000000" w:rsidP="00AE0286">
            <w:pPr>
              <w:jc w:val="center"/>
              <w:textAlignment w:val="center"/>
              <w:rPr>
                <w:rFonts w:ascii="宋体" w:hAnsi="宋体" w:cs="宋体"/>
                <w:kern w:val="0"/>
                <w:szCs w:val="21"/>
              </w:rPr>
            </w:pPr>
            <w:r>
              <w:rPr>
                <w:rFonts w:ascii="宋体" w:hAnsi="宋体" w:cs="宋体" w:hint="eastAsia"/>
                <w:kern w:val="0"/>
                <w:szCs w:val="21"/>
              </w:rPr>
              <w:t>40-80元/m²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7126471" w14:textId="77777777" w:rsidR="00A320E6" w:rsidRDefault="00A320E6" w:rsidP="00AE0286">
            <w:pPr>
              <w:rPr>
                <w:rFonts w:ascii="宋体" w:hAnsi="宋体" w:cs="宋体"/>
                <w:color w:val="000000" w:themeColor="text1"/>
                <w:szCs w:val="21"/>
              </w:rPr>
            </w:pPr>
          </w:p>
        </w:tc>
      </w:tr>
      <w:tr w:rsidR="00A320E6" w14:paraId="79116AA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82DBB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33C32F"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3DBC3" w14:textId="77777777" w:rsidR="00A320E6" w:rsidRDefault="00000000" w:rsidP="00AE0286">
            <w:pPr>
              <w:jc w:val="center"/>
              <w:textAlignment w:val="top"/>
              <w:rPr>
                <w:rFonts w:ascii="宋体" w:hAnsi="宋体" w:cs="宋体"/>
                <w:color w:val="000000" w:themeColor="text1"/>
                <w:kern w:val="0"/>
                <w:szCs w:val="21"/>
              </w:rPr>
            </w:pPr>
            <w:r>
              <w:rPr>
                <w:rFonts w:ascii="宋体" w:hAnsi="宋体" w:cs="宋体" w:hint="eastAsia"/>
                <w:color w:val="000000" w:themeColor="text1"/>
                <w:kern w:val="0"/>
                <w:szCs w:val="21"/>
              </w:rPr>
              <w:t>35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2A27AB8" w14:textId="77777777" w:rsidR="00A320E6" w:rsidRDefault="00000000" w:rsidP="00621C83">
            <w:pPr>
              <w:jc w:val="center"/>
              <w:textAlignment w:val="top"/>
              <w:rPr>
                <w:rFonts w:ascii="宋体" w:hAnsi="宋体" w:cs="宋体"/>
                <w:color w:val="000000" w:themeColor="text1"/>
                <w:szCs w:val="21"/>
              </w:rPr>
            </w:pPr>
            <w:r>
              <w:rPr>
                <w:rFonts w:ascii="宋体" w:hAnsi="宋体" w:cs="宋体" w:hint="eastAsia"/>
                <w:color w:val="000000" w:themeColor="text1"/>
                <w:kern w:val="0"/>
                <w:szCs w:val="21"/>
              </w:rPr>
              <w:t>拱棚（钢管高4m以下）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E4AA521" w14:textId="77777777" w:rsidR="00A320E6" w:rsidRDefault="00000000" w:rsidP="00AE0286">
            <w:pPr>
              <w:jc w:val="center"/>
              <w:textAlignment w:val="center"/>
              <w:rPr>
                <w:rFonts w:ascii="宋体" w:hAnsi="宋体" w:cs="宋体"/>
                <w:kern w:val="0"/>
                <w:szCs w:val="21"/>
              </w:rPr>
            </w:pPr>
            <w:r>
              <w:rPr>
                <w:rFonts w:ascii="宋体" w:hAnsi="宋体" w:cs="宋体" w:hint="eastAsia"/>
                <w:kern w:val="0"/>
                <w:szCs w:val="21"/>
              </w:rPr>
              <w:t>30-60元/m²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0ADDD59" w14:textId="77777777" w:rsidR="00A320E6" w:rsidRDefault="00A320E6" w:rsidP="00AE0286">
            <w:pPr>
              <w:rPr>
                <w:rFonts w:ascii="宋体" w:hAnsi="宋体" w:cs="宋体"/>
                <w:color w:val="000000" w:themeColor="text1"/>
                <w:szCs w:val="21"/>
              </w:rPr>
            </w:pPr>
          </w:p>
        </w:tc>
      </w:tr>
      <w:tr w:rsidR="00A320E6" w14:paraId="737B476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34B7B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79EDA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E321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5BA2F" w14:textId="77777777" w:rsidR="00A320E6" w:rsidRDefault="00000000" w:rsidP="00621C83">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简易拱棚</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1F47EA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12元/m²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BAAD35C" w14:textId="77777777" w:rsidR="00A320E6" w:rsidRDefault="00A320E6" w:rsidP="00AE0286">
            <w:pPr>
              <w:rPr>
                <w:rFonts w:ascii="宋体" w:hAnsi="宋体" w:cs="宋体"/>
                <w:color w:val="000000" w:themeColor="text1"/>
                <w:szCs w:val="21"/>
              </w:rPr>
            </w:pPr>
          </w:p>
        </w:tc>
      </w:tr>
      <w:tr w:rsidR="00A320E6" w14:paraId="172446D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6F82E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FE9AA2"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F1F3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CEC60" w14:textId="77777777" w:rsidR="00A320E6" w:rsidRDefault="00000000" w:rsidP="00621C83">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自动卷帘机</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E64FA9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300元/个</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2EE32EB" w14:textId="77777777" w:rsidR="00A320E6" w:rsidRDefault="00A320E6" w:rsidP="00AE0286">
            <w:pPr>
              <w:rPr>
                <w:rFonts w:ascii="宋体" w:hAnsi="宋体" w:cs="宋体"/>
                <w:color w:val="000000" w:themeColor="text1"/>
                <w:szCs w:val="21"/>
              </w:rPr>
            </w:pPr>
          </w:p>
        </w:tc>
      </w:tr>
      <w:tr w:rsidR="00A320E6" w14:paraId="24486083"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BDE43E" w14:textId="77777777" w:rsidR="00A320E6" w:rsidRDefault="00A320E6" w:rsidP="00AE0286">
            <w:pPr>
              <w:jc w:val="center"/>
              <w:textAlignment w:val="center"/>
              <w:rPr>
                <w:rFonts w:ascii="宋体" w:hAnsi="宋体" w:cs="宋体"/>
                <w:color w:val="000000" w:themeColor="text1"/>
                <w:kern w:val="0"/>
                <w:szCs w:val="21"/>
              </w:rPr>
            </w:pPr>
          </w:p>
          <w:p w14:paraId="40EA055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w:t>
            </w:r>
          </w:p>
          <w:p w14:paraId="6CDB2315" w14:textId="77777777" w:rsidR="00A320E6" w:rsidRDefault="00A320E6" w:rsidP="00AE0286">
            <w:pPr>
              <w:pStyle w:val="2"/>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DDC5FB" w14:textId="77777777" w:rsidR="00A320E6" w:rsidRDefault="00A320E6" w:rsidP="00AE0286">
            <w:pPr>
              <w:jc w:val="center"/>
              <w:textAlignment w:val="center"/>
              <w:rPr>
                <w:rFonts w:ascii="宋体" w:hAnsi="宋体" w:cs="宋体"/>
                <w:color w:val="000000" w:themeColor="text1"/>
                <w:kern w:val="0"/>
                <w:szCs w:val="21"/>
              </w:rPr>
            </w:pPr>
          </w:p>
          <w:p w14:paraId="3000F0A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小桥</w:t>
            </w:r>
          </w:p>
          <w:p w14:paraId="2F1CC83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939B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7547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钢筋混凝土矩形板桥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B1FCA7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1400-2000元/m²</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A73FD3"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按桥面面积计算。</w:t>
            </w:r>
          </w:p>
        </w:tc>
      </w:tr>
      <w:tr w:rsidR="00A320E6" w14:paraId="3A35D29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AB59C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3A01F7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472A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F104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平坦石拱桥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7F0B36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800-1200元/m²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1EA1E7" w14:textId="77777777" w:rsidR="00A320E6" w:rsidRDefault="00A320E6" w:rsidP="00AE0286">
            <w:pPr>
              <w:rPr>
                <w:rFonts w:ascii="宋体" w:hAnsi="宋体" w:cs="宋体"/>
                <w:color w:val="000000" w:themeColor="text1"/>
                <w:szCs w:val="21"/>
              </w:rPr>
            </w:pPr>
          </w:p>
        </w:tc>
      </w:tr>
      <w:tr w:rsidR="00A320E6" w14:paraId="05F91A63"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DCC31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36550D"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9B6E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B8ED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平坦砖拱桥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8C2D74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500-800元/m²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C948C2" w14:textId="77777777" w:rsidR="00A320E6" w:rsidRDefault="00A320E6" w:rsidP="00AE0286">
            <w:pPr>
              <w:rPr>
                <w:rFonts w:ascii="宋体" w:hAnsi="宋体" w:cs="宋体"/>
                <w:color w:val="000000" w:themeColor="text1"/>
                <w:szCs w:val="21"/>
              </w:rPr>
            </w:pPr>
          </w:p>
        </w:tc>
      </w:tr>
      <w:tr w:rsidR="00A320E6" w14:paraId="16198DD3"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760E9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1BCE9E"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2499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EA0B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石拱桥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8486B6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1600-1800元/m²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4DA0AB" w14:textId="77777777" w:rsidR="00A320E6" w:rsidRDefault="00A320E6" w:rsidP="00AE0286">
            <w:pPr>
              <w:rPr>
                <w:rFonts w:ascii="宋体" w:hAnsi="宋体" w:cs="宋体"/>
                <w:color w:val="000000" w:themeColor="text1"/>
                <w:szCs w:val="21"/>
              </w:rPr>
            </w:pPr>
          </w:p>
        </w:tc>
      </w:tr>
      <w:tr w:rsidR="00A320E6" w14:paraId="7B8E729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6298F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A940ABB"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CACA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790B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砖拱桥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8E718A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1000-1200元/m²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AA1257" w14:textId="77777777" w:rsidR="00A320E6" w:rsidRDefault="00A320E6" w:rsidP="00AE0286">
            <w:pPr>
              <w:rPr>
                <w:rFonts w:ascii="宋体" w:hAnsi="宋体" w:cs="宋体"/>
                <w:color w:val="000000" w:themeColor="text1"/>
                <w:szCs w:val="21"/>
              </w:rPr>
            </w:pPr>
          </w:p>
        </w:tc>
      </w:tr>
      <w:tr w:rsidR="00A320E6" w14:paraId="5D4B9E3F"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CFD72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A7E2FE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0ECA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4FD1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简易桥</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4EF585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D1DDA46" w14:textId="77777777" w:rsidR="00A320E6" w:rsidRDefault="00A320E6" w:rsidP="00AE0286">
            <w:pPr>
              <w:rPr>
                <w:rFonts w:ascii="宋体" w:hAnsi="宋体" w:cs="宋体"/>
                <w:color w:val="000000" w:themeColor="text1"/>
                <w:szCs w:val="21"/>
              </w:rPr>
            </w:pPr>
          </w:p>
        </w:tc>
      </w:tr>
      <w:tr w:rsidR="00A320E6" w14:paraId="60526A28"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902C987" w14:textId="77777777" w:rsidR="00A320E6" w:rsidRDefault="00A320E6" w:rsidP="00AE0286">
            <w:pPr>
              <w:jc w:val="center"/>
              <w:textAlignment w:val="center"/>
              <w:rPr>
                <w:rFonts w:ascii="宋体" w:hAnsi="宋体" w:cs="宋体"/>
                <w:color w:val="000000" w:themeColor="text1"/>
                <w:kern w:val="0"/>
                <w:szCs w:val="21"/>
              </w:rPr>
            </w:pPr>
          </w:p>
          <w:p w14:paraId="3AFA167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w:t>
            </w:r>
          </w:p>
          <w:p w14:paraId="273B8AB9" w14:textId="77777777" w:rsidR="00A320E6" w:rsidRDefault="00A320E6" w:rsidP="00AE0286">
            <w:pPr>
              <w:pStyle w:val="2"/>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45B25A" w14:textId="77777777" w:rsidR="00A320E6" w:rsidRDefault="00A320E6" w:rsidP="00AE0286">
            <w:pPr>
              <w:jc w:val="center"/>
              <w:textAlignment w:val="center"/>
              <w:rPr>
                <w:rFonts w:ascii="宋体" w:hAnsi="宋体" w:cs="宋体"/>
                <w:color w:val="000000" w:themeColor="text1"/>
                <w:kern w:val="0"/>
                <w:szCs w:val="21"/>
              </w:rPr>
            </w:pPr>
          </w:p>
          <w:p w14:paraId="36D7E3B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涵洞</w:t>
            </w:r>
          </w:p>
          <w:p w14:paraId="1346AB3C"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3DD8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6A83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石盖板涵跨径1-2m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49FF87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600-1000元/m</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80C70DC" w14:textId="77777777" w:rsidR="00A320E6" w:rsidRDefault="00A320E6" w:rsidP="00AE0286">
            <w:pPr>
              <w:jc w:val="left"/>
              <w:textAlignment w:val="center"/>
              <w:rPr>
                <w:rFonts w:ascii="宋体" w:hAnsi="宋体" w:cs="宋体"/>
                <w:color w:val="000000" w:themeColor="text1"/>
                <w:szCs w:val="21"/>
              </w:rPr>
            </w:pPr>
          </w:p>
        </w:tc>
      </w:tr>
      <w:tr w:rsidR="00A320E6" w14:paraId="76F6389F"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BF704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421A6B"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C6C8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CB2A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石盖板涵跨径2m以上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0BEF70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1000-1200元/m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916B3A2" w14:textId="77777777" w:rsidR="00A320E6" w:rsidRDefault="00A320E6" w:rsidP="00AE0286">
            <w:pPr>
              <w:rPr>
                <w:rFonts w:ascii="宋体" w:hAnsi="宋体" w:cs="宋体"/>
                <w:color w:val="000000" w:themeColor="text1"/>
                <w:szCs w:val="21"/>
              </w:rPr>
            </w:pPr>
          </w:p>
        </w:tc>
      </w:tr>
      <w:tr w:rsidR="00A320E6" w14:paraId="4B38795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E725D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4A2BF1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961A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3C8A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石拱涵跨径1-4m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3E6E84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1800-2600元/m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6A75DC" w14:textId="77777777" w:rsidR="00A320E6" w:rsidRDefault="00A320E6" w:rsidP="00AE0286">
            <w:pPr>
              <w:rPr>
                <w:rFonts w:ascii="宋体" w:hAnsi="宋体" w:cs="宋体"/>
                <w:color w:val="000000" w:themeColor="text1"/>
                <w:szCs w:val="21"/>
              </w:rPr>
            </w:pPr>
          </w:p>
        </w:tc>
      </w:tr>
      <w:tr w:rsidR="00A320E6" w14:paraId="7A4B841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94320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51446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A5D9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6385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石拱涵跨径4m以上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3CC0F1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2600-3000元/m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6BA2A5" w14:textId="77777777" w:rsidR="00A320E6" w:rsidRDefault="00A320E6" w:rsidP="00AE0286">
            <w:pPr>
              <w:rPr>
                <w:rFonts w:ascii="宋体" w:hAnsi="宋体" w:cs="宋体"/>
                <w:color w:val="000000" w:themeColor="text1"/>
                <w:szCs w:val="21"/>
              </w:rPr>
            </w:pPr>
          </w:p>
        </w:tc>
      </w:tr>
      <w:tr w:rsidR="00A320E6" w14:paraId="754031E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17FCC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49AA53"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7FCE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F1AF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钢筋混凝土圆管涵跨径1-2m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6C9594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1500-2000元/m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72EECF" w14:textId="77777777" w:rsidR="00A320E6" w:rsidRDefault="00A320E6" w:rsidP="00AE0286">
            <w:pPr>
              <w:rPr>
                <w:rFonts w:ascii="宋体" w:hAnsi="宋体" w:cs="宋体"/>
                <w:color w:val="000000" w:themeColor="text1"/>
                <w:szCs w:val="21"/>
              </w:rPr>
            </w:pPr>
          </w:p>
        </w:tc>
      </w:tr>
      <w:tr w:rsidR="00A320E6" w14:paraId="1E38FC7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C70EF6"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95B515"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0A59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C9BB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spacing w:val="-20"/>
                <w:kern w:val="0"/>
                <w:szCs w:val="21"/>
              </w:rPr>
              <w:t>钢筋混凝土圆管涵跨径2m以上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F1DCFC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2200元/m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BA115E" w14:textId="77777777" w:rsidR="00A320E6" w:rsidRDefault="00A320E6" w:rsidP="00AE0286">
            <w:pPr>
              <w:rPr>
                <w:rFonts w:ascii="宋体" w:hAnsi="宋体" w:cs="宋体"/>
                <w:color w:val="000000" w:themeColor="text1"/>
                <w:szCs w:val="21"/>
              </w:rPr>
            </w:pPr>
          </w:p>
        </w:tc>
      </w:tr>
      <w:tr w:rsidR="00A320E6" w14:paraId="377E789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B3A5FB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7693F8"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77C8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1A61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钢筋砼盖板涵跨径1.5-4m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D1E29D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1500-1800元/m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37A9EC" w14:textId="77777777" w:rsidR="00A320E6" w:rsidRDefault="00A320E6" w:rsidP="00AE0286">
            <w:pPr>
              <w:rPr>
                <w:rFonts w:ascii="宋体" w:hAnsi="宋体" w:cs="宋体"/>
                <w:color w:val="000000" w:themeColor="text1"/>
                <w:szCs w:val="21"/>
              </w:rPr>
            </w:pPr>
          </w:p>
        </w:tc>
      </w:tr>
      <w:tr w:rsidR="00A320E6" w14:paraId="10C02761"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E5C32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7C77C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BC12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D769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钢筋砼盖板涵跨径4m以上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7BB6A0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DE7877" w14:textId="77777777" w:rsidR="00A320E6" w:rsidRDefault="00A320E6" w:rsidP="00AE0286">
            <w:pPr>
              <w:rPr>
                <w:rFonts w:ascii="宋体" w:hAnsi="宋体" w:cs="宋体"/>
                <w:color w:val="000000" w:themeColor="text1"/>
                <w:szCs w:val="21"/>
              </w:rPr>
            </w:pPr>
          </w:p>
        </w:tc>
      </w:tr>
      <w:tr w:rsidR="00A320E6" w14:paraId="234DBB50"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B365EB" w14:textId="77777777" w:rsidR="00A320E6" w:rsidRDefault="00A320E6" w:rsidP="00AE0286">
            <w:pPr>
              <w:jc w:val="center"/>
              <w:textAlignment w:val="center"/>
              <w:rPr>
                <w:rFonts w:ascii="宋体" w:hAnsi="宋体" w:cs="宋体"/>
                <w:color w:val="000000" w:themeColor="text1"/>
                <w:kern w:val="0"/>
                <w:szCs w:val="21"/>
              </w:rPr>
            </w:pPr>
          </w:p>
          <w:p w14:paraId="1B59AC4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w:t>
            </w:r>
          </w:p>
          <w:p w14:paraId="5A32292E"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62B54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水渠、水池</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26B3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917A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砖石砌水渠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3BDD56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60-80元/m</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B0F256"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水池、水渠根据宽度和深度在区间范围内适当调整价格。</w:t>
            </w:r>
          </w:p>
        </w:tc>
      </w:tr>
      <w:tr w:rsidR="00A320E6" w14:paraId="4E8795B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17BF6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15EBD7"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57DD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92F5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U型渠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25A0A1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70-90元/m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16335" w14:textId="77777777" w:rsidR="00A320E6" w:rsidRDefault="00A320E6" w:rsidP="00AE0286">
            <w:pPr>
              <w:rPr>
                <w:rFonts w:ascii="宋体" w:hAnsi="宋体" w:cs="宋体"/>
                <w:color w:val="000000" w:themeColor="text1"/>
                <w:szCs w:val="21"/>
              </w:rPr>
            </w:pPr>
          </w:p>
        </w:tc>
      </w:tr>
      <w:tr w:rsidR="00A320E6" w14:paraId="7FB89EE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8830F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CACA7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54E0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F61D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砖石砌水池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B698C9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120-170元/m³</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B442126" w14:textId="77777777" w:rsidR="00A320E6" w:rsidRDefault="00A320E6" w:rsidP="00AE0286">
            <w:pPr>
              <w:rPr>
                <w:rFonts w:ascii="宋体" w:hAnsi="宋体" w:cs="宋体"/>
                <w:color w:val="000000" w:themeColor="text1"/>
                <w:szCs w:val="21"/>
              </w:rPr>
            </w:pPr>
          </w:p>
        </w:tc>
      </w:tr>
      <w:tr w:rsidR="00A320E6" w14:paraId="69ECCF6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B4AD3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65810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3BAE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6870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PVC管（灌溉）</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6A750E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18-24元/m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BD80962" w14:textId="77777777" w:rsidR="00A320E6" w:rsidRDefault="00A320E6" w:rsidP="00AE0286">
            <w:pPr>
              <w:rPr>
                <w:rFonts w:ascii="宋体" w:hAnsi="宋体" w:cs="宋体"/>
                <w:color w:val="000000" w:themeColor="text1"/>
                <w:szCs w:val="21"/>
              </w:rPr>
            </w:pPr>
          </w:p>
        </w:tc>
      </w:tr>
      <w:tr w:rsidR="00A320E6" w14:paraId="4D64F10A"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DDF50B" w14:textId="77777777" w:rsidR="00A320E6" w:rsidRDefault="00A320E6" w:rsidP="00AE0286">
            <w:pPr>
              <w:jc w:val="center"/>
              <w:textAlignment w:val="center"/>
              <w:rPr>
                <w:rFonts w:ascii="宋体" w:hAnsi="宋体" w:cs="宋体"/>
                <w:color w:val="000000" w:themeColor="text1"/>
                <w:kern w:val="0"/>
                <w:szCs w:val="21"/>
              </w:rPr>
            </w:pPr>
          </w:p>
          <w:p w14:paraId="2A0E712D" w14:textId="77777777" w:rsidR="00A320E6" w:rsidRDefault="00A320E6" w:rsidP="00AE0286">
            <w:pPr>
              <w:pStyle w:val="2"/>
            </w:pPr>
          </w:p>
          <w:p w14:paraId="07189E7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9</w:t>
            </w:r>
          </w:p>
          <w:p w14:paraId="56833FBF" w14:textId="77777777" w:rsidR="00A320E6" w:rsidRDefault="00A320E6" w:rsidP="00AE0286">
            <w:pPr>
              <w:pStyle w:val="2"/>
            </w:pPr>
          </w:p>
          <w:p w14:paraId="04317568" w14:textId="77777777" w:rsidR="00A320E6" w:rsidRDefault="00A320E6" w:rsidP="00AE0286">
            <w:pPr>
              <w:pStyle w:val="2"/>
            </w:pPr>
          </w:p>
          <w:p w14:paraId="7871C349" w14:textId="77777777" w:rsidR="00A320E6" w:rsidRDefault="00A320E6" w:rsidP="00AE0286">
            <w:pPr>
              <w:pStyle w:val="2"/>
            </w:pPr>
          </w:p>
          <w:p w14:paraId="3F5DC3AD" w14:textId="77777777" w:rsidR="00A320E6" w:rsidRDefault="00A320E6" w:rsidP="00AE0286">
            <w:pPr>
              <w:ind w:leftChars="-67" w:left="-17" w:hangingChars="59" w:hanging="124"/>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B289CF1" w14:textId="77777777" w:rsidR="00A320E6" w:rsidRDefault="00A320E6" w:rsidP="00AE0286">
            <w:pPr>
              <w:jc w:val="center"/>
              <w:textAlignment w:val="center"/>
              <w:rPr>
                <w:rFonts w:ascii="宋体" w:hAnsi="宋体" w:cs="宋体"/>
                <w:color w:val="000000" w:themeColor="text1"/>
                <w:kern w:val="0"/>
                <w:szCs w:val="21"/>
              </w:rPr>
            </w:pPr>
          </w:p>
          <w:p w14:paraId="30197BE7" w14:textId="77777777" w:rsidR="00A320E6" w:rsidRDefault="00A320E6" w:rsidP="00AE0286">
            <w:pPr>
              <w:pStyle w:val="2"/>
            </w:pPr>
          </w:p>
          <w:p w14:paraId="5CB3292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水井</w:t>
            </w:r>
          </w:p>
          <w:p w14:paraId="603EAE02" w14:textId="77777777" w:rsidR="00A320E6" w:rsidRDefault="00A320E6" w:rsidP="00AE0286">
            <w:pPr>
              <w:pStyle w:val="2"/>
            </w:pPr>
          </w:p>
          <w:p w14:paraId="5FA671B2" w14:textId="77777777" w:rsidR="00A320E6" w:rsidRDefault="00A320E6" w:rsidP="00AE0286">
            <w:pPr>
              <w:pStyle w:val="2"/>
            </w:pPr>
          </w:p>
          <w:p w14:paraId="0F6493E2" w14:textId="77777777" w:rsidR="00A320E6" w:rsidRDefault="00A320E6" w:rsidP="00AE0286">
            <w:pPr>
              <w:pStyle w:val="2"/>
            </w:pPr>
          </w:p>
          <w:p w14:paraId="2089ECE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1AB9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1762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压水井</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28DD6D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300元/眼</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788DF6"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1.水井补偿包括开凿工程、用料及用工等费用。</w:t>
            </w:r>
          </w:p>
          <w:p w14:paraId="39EB009E"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2.钢管井、铸铁管井、钢筋混凝土管井、无砂混凝土管井（砂管井）、塑料管井均属于机井。</w:t>
            </w:r>
          </w:p>
          <w:p w14:paraId="0783769B"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3.各类机井对应井管管材种类、内直径、机井深度计算补偿标准。</w:t>
            </w:r>
          </w:p>
          <w:p w14:paraId="5969DD8B" w14:textId="77777777" w:rsidR="00A320E6" w:rsidRDefault="00000000" w:rsidP="00AE0286">
            <w:pPr>
              <w:jc w:val="left"/>
              <w:textAlignment w:val="center"/>
              <w:rPr>
                <w:rFonts w:ascii="宋体" w:hAnsi="宋体" w:cs="宋体"/>
                <w:szCs w:val="21"/>
              </w:rPr>
            </w:pPr>
            <w:r>
              <w:rPr>
                <w:rFonts w:ascii="宋体" w:hAnsi="宋体" w:cs="宋体" w:hint="eastAsia"/>
                <w:color w:val="000000" w:themeColor="text1"/>
                <w:kern w:val="0"/>
                <w:szCs w:val="21"/>
              </w:rPr>
              <w:t>4.废枯井按同类井补偿标准的40%补偿。</w:t>
            </w:r>
          </w:p>
        </w:tc>
      </w:tr>
      <w:tr w:rsidR="00A320E6" w14:paraId="2B6743E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7FFAC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C47E95"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8EF4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F2AE9"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砖井、乱石井：井深5-10m、内直径1.5m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A5E237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3000-3600元/眼</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88402AB" w14:textId="77777777" w:rsidR="00A320E6" w:rsidRDefault="00A320E6" w:rsidP="00AE0286">
            <w:pPr>
              <w:rPr>
                <w:rFonts w:ascii="宋体" w:hAnsi="宋体" w:cs="宋体"/>
                <w:color w:val="000000" w:themeColor="text1"/>
                <w:szCs w:val="21"/>
              </w:rPr>
            </w:pPr>
          </w:p>
        </w:tc>
      </w:tr>
      <w:tr w:rsidR="00A320E6" w14:paraId="1AC78B6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A57A7E"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5911BB"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A2A9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0E635"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砖井、乱石井：井深5-10m、内直径1.5-2.5m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A5C42B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3600-5000元/眼</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0774610" w14:textId="77777777" w:rsidR="00A320E6" w:rsidRDefault="00A320E6" w:rsidP="00AE0286">
            <w:pPr>
              <w:rPr>
                <w:rFonts w:ascii="宋体" w:hAnsi="宋体" w:cs="宋体"/>
                <w:color w:val="000000" w:themeColor="text1"/>
                <w:szCs w:val="21"/>
              </w:rPr>
            </w:pPr>
          </w:p>
        </w:tc>
      </w:tr>
      <w:tr w:rsidR="00A320E6" w14:paraId="60FB08F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3C0C7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B627F6"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7EB3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6CD68"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钢管井：内直径&lt;30cm、</w:t>
            </w:r>
          </w:p>
          <w:p w14:paraId="7BB2EC83"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井深&lt;300m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A2866B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240-280元/m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9172E" w14:textId="77777777" w:rsidR="00A320E6" w:rsidRDefault="00A320E6" w:rsidP="00AE0286">
            <w:pPr>
              <w:rPr>
                <w:rFonts w:ascii="宋体" w:hAnsi="宋体" w:cs="宋体"/>
                <w:color w:val="000000" w:themeColor="text1"/>
                <w:szCs w:val="21"/>
              </w:rPr>
            </w:pPr>
          </w:p>
        </w:tc>
      </w:tr>
      <w:tr w:rsidR="00A320E6" w14:paraId="3CF84426"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94C47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424BBE"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0A68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1F956"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钢管井：内直径&lt;30cm、</w:t>
            </w:r>
          </w:p>
          <w:p w14:paraId="37274617"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井深≥深≥cm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8B89EC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280-350元/m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AFD12B" w14:textId="77777777" w:rsidR="00A320E6" w:rsidRDefault="00A320E6" w:rsidP="00AE0286">
            <w:pPr>
              <w:rPr>
                <w:rFonts w:ascii="宋体" w:hAnsi="宋体" w:cs="宋体"/>
                <w:color w:val="000000" w:themeColor="text1"/>
                <w:szCs w:val="21"/>
              </w:rPr>
            </w:pPr>
          </w:p>
        </w:tc>
      </w:tr>
      <w:tr w:rsidR="00A320E6" w14:paraId="796BDF18"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5B445E"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5A867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5658A"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751E99"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钢管井：内直径≥管井：内、</w:t>
            </w:r>
          </w:p>
          <w:p w14:paraId="0D23A7A8"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井深&lt;300m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BE383D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360-420元/m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2469917" w14:textId="77777777" w:rsidR="00A320E6" w:rsidRDefault="00A320E6" w:rsidP="00AE0286">
            <w:pPr>
              <w:rPr>
                <w:rFonts w:ascii="宋体" w:hAnsi="宋体" w:cs="宋体"/>
                <w:color w:val="000000" w:themeColor="text1"/>
                <w:szCs w:val="21"/>
              </w:rPr>
            </w:pPr>
          </w:p>
        </w:tc>
      </w:tr>
      <w:tr w:rsidR="00A320E6" w14:paraId="7547F2D6"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5A907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64B25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AABA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78BF8"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钢管井：内直径≥管井：内、</w:t>
            </w:r>
          </w:p>
          <w:p w14:paraId="5D017751"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井深≥深≥：内</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C4B508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420-500元/m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05DB07A" w14:textId="77777777" w:rsidR="00A320E6" w:rsidRDefault="00A320E6" w:rsidP="00AE0286">
            <w:pPr>
              <w:rPr>
                <w:rFonts w:ascii="宋体" w:hAnsi="宋体" w:cs="宋体"/>
                <w:color w:val="000000" w:themeColor="text1"/>
                <w:szCs w:val="21"/>
              </w:rPr>
            </w:pPr>
          </w:p>
        </w:tc>
      </w:tr>
      <w:tr w:rsidR="00A320E6" w14:paraId="413B023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43BF69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712DC4"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5A9A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9F915"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铸铁管井：内直径&lt;30cm、井深&lt;200m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85561E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180-220元/m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E991157" w14:textId="77777777" w:rsidR="00A320E6" w:rsidRDefault="00A320E6" w:rsidP="00AE0286">
            <w:pPr>
              <w:rPr>
                <w:rFonts w:ascii="宋体" w:hAnsi="宋体" w:cs="宋体"/>
                <w:color w:val="000000" w:themeColor="text1"/>
                <w:szCs w:val="21"/>
              </w:rPr>
            </w:pPr>
          </w:p>
        </w:tc>
      </w:tr>
      <w:tr w:rsidR="00A320E6" w14:paraId="33395D5E"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FD08FA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24092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0174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AC1A9"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铸铁管井：内直径&lt;30cm、井深≥井深≥m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4B43E5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220-260元/m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1C7A609" w14:textId="77777777" w:rsidR="00A320E6" w:rsidRDefault="00A320E6" w:rsidP="00AE0286">
            <w:pPr>
              <w:rPr>
                <w:rFonts w:ascii="宋体" w:hAnsi="宋体" w:cs="宋体"/>
                <w:color w:val="000000" w:themeColor="text1"/>
                <w:szCs w:val="21"/>
              </w:rPr>
            </w:pPr>
          </w:p>
        </w:tc>
      </w:tr>
      <w:tr w:rsidR="00A320E6" w14:paraId="7A4A3461"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BFBE8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FD4A02"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D306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7AF8D"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铸铁管井：内直径≥铁管井：、井深&lt;200m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AE6618D"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240-280元/m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3395A4D" w14:textId="77777777" w:rsidR="00A320E6" w:rsidRDefault="00A320E6" w:rsidP="00AE0286">
            <w:pPr>
              <w:rPr>
                <w:rFonts w:ascii="宋体" w:hAnsi="宋体" w:cs="宋体"/>
                <w:color w:val="000000" w:themeColor="text1"/>
                <w:szCs w:val="21"/>
              </w:rPr>
            </w:pPr>
          </w:p>
        </w:tc>
      </w:tr>
      <w:tr w:rsidR="00A320E6" w14:paraId="5B35C32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BC8698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85E086"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3452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980C627"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铸铁管井：内直径≥铁管井：、井深≥井深≥：</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C3EAFF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280-320元/m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BF182DA" w14:textId="77777777" w:rsidR="00A320E6" w:rsidRDefault="00A320E6" w:rsidP="00AE0286">
            <w:pPr>
              <w:rPr>
                <w:rFonts w:ascii="宋体" w:hAnsi="宋体" w:cs="宋体"/>
                <w:color w:val="000000" w:themeColor="text1"/>
                <w:szCs w:val="21"/>
              </w:rPr>
            </w:pPr>
          </w:p>
        </w:tc>
      </w:tr>
      <w:tr w:rsidR="00A320E6" w14:paraId="012AC6E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8CA6D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E8EFEE"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939E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67</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1402957"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钢筋混凝土管井：内直径&lt;30cm、井深&lt;200m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57ECC3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80-120元/m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C6C489F" w14:textId="77777777" w:rsidR="00A320E6" w:rsidRDefault="00A320E6" w:rsidP="00AE0286">
            <w:pPr>
              <w:rPr>
                <w:rFonts w:ascii="宋体" w:hAnsi="宋体" w:cs="宋体"/>
                <w:color w:val="000000" w:themeColor="text1"/>
                <w:szCs w:val="21"/>
              </w:rPr>
            </w:pPr>
          </w:p>
        </w:tc>
      </w:tr>
      <w:tr w:rsidR="00A320E6" w14:paraId="1F7E8B9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1DDFF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25E23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45B5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08F51"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钢筋混凝土管井：内直径&lt;30cm、井深≥井深≥m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956DC3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120-160元/m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449D50A" w14:textId="77777777" w:rsidR="00A320E6" w:rsidRDefault="00A320E6" w:rsidP="00AE0286">
            <w:pPr>
              <w:rPr>
                <w:rFonts w:ascii="宋体" w:hAnsi="宋体" w:cs="宋体"/>
                <w:color w:val="000000" w:themeColor="text1"/>
                <w:szCs w:val="21"/>
              </w:rPr>
            </w:pPr>
          </w:p>
        </w:tc>
      </w:tr>
      <w:tr w:rsidR="00A320E6" w14:paraId="22A4ADDF"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BD1696"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185B52"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4490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295A5"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钢筋混凝土管井：内直径≥筋混凝土、井深&lt;200m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3D3975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180-220元/m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7618127" w14:textId="77777777" w:rsidR="00A320E6" w:rsidRDefault="00A320E6" w:rsidP="00AE0286">
            <w:pPr>
              <w:rPr>
                <w:rFonts w:ascii="宋体" w:hAnsi="宋体" w:cs="宋体"/>
                <w:color w:val="000000" w:themeColor="text1"/>
                <w:szCs w:val="21"/>
              </w:rPr>
            </w:pPr>
          </w:p>
        </w:tc>
      </w:tr>
      <w:tr w:rsidR="00A320E6" w14:paraId="3242153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AF001B"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A3D936"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0B87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0C05D"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钢筋混凝土管井：内直径≥筋混凝土、井深≥井深≥土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720662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220-260元/m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0FCEDF7" w14:textId="77777777" w:rsidR="00A320E6" w:rsidRDefault="00A320E6" w:rsidP="00AE0286">
            <w:pPr>
              <w:rPr>
                <w:rFonts w:ascii="宋体" w:hAnsi="宋体" w:cs="宋体"/>
                <w:color w:val="000000" w:themeColor="text1"/>
                <w:szCs w:val="21"/>
              </w:rPr>
            </w:pPr>
          </w:p>
        </w:tc>
      </w:tr>
      <w:tr w:rsidR="00A320E6" w14:paraId="6EC80B2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34BBD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161CC9"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B3F6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B6FE4"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无砂混凝土管井（砂管井）：内直径&lt;30cm、井深&lt;30m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A2036C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0E22591" w14:textId="77777777" w:rsidR="00A320E6" w:rsidRDefault="00A320E6" w:rsidP="00AE0286">
            <w:pPr>
              <w:rPr>
                <w:rFonts w:ascii="宋体" w:hAnsi="宋体" w:cs="宋体"/>
                <w:color w:val="000000" w:themeColor="text1"/>
                <w:szCs w:val="21"/>
              </w:rPr>
            </w:pPr>
          </w:p>
        </w:tc>
      </w:tr>
      <w:tr w:rsidR="00A320E6" w14:paraId="4450B34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B6000EE"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105B63"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ED64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E6E07"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无砂混凝土管井（砂管井）：内直径&lt;30cm、井深≥井深≥</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D8FEA7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522D4F6" w14:textId="77777777" w:rsidR="00A320E6" w:rsidRDefault="00A320E6" w:rsidP="00AE0286">
            <w:pPr>
              <w:rPr>
                <w:rFonts w:ascii="宋体" w:hAnsi="宋体" w:cs="宋体"/>
                <w:color w:val="000000" w:themeColor="text1"/>
                <w:szCs w:val="21"/>
              </w:rPr>
            </w:pPr>
          </w:p>
        </w:tc>
      </w:tr>
      <w:tr w:rsidR="00A320E6" w14:paraId="615749E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6F9FFA2"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D0D214"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8162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64ADB"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无砂混凝土管井（砂管井）：内直径≥砂混凝土、井深&lt;50m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E427CF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7C1D00C" w14:textId="77777777" w:rsidR="00A320E6" w:rsidRDefault="00A320E6" w:rsidP="00AE0286">
            <w:pPr>
              <w:rPr>
                <w:rFonts w:ascii="宋体" w:hAnsi="宋体" w:cs="宋体"/>
                <w:color w:val="000000" w:themeColor="text1"/>
                <w:szCs w:val="21"/>
              </w:rPr>
            </w:pPr>
          </w:p>
        </w:tc>
      </w:tr>
      <w:tr w:rsidR="00A320E6" w14:paraId="24D7326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BB125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BB4AE7"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55BD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1B587"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无砂混凝土管井（砂管井）：内直径≥砂混凝土、井深≥井深≥</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B6DD52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100元/m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F965211" w14:textId="77777777" w:rsidR="00A320E6" w:rsidRDefault="00A320E6" w:rsidP="00AE0286">
            <w:pPr>
              <w:rPr>
                <w:rFonts w:ascii="宋体" w:hAnsi="宋体" w:cs="宋体"/>
                <w:color w:val="000000" w:themeColor="text1"/>
                <w:szCs w:val="21"/>
              </w:rPr>
            </w:pPr>
          </w:p>
        </w:tc>
      </w:tr>
      <w:tr w:rsidR="00A320E6" w14:paraId="5601AE83"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B5D6F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057084"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A523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1E9A3"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塑料管井：内直径≥料管井：</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19D1F9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D24DDC" w14:textId="77777777" w:rsidR="00A320E6" w:rsidRDefault="00A320E6" w:rsidP="00AE0286">
            <w:pPr>
              <w:rPr>
                <w:rFonts w:ascii="宋体" w:hAnsi="宋体" w:cs="宋体"/>
                <w:color w:val="000000" w:themeColor="text1"/>
                <w:szCs w:val="21"/>
              </w:rPr>
            </w:pPr>
          </w:p>
        </w:tc>
      </w:tr>
      <w:tr w:rsidR="00A320E6" w14:paraId="0B8FC0EC"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990BD45" w14:textId="77777777" w:rsidR="00A320E6" w:rsidRDefault="00A320E6" w:rsidP="00AE0286">
            <w:pPr>
              <w:jc w:val="center"/>
              <w:textAlignment w:val="center"/>
              <w:rPr>
                <w:rFonts w:ascii="宋体" w:hAnsi="宋体" w:cs="宋体"/>
                <w:color w:val="000000" w:themeColor="text1"/>
                <w:kern w:val="0"/>
                <w:szCs w:val="21"/>
              </w:rPr>
            </w:pPr>
          </w:p>
          <w:p w14:paraId="60B9C63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10</w:t>
            </w:r>
          </w:p>
          <w:p w14:paraId="51F56CF7" w14:textId="77777777" w:rsidR="00A320E6" w:rsidRDefault="00A320E6" w:rsidP="00AE0286">
            <w:pPr>
              <w:pStyle w:val="2"/>
            </w:pPr>
          </w:p>
          <w:p w14:paraId="4F6222C9"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DD57CF" w14:textId="77777777" w:rsidR="00A320E6" w:rsidRDefault="00A320E6" w:rsidP="00AE0286">
            <w:pPr>
              <w:jc w:val="center"/>
              <w:textAlignment w:val="center"/>
              <w:rPr>
                <w:rFonts w:ascii="宋体" w:hAnsi="宋体" w:cs="宋体"/>
                <w:color w:val="000000" w:themeColor="text1"/>
                <w:kern w:val="0"/>
                <w:szCs w:val="21"/>
              </w:rPr>
            </w:pPr>
          </w:p>
          <w:p w14:paraId="007E4B1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乔木</w:t>
            </w:r>
          </w:p>
          <w:p w14:paraId="08125466" w14:textId="77777777" w:rsidR="00A320E6" w:rsidRDefault="00A320E6" w:rsidP="00AE0286">
            <w:pPr>
              <w:pStyle w:val="2"/>
            </w:pPr>
          </w:p>
          <w:p w14:paraId="423C7E47" w14:textId="77777777" w:rsidR="00A320E6" w:rsidRDefault="00A320E6" w:rsidP="00AE0286">
            <w:pPr>
              <w:pStyle w:val="2"/>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3D7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4022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胸径小于3cm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264738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6-10元/棵</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B0F38E"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1.乔木系指常规用材林种；特殊用途林种、景观树、绿化树等可委托具有资质的机构进行评估确定。</w:t>
            </w:r>
          </w:p>
          <w:p w14:paraId="097C95E9"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2.树归原主。</w:t>
            </w:r>
          </w:p>
        </w:tc>
      </w:tr>
      <w:tr w:rsidR="00A320E6" w14:paraId="38ADA21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E8D6D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866C9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0B41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900D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胸径3-5cm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172EE7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10-30元/棵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132E5FB" w14:textId="77777777" w:rsidR="00A320E6" w:rsidRDefault="00A320E6" w:rsidP="00AE0286">
            <w:pPr>
              <w:rPr>
                <w:rFonts w:ascii="宋体" w:hAnsi="宋体" w:cs="宋体"/>
                <w:color w:val="000000" w:themeColor="text1"/>
                <w:szCs w:val="21"/>
              </w:rPr>
            </w:pPr>
          </w:p>
        </w:tc>
      </w:tr>
      <w:tr w:rsidR="00A320E6" w14:paraId="76C071E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30AA1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F93A38"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3B73D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82F4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胸径5-10cm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C99F89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30-60元/棵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9E30EED" w14:textId="77777777" w:rsidR="00A320E6" w:rsidRDefault="00A320E6" w:rsidP="00AE0286">
            <w:pPr>
              <w:rPr>
                <w:rFonts w:ascii="宋体" w:hAnsi="宋体" w:cs="宋体"/>
                <w:color w:val="000000" w:themeColor="text1"/>
                <w:szCs w:val="21"/>
              </w:rPr>
            </w:pPr>
          </w:p>
        </w:tc>
      </w:tr>
      <w:tr w:rsidR="00A320E6" w14:paraId="2F862FF8"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DEF35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2A9957"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969A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8389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胸径10-20cm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04ECBF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60-100元/棵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9F4CDC1" w14:textId="77777777" w:rsidR="00A320E6" w:rsidRDefault="00A320E6" w:rsidP="00AE0286">
            <w:pPr>
              <w:rPr>
                <w:rFonts w:ascii="宋体" w:hAnsi="宋体" w:cs="宋体"/>
                <w:color w:val="000000" w:themeColor="text1"/>
                <w:szCs w:val="21"/>
              </w:rPr>
            </w:pPr>
          </w:p>
        </w:tc>
      </w:tr>
      <w:tr w:rsidR="00A320E6" w14:paraId="17274A8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EB022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7BF6451"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86DD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99E1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胸径大于等于20cm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0D3279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FA34F55" w14:textId="77777777" w:rsidR="00A320E6" w:rsidRDefault="00A320E6" w:rsidP="00AE0286">
            <w:pPr>
              <w:rPr>
                <w:rFonts w:ascii="宋体" w:hAnsi="宋体" w:cs="宋体"/>
                <w:color w:val="000000" w:themeColor="text1"/>
                <w:szCs w:val="21"/>
              </w:rPr>
            </w:pPr>
          </w:p>
        </w:tc>
      </w:tr>
      <w:tr w:rsidR="00A320E6" w14:paraId="426AD5B5"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638817" w14:textId="77777777" w:rsidR="00A320E6" w:rsidRDefault="00A320E6" w:rsidP="00AE0286">
            <w:pPr>
              <w:jc w:val="center"/>
              <w:textAlignment w:val="center"/>
              <w:rPr>
                <w:rFonts w:ascii="宋体" w:hAnsi="宋体" w:cs="宋体"/>
                <w:color w:val="000000" w:themeColor="text1"/>
                <w:kern w:val="0"/>
                <w:szCs w:val="21"/>
              </w:rPr>
            </w:pPr>
          </w:p>
          <w:p w14:paraId="5A68D323" w14:textId="77777777" w:rsidR="00A320E6" w:rsidRDefault="00A320E6" w:rsidP="00AE0286">
            <w:pPr>
              <w:pStyle w:val="2"/>
            </w:pPr>
          </w:p>
          <w:p w14:paraId="0278DE6E" w14:textId="77777777" w:rsidR="00A320E6" w:rsidRDefault="00A320E6" w:rsidP="00AE0286">
            <w:pPr>
              <w:pStyle w:val="2"/>
            </w:pPr>
          </w:p>
          <w:p w14:paraId="71F9C6F9"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11</w:t>
            </w:r>
          </w:p>
          <w:p w14:paraId="16533453" w14:textId="77777777" w:rsidR="00A320E6" w:rsidRDefault="00A320E6" w:rsidP="00AE0286">
            <w:pPr>
              <w:pStyle w:val="2"/>
            </w:pPr>
          </w:p>
          <w:p w14:paraId="110B13EB" w14:textId="77777777" w:rsidR="00A320E6" w:rsidRDefault="00A320E6" w:rsidP="00AE0286">
            <w:pPr>
              <w:pStyle w:val="2"/>
            </w:pPr>
          </w:p>
          <w:p w14:paraId="7107E7F3" w14:textId="77777777" w:rsidR="00A320E6" w:rsidRDefault="00A320E6" w:rsidP="00AE0286">
            <w:pPr>
              <w:pStyle w:val="2"/>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5A3D5A" w14:textId="77777777" w:rsidR="00A320E6" w:rsidRDefault="00A320E6" w:rsidP="00AE0286">
            <w:pPr>
              <w:jc w:val="center"/>
              <w:textAlignment w:val="center"/>
              <w:rPr>
                <w:rFonts w:ascii="宋体" w:hAnsi="宋体" w:cs="宋体"/>
                <w:color w:val="000000" w:themeColor="text1"/>
                <w:kern w:val="0"/>
                <w:szCs w:val="21"/>
              </w:rPr>
            </w:pPr>
          </w:p>
          <w:p w14:paraId="3BF08B13" w14:textId="77777777" w:rsidR="00A320E6" w:rsidRDefault="00A320E6" w:rsidP="00AE0286">
            <w:pPr>
              <w:pStyle w:val="2"/>
            </w:pPr>
          </w:p>
          <w:p w14:paraId="1614288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果树、葡萄、香椿树</w:t>
            </w:r>
          </w:p>
          <w:p w14:paraId="1E63879B" w14:textId="77777777" w:rsidR="00A320E6" w:rsidRDefault="00A320E6" w:rsidP="00AE0286">
            <w:pPr>
              <w:pStyle w:val="2"/>
            </w:pPr>
          </w:p>
          <w:p w14:paraId="6B560080" w14:textId="77777777" w:rsidR="00A320E6" w:rsidRDefault="00A320E6" w:rsidP="00AE0286">
            <w:pPr>
              <w:pStyle w:val="2"/>
            </w:pPr>
          </w:p>
          <w:p w14:paraId="5D5E1B5F" w14:textId="77777777" w:rsidR="00A320E6" w:rsidRDefault="00A320E6" w:rsidP="00AE0286">
            <w:pPr>
              <w:pStyle w:val="2"/>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CE28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A444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果树苗</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73A5AB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10元/棵</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B61EA8"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1.果树包括：苹果、梨、桃、杏、核桃、柿子、石榴、樱桃、李、枣树、山楂、无花果等。</w:t>
            </w:r>
          </w:p>
          <w:p w14:paraId="79C2CB26"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2.果树根据科学合理栽植的原则，初果期、盛果期和衰老期根据品种不同，种植密度每亩不超过200棵。</w:t>
            </w:r>
          </w:p>
          <w:p w14:paraId="40F872E1"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3.葡萄科学密植，每亩不超过450棵。</w:t>
            </w:r>
          </w:p>
          <w:p w14:paraId="165C082B"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4.标准中香椿为经济林。</w:t>
            </w:r>
          </w:p>
          <w:p w14:paraId="63B218B5"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5.树归原主。</w:t>
            </w:r>
          </w:p>
        </w:tc>
      </w:tr>
      <w:tr w:rsidR="00A320E6" w14:paraId="3102474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95678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B2948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8754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8F3A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幼龄期（未结果）</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267F7A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30-50元/棵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993AA89" w14:textId="77777777" w:rsidR="00A320E6" w:rsidRDefault="00A320E6" w:rsidP="00AE0286">
            <w:pPr>
              <w:rPr>
                <w:rFonts w:ascii="宋体" w:hAnsi="宋体" w:cs="宋体"/>
                <w:color w:val="000000" w:themeColor="text1"/>
                <w:szCs w:val="21"/>
              </w:rPr>
            </w:pPr>
          </w:p>
        </w:tc>
      </w:tr>
      <w:tr w:rsidR="00A320E6" w14:paraId="5E5484C1"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752BD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207230"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9580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3E8E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初果期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34ABB4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150-300元/棵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4FECEE9" w14:textId="77777777" w:rsidR="00A320E6" w:rsidRDefault="00A320E6" w:rsidP="00AE0286">
            <w:pPr>
              <w:rPr>
                <w:rFonts w:ascii="宋体" w:hAnsi="宋体" w:cs="宋体"/>
                <w:color w:val="000000" w:themeColor="text1"/>
                <w:szCs w:val="21"/>
              </w:rPr>
            </w:pPr>
          </w:p>
        </w:tc>
      </w:tr>
      <w:tr w:rsidR="00A320E6" w14:paraId="4B6C113F"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75BE3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0F6FF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6454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D38C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盛果期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9D8A8D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260-400元/棵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7D181C4" w14:textId="77777777" w:rsidR="00A320E6" w:rsidRDefault="00A320E6" w:rsidP="00AE0286">
            <w:pPr>
              <w:rPr>
                <w:rFonts w:ascii="宋体" w:hAnsi="宋体" w:cs="宋体"/>
                <w:color w:val="000000" w:themeColor="text1"/>
                <w:szCs w:val="21"/>
              </w:rPr>
            </w:pPr>
          </w:p>
        </w:tc>
      </w:tr>
      <w:tr w:rsidR="00A320E6" w14:paraId="6930263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BDE7DF3"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92818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F34D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AE31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衰老期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D85B72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80-300元/棵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D1156F" w14:textId="77777777" w:rsidR="00A320E6" w:rsidRDefault="00A320E6" w:rsidP="00AE0286">
            <w:pPr>
              <w:rPr>
                <w:rFonts w:ascii="宋体" w:hAnsi="宋体" w:cs="宋体"/>
                <w:color w:val="000000" w:themeColor="text1"/>
                <w:szCs w:val="21"/>
              </w:rPr>
            </w:pPr>
          </w:p>
        </w:tc>
      </w:tr>
      <w:tr w:rsidR="00A320E6" w14:paraId="2A8CF24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377647"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C1819F"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6861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38F6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葡萄幼龄期（未结果）</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5C0405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10-20元/棵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B717471" w14:textId="77777777" w:rsidR="00A320E6" w:rsidRDefault="00A320E6" w:rsidP="00AE0286">
            <w:pPr>
              <w:rPr>
                <w:rFonts w:ascii="宋体" w:hAnsi="宋体" w:cs="宋体"/>
                <w:color w:val="000000" w:themeColor="text1"/>
                <w:szCs w:val="21"/>
              </w:rPr>
            </w:pPr>
          </w:p>
        </w:tc>
      </w:tr>
      <w:tr w:rsidR="00A320E6" w14:paraId="70EFC23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37AF2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48A803"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28AB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0E35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葡萄初果期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1CECF1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20-50元/棵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5EC2FBA" w14:textId="77777777" w:rsidR="00A320E6" w:rsidRDefault="00A320E6" w:rsidP="00AE0286">
            <w:pPr>
              <w:rPr>
                <w:rFonts w:ascii="宋体" w:hAnsi="宋体" w:cs="宋体"/>
                <w:color w:val="000000" w:themeColor="text1"/>
                <w:szCs w:val="21"/>
              </w:rPr>
            </w:pPr>
          </w:p>
        </w:tc>
      </w:tr>
      <w:tr w:rsidR="00A320E6" w14:paraId="53A9014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FABB6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5F44F57"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465D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2D90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葡萄盛果期</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E1C635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50-100元/棵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21BE83C" w14:textId="77777777" w:rsidR="00A320E6" w:rsidRDefault="00A320E6" w:rsidP="00AE0286">
            <w:pPr>
              <w:rPr>
                <w:rFonts w:ascii="宋体" w:hAnsi="宋体" w:cs="宋体"/>
                <w:color w:val="000000" w:themeColor="text1"/>
                <w:szCs w:val="21"/>
              </w:rPr>
            </w:pPr>
          </w:p>
        </w:tc>
      </w:tr>
      <w:tr w:rsidR="00A320E6" w14:paraId="144680E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A3564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313523"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04FA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89</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0A8CFF5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香椿苗</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E2C19C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3-5元/棵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CE6909B" w14:textId="77777777" w:rsidR="00A320E6" w:rsidRDefault="00A320E6" w:rsidP="00AE0286">
            <w:pPr>
              <w:rPr>
                <w:rFonts w:ascii="宋体" w:hAnsi="宋体" w:cs="宋体"/>
                <w:color w:val="000000" w:themeColor="text1"/>
                <w:szCs w:val="21"/>
              </w:rPr>
            </w:pPr>
          </w:p>
        </w:tc>
      </w:tr>
      <w:tr w:rsidR="00A320E6" w14:paraId="03C2585E"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FCCA5D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0212BA"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52E4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90</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191D494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香椿树胸径5cm-10cm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3915A2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10元/棵</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A3C3B78" w14:textId="77777777" w:rsidR="00A320E6" w:rsidRDefault="00A320E6" w:rsidP="00AE0286">
            <w:pPr>
              <w:rPr>
                <w:rFonts w:ascii="宋体" w:hAnsi="宋体" w:cs="宋体"/>
                <w:color w:val="000000" w:themeColor="text1"/>
                <w:szCs w:val="21"/>
              </w:rPr>
            </w:pPr>
          </w:p>
        </w:tc>
      </w:tr>
      <w:tr w:rsidR="00A320E6" w14:paraId="18C7B92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C4C59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DD41F2"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79FB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91</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6BF69E7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香椿树胸径大于10cm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F2A58E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参照乔木</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6A0902C" w14:textId="77777777" w:rsidR="00A320E6" w:rsidRDefault="00A320E6" w:rsidP="00AE0286">
            <w:pPr>
              <w:rPr>
                <w:rFonts w:ascii="宋体" w:hAnsi="宋体" w:cs="宋体"/>
                <w:color w:val="000000" w:themeColor="text1"/>
                <w:szCs w:val="21"/>
              </w:rPr>
            </w:pPr>
          </w:p>
        </w:tc>
      </w:tr>
      <w:tr w:rsidR="00A320E6" w14:paraId="77482523"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161C5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12</w:t>
            </w:r>
          </w:p>
          <w:p w14:paraId="0849873B"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7D5853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苗圃</w:t>
            </w:r>
          </w:p>
          <w:p w14:paraId="2563DA2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苗木</w:t>
            </w:r>
          </w:p>
          <w:p w14:paraId="02B50834" w14:textId="77777777" w:rsidR="00A320E6" w:rsidRDefault="00A320E6" w:rsidP="00AE0286">
            <w:pPr>
              <w:jc w:val="center"/>
              <w:textAlignment w:val="center"/>
              <w:rPr>
                <w:rFonts w:ascii="宋体" w:hAnsi="宋体" w:cs="宋体"/>
                <w:color w:val="000000" w:themeColor="text1"/>
                <w:kern w:val="0"/>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853E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8D5A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两年以下苗圃苗木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478A8A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6500-8000元/亩</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EAF1B9"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苗木归原主。</w:t>
            </w:r>
          </w:p>
        </w:tc>
      </w:tr>
      <w:tr w:rsidR="00A320E6" w14:paraId="57B4F6F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C5B53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C6B303"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E495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1555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两年以上苗圃苗木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894D62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8000-10000元/亩</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E8A2A8" w14:textId="77777777" w:rsidR="00A320E6" w:rsidRDefault="00A320E6" w:rsidP="00AE0286">
            <w:pPr>
              <w:rPr>
                <w:rFonts w:ascii="宋体" w:hAnsi="宋体" w:cs="宋体"/>
                <w:color w:val="000000" w:themeColor="text1"/>
                <w:szCs w:val="21"/>
              </w:rPr>
            </w:pPr>
          </w:p>
        </w:tc>
      </w:tr>
      <w:tr w:rsidR="00A320E6" w14:paraId="001C2409"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739688" w14:textId="77777777" w:rsidR="00A320E6" w:rsidRDefault="00A320E6" w:rsidP="00AE0286">
            <w:pPr>
              <w:jc w:val="center"/>
              <w:textAlignment w:val="center"/>
              <w:rPr>
                <w:rFonts w:ascii="宋体" w:hAnsi="宋体" w:cs="宋体"/>
                <w:color w:val="000000" w:themeColor="text1"/>
                <w:kern w:val="0"/>
                <w:szCs w:val="21"/>
              </w:rPr>
            </w:pPr>
          </w:p>
          <w:p w14:paraId="7162C4B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w:t>
            </w:r>
          </w:p>
          <w:p w14:paraId="752143C5" w14:textId="77777777" w:rsidR="00A320E6" w:rsidRDefault="00A320E6" w:rsidP="00AE0286">
            <w:pPr>
              <w:pStyle w:val="2"/>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31CBB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鱼塘、藕塘</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FE0C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FE55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砖石砌鱼塘</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44E6F1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12000-16000元/亩</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094EAE"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根据建造标准区分，包括鱼苗和藕秧损失费。</w:t>
            </w:r>
          </w:p>
        </w:tc>
      </w:tr>
      <w:tr w:rsidR="00A320E6" w14:paraId="5A60DE0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9F10F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599A01"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5DC7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7EC1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藕池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248276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8000-14000元/亩</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1CBBE4" w14:textId="77777777" w:rsidR="00A320E6" w:rsidRDefault="00A320E6" w:rsidP="00AE0286">
            <w:pPr>
              <w:rPr>
                <w:rFonts w:ascii="宋体" w:hAnsi="宋体" w:cs="宋体"/>
                <w:color w:val="000000" w:themeColor="text1"/>
                <w:szCs w:val="21"/>
              </w:rPr>
            </w:pPr>
          </w:p>
        </w:tc>
      </w:tr>
      <w:tr w:rsidR="00A320E6" w14:paraId="44C62826"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32152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630B09"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B07C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616E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非衬砌鱼、藕塘</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CB9DCA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6000-10000元/亩</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521397" w14:textId="77777777" w:rsidR="00A320E6" w:rsidRDefault="00A320E6" w:rsidP="00AE0286">
            <w:pPr>
              <w:rPr>
                <w:rFonts w:ascii="宋体" w:hAnsi="宋体" w:cs="宋体"/>
                <w:color w:val="000000" w:themeColor="text1"/>
                <w:szCs w:val="21"/>
              </w:rPr>
            </w:pPr>
          </w:p>
        </w:tc>
      </w:tr>
      <w:tr w:rsidR="00A320E6" w14:paraId="200F45C6"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FF1EA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14</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6480B1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灌木</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D649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7E85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两年生以内灌木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94A21E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5-10元/墩</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C02BCBC"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两年生以上灌木每墩出条数10根以上。</w:t>
            </w:r>
          </w:p>
        </w:tc>
      </w:tr>
      <w:tr w:rsidR="00A320E6" w14:paraId="00F042F8"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F48FBB"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3AA165" w14:textId="77777777" w:rsidR="00A320E6" w:rsidRDefault="00A320E6" w:rsidP="00AE0286">
            <w:pPr>
              <w:jc w:val="left"/>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E7CD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7A26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两年生以上（含两年）灌木</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8BD93D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10-15元/墩</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DDA42D" w14:textId="77777777" w:rsidR="00A320E6" w:rsidRDefault="00A320E6" w:rsidP="00AE0286">
            <w:pPr>
              <w:rPr>
                <w:rFonts w:ascii="宋体" w:hAnsi="宋体" w:cs="宋体"/>
                <w:color w:val="000000" w:themeColor="text1"/>
                <w:szCs w:val="21"/>
              </w:rPr>
            </w:pPr>
          </w:p>
        </w:tc>
      </w:tr>
      <w:tr w:rsidR="00A320E6" w14:paraId="2F054FB8"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5D7DF" w14:textId="77777777" w:rsidR="00A320E6" w:rsidRDefault="00A320E6" w:rsidP="00AE0286">
            <w:pPr>
              <w:jc w:val="center"/>
              <w:textAlignment w:val="center"/>
              <w:rPr>
                <w:rFonts w:ascii="宋体" w:hAnsi="宋体" w:cs="宋体"/>
                <w:color w:val="000000" w:themeColor="text1"/>
                <w:kern w:val="0"/>
                <w:szCs w:val="21"/>
              </w:rPr>
            </w:pPr>
          </w:p>
          <w:p w14:paraId="3E774D3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15</w:t>
            </w:r>
          </w:p>
          <w:p w14:paraId="01D94B93" w14:textId="77777777" w:rsidR="00A320E6" w:rsidRDefault="00A320E6" w:rsidP="00AE0286">
            <w:pPr>
              <w:pStyle w:val="2"/>
            </w:pPr>
          </w:p>
          <w:p w14:paraId="0834FE74"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nil"/>
              <w:bottom w:val="single" w:sz="4" w:space="0" w:color="auto"/>
              <w:right w:val="single" w:sz="4" w:space="0" w:color="auto"/>
            </w:tcBorders>
            <w:shd w:val="clear" w:color="auto" w:fill="auto"/>
            <w:noWrap/>
            <w:vAlign w:val="center"/>
          </w:tcPr>
          <w:p w14:paraId="74125685" w14:textId="77777777" w:rsidR="00A320E6" w:rsidRDefault="00A320E6" w:rsidP="00AE0286">
            <w:pPr>
              <w:jc w:val="center"/>
              <w:textAlignment w:val="center"/>
              <w:rPr>
                <w:rFonts w:ascii="宋体" w:hAnsi="宋体" w:cs="宋体"/>
                <w:color w:val="000000" w:themeColor="text1"/>
                <w:kern w:val="0"/>
                <w:szCs w:val="21"/>
              </w:rPr>
            </w:pPr>
          </w:p>
          <w:p w14:paraId="7E8E2DD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电力</w:t>
            </w:r>
          </w:p>
          <w:p w14:paraId="2F821DBA"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通讯</w:t>
            </w:r>
          </w:p>
          <w:p w14:paraId="2DBB231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线路</w:t>
            </w:r>
          </w:p>
          <w:p w14:paraId="7F3DFDDF" w14:textId="77777777" w:rsidR="00A320E6" w:rsidRDefault="00A320E6" w:rsidP="00AE0286">
            <w:pPr>
              <w:pStyle w:val="2"/>
            </w:pPr>
          </w:p>
          <w:p w14:paraId="08415006" w14:textId="77777777" w:rsidR="00A320E6" w:rsidRDefault="00A320E6" w:rsidP="00AE0286">
            <w:pPr>
              <w:pStyle w:val="2"/>
            </w:pPr>
          </w:p>
          <w:p w14:paraId="4CA79AF8" w14:textId="77777777" w:rsidR="00A320E6" w:rsidRDefault="00A320E6" w:rsidP="00AE0286">
            <w:pPr>
              <w:pStyle w:val="2"/>
            </w:pPr>
          </w:p>
          <w:p w14:paraId="54F0FD0D" w14:textId="77777777" w:rsidR="00A320E6" w:rsidRDefault="00A320E6" w:rsidP="00AE0286">
            <w:pPr>
              <w:pStyle w:val="2"/>
            </w:pPr>
          </w:p>
        </w:tc>
        <w:tc>
          <w:tcPr>
            <w:tcW w:w="420" w:type="pct"/>
            <w:tcBorders>
              <w:top w:val="single" w:sz="4" w:space="0" w:color="auto"/>
              <w:left w:val="nil"/>
              <w:bottom w:val="single" w:sz="4" w:space="0" w:color="auto"/>
              <w:right w:val="single" w:sz="4" w:space="0" w:color="auto"/>
            </w:tcBorders>
            <w:shd w:val="clear" w:color="auto" w:fill="auto"/>
            <w:noWrap/>
            <w:vAlign w:val="center"/>
          </w:tcPr>
          <w:p w14:paraId="3C28B73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99</w:t>
            </w:r>
          </w:p>
        </w:tc>
        <w:tc>
          <w:tcPr>
            <w:tcW w:w="1373" w:type="pct"/>
            <w:tcBorders>
              <w:top w:val="single" w:sz="4" w:space="0" w:color="auto"/>
              <w:left w:val="nil"/>
              <w:bottom w:val="single" w:sz="4" w:space="0" w:color="auto"/>
              <w:right w:val="single" w:sz="4" w:space="0" w:color="auto"/>
            </w:tcBorders>
            <w:shd w:val="clear" w:color="auto" w:fill="auto"/>
            <w:noWrap/>
            <w:vAlign w:val="center"/>
          </w:tcPr>
          <w:p w14:paraId="0109642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低压线路</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053848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1200-1500元/杆</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102BDF"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1.旧料归原主。</w:t>
            </w:r>
          </w:p>
          <w:p w14:paraId="2A7006D8" w14:textId="77777777" w:rsidR="00A320E6" w:rsidRDefault="00000000" w:rsidP="00AE0286">
            <w:pPr>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2.变压器补偿费用为迁移费。</w:t>
            </w:r>
          </w:p>
          <w:p w14:paraId="26C357A0"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 xml:space="preserve">　</w:t>
            </w:r>
          </w:p>
        </w:tc>
      </w:tr>
      <w:tr w:rsidR="00A320E6" w14:paraId="2897D3B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9D02154"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9B8B67"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FB9D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A767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通讯广播线路</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73017B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1200-1500元/杆</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B098DF6" w14:textId="77777777" w:rsidR="00A320E6" w:rsidRDefault="00A320E6" w:rsidP="00AE0286">
            <w:pPr>
              <w:rPr>
                <w:rFonts w:ascii="宋体" w:hAnsi="宋体" w:cs="宋体"/>
                <w:color w:val="000000" w:themeColor="text1"/>
                <w:szCs w:val="21"/>
              </w:rPr>
            </w:pPr>
          </w:p>
        </w:tc>
      </w:tr>
      <w:tr w:rsidR="00A320E6" w14:paraId="3DC28DF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A2A411"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7D1908"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6479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50CC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水泥电杆</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7A6F1A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100-200元/杆</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9052BA" w14:textId="77777777" w:rsidR="00A320E6" w:rsidRDefault="00A320E6" w:rsidP="00AE0286">
            <w:pPr>
              <w:rPr>
                <w:rFonts w:ascii="宋体" w:hAnsi="宋体" w:cs="宋体"/>
                <w:color w:val="000000" w:themeColor="text1"/>
                <w:szCs w:val="21"/>
              </w:rPr>
            </w:pPr>
          </w:p>
        </w:tc>
      </w:tr>
      <w:tr w:rsidR="00A320E6" w14:paraId="5BD928C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CD7294"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3B191E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7016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D353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木质电杆</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A2E66C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50元/杆</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2AA3C3" w14:textId="77777777" w:rsidR="00A320E6" w:rsidRDefault="00A320E6" w:rsidP="00AE0286">
            <w:pPr>
              <w:rPr>
                <w:rFonts w:ascii="宋体" w:hAnsi="宋体" w:cs="宋体"/>
                <w:color w:val="000000" w:themeColor="text1"/>
                <w:szCs w:val="21"/>
              </w:rPr>
            </w:pPr>
          </w:p>
        </w:tc>
      </w:tr>
      <w:tr w:rsidR="00A320E6" w14:paraId="32BC5E20"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FE82A9"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E751F5"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FDF3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26E0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变压器（≤压器（≤000）</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B24263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1200元/10KVA</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4D9CDE4" w14:textId="77777777" w:rsidR="00A320E6" w:rsidRDefault="00A320E6" w:rsidP="00AE0286">
            <w:pPr>
              <w:rPr>
                <w:rFonts w:ascii="宋体" w:hAnsi="宋体" w:cs="宋体"/>
                <w:color w:val="000000" w:themeColor="text1"/>
                <w:szCs w:val="21"/>
              </w:rPr>
            </w:pPr>
          </w:p>
        </w:tc>
      </w:tr>
      <w:tr w:rsidR="00A320E6" w14:paraId="75E6E0CE"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73B13C"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463532B"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A629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szCs w:val="21"/>
              </w:rPr>
              <w:t>104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485F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变压器（＞100KVA）</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733D8B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1000元/10KVA</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0D3CEB" w14:textId="77777777" w:rsidR="00A320E6" w:rsidRDefault="00A320E6" w:rsidP="00AE0286">
            <w:pPr>
              <w:jc w:val="left"/>
              <w:textAlignment w:val="center"/>
              <w:rPr>
                <w:rFonts w:ascii="宋体" w:hAnsi="宋体" w:cs="宋体"/>
                <w:color w:val="000000" w:themeColor="text1"/>
                <w:szCs w:val="21"/>
              </w:rPr>
            </w:pPr>
          </w:p>
        </w:tc>
      </w:tr>
      <w:tr w:rsidR="00A320E6" w14:paraId="5B8F6C3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4B2C28"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E9D4F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C112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105</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4ABD9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地下电缆线3*35+1*16型号</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C581B1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13A436" w14:textId="77777777" w:rsidR="00A320E6" w:rsidRDefault="00A320E6" w:rsidP="00AE0286">
            <w:pPr>
              <w:rPr>
                <w:rFonts w:ascii="宋体" w:hAnsi="宋体" w:cs="宋体"/>
                <w:color w:val="000000" w:themeColor="text1"/>
                <w:szCs w:val="21"/>
              </w:rPr>
            </w:pPr>
          </w:p>
        </w:tc>
      </w:tr>
      <w:tr w:rsidR="00A320E6" w14:paraId="4EC297E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36F6C3" w14:textId="77777777" w:rsidR="00A320E6" w:rsidRDefault="00A320E6" w:rsidP="00AE0286">
            <w:pPr>
              <w:jc w:val="left"/>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A55195"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7AA8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106</w:t>
            </w:r>
          </w:p>
        </w:tc>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14:paraId="4696D2D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地下电缆线3*35+1*25型号</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3245AD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BE2C9F" w14:textId="77777777" w:rsidR="00A320E6" w:rsidRDefault="00A320E6" w:rsidP="00AE0286">
            <w:pPr>
              <w:rPr>
                <w:rFonts w:ascii="宋体" w:hAnsi="宋体" w:cs="宋体"/>
                <w:color w:val="000000" w:themeColor="text1"/>
                <w:szCs w:val="21"/>
              </w:rPr>
            </w:pPr>
          </w:p>
        </w:tc>
      </w:tr>
      <w:tr w:rsidR="00A320E6" w14:paraId="76FCEC0A"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A4AE92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16</w:t>
            </w:r>
          </w:p>
          <w:p w14:paraId="46DECA97"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C0EEBC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地面、路面</w:t>
            </w:r>
          </w:p>
          <w:p w14:paraId="13773058"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662B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673B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水泥地面（区分厚度）</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5119D1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50-80元/m²</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C3D630" w14:textId="77777777" w:rsidR="00A320E6" w:rsidRDefault="00A320E6" w:rsidP="00AE0286">
            <w:pPr>
              <w:rPr>
                <w:rFonts w:ascii="宋体" w:hAnsi="宋体" w:cs="宋体"/>
                <w:color w:val="000000" w:themeColor="text1"/>
                <w:szCs w:val="21"/>
              </w:rPr>
            </w:pPr>
          </w:p>
        </w:tc>
      </w:tr>
      <w:tr w:rsidR="00A320E6" w14:paraId="3E7F8B5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F83E7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80EE0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8BFD0"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61A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砖地面（区分厚度）</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E6654B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30-50元/m²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CD5695" w14:textId="77777777" w:rsidR="00A320E6" w:rsidRDefault="00A320E6" w:rsidP="00AE0286">
            <w:pPr>
              <w:rPr>
                <w:rFonts w:ascii="宋体" w:hAnsi="宋体" w:cs="宋体"/>
                <w:color w:val="000000" w:themeColor="text1"/>
                <w:szCs w:val="21"/>
              </w:rPr>
            </w:pPr>
          </w:p>
        </w:tc>
      </w:tr>
      <w:tr w:rsidR="00A320E6" w14:paraId="518717D7"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1244B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DE37A85"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0302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55C2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水泥路面（区分厚度）</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3CE3A2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80-120元/m²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991A00" w14:textId="77777777" w:rsidR="00A320E6" w:rsidRDefault="00A320E6" w:rsidP="00AE0286">
            <w:pPr>
              <w:rPr>
                <w:rFonts w:ascii="宋体" w:hAnsi="宋体" w:cs="宋体"/>
                <w:color w:val="000000" w:themeColor="text1"/>
                <w:szCs w:val="21"/>
              </w:rPr>
            </w:pPr>
          </w:p>
        </w:tc>
      </w:tr>
      <w:tr w:rsidR="00A320E6" w14:paraId="2871F66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AA628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92C39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5421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4E02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沥青路面（区分厚度）</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137ADF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150-200元/m²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1A350D" w14:textId="77777777" w:rsidR="00A320E6" w:rsidRDefault="00A320E6" w:rsidP="00AE0286">
            <w:pPr>
              <w:rPr>
                <w:rFonts w:ascii="宋体" w:hAnsi="宋体" w:cs="宋体"/>
                <w:color w:val="000000" w:themeColor="text1"/>
                <w:szCs w:val="21"/>
              </w:rPr>
            </w:pPr>
          </w:p>
        </w:tc>
      </w:tr>
      <w:tr w:rsidR="00A320E6" w14:paraId="5B760B69"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706E6F2" w14:textId="77777777" w:rsidR="00A320E6" w:rsidRDefault="00A320E6" w:rsidP="00AE0286">
            <w:pPr>
              <w:jc w:val="center"/>
              <w:textAlignment w:val="center"/>
              <w:rPr>
                <w:rFonts w:ascii="宋体" w:hAnsi="宋体" w:cs="宋体"/>
                <w:color w:val="000000" w:themeColor="text1"/>
                <w:kern w:val="0"/>
                <w:szCs w:val="21"/>
              </w:rPr>
            </w:pPr>
          </w:p>
          <w:p w14:paraId="1ED6B2B9"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17</w:t>
            </w:r>
          </w:p>
          <w:p w14:paraId="2D9330C2"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C25C3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自来水管道</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9813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F6B9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户内水管</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B8F180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500元/户</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9AC4A0"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1.户内水管含水表等。2.旧料归原主。</w:t>
            </w:r>
          </w:p>
        </w:tc>
      </w:tr>
      <w:tr w:rsidR="00A320E6" w14:paraId="4E652021"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A09A7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522FC7"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FC4C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BE35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主管道</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ABCBE5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30-35元/m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E00679" w14:textId="77777777" w:rsidR="00A320E6" w:rsidRDefault="00A320E6" w:rsidP="00AE0286">
            <w:pPr>
              <w:rPr>
                <w:rFonts w:ascii="宋体" w:hAnsi="宋体" w:cs="宋体"/>
                <w:color w:val="000000" w:themeColor="text1"/>
                <w:szCs w:val="21"/>
              </w:rPr>
            </w:pPr>
          </w:p>
        </w:tc>
      </w:tr>
      <w:tr w:rsidR="00A320E6" w14:paraId="4D35DA65"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8E7978" w14:textId="77777777" w:rsidR="00A320E6" w:rsidRDefault="00A320E6" w:rsidP="00AE0286">
            <w:pPr>
              <w:jc w:val="center"/>
              <w:textAlignment w:val="center"/>
              <w:rPr>
                <w:rFonts w:ascii="宋体" w:hAnsi="宋体" w:cs="宋体"/>
                <w:color w:val="000000" w:themeColor="text1"/>
                <w:kern w:val="0"/>
                <w:szCs w:val="21"/>
              </w:rPr>
            </w:pPr>
          </w:p>
          <w:p w14:paraId="2CD69E27" w14:textId="77777777" w:rsidR="00A320E6" w:rsidRDefault="00A320E6" w:rsidP="00AE0286">
            <w:pPr>
              <w:pStyle w:val="2"/>
            </w:pPr>
          </w:p>
          <w:p w14:paraId="407E026E" w14:textId="77777777" w:rsidR="00A320E6" w:rsidRDefault="00A320E6" w:rsidP="00AE0286">
            <w:pPr>
              <w:pStyle w:val="2"/>
            </w:pPr>
          </w:p>
          <w:p w14:paraId="3D2FFBA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18</w:t>
            </w:r>
          </w:p>
          <w:p w14:paraId="74D5BFEE" w14:textId="77777777" w:rsidR="00A320E6" w:rsidRDefault="00A320E6" w:rsidP="00AE0286">
            <w:pPr>
              <w:pStyle w:val="2"/>
            </w:pPr>
          </w:p>
          <w:p w14:paraId="4731093E" w14:textId="77777777" w:rsidR="00A320E6" w:rsidRDefault="00A320E6" w:rsidP="00AE0286">
            <w:pPr>
              <w:pStyle w:val="2"/>
            </w:pPr>
          </w:p>
          <w:p w14:paraId="3F3C6C0F"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0A61CE" w14:textId="77777777" w:rsidR="00A320E6" w:rsidRDefault="00A320E6" w:rsidP="00AE0286">
            <w:pPr>
              <w:jc w:val="center"/>
              <w:textAlignment w:val="center"/>
              <w:rPr>
                <w:rFonts w:ascii="宋体" w:hAnsi="宋体" w:cs="宋体"/>
                <w:color w:val="000000" w:themeColor="text1"/>
                <w:kern w:val="0"/>
                <w:szCs w:val="21"/>
              </w:rPr>
            </w:pPr>
          </w:p>
          <w:p w14:paraId="0556D3F6" w14:textId="77777777" w:rsidR="00A320E6" w:rsidRDefault="00A320E6" w:rsidP="00AE0286">
            <w:pPr>
              <w:pStyle w:val="2"/>
            </w:pPr>
          </w:p>
          <w:p w14:paraId="6F0E39B7" w14:textId="77777777" w:rsidR="00A320E6" w:rsidRDefault="00A320E6" w:rsidP="00AE0286">
            <w:pPr>
              <w:pStyle w:val="2"/>
            </w:pPr>
          </w:p>
          <w:p w14:paraId="0FC907E9"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排污</w:t>
            </w:r>
          </w:p>
          <w:p w14:paraId="2E4134C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排水</w:t>
            </w:r>
          </w:p>
          <w:p w14:paraId="1693C7C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沟管</w:t>
            </w:r>
          </w:p>
          <w:p w14:paraId="3E634028" w14:textId="77777777" w:rsidR="00A320E6" w:rsidRDefault="00A320E6" w:rsidP="00AE0286">
            <w:pPr>
              <w:pStyle w:val="2"/>
            </w:pPr>
          </w:p>
          <w:p w14:paraId="00A120D7" w14:textId="77777777" w:rsidR="00A320E6" w:rsidRDefault="00A320E6" w:rsidP="00AE0286">
            <w:pPr>
              <w:pStyle w:val="2"/>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5979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4901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砖砌盖板跨径0.5m以下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3595FD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24-36元/m</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BE4A52"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旧料归原主。</w:t>
            </w:r>
          </w:p>
        </w:tc>
      </w:tr>
      <w:tr w:rsidR="00A320E6" w14:paraId="464691F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082DC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D12A60"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35AB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D423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砖砌盖板跨径0.5-1m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A729A0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36-48元/m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98C4BD8" w14:textId="77777777" w:rsidR="00A320E6" w:rsidRDefault="00A320E6" w:rsidP="00AE0286">
            <w:pPr>
              <w:rPr>
                <w:rFonts w:ascii="宋体" w:hAnsi="宋体" w:cs="宋体"/>
                <w:color w:val="000000" w:themeColor="text1"/>
                <w:szCs w:val="21"/>
              </w:rPr>
            </w:pPr>
          </w:p>
        </w:tc>
      </w:tr>
      <w:tr w:rsidR="00A320E6" w14:paraId="0CD5D084"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5B3555"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19CDF9"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FD05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7FE8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砖砌盖板跨径1-2m</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11D77D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50-95元/m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8B15F2" w14:textId="77777777" w:rsidR="00A320E6" w:rsidRDefault="00A320E6" w:rsidP="00AE0286">
            <w:pPr>
              <w:rPr>
                <w:rFonts w:ascii="宋体" w:hAnsi="宋体" w:cs="宋体"/>
                <w:color w:val="000000" w:themeColor="text1"/>
                <w:szCs w:val="21"/>
              </w:rPr>
            </w:pPr>
          </w:p>
        </w:tc>
      </w:tr>
      <w:tr w:rsidR="00A320E6" w14:paraId="66C4F17A"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AD109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762A3B5"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F46B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819B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砖砌盖板跨径2m</w:t>
            </w:r>
          </w:p>
          <w:p w14:paraId="5FC06A4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3B956D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95-190元/m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447EE5" w14:textId="77777777" w:rsidR="00A320E6" w:rsidRDefault="00A320E6" w:rsidP="00AE0286">
            <w:pPr>
              <w:rPr>
                <w:rFonts w:ascii="宋体" w:hAnsi="宋体" w:cs="宋体"/>
                <w:color w:val="000000" w:themeColor="text1"/>
                <w:szCs w:val="21"/>
              </w:rPr>
            </w:pPr>
          </w:p>
        </w:tc>
      </w:tr>
      <w:tr w:rsidR="00A320E6" w14:paraId="2370190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70D0CE"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072F7F"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611F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C5A9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化粪池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08C4A9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70-90元/m³</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1666BD" w14:textId="77777777" w:rsidR="00A320E6" w:rsidRDefault="00A320E6" w:rsidP="00AE0286">
            <w:pPr>
              <w:rPr>
                <w:rFonts w:ascii="宋体" w:hAnsi="宋体" w:cs="宋体"/>
                <w:color w:val="000000" w:themeColor="text1"/>
                <w:szCs w:val="21"/>
              </w:rPr>
            </w:pPr>
          </w:p>
        </w:tc>
      </w:tr>
      <w:tr w:rsidR="00A320E6" w14:paraId="13D3896E"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E7C2BF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B01640"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25577"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5834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沼气池</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FA94A5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1200元/m³</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9539B4" w14:textId="77777777" w:rsidR="00A320E6" w:rsidRDefault="00A320E6" w:rsidP="00AE0286">
            <w:pPr>
              <w:rPr>
                <w:rFonts w:ascii="宋体" w:hAnsi="宋体" w:cs="宋体"/>
                <w:color w:val="000000" w:themeColor="text1"/>
                <w:szCs w:val="21"/>
              </w:rPr>
            </w:pPr>
          </w:p>
        </w:tc>
      </w:tr>
      <w:tr w:rsidR="00A320E6" w14:paraId="02CF7506"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4C0F0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1E9B073"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2FFF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3B9C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塑料排水管直径20cm以下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9BA962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22-35元/m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1E487A" w14:textId="77777777" w:rsidR="00A320E6" w:rsidRDefault="00A320E6" w:rsidP="00AE0286">
            <w:pPr>
              <w:rPr>
                <w:rFonts w:ascii="宋体" w:hAnsi="宋体" w:cs="宋体"/>
                <w:color w:val="000000" w:themeColor="text1"/>
                <w:szCs w:val="21"/>
              </w:rPr>
            </w:pPr>
          </w:p>
        </w:tc>
      </w:tr>
      <w:tr w:rsidR="00A320E6" w14:paraId="5DF227B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C90EAA"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44856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E6B5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9389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塑料排水管直径20cm以上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A6D752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45-70元/m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3AFF5" w14:textId="77777777" w:rsidR="00A320E6" w:rsidRDefault="00A320E6" w:rsidP="00AE0286">
            <w:pPr>
              <w:rPr>
                <w:rFonts w:ascii="宋体" w:hAnsi="宋体" w:cs="宋体"/>
                <w:color w:val="000000" w:themeColor="text1"/>
                <w:szCs w:val="21"/>
              </w:rPr>
            </w:pPr>
          </w:p>
        </w:tc>
      </w:tr>
      <w:tr w:rsidR="00A320E6" w14:paraId="0B0BE621"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EB606B"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DEABC8"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0F95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B393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铸铁排水管直径20cm以下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26F5B1D"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50-70元/m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07105F" w14:textId="77777777" w:rsidR="00A320E6" w:rsidRDefault="00A320E6" w:rsidP="00AE0286">
            <w:pPr>
              <w:rPr>
                <w:rFonts w:ascii="宋体" w:hAnsi="宋体" w:cs="宋体"/>
                <w:color w:val="000000" w:themeColor="text1"/>
                <w:szCs w:val="21"/>
              </w:rPr>
            </w:pPr>
          </w:p>
        </w:tc>
      </w:tr>
      <w:tr w:rsidR="00A320E6" w14:paraId="23D0D20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883CC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8F9DDE"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81AB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70E1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铸铁排水管直径20cm以上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683859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110-160元/m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A96692" w14:textId="77777777" w:rsidR="00A320E6" w:rsidRDefault="00A320E6" w:rsidP="00AE0286">
            <w:pPr>
              <w:rPr>
                <w:rFonts w:ascii="宋体" w:hAnsi="宋体" w:cs="宋体"/>
                <w:color w:val="000000" w:themeColor="text1"/>
                <w:szCs w:val="21"/>
              </w:rPr>
            </w:pPr>
          </w:p>
        </w:tc>
      </w:tr>
      <w:tr w:rsidR="00A320E6" w14:paraId="7D9F1FE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D15E1A3"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7DD93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228BB"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1788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水泥管60cm以下</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3DACBA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C2DCD7" w14:textId="77777777" w:rsidR="00A320E6" w:rsidRDefault="00A320E6" w:rsidP="00AE0286">
            <w:pPr>
              <w:rPr>
                <w:rFonts w:ascii="宋体" w:hAnsi="宋体" w:cs="宋体"/>
                <w:color w:val="000000" w:themeColor="text1"/>
                <w:szCs w:val="21"/>
              </w:rPr>
            </w:pPr>
          </w:p>
        </w:tc>
      </w:tr>
      <w:tr w:rsidR="00A320E6" w14:paraId="7CC25B38"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97240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4CFA6E"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00D0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1835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水泥管60cm以上</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8C77AF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90元/m</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C43217" w14:textId="77777777" w:rsidR="00A320E6" w:rsidRDefault="00A320E6" w:rsidP="00AE0286">
            <w:pPr>
              <w:rPr>
                <w:rFonts w:ascii="宋体" w:hAnsi="宋体" w:cs="宋体"/>
                <w:color w:val="000000" w:themeColor="text1"/>
                <w:szCs w:val="21"/>
              </w:rPr>
            </w:pPr>
          </w:p>
        </w:tc>
      </w:tr>
      <w:tr w:rsidR="00A320E6" w14:paraId="39EC3EBB"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325C65" w14:textId="77777777" w:rsidR="00A320E6" w:rsidRDefault="00A320E6" w:rsidP="00AE0286">
            <w:pPr>
              <w:jc w:val="center"/>
              <w:textAlignment w:val="center"/>
              <w:rPr>
                <w:rFonts w:ascii="宋体" w:hAnsi="宋体" w:cs="宋体"/>
                <w:color w:val="000000" w:themeColor="text1"/>
                <w:kern w:val="0"/>
                <w:szCs w:val="21"/>
              </w:rPr>
            </w:pPr>
          </w:p>
          <w:p w14:paraId="720F5BA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19</w:t>
            </w:r>
          </w:p>
          <w:p w14:paraId="523B9152" w14:textId="77777777" w:rsidR="00A320E6" w:rsidRDefault="00A320E6" w:rsidP="00AE0286">
            <w:pPr>
              <w:pStyle w:val="2"/>
            </w:pPr>
          </w:p>
          <w:p w14:paraId="5242E29C"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C631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卫生间厕所</w:t>
            </w:r>
          </w:p>
          <w:p w14:paraId="6F737E0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7477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E31A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旱改厕</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303595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1200元/个</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881723" w14:textId="77777777" w:rsidR="00A320E6" w:rsidRDefault="00000000" w:rsidP="00AE0286">
            <w:pPr>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 xml:space="preserve">　</w:t>
            </w:r>
          </w:p>
        </w:tc>
      </w:tr>
      <w:tr w:rsidR="00A320E6" w14:paraId="33757F8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2F5B70"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D3977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606B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CA8E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砖混结构卫生间</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D8924AC"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250-300元/m²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50CA81" w14:textId="77777777" w:rsidR="00A320E6" w:rsidRDefault="00A320E6" w:rsidP="00AE0286">
            <w:pPr>
              <w:rPr>
                <w:rFonts w:ascii="宋体" w:hAnsi="宋体" w:cs="宋体"/>
                <w:color w:val="000000" w:themeColor="text1"/>
                <w:szCs w:val="21"/>
              </w:rPr>
            </w:pPr>
          </w:p>
        </w:tc>
      </w:tr>
      <w:tr w:rsidR="00A320E6" w14:paraId="3FC3BC90"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AAD8AE"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47553D"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F0A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7362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有棚顶简易厕所</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255423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100-150元/m²</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DA4632" w14:textId="77777777" w:rsidR="00A320E6" w:rsidRDefault="00A320E6" w:rsidP="00AE0286">
            <w:pPr>
              <w:rPr>
                <w:rFonts w:ascii="宋体" w:hAnsi="宋体" w:cs="宋体"/>
                <w:color w:val="000000" w:themeColor="text1"/>
                <w:szCs w:val="21"/>
              </w:rPr>
            </w:pPr>
          </w:p>
        </w:tc>
      </w:tr>
      <w:tr w:rsidR="00A320E6" w14:paraId="36E29E2D"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325B654"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D0A26F"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46813"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95C0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露天厕所</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E5C11B8"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200元/个</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209AE3" w14:textId="77777777" w:rsidR="00A320E6" w:rsidRDefault="00A320E6" w:rsidP="00AE0286">
            <w:pPr>
              <w:rPr>
                <w:rFonts w:ascii="宋体" w:hAnsi="宋体" w:cs="宋体"/>
                <w:color w:val="000000" w:themeColor="text1"/>
                <w:szCs w:val="21"/>
              </w:rPr>
            </w:pPr>
          </w:p>
        </w:tc>
      </w:tr>
      <w:tr w:rsidR="00A320E6" w14:paraId="7D0100B5"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DB0887" w14:textId="77777777" w:rsidR="00A320E6" w:rsidRDefault="00A320E6" w:rsidP="00AE0286">
            <w:pPr>
              <w:jc w:val="center"/>
              <w:textAlignment w:val="center"/>
              <w:rPr>
                <w:rFonts w:ascii="宋体" w:hAnsi="宋体" w:cs="宋体"/>
                <w:color w:val="000000" w:themeColor="text1"/>
                <w:kern w:val="0"/>
                <w:szCs w:val="21"/>
              </w:rPr>
            </w:pPr>
          </w:p>
          <w:p w14:paraId="23E2F74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w:t>
            </w:r>
          </w:p>
          <w:p w14:paraId="5534A579"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BCEE85"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太阳能</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73CCE"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4988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简易太阳能</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5DC703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200元/套</w:t>
            </w:r>
          </w:p>
        </w:tc>
        <w:tc>
          <w:tcPr>
            <w:tcW w:w="123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CB0EBC" w14:textId="77777777" w:rsidR="00A320E6" w:rsidRDefault="00000000" w:rsidP="00AE0286">
            <w:pPr>
              <w:spacing w:line="240" w:lineRule="exact"/>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1.补偿费用为迁移费。2.太阳能归原主。</w:t>
            </w:r>
          </w:p>
        </w:tc>
      </w:tr>
      <w:tr w:rsidR="00A320E6" w14:paraId="4ECD0F6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852BB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EB175F"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C761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130</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A7339"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真空管太阳能</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8A30DA6"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400元/套</w:t>
            </w:r>
          </w:p>
        </w:tc>
        <w:tc>
          <w:tcPr>
            <w:tcW w:w="1235" w:type="pct"/>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4F7F22" w14:textId="77777777" w:rsidR="00A320E6" w:rsidRDefault="00A320E6" w:rsidP="00AE0286">
            <w:pPr>
              <w:spacing w:line="240" w:lineRule="exact"/>
              <w:rPr>
                <w:rFonts w:ascii="宋体" w:hAnsi="宋体" w:cs="宋体"/>
                <w:color w:val="000000" w:themeColor="text1"/>
                <w:szCs w:val="21"/>
              </w:rPr>
            </w:pPr>
          </w:p>
        </w:tc>
      </w:tr>
      <w:tr w:rsidR="00A320E6" w14:paraId="7FFE51CE" w14:textId="77777777" w:rsidTr="00621C83">
        <w:trPr>
          <w:trHeight w:val="312"/>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746F"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083C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光伏</w:t>
            </w:r>
          </w:p>
          <w:p w14:paraId="5E2BCDF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发电</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88B4A"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131</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46F92"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光伏发电</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8491E2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3-4元/瓦</w:t>
            </w:r>
          </w:p>
        </w:tc>
        <w:tc>
          <w:tcPr>
            <w:tcW w:w="12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60658" w14:textId="77777777" w:rsidR="00A320E6" w:rsidRDefault="00000000" w:rsidP="00AE0286">
            <w:pPr>
              <w:spacing w:line="240" w:lineRule="exact"/>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旧料归原主。</w:t>
            </w:r>
          </w:p>
        </w:tc>
      </w:tr>
      <w:tr w:rsidR="00A320E6" w14:paraId="32D0256E"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95452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22</w:t>
            </w:r>
          </w:p>
          <w:p w14:paraId="2B8A7947" w14:textId="77777777" w:rsidR="00A320E6" w:rsidRDefault="00A320E6" w:rsidP="00AE0286">
            <w:pPr>
              <w:pStyle w:val="2"/>
            </w:pPr>
          </w:p>
          <w:p w14:paraId="7A5B74A7"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1971F09"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青苗</w:t>
            </w:r>
          </w:p>
          <w:p w14:paraId="3D8E5331" w14:textId="77777777" w:rsidR="00A320E6" w:rsidRDefault="00A320E6" w:rsidP="00AE0286">
            <w:pPr>
              <w:pStyle w:val="2"/>
            </w:pPr>
          </w:p>
          <w:p w14:paraId="181A5E1D"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933C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132</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56BA8"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谷物类作物</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3DFF59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1500元/亩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1DE129A"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指小麦、玉米、谷子、高粱等粮食作物。</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7C68E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套种作物按种植面积较多的作物补偿。</w:t>
            </w:r>
          </w:p>
        </w:tc>
      </w:tr>
      <w:tr w:rsidR="00A320E6" w14:paraId="5195315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38AE72"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89422C"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C8E7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133</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153A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豆类作物</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8E2F5E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600564A"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指大豆、绿豆、红豆、黑豆等豆类作物。</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FB37B7" w14:textId="77777777" w:rsidR="00A320E6" w:rsidRDefault="00A320E6" w:rsidP="00AE0286">
            <w:pPr>
              <w:jc w:val="center"/>
              <w:textAlignment w:val="center"/>
              <w:rPr>
                <w:rFonts w:ascii="宋体" w:hAnsi="宋体" w:cs="宋体"/>
                <w:color w:val="000000" w:themeColor="text1"/>
                <w:kern w:val="0"/>
                <w:szCs w:val="21"/>
              </w:rPr>
            </w:pPr>
          </w:p>
        </w:tc>
      </w:tr>
      <w:tr w:rsidR="00A320E6" w14:paraId="10DB363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937401"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D6458C"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6D702"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134</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36F0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薯类作物</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B27FAF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3000-5000元/亩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7D4E818"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指地瓜、马铃薯等薯类作物。</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D8CA71" w14:textId="77777777" w:rsidR="00A320E6" w:rsidRDefault="00A320E6" w:rsidP="00AE0286">
            <w:pPr>
              <w:jc w:val="center"/>
              <w:textAlignment w:val="center"/>
              <w:rPr>
                <w:rFonts w:ascii="宋体" w:hAnsi="宋体" w:cs="宋体"/>
                <w:color w:val="000000" w:themeColor="text1"/>
                <w:kern w:val="0"/>
                <w:szCs w:val="21"/>
              </w:rPr>
            </w:pPr>
          </w:p>
        </w:tc>
      </w:tr>
      <w:tr w:rsidR="00A320E6" w14:paraId="5820A95C"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BB4AF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380361"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680A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135</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3178F"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油料作物</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B0B90F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2000-4000元/亩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5C4CFD5"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指花生、油菜籽等经济作物。</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660D80" w14:textId="77777777" w:rsidR="00A320E6" w:rsidRDefault="00A320E6" w:rsidP="00AE0286">
            <w:pPr>
              <w:jc w:val="center"/>
              <w:textAlignment w:val="center"/>
              <w:rPr>
                <w:rFonts w:ascii="宋体" w:hAnsi="宋体" w:cs="宋体"/>
                <w:color w:val="000000" w:themeColor="text1"/>
                <w:kern w:val="0"/>
                <w:szCs w:val="21"/>
              </w:rPr>
            </w:pPr>
          </w:p>
        </w:tc>
      </w:tr>
      <w:tr w:rsidR="00A320E6" w14:paraId="00951182"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0E21A9"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2E382B"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DB97C"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136</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1D18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棉花</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03F9E6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3ABB898"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DD57276" w14:textId="77777777" w:rsidR="00A320E6" w:rsidRDefault="00A320E6" w:rsidP="00AE0286">
            <w:pPr>
              <w:jc w:val="center"/>
              <w:textAlignment w:val="center"/>
              <w:rPr>
                <w:rFonts w:ascii="宋体" w:hAnsi="宋体" w:cs="宋体"/>
                <w:color w:val="000000" w:themeColor="text1"/>
                <w:kern w:val="0"/>
                <w:szCs w:val="21"/>
              </w:rPr>
            </w:pPr>
          </w:p>
        </w:tc>
      </w:tr>
      <w:tr w:rsidR="00A320E6" w14:paraId="0BD67FF9"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CD466C"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137EC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403CA"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137</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258B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药材作物(蒲公英)</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5513EE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4500元/亩</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E67A56"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本次未列出的药材作物补偿标准可委托具有资质的机构进行评估确定。</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EFEFFD" w14:textId="77777777" w:rsidR="00A320E6" w:rsidRDefault="00A320E6" w:rsidP="00AE0286">
            <w:pPr>
              <w:jc w:val="center"/>
              <w:textAlignment w:val="center"/>
              <w:rPr>
                <w:rFonts w:ascii="宋体" w:hAnsi="宋体" w:cs="宋体"/>
                <w:color w:val="000000" w:themeColor="text1"/>
                <w:kern w:val="0"/>
                <w:szCs w:val="21"/>
              </w:rPr>
            </w:pPr>
          </w:p>
        </w:tc>
      </w:tr>
      <w:tr w:rsidR="00A320E6" w14:paraId="062D846B"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F83CB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EEADC"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4EFB6"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138</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CE145"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药材作物(金银花、玫瑰花、丹参)</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26CB113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9000-12000元/亩</w:t>
            </w:r>
          </w:p>
        </w:tc>
        <w:tc>
          <w:tcPr>
            <w:tcW w:w="101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5F9230" w14:textId="77777777" w:rsidR="00A320E6" w:rsidRDefault="00A320E6" w:rsidP="00AE0286">
            <w:pPr>
              <w:spacing w:line="240" w:lineRule="exact"/>
              <w:jc w:val="left"/>
              <w:textAlignment w:val="center"/>
              <w:rPr>
                <w:rFonts w:ascii="宋体" w:hAnsi="宋体" w:cs="宋体"/>
                <w:color w:val="000000" w:themeColor="text1"/>
                <w:kern w:val="0"/>
                <w:szCs w:val="21"/>
              </w:rPr>
            </w:pP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783247" w14:textId="77777777" w:rsidR="00A320E6" w:rsidRDefault="00A320E6" w:rsidP="00AE0286">
            <w:pPr>
              <w:jc w:val="center"/>
              <w:textAlignment w:val="center"/>
              <w:rPr>
                <w:rFonts w:ascii="宋体" w:hAnsi="宋体" w:cs="宋体"/>
                <w:color w:val="000000" w:themeColor="text1"/>
                <w:kern w:val="0"/>
                <w:szCs w:val="21"/>
              </w:rPr>
            </w:pPr>
          </w:p>
        </w:tc>
      </w:tr>
      <w:tr w:rsidR="00A320E6" w14:paraId="77DDF755"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3DC04F"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075C76"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2D27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139</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0F087"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蔬菜作物</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31847F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3000-5000元/亩</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58D3E79"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1.按种植的种类在区间范围内合理确定。</w:t>
            </w:r>
          </w:p>
          <w:p w14:paraId="66A271D6" w14:textId="77777777" w:rsidR="00A320E6" w:rsidRDefault="00000000" w:rsidP="00AE0286">
            <w:pPr>
              <w:spacing w:line="240" w:lineRule="exact"/>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2.成本或收益特别高的蔬菜作物补偿标准可委托具有资质的机构进行评估确定。</w:t>
            </w:r>
          </w:p>
        </w:tc>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F5FC55" w14:textId="77777777" w:rsidR="00A320E6" w:rsidRDefault="00A320E6" w:rsidP="00AE0286">
            <w:pPr>
              <w:jc w:val="center"/>
              <w:textAlignment w:val="center"/>
              <w:rPr>
                <w:rFonts w:ascii="宋体" w:hAnsi="宋体" w:cs="宋体"/>
                <w:color w:val="000000" w:themeColor="text1"/>
                <w:kern w:val="0"/>
                <w:szCs w:val="21"/>
              </w:rPr>
            </w:pPr>
          </w:p>
        </w:tc>
      </w:tr>
      <w:tr w:rsidR="00A320E6" w14:paraId="41E77193" w14:textId="77777777" w:rsidTr="00621C83">
        <w:trPr>
          <w:trHeight w:val="312"/>
        </w:trPr>
        <w:tc>
          <w:tcPr>
            <w:tcW w:w="46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666966"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E63444"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026FCFC0"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140</w:t>
            </w:r>
          </w:p>
        </w:tc>
        <w:tc>
          <w:tcPr>
            <w:tcW w:w="1373"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1681B15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瓜果类作物</w:t>
            </w:r>
          </w:p>
        </w:tc>
        <w:tc>
          <w:tcPr>
            <w:tcW w:w="1093" w:type="pct"/>
            <w:tcBorders>
              <w:top w:val="single" w:sz="4" w:space="0" w:color="auto"/>
              <w:left w:val="single" w:sz="4" w:space="0" w:color="auto"/>
              <w:bottom w:val="single" w:sz="4" w:space="0" w:color="000000"/>
              <w:right w:val="single" w:sz="4" w:space="0" w:color="auto"/>
            </w:tcBorders>
            <w:shd w:val="clear" w:color="auto" w:fill="auto"/>
            <w:vAlign w:val="center"/>
          </w:tcPr>
          <w:p w14:paraId="087C75F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4000-10000元/亩</w:t>
            </w:r>
          </w:p>
        </w:tc>
        <w:tc>
          <w:tcPr>
            <w:tcW w:w="1015" w:type="pct"/>
            <w:tcBorders>
              <w:top w:val="single" w:sz="4" w:space="0" w:color="auto"/>
              <w:left w:val="single" w:sz="4" w:space="0" w:color="auto"/>
              <w:bottom w:val="single" w:sz="4" w:space="0" w:color="000000"/>
              <w:right w:val="single" w:sz="4" w:space="0" w:color="auto"/>
            </w:tcBorders>
            <w:shd w:val="clear" w:color="auto" w:fill="auto"/>
            <w:vAlign w:val="center"/>
          </w:tcPr>
          <w:p w14:paraId="29C5CFFC" w14:textId="77777777" w:rsidR="00A320E6" w:rsidRDefault="00000000" w:rsidP="00AE0286">
            <w:pPr>
              <w:jc w:val="left"/>
              <w:textAlignment w:val="center"/>
              <w:rPr>
                <w:rFonts w:ascii="宋体" w:hAnsi="宋体" w:cs="宋体"/>
                <w:snapToGrid w:val="0"/>
                <w:color w:val="000000" w:themeColor="text1"/>
                <w:spacing w:val="-16"/>
                <w:kern w:val="0"/>
                <w:szCs w:val="21"/>
              </w:rPr>
            </w:pPr>
            <w:r>
              <w:rPr>
                <w:rFonts w:ascii="宋体" w:hAnsi="宋体" w:cs="宋体" w:hint="eastAsia"/>
                <w:snapToGrid w:val="0"/>
                <w:color w:val="000000" w:themeColor="text1"/>
                <w:spacing w:val="-16"/>
                <w:kern w:val="0"/>
                <w:szCs w:val="21"/>
              </w:rPr>
              <w:t>指西瓜、香瓜、甜瓜、草莓等作物。</w:t>
            </w:r>
          </w:p>
        </w:tc>
        <w:tc>
          <w:tcPr>
            <w:tcW w:w="22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4C8AED2" w14:textId="77777777" w:rsidR="00A320E6" w:rsidRDefault="00A320E6" w:rsidP="00AE0286">
            <w:pPr>
              <w:jc w:val="center"/>
              <w:textAlignment w:val="center"/>
              <w:rPr>
                <w:rFonts w:ascii="宋体" w:hAnsi="宋体" w:cs="宋体"/>
                <w:color w:val="000000" w:themeColor="text1"/>
                <w:kern w:val="0"/>
                <w:szCs w:val="21"/>
              </w:rPr>
            </w:pPr>
          </w:p>
        </w:tc>
      </w:tr>
      <w:tr w:rsidR="00A320E6" w14:paraId="159C94CD" w14:textId="77777777" w:rsidTr="00621C83">
        <w:trPr>
          <w:trHeight w:val="312"/>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FCF296" w14:textId="77777777" w:rsidR="00A320E6" w:rsidRDefault="00A320E6" w:rsidP="00AE0286">
            <w:pPr>
              <w:jc w:val="center"/>
              <w:textAlignment w:val="center"/>
              <w:rPr>
                <w:rFonts w:ascii="宋体" w:hAnsi="宋体" w:cs="宋体"/>
                <w:color w:val="000000" w:themeColor="text1"/>
                <w:kern w:val="0"/>
                <w:szCs w:val="21"/>
              </w:rPr>
            </w:pPr>
          </w:p>
          <w:p w14:paraId="10F34AB3"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23</w:t>
            </w:r>
          </w:p>
          <w:p w14:paraId="60855F36" w14:textId="77777777" w:rsidR="00A320E6" w:rsidRDefault="00A320E6" w:rsidP="00AE0286">
            <w:pPr>
              <w:jc w:val="center"/>
              <w:textAlignment w:val="center"/>
              <w:rPr>
                <w:rFonts w:ascii="宋体" w:hAnsi="宋体" w:cs="宋体"/>
                <w:color w:val="000000" w:themeColor="text1"/>
                <w:szCs w:val="21"/>
              </w:rPr>
            </w:pPr>
          </w:p>
        </w:tc>
        <w:tc>
          <w:tcPr>
            <w:tcW w:w="417" w:type="pct"/>
            <w:vMerge w:val="restart"/>
            <w:tcBorders>
              <w:top w:val="single" w:sz="4" w:space="0" w:color="auto"/>
              <w:left w:val="single" w:sz="4" w:space="0" w:color="auto"/>
              <w:bottom w:val="single" w:sz="4" w:space="0" w:color="auto"/>
              <w:right w:val="single" w:sz="4" w:space="0" w:color="000000"/>
            </w:tcBorders>
            <w:shd w:val="clear" w:color="auto" w:fill="auto"/>
            <w:noWrap/>
            <w:vAlign w:val="center"/>
          </w:tcPr>
          <w:p w14:paraId="77A27E92" w14:textId="77777777" w:rsidR="00A320E6" w:rsidRDefault="00A320E6" w:rsidP="00AE0286">
            <w:pPr>
              <w:jc w:val="center"/>
              <w:textAlignment w:val="center"/>
              <w:rPr>
                <w:rFonts w:ascii="宋体" w:hAnsi="宋体" w:cs="宋体"/>
                <w:color w:val="000000" w:themeColor="text1"/>
                <w:kern w:val="0"/>
                <w:szCs w:val="21"/>
              </w:rPr>
            </w:pPr>
          </w:p>
          <w:p w14:paraId="2FDE8CB8" w14:textId="77777777" w:rsidR="00A320E6" w:rsidRDefault="00A320E6" w:rsidP="00AE0286">
            <w:pPr>
              <w:pStyle w:val="2"/>
            </w:pPr>
          </w:p>
          <w:p w14:paraId="07C9350E"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地磅</w:t>
            </w:r>
          </w:p>
          <w:p w14:paraId="4D051521" w14:textId="77777777" w:rsidR="00A320E6" w:rsidRDefault="00A320E6" w:rsidP="00AE0286">
            <w:pPr>
              <w:pStyle w:val="2"/>
            </w:pPr>
          </w:p>
          <w:p w14:paraId="570871EC"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749E4"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141</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AA3E5"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地磅宽2.5米（含）以下，长7米（含）以下</w:t>
            </w:r>
          </w:p>
        </w:tc>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499B"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2000元/座</w:t>
            </w:r>
          </w:p>
        </w:tc>
        <w:tc>
          <w:tcPr>
            <w:tcW w:w="12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A88BD" w14:textId="77777777" w:rsidR="00A320E6" w:rsidRDefault="00000000" w:rsidP="00AE0286">
            <w:pPr>
              <w:jc w:val="center"/>
              <w:textAlignment w:val="center"/>
              <w:rPr>
                <w:rFonts w:ascii="宋体" w:hAnsi="宋体" w:cs="宋体"/>
                <w:color w:val="000000" w:themeColor="text1"/>
                <w:spacing w:val="-10"/>
                <w:kern w:val="0"/>
                <w:szCs w:val="21"/>
              </w:rPr>
            </w:pPr>
            <w:r>
              <w:rPr>
                <w:rFonts w:ascii="宋体" w:hAnsi="宋体" w:cs="宋体" w:hint="eastAsia"/>
                <w:color w:val="000000" w:themeColor="text1"/>
                <w:spacing w:val="-10"/>
                <w:kern w:val="0"/>
                <w:szCs w:val="21"/>
              </w:rPr>
              <w:t>补偿标准为迁移费。</w:t>
            </w:r>
          </w:p>
        </w:tc>
      </w:tr>
      <w:tr w:rsidR="00A320E6" w14:paraId="5DDA8FAC" w14:textId="77777777" w:rsidTr="00621C83">
        <w:trPr>
          <w:trHeight w:val="312"/>
        </w:trPr>
        <w:tc>
          <w:tcPr>
            <w:tcW w:w="463" w:type="pct"/>
            <w:vMerge/>
            <w:tcBorders>
              <w:top w:val="single" w:sz="4" w:space="0" w:color="auto"/>
              <w:left w:val="single" w:sz="4" w:space="0" w:color="auto"/>
              <w:right w:val="single" w:sz="4" w:space="0" w:color="auto"/>
            </w:tcBorders>
            <w:shd w:val="clear" w:color="auto" w:fill="auto"/>
            <w:noWrap/>
            <w:vAlign w:val="center"/>
          </w:tcPr>
          <w:p w14:paraId="330543A8"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top w:val="single" w:sz="4" w:space="0" w:color="auto"/>
              <w:left w:val="nil"/>
              <w:right w:val="single" w:sz="4" w:space="0" w:color="000000"/>
            </w:tcBorders>
            <w:shd w:val="clear" w:color="auto" w:fill="auto"/>
            <w:noWrap/>
            <w:vAlign w:val="center"/>
          </w:tcPr>
          <w:p w14:paraId="6C014CEF"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62EA"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142</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C68AD"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地磅宽2.5米-3米（含），长7米-12米（含）</w:t>
            </w:r>
          </w:p>
        </w:tc>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87B2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3500元/座</w:t>
            </w:r>
          </w:p>
        </w:tc>
        <w:tc>
          <w:tcPr>
            <w:tcW w:w="1235"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8895E" w14:textId="77777777" w:rsidR="00A320E6" w:rsidRDefault="00A320E6" w:rsidP="00AE0286">
            <w:pPr>
              <w:jc w:val="center"/>
              <w:rPr>
                <w:rFonts w:ascii="宋体" w:hAnsi="宋体" w:cs="宋体"/>
                <w:color w:val="000000" w:themeColor="text1"/>
                <w:szCs w:val="21"/>
              </w:rPr>
            </w:pPr>
          </w:p>
        </w:tc>
      </w:tr>
      <w:tr w:rsidR="00A320E6" w14:paraId="34CBB6F5" w14:textId="77777777" w:rsidTr="00621C83">
        <w:trPr>
          <w:trHeight w:val="312"/>
        </w:trPr>
        <w:tc>
          <w:tcPr>
            <w:tcW w:w="463" w:type="pct"/>
            <w:vMerge/>
            <w:tcBorders>
              <w:left w:val="single" w:sz="4" w:space="0" w:color="auto"/>
              <w:right w:val="single" w:sz="4" w:space="0" w:color="auto"/>
            </w:tcBorders>
            <w:shd w:val="clear" w:color="auto" w:fill="auto"/>
            <w:noWrap/>
            <w:vAlign w:val="center"/>
          </w:tcPr>
          <w:p w14:paraId="24C69FFD"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left w:val="nil"/>
              <w:right w:val="single" w:sz="4" w:space="0" w:color="000000"/>
            </w:tcBorders>
            <w:shd w:val="clear" w:color="auto" w:fill="auto"/>
            <w:noWrap/>
            <w:vAlign w:val="center"/>
          </w:tcPr>
          <w:p w14:paraId="72F472F7"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B679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szCs w:val="21"/>
              </w:rPr>
              <w:t>143</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0E6A4"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地磅宽3米以上，</w:t>
            </w:r>
          </w:p>
          <w:p w14:paraId="47CCE790"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长12米-16米（含）</w:t>
            </w:r>
          </w:p>
        </w:tc>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C4BD1" w14:textId="77777777" w:rsidR="00A320E6" w:rsidRDefault="00000000" w:rsidP="00AE0286">
            <w:pPr>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5000元/座</w:t>
            </w:r>
          </w:p>
        </w:tc>
        <w:tc>
          <w:tcPr>
            <w:tcW w:w="1235"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555DD" w14:textId="77777777" w:rsidR="00A320E6" w:rsidRDefault="00A320E6" w:rsidP="00AE0286">
            <w:pPr>
              <w:jc w:val="center"/>
              <w:rPr>
                <w:rFonts w:ascii="宋体" w:hAnsi="宋体" w:cs="宋体"/>
                <w:color w:val="000000" w:themeColor="text1"/>
                <w:szCs w:val="21"/>
              </w:rPr>
            </w:pPr>
          </w:p>
        </w:tc>
      </w:tr>
      <w:tr w:rsidR="00A320E6" w14:paraId="1817FDBE" w14:textId="77777777" w:rsidTr="00621C83">
        <w:trPr>
          <w:trHeight w:val="312"/>
        </w:trPr>
        <w:tc>
          <w:tcPr>
            <w:tcW w:w="463" w:type="pct"/>
            <w:vMerge/>
            <w:tcBorders>
              <w:left w:val="single" w:sz="4" w:space="0" w:color="auto"/>
              <w:bottom w:val="single" w:sz="4" w:space="0" w:color="auto"/>
              <w:right w:val="single" w:sz="4" w:space="0" w:color="auto"/>
            </w:tcBorders>
            <w:shd w:val="clear" w:color="auto" w:fill="auto"/>
            <w:noWrap/>
            <w:vAlign w:val="center"/>
          </w:tcPr>
          <w:p w14:paraId="0636AD46" w14:textId="77777777" w:rsidR="00A320E6" w:rsidRDefault="00A320E6" w:rsidP="00AE0286">
            <w:pPr>
              <w:jc w:val="center"/>
              <w:textAlignment w:val="center"/>
              <w:rPr>
                <w:rFonts w:ascii="宋体" w:hAnsi="宋体" w:cs="宋体"/>
                <w:color w:val="000000" w:themeColor="text1"/>
                <w:szCs w:val="21"/>
              </w:rPr>
            </w:pPr>
          </w:p>
        </w:tc>
        <w:tc>
          <w:tcPr>
            <w:tcW w:w="417" w:type="pct"/>
            <w:vMerge/>
            <w:tcBorders>
              <w:left w:val="nil"/>
              <w:bottom w:val="single" w:sz="4" w:space="0" w:color="auto"/>
              <w:right w:val="single" w:sz="4" w:space="0" w:color="000000"/>
            </w:tcBorders>
            <w:shd w:val="clear" w:color="auto" w:fill="auto"/>
            <w:noWrap/>
            <w:vAlign w:val="center"/>
          </w:tcPr>
          <w:p w14:paraId="7AA208DA" w14:textId="77777777" w:rsidR="00A320E6" w:rsidRDefault="00A320E6" w:rsidP="00AE0286">
            <w:pPr>
              <w:jc w:val="center"/>
              <w:textAlignment w:val="center"/>
              <w:rPr>
                <w:rFonts w:ascii="宋体" w:hAnsi="宋体" w:cs="宋体"/>
                <w:color w:val="000000" w:themeColor="text1"/>
                <w:szCs w:val="21"/>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A9CC4"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szCs w:val="21"/>
              </w:rPr>
              <w:t>144</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CD190" w14:textId="77777777" w:rsidR="00A320E6" w:rsidRDefault="00000000" w:rsidP="00AE0286">
            <w:pPr>
              <w:spacing w:line="240" w:lineRule="exact"/>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地磅宽3米以上，</w:t>
            </w:r>
          </w:p>
          <w:p w14:paraId="2F204A4B" w14:textId="77777777" w:rsidR="00A320E6" w:rsidRDefault="00000000" w:rsidP="00AE0286">
            <w:pPr>
              <w:spacing w:line="240" w:lineRule="exact"/>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长16米以上</w:t>
            </w:r>
          </w:p>
        </w:tc>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EF5F1" w14:textId="77777777" w:rsidR="00A320E6" w:rsidRDefault="00000000" w:rsidP="00AE0286">
            <w:pPr>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6000元/座</w:t>
            </w:r>
          </w:p>
        </w:tc>
        <w:tc>
          <w:tcPr>
            <w:tcW w:w="1235"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D819" w14:textId="77777777" w:rsidR="00A320E6" w:rsidRDefault="00A320E6" w:rsidP="00AE0286">
            <w:pPr>
              <w:jc w:val="center"/>
              <w:rPr>
                <w:rFonts w:ascii="宋体" w:hAnsi="宋体" w:cs="宋体"/>
                <w:color w:val="000000" w:themeColor="text1"/>
                <w:szCs w:val="21"/>
              </w:rPr>
            </w:pPr>
          </w:p>
        </w:tc>
      </w:tr>
    </w:tbl>
    <w:p w14:paraId="6B6E2083" w14:textId="77777777" w:rsidR="00A320E6" w:rsidRDefault="00A320E6" w:rsidP="00AE0286">
      <w:pPr>
        <w:spacing w:line="260" w:lineRule="exact"/>
        <w:rPr>
          <w:rFonts w:ascii="Times New Roman" w:eastAsia="仿宋_GB2312" w:hAnsi="Times New Roman" w:cs="Times New Roman"/>
          <w:color w:val="000000"/>
          <w:sz w:val="24"/>
        </w:rPr>
      </w:pPr>
    </w:p>
    <w:p w14:paraId="7AE22E28"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5211BC60"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1.表中未列出的地上附着物，参照表中相近的补偿标准补偿；不能参照的，可委托具有资质的机构进行评估确定。</w:t>
      </w:r>
    </w:p>
    <w:p w14:paraId="0D7494DB"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2.当地政府拟征地公告发布后开始抢种、抢栽以及抢建的建筑物、构筑物等不予补偿。</w:t>
      </w:r>
    </w:p>
    <w:p w14:paraId="4C7F5133"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3.上述项目中涉及到政府投资建设的不在补偿范围内。</w:t>
      </w:r>
    </w:p>
    <w:p w14:paraId="4B5B01D8" w14:textId="77777777" w:rsidR="00A320E6" w:rsidRDefault="00000000" w:rsidP="00AE0286">
      <w:pPr>
        <w:pStyle w:val="a3"/>
        <w:spacing w:line="360" w:lineRule="auto"/>
        <w:ind w:firstLineChars="0" w:firstLine="0"/>
        <w:rPr>
          <w:rFonts w:ascii="宋体" w:hAnsi="宋体" w:cs="宋体"/>
          <w:kern w:val="0"/>
          <w:sz w:val="24"/>
        </w:rPr>
      </w:pPr>
      <w:r>
        <w:rPr>
          <w:rFonts w:ascii="宋体" w:hAnsi="宋体" w:cs="宋体" w:hint="eastAsia"/>
          <w:kern w:val="0"/>
          <w:sz w:val="24"/>
        </w:rPr>
        <w:t>4.国家和省确定的铁路、公路、机场、航道港口、水利工程、能源工程等重大基础设施项目征收土地地上附着物和青苗补偿等标准另有规定的，从其规定。</w:t>
      </w:r>
    </w:p>
    <w:p w14:paraId="7D62A005" w14:textId="3E07D659" w:rsidR="00A320E6" w:rsidRDefault="00A320E6" w:rsidP="00AE0286">
      <w:pPr>
        <w:pStyle w:val="a3"/>
        <w:spacing w:line="360" w:lineRule="auto"/>
        <w:ind w:firstLineChars="0" w:firstLine="0"/>
        <w:rPr>
          <w:rFonts w:ascii="宋体" w:hAnsi="宋体" w:cs="宋体"/>
          <w:kern w:val="0"/>
          <w:sz w:val="24"/>
          <w:lang w:eastAsia="zh-Hans"/>
        </w:rPr>
      </w:pPr>
    </w:p>
    <w:p w14:paraId="4DB6F7E9" w14:textId="77777777" w:rsidR="00621C83" w:rsidRDefault="00621C83" w:rsidP="00AE0286">
      <w:pPr>
        <w:pStyle w:val="a3"/>
        <w:spacing w:line="360" w:lineRule="auto"/>
        <w:ind w:firstLineChars="0" w:firstLine="0"/>
        <w:rPr>
          <w:rFonts w:ascii="宋体" w:hAnsi="宋体" w:cs="宋体"/>
          <w:kern w:val="0"/>
          <w:sz w:val="24"/>
          <w:lang w:eastAsia="zh-Hans"/>
        </w:rPr>
      </w:pPr>
    </w:p>
    <w:p w14:paraId="4BA1D6E1" w14:textId="77777777" w:rsidR="00A320E6" w:rsidRDefault="00000000" w:rsidP="00F67407">
      <w:pPr>
        <w:keepNext/>
        <w:spacing w:beforeLines="50" w:before="156" w:afterLines="20" w:after="62" w:line="360" w:lineRule="auto"/>
        <w:jc w:val="center"/>
        <w:outlineLvl w:val="2"/>
        <w:rPr>
          <w:b/>
          <w:bCs/>
          <w:sz w:val="24"/>
          <w:lang w:eastAsia="zh-Hans"/>
        </w:rPr>
      </w:pPr>
      <w:bookmarkStart w:id="130" w:name="_Toc112227428"/>
      <w:r>
        <w:rPr>
          <w:rFonts w:hint="eastAsia"/>
          <w:b/>
          <w:bCs/>
          <w:sz w:val="24"/>
          <w:lang w:eastAsia="zh-Hans"/>
        </w:rPr>
        <w:t>关于临沂市征地地上附着物和青苗补偿标准的批复</w:t>
      </w:r>
      <w:bookmarkEnd w:id="130"/>
    </w:p>
    <w:p w14:paraId="1ABD4158" w14:textId="77777777" w:rsidR="00A320E6" w:rsidRDefault="00000000" w:rsidP="00AE0286">
      <w:pPr>
        <w:pStyle w:val="a3"/>
        <w:spacing w:line="360" w:lineRule="auto"/>
        <w:ind w:firstLineChars="0" w:firstLine="0"/>
        <w:rPr>
          <w:sz w:val="24"/>
          <w:lang w:eastAsia="zh-Hans"/>
        </w:rPr>
      </w:pPr>
      <w:r>
        <w:rPr>
          <w:rFonts w:hint="eastAsia"/>
          <w:sz w:val="24"/>
          <w:lang w:eastAsia="zh-Hans"/>
        </w:rPr>
        <w:t>临沂市自然资源和规划局、财政局：</w:t>
      </w:r>
    </w:p>
    <w:p w14:paraId="69808B02" w14:textId="77777777" w:rsidR="00A320E6" w:rsidRDefault="00000000" w:rsidP="00AE0286">
      <w:pPr>
        <w:pStyle w:val="a3"/>
        <w:spacing w:line="360" w:lineRule="auto"/>
        <w:ind w:firstLine="480"/>
        <w:rPr>
          <w:sz w:val="24"/>
          <w:lang w:eastAsia="zh-Hans"/>
        </w:rPr>
      </w:pPr>
      <w:r>
        <w:rPr>
          <w:rFonts w:hint="eastAsia"/>
          <w:sz w:val="24"/>
          <w:lang w:eastAsia="zh-Hans"/>
        </w:rPr>
        <w:t>你市《关于上报临沂市征地地上附着物和青苗补偿标准制定成果的请示》（临自然资规报〔</w:t>
      </w:r>
      <w:r>
        <w:rPr>
          <w:rFonts w:hint="eastAsia"/>
          <w:sz w:val="24"/>
          <w:lang w:eastAsia="zh-Hans"/>
        </w:rPr>
        <w:t>2022</w:t>
      </w:r>
      <w:r>
        <w:rPr>
          <w:rFonts w:hint="eastAsia"/>
          <w:sz w:val="24"/>
          <w:lang w:eastAsia="zh-Hans"/>
        </w:rPr>
        <w:t>〕</w:t>
      </w:r>
      <w:r>
        <w:rPr>
          <w:rFonts w:hint="eastAsia"/>
          <w:sz w:val="24"/>
          <w:lang w:eastAsia="zh-Hans"/>
        </w:rPr>
        <w:t>3</w:t>
      </w:r>
      <w:r>
        <w:rPr>
          <w:rFonts w:hint="eastAsia"/>
          <w:sz w:val="24"/>
          <w:lang w:eastAsia="zh-Hans"/>
        </w:rPr>
        <w:t>号）收悉。经研究，同意你市制定的征地地上附着物和青苗补偿标准（详见附件）。</w:t>
      </w:r>
    </w:p>
    <w:p w14:paraId="0361B4DB" w14:textId="77777777" w:rsidR="00A320E6" w:rsidRDefault="00000000" w:rsidP="00AE0286">
      <w:pPr>
        <w:pStyle w:val="a3"/>
        <w:spacing w:line="360" w:lineRule="auto"/>
        <w:ind w:firstLine="480"/>
        <w:rPr>
          <w:sz w:val="24"/>
          <w:lang w:eastAsia="zh-Hans"/>
        </w:rPr>
      </w:pPr>
      <w:r>
        <w:rPr>
          <w:rFonts w:hint="eastAsia"/>
          <w:sz w:val="24"/>
          <w:lang w:eastAsia="zh-Hans"/>
        </w:rPr>
        <w:t>标准自批复之日起执行。</w:t>
      </w:r>
    </w:p>
    <w:p w14:paraId="5663E2F7" w14:textId="77777777" w:rsidR="00A320E6" w:rsidRDefault="00000000" w:rsidP="00AE0286">
      <w:pPr>
        <w:pStyle w:val="a3"/>
        <w:spacing w:line="360" w:lineRule="auto"/>
        <w:ind w:firstLine="480"/>
        <w:rPr>
          <w:sz w:val="24"/>
          <w:lang w:eastAsia="zh-Hans"/>
        </w:rPr>
      </w:pPr>
      <w:r>
        <w:rPr>
          <w:rFonts w:hint="eastAsia"/>
          <w:sz w:val="24"/>
          <w:lang w:eastAsia="zh-Hans"/>
        </w:rPr>
        <w:t>附件：临沂市征地地上附着物和青苗补偿标准</w:t>
      </w:r>
    </w:p>
    <w:p w14:paraId="5106FA6B" w14:textId="77777777" w:rsidR="00A320E6" w:rsidRDefault="00000000" w:rsidP="00AE0286">
      <w:pPr>
        <w:pStyle w:val="a3"/>
        <w:spacing w:line="360" w:lineRule="auto"/>
        <w:ind w:firstLine="480"/>
        <w:jc w:val="right"/>
        <w:rPr>
          <w:sz w:val="24"/>
          <w:lang w:eastAsia="zh-Hans"/>
        </w:rPr>
      </w:pPr>
      <w:r>
        <w:rPr>
          <w:rFonts w:hint="eastAsia"/>
          <w:sz w:val="24"/>
          <w:lang w:eastAsia="zh-Hans"/>
        </w:rPr>
        <w:t>                                山东省自然资源厅  山东省财政厅  </w:t>
      </w:r>
    </w:p>
    <w:p w14:paraId="13C1A8CD" w14:textId="77777777" w:rsidR="00A320E6" w:rsidRDefault="00000000" w:rsidP="00AE0286">
      <w:pPr>
        <w:pStyle w:val="a3"/>
        <w:spacing w:line="360" w:lineRule="auto"/>
        <w:ind w:firstLine="480"/>
        <w:jc w:val="right"/>
        <w:rPr>
          <w:sz w:val="24"/>
          <w:lang w:eastAsia="zh-Hans"/>
        </w:rPr>
      </w:pPr>
      <w:r>
        <w:rPr>
          <w:rFonts w:hint="eastAsia"/>
          <w:sz w:val="24"/>
          <w:lang w:eastAsia="zh-Hans"/>
        </w:rPr>
        <w:t>                             </w:t>
      </w:r>
      <w:r>
        <w:rPr>
          <w:rFonts w:hint="eastAsia"/>
          <w:sz w:val="24"/>
          <w:lang w:eastAsia="zh-Hans"/>
        </w:rPr>
        <w:t>2022</w:t>
      </w:r>
      <w:r>
        <w:rPr>
          <w:rFonts w:hint="eastAsia"/>
          <w:sz w:val="24"/>
          <w:lang w:eastAsia="zh-Hans"/>
        </w:rPr>
        <w:t>年</w:t>
      </w:r>
      <w:r>
        <w:rPr>
          <w:rFonts w:hint="eastAsia"/>
          <w:sz w:val="24"/>
          <w:lang w:eastAsia="zh-Hans"/>
        </w:rPr>
        <w:t>1</w:t>
      </w:r>
      <w:r>
        <w:rPr>
          <w:rFonts w:hint="eastAsia"/>
          <w:sz w:val="24"/>
          <w:lang w:eastAsia="zh-Hans"/>
        </w:rPr>
        <w:t>月</w:t>
      </w:r>
      <w:r>
        <w:rPr>
          <w:rFonts w:hint="eastAsia"/>
          <w:sz w:val="24"/>
          <w:lang w:eastAsia="zh-Hans"/>
        </w:rPr>
        <w:t>14</w:t>
      </w:r>
      <w:r>
        <w:rPr>
          <w:rFonts w:hint="eastAsia"/>
          <w:sz w:val="24"/>
          <w:lang w:eastAsia="zh-Hans"/>
        </w:rPr>
        <w:t>日</w:t>
      </w:r>
    </w:p>
    <w:p w14:paraId="0775705B" w14:textId="77777777" w:rsidR="00A320E6" w:rsidRDefault="00000000" w:rsidP="00AE0286">
      <w:pPr>
        <w:jc w:val="center"/>
        <w:rPr>
          <w:rFonts w:ascii="宋体" w:hAnsi="宋体" w:cs="宋体"/>
          <w:bCs/>
          <w:kern w:val="0"/>
          <w:sz w:val="24"/>
          <w:szCs w:val="24"/>
        </w:rPr>
      </w:pPr>
      <w:r>
        <w:rPr>
          <w:rFonts w:ascii="宋体" w:hAnsi="宋体" w:cs="宋体" w:hint="eastAsia"/>
          <w:bCs/>
          <w:kern w:val="0"/>
          <w:sz w:val="24"/>
          <w:szCs w:val="24"/>
        </w:rPr>
        <w:t>附件</w:t>
      </w:r>
    </w:p>
    <w:p w14:paraId="3F640928" w14:textId="77777777" w:rsidR="00A320E6" w:rsidRDefault="00000000" w:rsidP="00AE0286">
      <w:pPr>
        <w:jc w:val="center"/>
        <w:rPr>
          <w:rFonts w:ascii="宋体" w:hAnsi="宋体" w:cs="宋体"/>
          <w:bCs/>
          <w:kern w:val="0"/>
          <w:sz w:val="24"/>
          <w:szCs w:val="24"/>
        </w:rPr>
      </w:pPr>
      <w:r>
        <w:rPr>
          <w:rFonts w:ascii="宋体" w:hAnsi="宋体" w:cs="宋体" w:hint="eastAsia"/>
          <w:bCs/>
          <w:kern w:val="0"/>
          <w:sz w:val="24"/>
          <w:szCs w:val="24"/>
        </w:rPr>
        <w:t>临沂市征地地上附着物和青苗补偿标准</w:t>
      </w:r>
    </w:p>
    <w:tbl>
      <w:tblPr>
        <w:tblW w:w="5145" w:type="pct"/>
        <w:jc w:val="center"/>
        <w:tblLayout w:type="fixed"/>
        <w:tblLook w:val="04A0" w:firstRow="1" w:lastRow="0" w:firstColumn="1" w:lastColumn="0" w:noHBand="0" w:noVBand="1"/>
      </w:tblPr>
      <w:tblGrid>
        <w:gridCol w:w="680"/>
        <w:gridCol w:w="819"/>
        <w:gridCol w:w="578"/>
        <w:gridCol w:w="3264"/>
        <w:gridCol w:w="2268"/>
        <w:gridCol w:w="1596"/>
      </w:tblGrid>
      <w:tr w:rsidR="00621C83" w:rsidRPr="00621C83" w14:paraId="06F000DA" w14:textId="77777777" w:rsidTr="00621C83">
        <w:trPr>
          <w:trHeight w:val="567"/>
          <w:tblHeader/>
          <w:jc w:val="center"/>
        </w:trPr>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14:paraId="7BC022E9" w14:textId="77777777" w:rsidR="00A320E6" w:rsidRPr="00621C83" w:rsidRDefault="00000000" w:rsidP="00AE0286">
            <w:pPr>
              <w:jc w:val="center"/>
              <w:rPr>
                <w:rFonts w:ascii="宋体" w:hAnsi="宋体" w:cs="宋体"/>
                <w:b/>
                <w:bCs/>
                <w:kern w:val="0"/>
                <w:szCs w:val="21"/>
              </w:rPr>
            </w:pPr>
            <w:r w:rsidRPr="00621C83">
              <w:rPr>
                <w:rFonts w:ascii="宋体" w:hAnsi="宋体" w:cs="宋体" w:hint="eastAsia"/>
                <w:b/>
                <w:bCs/>
                <w:kern w:val="0"/>
                <w:szCs w:val="21"/>
              </w:rPr>
              <w:t>序号</w:t>
            </w:r>
          </w:p>
        </w:tc>
        <w:tc>
          <w:tcPr>
            <w:tcW w:w="445" w:type="pct"/>
            <w:tcBorders>
              <w:top w:val="single" w:sz="4" w:space="0" w:color="auto"/>
              <w:left w:val="nil"/>
              <w:bottom w:val="single" w:sz="4" w:space="0" w:color="auto"/>
              <w:right w:val="single" w:sz="4" w:space="0" w:color="auto"/>
            </w:tcBorders>
            <w:shd w:val="clear" w:color="000000" w:fill="FFFFFF"/>
            <w:vAlign w:val="center"/>
          </w:tcPr>
          <w:p w14:paraId="15084D9E" w14:textId="77777777" w:rsidR="00A320E6" w:rsidRPr="00621C83" w:rsidRDefault="00000000" w:rsidP="00AE0286">
            <w:pPr>
              <w:jc w:val="center"/>
              <w:rPr>
                <w:rFonts w:ascii="宋体" w:hAnsi="宋体" w:cs="宋体"/>
                <w:b/>
                <w:bCs/>
                <w:kern w:val="0"/>
                <w:szCs w:val="21"/>
              </w:rPr>
            </w:pPr>
            <w:r w:rsidRPr="00621C83">
              <w:rPr>
                <w:rFonts w:ascii="宋体" w:hAnsi="宋体" w:cs="宋体" w:hint="eastAsia"/>
                <w:b/>
                <w:bCs/>
                <w:kern w:val="0"/>
                <w:szCs w:val="21"/>
              </w:rPr>
              <w:t>名称</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A965B5F" w14:textId="77777777" w:rsidR="00A320E6" w:rsidRPr="00621C83" w:rsidRDefault="00000000" w:rsidP="00AE0286">
            <w:pPr>
              <w:jc w:val="center"/>
              <w:rPr>
                <w:rFonts w:ascii="宋体" w:hAnsi="宋体" w:cs="宋体"/>
                <w:b/>
                <w:bCs/>
                <w:kern w:val="0"/>
                <w:szCs w:val="21"/>
              </w:rPr>
            </w:pPr>
            <w:r w:rsidRPr="00621C83">
              <w:rPr>
                <w:rFonts w:ascii="宋体" w:hAnsi="宋体" w:cs="宋体" w:hint="eastAsia"/>
                <w:b/>
                <w:bCs/>
                <w:kern w:val="0"/>
                <w:szCs w:val="21"/>
              </w:rPr>
              <w:t>类别规格</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753C3575" w14:textId="77777777" w:rsidR="00A320E6" w:rsidRPr="00621C83" w:rsidRDefault="00000000" w:rsidP="00AE0286">
            <w:pPr>
              <w:jc w:val="center"/>
              <w:rPr>
                <w:rFonts w:ascii="宋体" w:hAnsi="宋体" w:cs="宋体"/>
                <w:b/>
                <w:bCs/>
                <w:kern w:val="0"/>
                <w:szCs w:val="21"/>
              </w:rPr>
            </w:pPr>
            <w:r w:rsidRPr="00621C83">
              <w:rPr>
                <w:rFonts w:ascii="宋体" w:hAnsi="宋体" w:cs="宋体" w:hint="eastAsia"/>
                <w:b/>
                <w:bCs/>
                <w:kern w:val="0"/>
                <w:szCs w:val="21"/>
              </w:rPr>
              <w:t>补偿标准</w:t>
            </w:r>
          </w:p>
        </w:tc>
        <w:tc>
          <w:tcPr>
            <w:tcW w:w="867" w:type="pct"/>
            <w:tcBorders>
              <w:top w:val="single" w:sz="4" w:space="0" w:color="auto"/>
              <w:left w:val="nil"/>
              <w:bottom w:val="single" w:sz="4" w:space="0" w:color="auto"/>
              <w:right w:val="single" w:sz="4" w:space="0" w:color="auto"/>
            </w:tcBorders>
            <w:shd w:val="clear" w:color="000000" w:fill="FFFFFF"/>
            <w:vAlign w:val="center"/>
          </w:tcPr>
          <w:p w14:paraId="21DBC3B7" w14:textId="77777777" w:rsidR="00A320E6" w:rsidRPr="00621C83" w:rsidRDefault="00000000" w:rsidP="00AE0286">
            <w:pPr>
              <w:jc w:val="center"/>
              <w:rPr>
                <w:rFonts w:ascii="宋体" w:hAnsi="宋体" w:cs="宋体"/>
                <w:b/>
                <w:bCs/>
                <w:kern w:val="0"/>
                <w:szCs w:val="21"/>
              </w:rPr>
            </w:pPr>
            <w:r w:rsidRPr="00621C83">
              <w:rPr>
                <w:rFonts w:ascii="宋体" w:hAnsi="宋体" w:cs="宋体" w:hint="eastAsia"/>
                <w:b/>
                <w:bCs/>
                <w:kern w:val="0"/>
                <w:szCs w:val="21"/>
              </w:rPr>
              <w:t>备注</w:t>
            </w:r>
          </w:p>
        </w:tc>
      </w:tr>
      <w:tr w:rsidR="00621C83" w:rsidRPr="00621C83" w14:paraId="646A345A" w14:textId="77777777" w:rsidTr="00621C83">
        <w:trPr>
          <w:trHeight w:val="56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405D559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57A9EDC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房屋</w:t>
            </w: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2D14D12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多层房屋</w:t>
            </w:r>
          </w:p>
        </w:tc>
        <w:tc>
          <w:tcPr>
            <w:tcW w:w="1773" w:type="pct"/>
            <w:tcBorders>
              <w:top w:val="nil"/>
              <w:left w:val="nil"/>
              <w:bottom w:val="single" w:sz="4" w:space="0" w:color="auto"/>
              <w:right w:val="single" w:sz="4" w:space="0" w:color="auto"/>
            </w:tcBorders>
            <w:shd w:val="clear" w:color="000000" w:fill="FFFFFF"/>
            <w:vAlign w:val="center"/>
          </w:tcPr>
          <w:p w14:paraId="12A88C6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钢筋混凝土结构，钢筋混凝土柱、梁、板承重，统一砖体墙，现浇混凝土屋面或混凝土檩条瓦屋面。</w:t>
            </w:r>
          </w:p>
        </w:tc>
        <w:tc>
          <w:tcPr>
            <w:tcW w:w="1232" w:type="pct"/>
            <w:tcBorders>
              <w:top w:val="nil"/>
              <w:left w:val="nil"/>
              <w:bottom w:val="single" w:sz="4" w:space="0" w:color="auto"/>
              <w:right w:val="single" w:sz="4" w:space="0" w:color="auto"/>
            </w:tcBorders>
            <w:shd w:val="clear" w:color="000000" w:fill="FFFFFF"/>
            <w:vAlign w:val="center"/>
          </w:tcPr>
          <w:p w14:paraId="6720017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1000-1500元/㎡</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51E54A8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1、表中面积系指建筑面积；</w:t>
            </w:r>
            <w:r w:rsidRPr="00621C83">
              <w:rPr>
                <w:rFonts w:ascii="宋体" w:hAnsi="宋体" w:cs="宋体" w:hint="eastAsia"/>
                <w:kern w:val="0"/>
                <w:szCs w:val="21"/>
              </w:rPr>
              <w:br/>
              <w:t>2、房屋补偿费用系指旧料损失、拆建人工费用。</w:t>
            </w:r>
            <w:r w:rsidRPr="00621C83">
              <w:rPr>
                <w:rFonts w:ascii="宋体" w:hAnsi="宋体" w:cs="宋体" w:hint="eastAsia"/>
                <w:kern w:val="0"/>
                <w:szCs w:val="21"/>
              </w:rPr>
              <w:br/>
              <w:t>3、钢结构厂房根据房屋檐高、跨度、墙体、屋面、材料等规格不同进行适当调整。</w:t>
            </w:r>
          </w:p>
        </w:tc>
      </w:tr>
      <w:tr w:rsidR="00621C83" w:rsidRPr="00621C83" w14:paraId="702D2F22"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596749D2"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A87D10E"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776C0922"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06A751A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砖混结构，砖墙或砖柱，现浇混凝土屋面或混凝土檩条瓦屋面。</w:t>
            </w:r>
          </w:p>
        </w:tc>
        <w:tc>
          <w:tcPr>
            <w:tcW w:w="1232" w:type="pct"/>
            <w:tcBorders>
              <w:top w:val="nil"/>
              <w:left w:val="nil"/>
              <w:bottom w:val="single" w:sz="4" w:space="0" w:color="auto"/>
              <w:right w:val="single" w:sz="4" w:space="0" w:color="auto"/>
            </w:tcBorders>
            <w:shd w:val="clear" w:color="000000" w:fill="FFFFFF"/>
            <w:vAlign w:val="center"/>
          </w:tcPr>
          <w:p w14:paraId="5BF3D6D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700-1300元/㎡</w:t>
            </w:r>
          </w:p>
        </w:tc>
        <w:tc>
          <w:tcPr>
            <w:tcW w:w="867" w:type="pct"/>
            <w:vMerge/>
            <w:tcBorders>
              <w:top w:val="nil"/>
              <w:left w:val="single" w:sz="4" w:space="0" w:color="auto"/>
              <w:bottom w:val="single" w:sz="4" w:space="0" w:color="auto"/>
              <w:right w:val="single" w:sz="4" w:space="0" w:color="auto"/>
            </w:tcBorders>
            <w:vAlign w:val="center"/>
          </w:tcPr>
          <w:p w14:paraId="348512C0" w14:textId="77777777" w:rsidR="00A320E6" w:rsidRPr="00621C83" w:rsidRDefault="00A320E6" w:rsidP="00AE0286">
            <w:pPr>
              <w:jc w:val="center"/>
              <w:rPr>
                <w:rFonts w:ascii="宋体" w:hAnsi="宋体" w:cs="宋体"/>
                <w:kern w:val="0"/>
                <w:szCs w:val="21"/>
              </w:rPr>
            </w:pPr>
          </w:p>
        </w:tc>
      </w:tr>
      <w:tr w:rsidR="00621C83" w:rsidRPr="00621C83" w14:paraId="2A822C2E"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10760DF6"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1C024B58"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1F11328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单层房屋</w:t>
            </w:r>
          </w:p>
        </w:tc>
        <w:tc>
          <w:tcPr>
            <w:tcW w:w="1773" w:type="pct"/>
            <w:tcBorders>
              <w:top w:val="nil"/>
              <w:left w:val="nil"/>
              <w:bottom w:val="single" w:sz="4" w:space="0" w:color="auto"/>
              <w:right w:val="single" w:sz="4" w:space="0" w:color="auto"/>
            </w:tcBorders>
            <w:shd w:val="clear" w:color="000000" w:fill="FFFFFF"/>
            <w:vAlign w:val="center"/>
          </w:tcPr>
          <w:p w14:paraId="71CD454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砖混结构，有地梁、圈梁，统一砖体墙，现浇混凝土屋面板或混凝土、木檩条瓦屋面。</w:t>
            </w:r>
          </w:p>
        </w:tc>
        <w:tc>
          <w:tcPr>
            <w:tcW w:w="1232" w:type="pct"/>
            <w:tcBorders>
              <w:top w:val="nil"/>
              <w:left w:val="nil"/>
              <w:bottom w:val="single" w:sz="4" w:space="0" w:color="auto"/>
              <w:right w:val="single" w:sz="4" w:space="0" w:color="auto"/>
            </w:tcBorders>
            <w:shd w:val="clear" w:color="000000" w:fill="FFFFFF"/>
            <w:vAlign w:val="center"/>
          </w:tcPr>
          <w:p w14:paraId="6AE7B0D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650-1000元/㎡</w:t>
            </w:r>
          </w:p>
        </w:tc>
        <w:tc>
          <w:tcPr>
            <w:tcW w:w="867" w:type="pct"/>
            <w:vMerge/>
            <w:tcBorders>
              <w:top w:val="nil"/>
              <w:left w:val="single" w:sz="4" w:space="0" w:color="auto"/>
              <w:bottom w:val="single" w:sz="4" w:space="0" w:color="auto"/>
              <w:right w:val="single" w:sz="4" w:space="0" w:color="auto"/>
            </w:tcBorders>
            <w:vAlign w:val="center"/>
          </w:tcPr>
          <w:p w14:paraId="5579536C" w14:textId="77777777" w:rsidR="00A320E6" w:rsidRPr="00621C83" w:rsidRDefault="00A320E6" w:rsidP="00AE0286">
            <w:pPr>
              <w:jc w:val="center"/>
              <w:rPr>
                <w:rFonts w:ascii="宋体" w:hAnsi="宋体" w:cs="宋体"/>
                <w:kern w:val="0"/>
                <w:szCs w:val="21"/>
              </w:rPr>
            </w:pPr>
          </w:p>
        </w:tc>
      </w:tr>
      <w:tr w:rsidR="00621C83" w:rsidRPr="00621C83" w14:paraId="58C4DBF6"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5EE5A14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2A69D07B"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386FB96E"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3129740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乱石基、砖石墙、木结构斜坡草或瓦屋面</w:t>
            </w:r>
          </w:p>
        </w:tc>
        <w:tc>
          <w:tcPr>
            <w:tcW w:w="1232" w:type="pct"/>
            <w:tcBorders>
              <w:top w:val="nil"/>
              <w:left w:val="nil"/>
              <w:bottom w:val="single" w:sz="4" w:space="0" w:color="auto"/>
              <w:right w:val="single" w:sz="4" w:space="0" w:color="auto"/>
            </w:tcBorders>
            <w:shd w:val="clear" w:color="000000" w:fill="FFFFFF"/>
            <w:vAlign w:val="center"/>
          </w:tcPr>
          <w:p w14:paraId="1E54D37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600-850元/㎡</w:t>
            </w:r>
          </w:p>
        </w:tc>
        <w:tc>
          <w:tcPr>
            <w:tcW w:w="867" w:type="pct"/>
            <w:vMerge/>
            <w:tcBorders>
              <w:top w:val="nil"/>
              <w:left w:val="single" w:sz="4" w:space="0" w:color="auto"/>
              <w:bottom w:val="single" w:sz="4" w:space="0" w:color="auto"/>
              <w:right w:val="single" w:sz="4" w:space="0" w:color="auto"/>
            </w:tcBorders>
            <w:vAlign w:val="center"/>
          </w:tcPr>
          <w:p w14:paraId="37412212" w14:textId="77777777" w:rsidR="00A320E6" w:rsidRPr="00621C83" w:rsidRDefault="00A320E6" w:rsidP="00AE0286">
            <w:pPr>
              <w:jc w:val="center"/>
              <w:rPr>
                <w:rFonts w:ascii="宋体" w:hAnsi="宋体" w:cs="宋体"/>
                <w:kern w:val="0"/>
                <w:szCs w:val="21"/>
              </w:rPr>
            </w:pPr>
          </w:p>
        </w:tc>
      </w:tr>
      <w:tr w:rsidR="00621C83" w:rsidRPr="00621C83" w14:paraId="5D2C1E0D"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13375AE4"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DA68D3B"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0984F750"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4D107A9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乱石基、砖垛，坯墙，木结构斜坡草或瓦屋面</w:t>
            </w:r>
          </w:p>
        </w:tc>
        <w:tc>
          <w:tcPr>
            <w:tcW w:w="1232" w:type="pct"/>
            <w:tcBorders>
              <w:top w:val="nil"/>
              <w:left w:val="nil"/>
              <w:bottom w:val="single" w:sz="4" w:space="0" w:color="auto"/>
              <w:right w:val="single" w:sz="4" w:space="0" w:color="auto"/>
            </w:tcBorders>
            <w:shd w:val="clear" w:color="000000" w:fill="FFFFFF"/>
            <w:vAlign w:val="center"/>
          </w:tcPr>
          <w:p w14:paraId="0C3C24D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320-550元/㎡</w:t>
            </w:r>
          </w:p>
        </w:tc>
        <w:tc>
          <w:tcPr>
            <w:tcW w:w="867" w:type="pct"/>
            <w:vMerge/>
            <w:tcBorders>
              <w:top w:val="nil"/>
              <w:left w:val="single" w:sz="4" w:space="0" w:color="auto"/>
              <w:bottom w:val="single" w:sz="4" w:space="0" w:color="auto"/>
              <w:right w:val="single" w:sz="4" w:space="0" w:color="auto"/>
            </w:tcBorders>
            <w:vAlign w:val="center"/>
          </w:tcPr>
          <w:p w14:paraId="7A5D023F" w14:textId="77777777" w:rsidR="00A320E6" w:rsidRPr="00621C83" w:rsidRDefault="00A320E6" w:rsidP="00AE0286">
            <w:pPr>
              <w:jc w:val="center"/>
              <w:rPr>
                <w:rFonts w:ascii="宋体" w:hAnsi="宋体" w:cs="宋体"/>
                <w:kern w:val="0"/>
                <w:szCs w:val="21"/>
              </w:rPr>
            </w:pPr>
          </w:p>
        </w:tc>
      </w:tr>
      <w:tr w:rsidR="00621C83" w:rsidRPr="00621C83" w14:paraId="37AB5FBE"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0089B99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EA243D4"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7210F1A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钢结构厂房</w:t>
            </w:r>
          </w:p>
        </w:tc>
        <w:tc>
          <w:tcPr>
            <w:tcW w:w="1773" w:type="pct"/>
            <w:tcBorders>
              <w:top w:val="nil"/>
              <w:left w:val="nil"/>
              <w:bottom w:val="single" w:sz="4" w:space="0" w:color="auto"/>
              <w:right w:val="single" w:sz="4" w:space="0" w:color="auto"/>
            </w:tcBorders>
            <w:shd w:val="clear" w:color="000000" w:fill="FFFFFF"/>
            <w:vAlign w:val="center"/>
          </w:tcPr>
          <w:p w14:paraId="0F13B6F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檐高6米以上，单跨15米（含15米）以上，复合板或彩钢瓦屋面，主体H型钢钢结构承重，四面复合彩钢板或砖墙围护，砼地面20CM以上，行车梁、门窗、水电、消防等配套齐全</w:t>
            </w:r>
          </w:p>
        </w:tc>
        <w:tc>
          <w:tcPr>
            <w:tcW w:w="1232" w:type="pct"/>
            <w:tcBorders>
              <w:top w:val="nil"/>
              <w:left w:val="nil"/>
              <w:bottom w:val="single" w:sz="4" w:space="0" w:color="auto"/>
              <w:right w:val="single" w:sz="4" w:space="0" w:color="auto"/>
            </w:tcBorders>
            <w:shd w:val="clear" w:color="000000" w:fill="FFFFFF"/>
            <w:vAlign w:val="center"/>
          </w:tcPr>
          <w:p w14:paraId="025DE73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300-900元/㎡</w:t>
            </w:r>
          </w:p>
        </w:tc>
        <w:tc>
          <w:tcPr>
            <w:tcW w:w="867" w:type="pct"/>
            <w:vMerge/>
            <w:tcBorders>
              <w:top w:val="nil"/>
              <w:left w:val="single" w:sz="4" w:space="0" w:color="auto"/>
              <w:bottom w:val="single" w:sz="4" w:space="0" w:color="auto"/>
              <w:right w:val="single" w:sz="4" w:space="0" w:color="auto"/>
            </w:tcBorders>
            <w:vAlign w:val="center"/>
          </w:tcPr>
          <w:p w14:paraId="677CBEAA" w14:textId="77777777" w:rsidR="00A320E6" w:rsidRPr="00621C83" w:rsidRDefault="00A320E6" w:rsidP="00AE0286">
            <w:pPr>
              <w:jc w:val="center"/>
              <w:rPr>
                <w:rFonts w:ascii="宋体" w:hAnsi="宋体" w:cs="宋体"/>
                <w:kern w:val="0"/>
                <w:szCs w:val="21"/>
              </w:rPr>
            </w:pPr>
          </w:p>
        </w:tc>
      </w:tr>
      <w:tr w:rsidR="00621C83" w:rsidRPr="00621C83" w14:paraId="3E0F70F1"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4484E0A7"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8AB3E56"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1C8330A7"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6FEE2E1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檐高3-6米，单跨15米以下，复合板或彩钢瓦屋面，轻钢钢结构承重，四面复合彩钢板或砖墙围护，砼地面，行车梁、门窗、水电、消防等配套齐全</w:t>
            </w:r>
          </w:p>
        </w:tc>
        <w:tc>
          <w:tcPr>
            <w:tcW w:w="1232" w:type="pct"/>
            <w:tcBorders>
              <w:top w:val="nil"/>
              <w:left w:val="nil"/>
              <w:bottom w:val="single" w:sz="4" w:space="0" w:color="auto"/>
              <w:right w:val="single" w:sz="4" w:space="0" w:color="auto"/>
            </w:tcBorders>
            <w:shd w:val="clear" w:color="000000" w:fill="FFFFFF"/>
            <w:vAlign w:val="center"/>
          </w:tcPr>
          <w:p w14:paraId="1F6BF84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200-500元/㎡</w:t>
            </w:r>
          </w:p>
        </w:tc>
        <w:tc>
          <w:tcPr>
            <w:tcW w:w="867" w:type="pct"/>
            <w:vMerge/>
            <w:tcBorders>
              <w:top w:val="nil"/>
              <w:left w:val="single" w:sz="4" w:space="0" w:color="auto"/>
              <w:bottom w:val="single" w:sz="4" w:space="0" w:color="auto"/>
              <w:right w:val="single" w:sz="4" w:space="0" w:color="auto"/>
            </w:tcBorders>
            <w:vAlign w:val="center"/>
          </w:tcPr>
          <w:p w14:paraId="0C1FE135" w14:textId="77777777" w:rsidR="00A320E6" w:rsidRPr="00621C83" w:rsidRDefault="00A320E6" w:rsidP="00AE0286">
            <w:pPr>
              <w:jc w:val="center"/>
              <w:rPr>
                <w:rFonts w:ascii="宋体" w:hAnsi="宋体" w:cs="宋体"/>
                <w:kern w:val="0"/>
                <w:szCs w:val="21"/>
              </w:rPr>
            </w:pPr>
          </w:p>
        </w:tc>
      </w:tr>
      <w:tr w:rsidR="00621C83" w:rsidRPr="00621C83" w14:paraId="77DCC060"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716C9A59"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E6A4F80" w14:textId="77777777" w:rsidR="00A320E6" w:rsidRPr="00621C83" w:rsidRDefault="00A320E6" w:rsidP="00AE0286">
            <w:pPr>
              <w:jc w:val="center"/>
              <w:rPr>
                <w:rFonts w:ascii="宋体" w:hAnsi="宋体" w:cs="宋体"/>
                <w:kern w:val="0"/>
                <w:szCs w:val="21"/>
              </w:rPr>
            </w:pPr>
          </w:p>
        </w:tc>
        <w:tc>
          <w:tcPr>
            <w:tcW w:w="314" w:type="pct"/>
            <w:tcBorders>
              <w:top w:val="nil"/>
              <w:left w:val="nil"/>
              <w:bottom w:val="single" w:sz="4" w:space="0" w:color="auto"/>
              <w:right w:val="single" w:sz="4" w:space="0" w:color="auto"/>
            </w:tcBorders>
            <w:shd w:val="clear" w:color="000000" w:fill="FFFFFF"/>
            <w:vAlign w:val="center"/>
          </w:tcPr>
          <w:p w14:paraId="7F78D56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砖混彩钢板房</w:t>
            </w:r>
          </w:p>
        </w:tc>
        <w:tc>
          <w:tcPr>
            <w:tcW w:w="1773" w:type="pct"/>
            <w:tcBorders>
              <w:top w:val="nil"/>
              <w:left w:val="nil"/>
              <w:bottom w:val="single" w:sz="4" w:space="0" w:color="auto"/>
              <w:right w:val="single" w:sz="4" w:space="0" w:color="auto"/>
            </w:tcBorders>
            <w:shd w:val="clear" w:color="000000" w:fill="FFFFFF"/>
            <w:vAlign w:val="center"/>
          </w:tcPr>
          <w:p w14:paraId="59A01D5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檐高3米以上，混凝土地坪，四面实体砖墙，彩板屋面</w:t>
            </w:r>
          </w:p>
        </w:tc>
        <w:tc>
          <w:tcPr>
            <w:tcW w:w="1232" w:type="pct"/>
            <w:tcBorders>
              <w:top w:val="nil"/>
              <w:left w:val="nil"/>
              <w:bottom w:val="single" w:sz="4" w:space="0" w:color="auto"/>
              <w:right w:val="single" w:sz="4" w:space="0" w:color="auto"/>
            </w:tcBorders>
            <w:shd w:val="clear" w:color="000000" w:fill="FFFFFF"/>
            <w:vAlign w:val="center"/>
          </w:tcPr>
          <w:p w14:paraId="6E92B11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200-700元/㎡</w:t>
            </w:r>
          </w:p>
        </w:tc>
        <w:tc>
          <w:tcPr>
            <w:tcW w:w="867" w:type="pct"/>
            <w:vMerge/>
            <w:tcBorders>
              <w:top w:val="nil"/>
              <w:left w:val="single" w:sz="4" w:space="0" w:color="auto"/>
              <w:bottom w:val="single" w:sz="4" w:space="0" w:color="auto"/>
              <w:right w:val="single" w:sz="4" w:space="0" w:color="auto"/>
            </w:tcBorders>
            <w:vAlign w:val="center"/>
          </w:tcPr>
          <w:p w14:paraId="0CA02CA0" w14:textId="77777777" w:rsidR="00A320E6" w:rsidRPr="00621C83" w:rsidRDefault="00A320E6" w:rsidP="00AE0286">
            <w:pPr>
              <w:jc w:val="center"/>
              <w:rPr>
                <w:rFonts w:ascii="宋体" w:hAnsi="宋体" w:cs="宋体"/>
                <w:kern w:val="0"/>
                <w:szCs w:val="21"/>
              </w:rPr>
            </w:pPr>
          </w:p>
        </w:tc>
      </w:tr>
      <w:tr w:rsidR="00621C83" w:rsidRPr="00621C83" w14:paraId="54FB067F"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6ACD234D"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5AD027B3" w14:textId="77777777" w:rsidR="00A320E6" w:rsidRPr="00621C83" w:rsidRDefault="00A320E6" w:rsidP="00AE0286">
            <w:pPr>
              <w:jc w:val="center"/>
              <w:rPr>
                <w:rFonts w:ascii="宋体" w:hAnsi="宋体" w:cs="宋体"/>
                <w:kern w:val="0"/>
                <w:szCs w:val="21"/>
              </w:rPr>
            </w:pPr>
          </w:p>
        </w:tc>
        <w:tc>
          <w:tcPr>
            <w:tcW w:w="314" w:type="pct"/>
            <w:tcBorders>
              <w:top w:val="nil"/>
              <w:left w:val="nil"/>
              <w:bottom w:val="single" w:sz="4" w:space="0" w:color="auto"/>
              <w:right w:val="single" w:sz="4" w:space="0" w:color="auto"/>
            </w:tcBorders>
            <w:shd w:val="clear" w:color="000000" w:fill="FFFFFF"/>
            <w:vAlign w:val="center"/>
          </w:tcPr>
          <w:p w14:paraId="7E8FD91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简易板房</w:t>
            </w:r>
          </w:p>
        </w:tc>
        <w:tc>
          <w:tcPr>
            <w:tcW w:w="1773" w:type="pct"/>
            <w:tcBorders>
              <w:top w:val="nil"/>
              <w:left w:val="nil"/>
              <w:bottom w:val="single" w:sz="4" w:space="0" w:color="auto"/>
              <w:right w:val="single" w:sz="4" w:space="0" w:color="auto"/>
            </w:tcBorders>
            <w:shd w:val="clear" w:color="000000" w:fill="FFFFFF"/>
            <w:vAlign w:val="center"/>
          </w:tcPr>
          <w:p w14:paraId="6F872F4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檐高2.5米以上，夹心彩钢板墙体，彩板或石棉瓦顶</w:t>
            </w:r>
          </w:p>
        </w:tc>
        <w:tc>
          <w:tcPr>
            <w:tcW w:w="1232" w:type="pct"/>
            <w:tcBorders>
              <w:top w:val="nil"/>
              <w:left w:val="nil"/>
              <w:bottom w:val="single" w:sz="4" w:space="0" w:color="auto"/>
              <w:right w:val="single" w:sz="4" w:space="0" w:color="auto"/>
            </w:tcBorders>
            <w:shd w:val="clear" w:color="000000" w:fill="FFFFFF"/>
            <w:vAlign w:val="center"/>
          </w:tcPr>
          <w:p w14:paraId="302C8E9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200-250元/㎡</w:t>
            </w:r>
          </w:p>
        </w:tc>
        <w:tc>
          <w:tcPr>
            <w:tcW w:w="867" w:type="pct"/>
            <w:vMerge/>
            <w:tcBorders>
              <w:top w:val="nil"/>
              <w:left w:val="single" w:sz="4" w:space="0" w:color="auto"/>
              <w:bottom w:val="single" w:sz="4" w:space="0" w:color="auto"/>
              <w:right w:val="single" w:sz="4" w:space="0" w:color="auto"/>
            </w:tcBorders>
            <w:vAlign w:val="center"/>
          </w:tcPr>
          <w:p w14:paraId="3866A5FF" w14:textId="77777777" w:rsidR="00A320E6" w:rsidRPr="00621C83" w:rsidRDefault="00A320E6" w:rsidP="00AE0286">
            <w:pPr>
              <w:jc w:val="center"/>
              <w:rPr>
                <w:rFonts w:ascii="宋体" w:hAnsi="宋体" w:cs="宋体"/>
                <w:kern w:val="0"/>
                <w:szCs w:val="21"/>
              </w:rPr>
            </w:pPr>
          </w:p>
        </w:tc>
      </w:tr>
      <w:tr w:rsidR="00621C83" w:rsidRPr="00621C83" w14:paraId="34163443"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3D350E54"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7737E57" w14:textId="77777777" w:rsidR="00A320E6" w:rsidRPr="00621C83" w:rsidRDefault="00A320E6" w:rsidP="00AE0286">
            <w:pPr>
              <w:jc w:val="center"/>
              <w:rPr>
                <w:rFonts w:ascii="宋体" w:hAnsi="宋体" w:cs="宋体"/>
                <w:kern w:val="0"/>
                <w:szCs w:val="21"/>
              </w:rPr>
            </w:pPr>
          </w:p>
        </w:tc>
        <w:tc>
          <w:tcPr>
            <w:tcW w:w="314" w:type="pct"/>
            <w:tcBorders>
              <w:top w:val="nil"/>
              <w:left w:val="nil"/>
              <w:bottom w:val="single" w:sz="4" w:space="0" w:color="auto"/>
              <w:right w:val="single" w:sz="4" w:space="0" w:color="auto"/>
            </w:tcBorders>
            <w:shd w:val="clear" w:color="000000" w:fill="FFFFFF"/>
            <w:vAlign w:val="center"/>
          </w:tcPr>
          <w:p w14:paraId="64C2909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简易棚</w:t>
            </w:r>
          </w:p>
        </w:tc>
        <w:tc>
          <w:tcPr>
            <w:tcW w:w="1773" w:type="pct"/>
            <w:tcBorders>
              <w:top w:val="nil"/>
              <w:left w:val="nil"/>
              <w:bottom w:val="single" w:sz="4" w:space="0" w:color="auto"/>
              <w:right w:val="single" w:sz="4" w:space="0" w:color="auto"/>
            </w:tcBorders>
            <w:shd w:val="clear" w:color="000000" w:fill="FFFFFF"/>
            <w:vAlign w:val="center"/>
          </w:tcPr>
          <w:p w14:paraId="1730F70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檐高2.2米以上，钢管或铁网支架，石棉瓦或单层彩钢瓦顶</w:t>
            </w:r>
          </w:p>
        </w:tc>
        <w:tc>
          <w:tcPr>
            <w:tcW w:w="1232" w:type="pct"/>
            <w:tcBorders>
              <w:top w:val="nil"/>
              <w:left w:val="nil"/>
              <w:bottom w:val="single" w:sz="4" w:space="0" w:color="auto"/>
              <w:right w:val="single" w:sz="4" w:space="0" w:color="auto"/>
            </w:tcBorders>
            <w:shd w:val="clear" w:color="000000" w:fill="FFFFFF"/>
            <w:vAlign w:val="center"/>
          </w:tcPr>
          <w:p w14:paraId="4C816DA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50-110元/㎡</w:t>
            </w:r>
          </w:p>
        </w:tc>
        <w:tc>
          <w:tcPr>
            <w:tcW w:w="867" w:type="pct"/>
            <w:vMerge/>
            <w:tcBorders>
              <w:top w:val="nil"/>
              <w:left w:val="single" w:sz="4" w:space="0" w:color="auto"/>
              <w:bottom w:val="single" w:sz="4" w:space="0" w:color="auto"/>
              <w:right w:val="single" w:sz="4" w:space="0" w:color="auto"/>
            </w:tcBorders>
            <w:vAlign w:val="center"/>
          </w:tcPr>
          <w:p w14:paraId="1C599783" w14:textId="77777777" w:rsidR="00A320E6" w:rsidRPr="00621C83" w:rsidRDefault="00A320E6" w:rsidP="00AE0286">
            <w:pPr>
              <w:jc w:val="center"/>
              <w:rPr>
                <w:rFonts w:ascii="宋体" w:hAnsi="宋体" w:cs="宋体"/>
                <w:kern w:val="0"/>
                <w:szCs w:val="21"/>
              </w:rPr>
            </w:pPr>
          </w:p>
        </w:tc>
      </w:tr>
      <w:tr w:rsidR="00621C83" w:rsidRPr="00621C83" w14:paraId="3A6A928E" w14:textId="77777777" w:rsidTr="00621C83">
        <w:trPr>
          <w:trHeight w:val="601"/>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52DFC69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6DD3011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围墙</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2DDFF4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乱石基，砖墙、空斗围墙或空心砖墙</w:t>
            </w:r>
          </w:p>
        </w:tc>
        <w:tc>
          <w:tcPr>
            <w:tcW w:w="1232" w:type="pct"/>
            <w:tcBorders>
              <w:top w:val="nil"/>
              <w:left w:val="nil"/>
              <w:bottom w:val="single" w:sz="4" w:space="0" w:color="auto"/>
              <w:right w:val="single" w:sz="4" w:space="0" w:color="auto"/>
            </w:tcBorders>
            <w:shd w:val="clear" w:color="000000" w:fill="FFFFFF"/>
            <w:vAlign w:val="center"/>
          </w:tcPr>
          <w:p w14:paraId="2997803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80-160元/㎡</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341F938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旧料归原主。</w:t>
            </w:r>
          </w:p>
        </w:tc>
      </w:tr>
      <w:tr w:rsidR="00A320E6" w:rsidRPr="00621C83" w14:paraId="026C7CAA" w14:textId="77777777" w:rsidTr="00621C83">
        <w:trPr>
          <w:trHeight w:val="601"/>
          <w:jc w:val="center"/>
        </w:trPr>
        <w:tc>
          <w:tcPr>
            <w:tcW w:w="369" w:type="pct"/>
            <w:vMerge/>
            <w:tcBorders>
              <w:top w:val="nil"/>
              <w:left w:val="single" w:sz="4" w:space="0" w:color="auto"/>
              <w:bottom w:val="single" w:sz="4" w:space="0" w:color="auto"/>
              <w:right w:val="single" w:sz="4" w:space="0" w:color="auto"/>
            </w:tcBorders>
            <w:vAlign w:val="center"/>
          </w:tcPr>
          <w:p w14:paraId="2585317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01C89BCC"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080D9F9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乱石基，土坯墙</w:t>
            </w:r>
          </w:p>
        </w:tc>
        <w:tc>
          <w:tcPr>
            <w:tcW w:w="1232" w:type="pct"/>
            <w:tcBorders>
              <w:top w:val="nil"/>
              <w:left w:val="nil"/>
              <w:bottom w:val="single" w:sz="4" w:space="0" w:color="auto"/>
              <w:right w:val="single" w:sz="4" w:space="0" w:color="auto"/>
            </w:tcBorders>
            <w:shd w:val="clear" w:color="000000" w:fill="FFFFFF"/>
            <w:vAlign w:val="center"/>
          </w:tcPr>
          <w:p w14:paraId="0DB09D2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60-75元/㎡</w:t>
            </w:r>
          </w:p>
        </w:tc>
        <w:tc>
          <w:tcPr>
            <w:tcW w:w="867" w:type="pct"/>
            <w:vMerge/>
            <w:tcBorders>
              <w:top w:val="nil"/>
              <w:left w:val="single" w:sz="4" w:space="0" w:color="auto"/>
              <w:bottom w:val="single" w:sz="4" w:space="0" w:color="auto"/>
              <w:right w:val="single" w:sz="4" w:space="0" w:color="auto"/>
            </w:tcBorders>
            <w:vAlign w:val="center"/>
          </w:tcPr>
          <w:p w14:paraId="4B89D991" w14:textId="77777777" w:rsidR="00A320E6" w:rsidRPr="00621C83" w:rsidRDefault="00A320E6" w:rsidP="00AE0286">
            <w:pPr>
              <w:jc w:val="center"/>
              <w:rPr>
                <w:rFonts w:ascii="宋体" w:hAnsi="宋体" w:cs="宋体"/>
                <w:kern w:val="0"/>
                <w:szCs w:val="21"/>
              </w:rPr>
            </w:pPr>
          </w:p>
        </w:tc>
      </w:tr>
      <w:tr w:rsidR="00A320E6" w:rsidRPr="00621C83" w14:paraId="6FA5AD60" w14:textId="77777777" w:rsidTr="00621C83">
        <w:trPr>
          <w:trHeight w:val="601"/>
          <w:jc w:val="center"/>
        </w:trPr>
        <w:tc>
          <w:tcPr>
            <w:tcW w:w="369" w:type="pct"/>
            <w:vMerge/>
            <w:tcBorders>
              <w:top w:val="nil"/>
              <w:left w:val="single" w:sz="4" w:space="0" w:color="auto"/>
              <w:bottom w:val="single" w:sz="4" w:space="0" w:color="auto"/>
              <w:right w:val="single" w:sz="4" w:space="0" w:color="auto"/>
            </w:tcBorders>
            <w:vAlign w:val="center"/>
          </w:tcPr>
          <w:p w14:paraId="16F72D9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239DF885"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E53C2E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彩钢板围墙</w:t>
            </w:r>
          </w:p>
        </w:tc>
        <w:tc>
          <w:tcPr>
            <w:tcW w:w="1232" w:type="pct"/>
            <w:tcBorders>
              <w:top w:val="nil"/>
              <w:left w:val="nil"/>
              <w:bottom w:val="single" w:sz="4" w:space="0" w:color="auto"/>
              <w:right w:val="single" w:sz="4" w:space="0" w:color="auto"/>
            </w:tcBorders>
            <w:shd w:val="clear" w:color="000000" w:fill="FFFFFF"/>
            <w:vAlign w:val="center"/>
          </w:tcPr>
          <w:p w14:paraId="6E6A22A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40-70元/㎡</w:t>
            </w:r>
          </w:p>
        </w:tc>
        <w:tc>
          <w:tcPr>
            <w:tcW w:w="867" w:type="pct"/>
            <w:vMerge/>
            <w:tcBorders>
              <w:top w:val="nil"/>
              <w:left w:val="single" w:sz="4" w:space="0" w:color="auto"/>
              <w:bottom w:val="single" w:sz="4" w:space="0" w:color="auto"/>
              <w:right w:val="single" w:sz="4" w:space="0" w:color="auto"/>
            </w:tcBorders>
            <w:vAlign w:val="center"/>
          </w:tcPr>
          <w:p w14:paraId="78BFC2EB" w14:textId="77777777" w:rsidR="00A320E6" w:rsidRPr="00621C83" w:rsidRDefault="00A320E6" w:rsidP="00AE0286">
            <w:pPr>
              <w:jc w:val="center"/>
              <w:rPr>
                <w:rFonts w:ascii="宋体" w:hAnsi="宋体" w:cs="宋体"/>
                <w:kern w:val="0"/>
                <w:szCs w:val="21"/>
              </w:rPr>
            </w:pPr>
          </w:p>
        </w:tc>
      </w:tr>
      <w:tr w:rsidR="00A320E6" w:rsidRPr="00621C83" w14:paraId="7B27C118" w14:textId="77777777" w:rsidTr="00621C83">
        <w:trPr>
          <w:trHeight w:val="601"/>
          <w:jc w:val="center"/>
        </w:trPr>
        <w:tc>
          <w:tcPr>
            <w:tcW w:w="369" w:type="pct"/>
            <w:vMerge/>
            <w:tcBorders>
              <w:top w:val="nil"/>
              <w:left w:val="single" w:sz="4" w:space="0" w:color="auto"/>
              <w:bottom w:val="single" w:sz="4" w:space="0" w:color="auto"/>
              <w:right w:val="single" w:sz="4" w:space="0" w:color="auto"/>
            </w:tcBorders>
            <w:vAlign w:val="center"/>
          </w:tcPr>
          <w:p w14:paraId="41F92D64"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0F4F365D"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CE549E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砖石基础，有砖垛或铁柱的铁艺围墙</w:t>
            </w:r>
          </w:p>
        </w:tc>
        <w:tc>
          <w:tcPr>
            <w:tcW w:w="1232" w:type="pct"/>
            <w:tcBorders>
              <w:top w:val="nil"/>
              <w:left w:val="nil"/>
              <w:bottom w:val="single" w:sz="4" w:space="0" w:color="auto"/>
              <w:right w:val="single" w:sz="4" w:space="0" w:color="auto"/>
            </w:tcBorders>
            <w:shd w:val="clear" w:color="000000" w:fill="FFFFFF"/>
            <w:vAlign w:val="center"/>
          </w:tcPr>
          <w:p w14:paraId="33500A2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80-150元/㎡</w:t>
            </w:r>
          </w:p>
        </w:tc>
        <w:tc>
          <w:tcPr>
            <w:tcW w:w="867" w:type="pct"/>
            <w:vMerge/>
            <w:tcBorders>
              <w:top w:val="nil"/>
              <w:left w:val="single" w:sz="4" w:space="0" w:color="auto"/>
              <w:bottom w:val="single" w:sz="4" w:space="0" w:color="auto"/>
              <w:right w:val="single" w:sz="4" w:space="0" w:color="auto"/>
            </w:tcBorders>
            <w:vAlign w:val="center"/>
          </w:tcPr>
          <w:p w14:paraId="20A1D2FC" w14:textId="77777777" w:rsidR="00A320E6" w:rsidRPr="00621C83" w:rsidRDefault="00A320E6" w:rsidP="00AE0286">
            <w:pPr>
              <w:jc w:val="center"/>
              <w:rPr>
                <w:rFonts w:ascii="宋体" w:hAnsi="宋体" w:cs="宋体"/>
                <w:kern w:val="0"/>
                <w:szCs w:val="21"/>
              </w:rPr>
            </w:pPr>
          </w:p>
        </w:tc>
      </w:tr>
      <w:tr w:rsidR="00A320E6" w:rsidRPr="00621C83" w14:paraId="6DEA2D22" w14:textId="77777777" w:rsidTr="00621C83">
        <w:trPr>
          <w:trHeight w:val="601"/>
          <w:jc w:val="center"/>
        </w:trPr>
        <w:tc>
          <w:tcPr>
            <w:tcW w:w="369" w:type="pct"/>
            <w:vMerge/>
            <w:tcBorders>
              <w:top w:val="nil"/>
              <w:left w:val="single" w:sz="4" w:space="0" w:color="auto"/>
              <w:bottom w:val="single" w:sz="4" w:space="0" w:color="auto"/>
              <w:right w:val="single" w:sz="4" w:space="0" w:color="auto"/>
            </w:tcBorders>
            <w:vAlign w:val="center"/>
          </w:tcPr>
          <w:p w14:paraId="3F27B4B9"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714CF28C"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001E0C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高度1.5米以上，铁丝围网</w:t>
            </w:r>
          </w:p>
        </w:tc>
        <w:tc>
          <w:tcPr>
            <w:tcW w:w="1232" w:type="pct"/>
            <w:tcBorders>
              <w:top w:val="nil"/>
              <w:left w:val="nil"/>
              <w:bottom w:val="single" w:sz="4" w:space="0" w:color="auto"/>
              <w:right w:val="single" w:sz="4" w:space="0" w:color="auto"/>
            </w:tcBorders>
            <w:shd w:val="clear" w:color="000000" w:fill="FFFFFF"/>
            <w:vAlign w:val="center"/>
          </w:tcPr>
          <w:p w14:paraId="5319900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5-30元/m</w:t>
            </w:r>
          </w:p>
        </w:tc>
        <w:tc>
          <w:tcPr>
            <w:tcW w:w="867" w:type="pct"/>
            <w:vMerge/>
            <w:tcBorders>
              <w:top w:val="nil"/>
              <w:left w:val="single" w:sz="4" w:space="0" w:color="auto"/>
              <w:bottom w:val="single" w:sz="4" w:space="0" w:color="auto"/>
              <w:right w:val="single" w:sz="4" w:space="0" w:color="auto"/>
            </w:tcBorders>
            <w:vAlign w:val="center"/>
          </w:tcPr>
          <w:p w14:paraId="16B6626A" w14:textId="77777777" w:rsidR="00A320E6" w:rsidRPr="00621C83" w:rsidRDefault="00A320E6" w:rsidP="00AE0286">
            <w:pPr>
              <w:jc w:val="center"/>
              <w:rPr>
                <w:rFonts w:ascii="宋体" w:hAnsi="宋体" w:cs="宋体"/>
                <w:kern w:val="0"/>
                <w:szCs w:val="21"/>
              </w:rPr>
            </w:pPr>
          </w:p>
        </w:tc>
      </w:tr>
      <w:tr w:rsidR="00621C83" w:rsidRPr="00621C83" w14:paraId="2785F1FD" w14:textId="77777777" w:rsidTr="00621C83">
        <w:trPr>
          <w:trHeight w:val="567"/>
          <w:jc w:val="center"/>
        </w:trPr>
        <w:tc>
          <w:tcPr>
            <w:tcW w:w="369" w:type="pct"/>
            <w:vMerge w:val="restart"/>
            <w:tcBorders>
              <w:top w:val="nil"/>
              <w:left w:val="single" w:sz="4" w:space="0" w:color="auto"/>
              <w:bottom w:val="nil"/>
              <w:right w:val="single" w:sz="4" w:space="0" w:color="auto"/>
            </w:tcBorders>
            <w:shd w:val="clear" w:color="000000" w:fill="FFFFFF"/>
            <w:vAlign w:val="center"/>
          </w:tcPr>
          <w:p w14:paraId="4BD26D2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w:t>
            </w:r>
          </w:p>
        </w:tc>
        <w:tc>
          <w:tcPr>
            <w:tcW w:w="445" w:type="pct"/>
            <w:vMerge w:val="restart"/>
            <w:tcBorders>
              <w:top w:val="nil"/>
              <w:left w:val="single" w:sz="4" w:space="0" w:color="auto"/>
              <w:bottom w:val="nil"/>
              <w:right w:val="single" w:sz="4" w:space="0" w:color="auto"/>
            </w:tcBorders>
            <w:shd w:val="clear" w:color="000000" w:fill="FFFFFF"/>
            <w:vAlign w:val="center"/>
          </w:tcPr>
          <w:p w14:paraId="62B18DE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畜禽舍</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09D23D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砖混结构</w:t>
            </w:r>
          </w:p>
        </w:tc>
        <w:tc>
          <w:tcPr>
            <w:tcW w:w="1232" w:type="pct"/>
            <w:tcBorders>
              <w:top w:val="nil"/>
              <w:left w:val="nil"/>
              <w:bottom w:val="single" w:sz="4" w:space="0" w:color="auto"/>
              <w:right w:val="single" w:sz="4" w:space="0" w:color="auto"/>
            </w:tcBorders>
            <w:shd w:val="clear" w:color="000000" w:fill="FFFFFF"/>
            <w:vAlign w:val="center"/>
          </w:tcPr>
          <w:p w14:paraId="3773E76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200-340元/㎡</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748182D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1、规模化养殖的现代化畜禽舍补偿可由具有资质的评估机构评估确定；</w:t>
            </w:r>
            <w:r w:rsidRPr="00621C83">
              <w:rPr>
                <w:rFonts w:ascii="宋体" w:hAnsi="宋体" w:cs="宋体" w:hint="eastAsia"/>
                <w:kern w:val="0"/>
                <w:szCs w:val="21"/>
              </w:rPr>
              <w:br w:type="page"/>
              <w:t>2、旧料归原主。</w:t>
            </w:r>
          </w:p>
        </w:tc>
      </w:tr>
      <w:tr w:rsidR="00A320E6" w:rsidRPr="00621C83" w14:paraId="564BAC10" w14:textId="77777777" w:rsidTr="00621C83">
        <w:trPr>
          <w:trHeight w:val="567"/>
          <w:jc w:val="center"/>
        </w:trPr>
        <w:tc>
          <w:tcPr>
            <w:tcW w:w="369" w:type="pct"/>
            <w:vMerge/>
            <w:tcBorders>
              <w:top w:val="nil"/>
              <w:left w:val="single" w:sz="4" w:space="0" w:color="auto"/>
              <w:bottom w:val="nil"/>
              <w:right w:val="single" w:sz="4" w:space="0" w:color="auto"/>
            </w:tcBorders>
            <w:vAlign w:val="center"/>
          </w:tcPr>
          <w:p w14:paraId="58A13613"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nil"/>
              <w:right w:val="single" w:sz="4" w:space="0" w:color="auto"/>
            </w:tcBorders>
            <w:vAlign w:val="center"/>
          </w:tcPr>
          <w:p w14:paraId="3BA45576"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000000"/>
            </w:tcBorders>
            <w:shd w:val="clear" w:color="000000" w:fill="FFFFFF"/>
            <w:vAlign w:val="center"/>
          </w:tcPr>
          <w:p w14:paraId="2A6F728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砖木结构</w:t>
            </w:r>
          </w:p>
        </w:tc>
        <w:tc>
          <w:tcPr>
            <w:tcW w:w="1232" w:type="pct"/>
            <w:tcBorders>
              <w:top w:val="nil"/>
              <w:left w:val="nil"/>
              <w:bottom w:val="single" w:sz="4" w:space="0" w:color="auto"/>
              <w:right w:val="single" w:sz="4" w:space="0" w:color="auto"/>
            </w:tcBorders>
            <w:shd w:val="clear" w:color="000000" w:fill="FFFFFF"/>
            <w:vAlign w:val="center"/>
          </w:tcPr>
          <w:p w14:paraId="108A472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150-220元/㎡</w:t>
            </w:r>
          </w:p>
        </w:tc>
        <w:tc>
          <w:tcPr>
            <w:tcW w:w="867" w:type="pct"/>
            <w:vMerge/>
            <w:tcBorders>
              <w:top w:val="nil"/>
              <w:left w:val="single" w:sz="4" w:space="0" w:color="auto"/>
              <w:bottom w:val="single" w:sz="4" w:space="0" w:color="auto"/>
              <w:right w:val="single" w:sz="4" w:space="0" w:color="auto"/>
            </w:tcBorders>
            <w:vAlign w:val="center"/>
          </w:tcPr>
          <w:p w14:paraId="23D8FC16" w14:textId="77777777" w:rsidR="00A320E6" w:rsidRPr="00621C83" w:rsidRDefault="00A320E6" w:rsidP="00AE0286">
            <w:pPr>
              <w:jc w:val="center"/>
              <w:rPr>
                <w:rFonts w:ascii="宋体" w:hAnsi="宋体" w:cs="宋体"/>
                <w:kern w:val="0"/>
                <w:szCs w:val="21"/>
              </w:rPr>
            </w:pPr>
          </w:p>
        </w:tc>
      </w:tr>
      <w:tr w:rsidR="00A320E6" w:rsidRPr="00621C83" w14:paraId="341FAA27" w14:textId="77777777" w:rsidTr="00621C83">
        <w:trPr>
          <w:trHeight w:val="567"/>
          <w:jc w:val="center"/>
        </w:trPr>
        <w:tc>
          <w:tcPr>
            <w:tcW w:w="369" w:type="pct"/>
            <w:vMerge/>
            <w:tcBorders>
              <w:top w:val="nil"/>
              <w:left w:val="single" w:sz="4" w:space="0" w:color="auto"/>
              <w:bottom w:val="nil"/>
              <w:right w:val="single" w:sz="4" w:space="0" w:color="auto"/>
            </w:tcBorders>
            <w:vAlign w:val="center"/>
          </w:tcPr>
          <w:p w14:paraId="3014B403"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nil"/>
              <w:right w:val="single" w:sz="4" w:space="0" w:color="auto"/>
            </w:tcBorders>
            <w:vAlign w:val="center"/>
          </w:tcPr>
          <w:p w14:paraId="254A9488"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930FD2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简易结构</w:t>
            </w:r>
          </w:p>
        </w:tc>
        <w:tc>
          <w:tcPr>
            <w:tcW w:w="1232" w:type="pct"/>
            <w:tcBorders>
              <w:top w:val="nil"/>
              <w:left w:val="nil"/>
              <w:bottom w:val="single" w:sz="4" w:space="0" w:color="auto"/>
              <w:right w:val="single" w:sz="4" w:space="0" w:color="auto"/>
            </w:tcBorders>
            <w:shd w:val="clear" w:color="000000" w:fill="FFFFFF"/>
            <w:vAlign w:val="center"/>
          </w:tcPr>
          <w:p w14:paraId="276C692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60-150元/㎡</w:t>
            </w:r>
          </w:p>
        </w:tc>
        <w:tc>
          <w:tcPr>
            <w:tcW w:w="867" w:type="pct"/>
            <w:vMerge/>
            <w:tcBorders>
              <w:top w:val="nil"/>
              <w:left w:val="single" w:sz="4" w:space="0" w:color="auto"/>
              <w:bottom w:val="single" w:sz="4" w:space="0" w:color="auto"/>
              <w:right w:val="single" w:sz="4" w:space="0" w:color="auto"/>
            </w:tcBorders>
            <w:vAlign w:val="center"/>
          </w:tcPr>
          <w:p w14:paraId="050BE367" w14:textId="77777777" w:rsidR="00A320E6" w:rsidRPr="00621C83" w:rsidRDefault="00A320E6" w:rsidP="00AE0286">
            <w:pPr>
              <w:jc w:val="center"/>
              <w:rPr>
                <w:rFonts w:ascii="宋体" w:hAnsi="宋体" w:cs="宋体"/>
                <w:kern w:val="0"/>
                <w:szCs w:val="21"/>
              </w:rPr>
            </w:pPr>
          </w:p>
        </w:tc>
      </w:tr>
      <w:tr w:rsidR="00621C83" w:rsidRPr="00621C83" w14:paraId="34830121" w14:textId="77777777" w:rsidTr="00621C83">
        <w:trPr>
          <w:trHeight w:val="567"/>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DCF7BC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4</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BCD34F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温室</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A75211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钢、砼骨架，三面砖石墙或坯墙，玻璃顶</w:t>
            </w:r>
          </w:p>
        </w:tc>
        <w:tc>
          <w:tcPr>
            <w:tcW w:w="1232" w:type="pct"/>
            <w:tcBorders>
              <w:top w:val="nil"/>
              <w:left w:val="nil"/>
              <w:bottom w:val="single" w:sz="4" w:space="0" w:color="auto"/>
              <w:right w:val="single" w:sz="4" w:space="0" w:color="auto"/>
            </w:tcBorders>
            <w:shd w:val="clear" w:color="000000" w:fill="FFFFFF"/>
            <w:vAlign w:val="center"/>
          </w:tcPr>
          <w:p w14:paraId="2A82A4B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130-220元/㎡</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70F650B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1、表中面积是指占地面积。</w:t>
            </w:r>
            <w:r w:rsidRPr="00621C83">
              <w:rPr>
                <w:rFonts w:ascii="宋体" w:hAnsi="宋体" w:cs="宋体" w:hint="eastAsia"/>
                <w:kern w:val="0"/>
                <w:szCs w:val="21"/>
              </w:rPr>
              <w:br/>
              <w:t>2、新材料连栋智能温室补偿可由具有资质的评估机构评估确定。</w:t>
            </w:r>
            <w:r w:rsidRPr="00621C83">
              <w:rPr>
                <w:rFonts w:ascii="宋体" w:hAnsi="宋体" w:cs="宋体" w:hint="eastAsia"/>
                <w:kern w:val="0"/>
                <w:szCs w:val="21"/>
              </w:rPr>
              <w:br/>
              <w:t>3、旧料归原主。</w:t>
            </w:r>
          </w:p>
        </w:tc>
      </w:tr>
      <w:tr w:rsidR="00A320E6" w:rsidRPr="00621C83" w14:paraId="1D062C73"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20CF0CA8"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42254F50"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2C60987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钢、砼骨架，三面砖石墙或坯墙，塑料薄膜顶，含保温、滤光、卷扬机等</w:t>
            </w:r>
          </w:p>
        </w:tc>
        <w:tc>
          <w:tcPr>
            <w:tcW w:w="1232" w:type="pct"/>
            <w:tcBorders>
              <w:top w:val="nil"/>
              <w:left w:val="nil"/>
              <w:bottom w:val="single" w:sz="4" w:space="0" w:color="auto"/>
              <w:right w:val="single" w:sz="4" w:space="0" w:color="auto"/>
            </w:tcBorders>
            <w:shd w:val="clear" w:color="000000" w:fill="FFFFFF"/>
            <w:vAlign w:val="center"/>
          </w:tcPr>
          <w:p w14:paraId="10C4DB8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80-140元/㎡</w:t>
            </w:r>
          </w:p>
        </w:tc>
        <w:tc>
          <w:tcPr>
            <w:tcW w:w="867" w:type="pct"/>
            <w:vMerge/>
            <w:tcBorders>
              <w:top w:val="nil"/>
              <w:left w:val="single" w:sz="4" w:space="0" w:color="auto"/>
              <w:bottom w:val="single" w:sz="4" w:space="0" w:color="auto"/>
              <w:right w:val="single" w:sz="4" w:space="0" w:color="auto"/>
            </w:tcBorders>
            <w:vAlign w:val="center"/>
          </w:tcPr>
          <w:p w14:paraId="6B259D08" w14:textId="77777777" w:rsidR="00A320E6" w:rsidRPr="00621C83" w:rsidRDefault="00A320E6" w:rsidP="00AE0286">
            <w:pPr>
              <w:jc w:val="center"/>
              <w:rPr>
                <w:rFonts w:ascii="宋体" w:hAnsi="宋体" w:cs="宋体"/>
                <w:kern w:val="0"/>
                <w:szCs w:val="21"/>
              </w:rPr>
            </w:pPr>
          </w:p>
        </w:tc>
      </w:tr>
      <w:tr w:rsidR="00A320E6" w:rsidRPr="00621C83" w14:paraId="31AD4C83"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10E40B07"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1787B774"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C95A18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无墙体的塑料薄膜拱棚（跨度8米以上，钢骨架，含保温、滤光、卷扬机等）</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236371D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80-120元/㎡</w:t>
            </w:r>
          </w:p>
        </w:tc>
        <w:tc>
          <w:tcPr>
            <w:tcW w:w="867" w:type="pct"/>
            <w:vMerge/>
            <w:tcBorders>
              <w:top w:val="nil"/>
              <w:left w:val="single" w:sz="4" w:space="0" w:color="auto"/>
              <w:bottom w:val="single" w:sz="4" w:space="0" w:color="auto"/>
              <w:right w:val="single" w:sz="4" w:space="0" w:color="auto"/>
            </w:tcBorders>
            <w:vAlign w:val="center"/>
          </w:tcPr>
          <w:p w14:paraId="39133A38" w14:textId="77777777" w:rsidR="00A320E6" w:rsidRPr="00621C83" w:rsidRDefault="00A320E6" w:rsidP="00AE0286">
            <w:pPr>
              <w:jc w:val="center"/>
              <w:rPr>
                <w:rFonts w:ascii="宋体" w:hAnsi="宋体" w:cs="宋体"/>
                <w:kern w:val="0"/>
                <w:szCs w:val="21"/>
              </w:rPr>
            </w:pPr>
          </w:p>
        </w:tc>
      </w:tr>
      <w:tr w:rsidR="00A320E6" w:rsidRPr="00621C83" w14:paraId="529EAF28"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605D1315"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6DB1F022"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E562A9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无墙体的塑料薄膜拱棚（跨度8米以上，水泥立柱竹骨架或间钢骨架，含保温、滤光、卷扬机等）</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2AAC751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50-80元/㎡</w:t>
            </w:r>
          </w:p>
        </w:tc>
        <w:tc>
          <w:tcPr>
            <w:tcW w:w="867" w:type="pct"/>
            <w:vMerge/>
            <w:tcBorders>
              <w:top w:val="nil"/>
              <w:left w:val="single" w:sz="4" w:space="0" w:color="auto"/>
              <w:bottom w:val="single" w:sz="4" w:space="0" w:color="auto"/>
              <w:right w:val="single" w:sz="4" w:space="0" w:color="auto"/>
            </w:tcBorders>
            <w:vAlign w:val="center"/>
          </w:tcPr>
          <w:p w14:paraId="3513C5F9" w14:textId="77777777" w:rsidR="00A320E6" w:rsidRPr="00621C83" w:rsidRDefault="00A320E6" w:rsidP="00AE0286">
            <w:pPr>
              <w:jc w:val="center"/>
              <w:rPr>
                <w:rFonts w:ascii="宋体" w:hAnsi="宋体" w:cs="宋体"/>
                <w:kern w:val="0"/>
                <w:szCs w:val="21"/>
              </w:rPr>
            </w:pPr>
          </w:p>
        </w:tc>
      </w:tr>
      <w:tr w:rsidR="00A320E6" w:rsidRPr="00621C83" w14:paraId="30DB79A6"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2CB2793C"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55E1B542"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EF3833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无墙体的塑料薄膜拱棚（跨度3-8米，间钢骨架或竹骨架）</w:t>
            </w:r>
          </w:p>
        </w:tc>
        <w:tc>
          <w:tcPr>
            <w:tcW w:w="1232" w:type="pct"/>
            <w:tcBorders>
              <w:top w:val="nil"/>
              <w:left w:val="nil"/>
              <w:bottom w:val="single" w:sz="4" w:space="0" w:color="auto"/>
              <w:right w:val="single" w:sz="4" w:space="0" w:color="auto"/>
            </w:tcBorders>
            <w:shd w:val="clear" w:color="000000" w:fill="FFFFFF"/>
            <w:vAlign w:val="center"/>
          </w:tcPr>
          <w:p w14:paraId="6EFE81F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25-75元/㎡</w:t>
            </w:r>
          </w:p>
        </w:tc>
        <w:tc>
          <w:tcPr>
            <w:tcW w:w="867" w:type="pct"/>
            <w:vMerge/>
            <w:tcBorders>
              <w:top w:val="nil"/>
              <w:left w:val="single" w:sz="4" w:space="0" w:color="auto"/>
              <w:bottom w:val="single" w:sz="4" w:space="0" w:color="auto"/>
              <w:right w:val="single" w:sz="4" w:space="0" w:color="auto"/>
            </w:tcBorders>
            <w:vAlign w:val="center"/>
          </w:tcPr>
          <w:p w14:paraId="34CCD386" w14:textId="77777777" w:rsidR="00A320E6" w:rsidRPr="00621C83" w:rsidRDefault="00A320E6" w:rsidP="00AE0286">
            <w:pPr>
              <w:jc w:val="center"/>
              <w:rPr>
                <w:rFonts w:ascii="宋体" w:hAnsi="宋体" w:cs="宋体"/>
                <w:kern w:val="0"/>
                <w:szCs w:val="21"/>
              </w:rPr>
            </w:pPr>
          </w:p>
        </w:tc>
      </w:tr>
      <w:tr w:rsidR="00A320E6" w:rsidRPr="00621C83" w14:paraId="2DFEC8FB"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6ED69118"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388943F9"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050183D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无墙体的塑料薄膜拱棚（跨度小于3米）</w:t>
            </w:r>
          </w:p>
        </w:tc>
        <w:tc>
          <w:tcPr>
            <w:tcW w:w="1232" w:type="pct"/>
            <w:tcBorders>
              <w:top w:val="nil"/>
              <w:left w:val="nil"/>
              <w:bottom w:val="single" w:sz="4" w:space="0" w:color="auto"/>
              <w:right w:val="single" w:sz="4" w:space="0" w:color="auto"/>
            </w:tcBorders>
            <w:shd w:val="clear" w:color="000000" w:fill="FFFFFF"/>
            <w:vAlign w:val="center"/>
          </w:tcPr>
          <w:p w14:paraId="262BCDE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5-25元/㎡</w:t>
            </w:r>
          </w:p>
        </w:tc>
        <w:tc>
          <w:tcPr>
            <w:tcW w:w="867" w:type="pct"/>
            <w:vMerge/>
            <w:tcBorders>
              <w:top w:val="nil"/>
              <w:left w:val="single" w:sz="4" w:space="0" w:color="auto"/>
              <w:bottom w:val="single" w:sz="4" w:space="0" w:color="auto"/>
              <w:right w:val="single" w:sz="4" w:space="0" w:color="auto"/>
            </w:tcBorders>
            <w:vAlign w:val="center"/>
          </w:tcPr>
          <w:p w14:paraId="79863DD3" w14:textId="77777777" w:rsidR="00A320E6" w:rsidRPr="00621C83" w:rsidRDefault="00A320E6" w:rsidP="00AE0286">
            <w:pPr>
              <w:jc w:val="center"/>
              <w:rPr>
                <w:rFonts w:ascii="宋体" w:hAnsi="宋体" w:cs="宋体"/>
                <w:kern w:val="0"/>
                <w:szCs w:val="21"/>
              </w:rPr>
            </w:pPr>
          </w:p>
        </w:tc>
      </w:tr>
      <w:tr w:rsidR="00621C83" w:rsidRPr="00621C83" w14:paraId="4BE144C3" w14:textId="77777777" w:rsidTr="00621C83">
        <w:trPr>
          <w:trHeight w:val="56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22710C7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65F71AE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小桥</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3D0C1B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钢筋混凝土矩形板桥，跨度3米以上</w:t>
            </w:r>
          </w:p>
        </w:tc>
        <w:tc>
          <w:tcPr>
            <w:tcW w:w="1232" w:type="pct"/>
            <w:tcBorders>
              <w:top w:val="nil"/>
              <w:left w:val="nil"/>
              <w:bottom w:val="single" w:sz="4" w:space="0" w:color="auto"/>
              <w:right w:val="single" w:sz="4" w:space="0" w:color="auto"/>
            </w:tcBorders>
            <w:shd w:val="clear" w:color="000000" w:fill="FFFFFF"/>
            <w:vAlign w:val="center"/>
          </w:tcPr>
          <w:p w14:paraId="0AA3D46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1500-2000元/㎡</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4A19691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按桥面面积计算。</w:t>
            </w:r>
          </w:p>
        </w:tc>
      </w:tr>
      <w:tr w:rsidR="00A320E6" w:rsidRPr="00621C83" w14:paraId="4CBE5A47"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1C17C987"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579B0DF8"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273B95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平坦石拱桥，跨度3米以上</w:t>
            </w:r>
          </w:p>
        </w:tc>
        <w:tc>
          <w:tcPr>
            <w:tcW w:w="1232" w:type="pct"/>
            <w:tcBorders>
              <w:top w:val="nil"/>
              <w:left w:val="nil"/>
              <w:bottom w:val="single" w:sz="4" w:space="0" w:color="auto"/>
              <w:right w:val="single" w:sz="4" w:space="0" w:color="auto"/>
            </w:tcBorders>
            <w:shd w:val="clear" w:color="000000" w:fill="FFFFFF"/>
            <w:vAlign w:val="center"/>
          </w:tcPr>
          <w:p w14:paraId="5C99F4B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1200-1500元/㎡</w:t>
            </w:r>
          </w:p>
        </w:tc>
        <w:tc>
          <w:tcPr>
            <w:tcW w:w="867" w:type="pct"/>
            <w:vMerge/>
            <w:tcBorders>
              <w:top w:val="nil"/>
              <w:left w:val="single" w:sz="4" w:space="0" w:color="auto"/>
              <w:bottom w:val="single" w:sz="4" w:space="0" w:color="auto"/>
              <w:right w:val="single" w:sz="4" w:space="0" w:color="auto"/>
            </w:tcBorders>
            <w:vAlign w:val="center"/>
          </w:tcPr>
          <w:p w14:paraId="194D7CED" w14:textId="77777777" w:rsidR="00A320E6" w:rsidRPr="00621C83" w:rsidRDefault="00A320E6" w:rsidP="00AE0286">
            <w:pPr>
              <w:jc w:val="center"/>
              <w:rPr>
                <w:rFonts w:ascii="宋体" w:hAnsi="宋体" w:cs="宋体"/>
                <w:kern w:val="0"/>
                <w:szCs w:val="21"/>
              </w:rPr>
            </w:pPr>
          </w:p>
        </w:tc>
      </w:tr>
      <w:tr w:rsidR="00A320E6" w:rsidRPr="00621C83" w14:paraId="2E434025"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3D9A28E4"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5E1F7729"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82B52E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石拱桥，跨度3米以上</w:t>
            </w:r>
          </w:p>
        </w:tc>
        <w:tc>
          <w:tcPr>
            <w:tcW w:w="1232" w:type="pct"/>
            <w:tcBorders>
              <w:top w:val="nil"/>
              <w:left w:val="nil"/>
              <w:bottom w:val="single" w:sz="4" w:space="0" w:color="auto"/>
              <w:right w:val="single" w:sz="4" w:space="0" w:color="auto"/>
            </w:tcBorders>
            <w:shd w:val="clear" w:color="000000" w:fill="FFFFFF"/>
            <w:vAlign w:val="center"/>
          </w:tcPr>
          <w:p w14:paraId="3118878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1600-2000元/㎡</w:t>
            </w:r>
          </w:p>
        </w:tc>
        <w:tc>
          <w:tcPr>
            <w:tcW w:w="867" w:type="pct"/>
            <w:vMerge/>
            <w:tcBorders>
              <w:top w:val="nil"/>
              <w:left w:val="single" w:sz="4" w:space="0" w:color="auto"/>
              <w:bottom w:val="single" w:sz="4" w:space="0" w:color="auto"/>
              <w:right w:val="single" w:sz="4" w:space="0" w:color="auto"/>
            </w:tcBorders>
            <w:vAlign w:val="center"/>
          </w:tcPr>
          <w:p w14:paraId="1513A8E6" w14:textId="77777777" w:rsidR="00A320E6" w:rsidRPr="00621C83" w:rsidRDefault="00A320E6" w:rsidP="00AE0286">
            <w:pPr>
              <w:jc w:val="center"/>
              <w:rPr>
                <w:rFonts w:ascii="宋体" w:hAnsi="宋体" w:cs="宋体"/>
                <w:kern w:val="0"/>
                <w:szCs w:val="21"/>
              </w:rPr>
            </w:pPr>
          </w:p>
        </w:tc>
      </w:tr>
      <w:tr w:rsidR="00A320E6" w:rsidRPr="00621C83" w14:paraId="50369ECC"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650094F2"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25EE905"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E1E4E3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简易桥（田间农桥），跨度3米以上</w:t>
            </w:r>
          </w:p>
        </w:tc>
        <w:tc>
          <w:tcPr>
            <w:tcW w:w="1232" w:type="pct"/>
            <w:tcBorders>
              <w:top w:val="nil"/>
              <w:left w:val="nil"/>
              <w:bottom w:val="single" w:sz="4" w:space="0" w:color="auto"/>
              <w:right w:val="single" w:sz="4" w:space="0" w:color="auto"/>
            </w:tcBorders>
            <w:shd w:val="clear" w:color="000000" w:fill="FFFFFF"/>
            <w:vAlign w:val="center"/>
          </w:tcPr>
          <w:p w14:paraId="1BAC69C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500-1000元/㎡</w:t>
            </w:r>
          </w:p>
        </w:tc>
        <w:tc>
          <w:tcPr>
            <w:tcW w:w="867" w:type="pct"/>
            <w:vMerge/>
            <w:tcBorders>
              <w:top w:val="nil"/>
              <w:left w:val="single" w:sz="4" w:space="0" w:color="auto"/>
              <w:bottom w:val="single" w:sz="4" w:space="0" w:color="auto"/>
              <w:right w:val="single" w:sz="4" w:space="0" w:color="auto"/>
            </w:tcBorders>
            <w:vAlign w:val="center"/>
          </w:tcPr>
          <w:p w14:paraId="4063D030" w14:textId="77777777" w:rsidR="00A320E6" w:rsidRPr="00621C83" w:rsidRDefault="00A320E6" w:rsidP="00AE0286">
            <w:pPr>
              <w:jc w:val="center"/>
              <w:rPr>
                <w:rFonts w:ascii="宋体" w:hAnsi="宋体" w:cs="宋体"/>
                <w:kern w:val="0"/>
                <w:szCs w:val="21"/>
              </w:rPr>
            </w:pPr>
          </w:p>
        </w:tc>
      </w:tr>
      <w:tr w:rsidR="00621C83" w:rsidRPr="00621C83" w14:paraId="3809E92F" w14:textId="77777777" w:rsidTr="00621C83">
        <w:trPr>
          <w:trHeight w:val="633"/>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5A76DE6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1D3E537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涵洞</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B15758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石盖板涵跨径1－2m</w:t>
            </w:r>
          </w:p>
        </w:tc>
        <w:tc>
          <w:tcPr>
            <w:tcW w:w="1232" w:type="pct"/>
            <w:tcBorders>
              <w:top w:val="nil"/>
              <w:left w:val="nil"/>
              <w:bottom w:val="single" w:sz="4" w:space="0" w:color="auto"/>
              <w:right w:val="single" w:sz="4" w:space="0" w:color="auto"/>
            </w:tcBorders>
            <w:shd w:val="clear" w:color="000000" w:fill="FFFFFF"/>
            <w:vAlign w:val="center"/>
          </w:tcPr>
          <w:p w14:paraId="014A2F0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600-800元/m</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15FA227E" w14:textId="77777777" w:rsidR="00A320E6" w:rsidRPr="00621C83" w:rsidRDefault="00A320E6" w:rsidP="00AE0286">
            <w:pPr>
              <w:jc w:val="center"/>
              <w:rPr>
                <w:rFonts w:ascii="宋体" w:hAnsi="宋体" w:cs="宋体"/>
                <w:kern w:val="0"/>
                <w:szCs w:val="21"/>
              </w:rPr>
            </w:pPr>
          </w:p>
        </w:tc>
      </w:tr>
      <w:tr w:rsidR="00A320E6" w:rsidRPr="00621C83" w14:paraId="7E85E28C" w14:textId="77777777" w:rsidTr="00621C83">
        <w:trPr>
          <w:trHeight w:val="633"/>
          <w:jc w:val="center"/>
        </w:trPr>
        <w:tc>
          <w:tcPr>
            <w:tcW w:w="369" w:type="pct"/>
            <w:vMerge/>
            <w:tcBorders>
              <w:top w:val="nil"/>
              <w:left w:val="single" w:sz="4" w:space="0" w:color="auto"/>
              <w:bottom w:val="single" w:sz="4" w:space="0" w:color="auto"/>
              <w:right w:val="single" w:sz="4" w:space="0" w:color="auto"/>
            </w:tcBorders>
            <w:vAlign w:val="center"/>
          </w:tcPr>
          <w:p w14:paraId="6F4371E5"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0975612B"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71D759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石拱涵跨径3－4m</w:t>
            </w:r>
          </w:p>
        </w:tc>
        <w:tc>
          <w:tcPr>
            <w:tcW w:w="1232" w:type="pct"/>
            <w:tcBorders>
              <w:top w:val="nil"/>
              <w:left w:val="nil"/>
              <w:bottom w:val="single" w:sz="4" w:space="0" w:color="auto"/>
              <w:right w:val="single" w:sz="4" w:space="0" w:color="auto"/>
            </w:tcBorders>
            <w:shd w:val="clear" w:color="000000" w:fill="FFFFFF"/>
            <w:vAlign w:val="center"/>
          </w:tcPr>
          <w:p w14:paraId="4034892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1850-2200元/m</w:t>
            </w:r>
          </w:p>
        </w:tc>
        <w:tc>
          <w:tcPr>
            <w:tcW w:w="867" w:type="pct"/>
            <w:vMerge/>
            <w:tcBorders>
              <w:top w:val="nil"/>
              <w:left w:val="single" w:sz="4" w:space="0" w:color="auto"/>
              <w:bottom w:val="single" w:sz="4" w:space="0" w:color="auto"/>
              <w:right w:val="single" w:sz="4" w:space="0" w:color="auto"/>
            </w:tcBorders>
            <w:vAlign w:val="center"/>
          </w:tcPr>
          <w:p w14:paraId="3A7D933A" w14:textId="77777777" w:rsidR="00A320E6" w:rsidRPr="00621C83" w:rsidRDefault="00A320E6" w:rsidP="00AE0286">
            <w:pPr>
              <w:jc w:val="center"/>
              <w:rPr>
                <w:rFonts w:ascii="宋体" w:hAnsi="宋体" w:cs="宋体"/>
                <w:kern w:val="0"/>
                <w:szCs w:val="21"/>
              </w:rPr>
            </w:pPr>
          </w:p>
        </w:tc>
      </w:tr>
      <w:tr w:rsidR="00A320E6" w:rsidRPr="00621C83" w14:paraId="2FD13FFC" w14:textId="77777777" w:rsidTr="00621C83">
        <w:trPr>
          <w:trHeight w:val="633"/>
          <w:jc w:val="center"/>
        </w:trPr>
        <w:tc>
          <w:tcPr>
            <w:tcW w:w="369" w:type="pct"/>
            <w:vMerge/>
            <w:tcBorders>
              <w:top w:val="nil"/>
              <w:left w:val="single" w:sz="4" w:space="0" w:color="auto"/>
              <w:bottom w:val="single" w:sz="4" w:space="0" w:color="auto"/>
              <w:right w:val="single" w:sz="4" w:space="0" w:color="auto"/>
            </w:tcBorders>
            <w:vAlign w:val="center"/>
          </w:tcPr>
          <w:p w14:paraId="715103D3"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C0CB64E"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1EBAA38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钢筋混凝土圆管涵跨径1－2m</w:t>
            </w:r>
          </w:p>
        </w:tc>
        <w:tc>
          <w:tcPr>
            <w:tcW w:w="1232" w:type="pct"/>
            <w:tcBorders>
              <w:top w:val="nil"/>
              <w:left w:val="nil"/>
              <w:bottom w:val="single" w:sz="4" w:space="0" w:color="auto"/>
              <w:right w:val="single" w:sz="4" w:space="0" w:color="auto"/>
            </w:tcBorders>
            <w:shd w:val="clear" w:color="000000" w:fill="FFFFFF"/>
            <w:vAlign w:val="center"/>
          </w:tcPr>
          <w:p w14:paraId="7920600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1600-1900元/m</w:t>
            </w:r>
          </w:p>
        </w:tc>
        <w:tc>
          <w:tcPr>
            <w:tcW w:w="867" w:type="pct"/>
            <w:vMerge/>
            <w:tcBorders>
              <w:top w:val="nil"/>
              <w:left w:val="single" w:sz="4" w:space="0" w:color="auto"/>
              <w:bottom w:val="single" w:sz="4" w:space="0" w:color="auto"/>
              <w:right w:val="single" w:sz="4" w:space="0" w:color="auto"/>
            </w:tcBorders>
            <w:vAlign w:val="center"/>
          </w:tcPr>
          <w:p w14:paraId="6A112BFC" w14:textId="77777777" w:rsidR="00A320E6" w:rsidRPr="00621C83" w:rsidRDefault="00A320E6" w:rsidP="00AE0286">
            <w:pPr>
              <w:jc w:val="center"/>
              <w:rPr>
                <w:rFonts w:ascii="宋体" w:hAnsi="宋体" w:cs="宋体"/>
                <w:kern w:val="0"/>
                <w:szCs w:val="21"/>
              </w:rPr>
            </w:pPr>
          </w:p>
        </w:tc>
      </w:tr>
      <w:tr w:rsidR="00A320E6" w:rsidRPr="00621C83" w14:paraId="2FA56554" w14:textId="77777777" w:rsidTr="00621C83">
        <w:trPr>
          <w:trHeight w:val="633"/>
          <w:jc w:val="center"/>
        </w:trPr>
        <w:tc>
          <w:tcPr>
            <w:tcW w:w="369" w:type="pct"/>
            <w:vMerge/>
            <w:tcBorders>
              <w:top w:val="nil"/>
              <w:left w:val="single" w:sz="4" w:space="0" w:color="auto"/>
              <w:bottom w:val="single" w:sz="4" w:space="0" w:color="auto"/>
              <w:right w:val="single" w:sz="4" w:space="0" w:color="auto"/>
            </w:tcBorders>
            <w:vAlign w:val="center"/>
          </w:tcPr>
          <w:p w14:paraId="09906D6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04C2E85C"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458CB4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钢筋混凝土盖板涵跨径3－4m</w:t>
            </w:r>
          </w:p>
        </w:tc>
        <w:tc>
          <w:tcPr>
            <w:tcW w:w="1232" w:type="pct"/>
            <w:tcBorders>
              <w:top w:val="nil"/>
              <w:left w:val="nil"/>
              <w:bottom w:val="single" w:sz="4" w:space="0" w:color="auto"/>
              <w:right w:val="single" w:sz="4" w:space="0" w:color="auto"/>
            </w:tcBorders>
            <w:shd w:val="clear" w:color="000000" w:fill="FFFFFF"/>
            <w:vAlign w:val="center"/>
          </w:tcPr>
          <w:p w14:paraId="1D7AD23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1900-2400元/m</w:t>
            </w:r>
          </w:p>
        </w:tc>
        <w:tc>
          <w:tcPr>
            <w:tcW w:w="867" w:type="pct"/>
            <w:vMerge/>
            <w:tcBorders>
              <w:top w:val="nil"/>
              <w:left w:val="single" w:sz="4" w:space="0" w:color="auto"/>
              <w:bottom w:val="single" w:sz="4" w:space="0" w:color="auto"/>
              <w:right w:val="single" w:sz="4" w:space="0" w:color="auto"/>
            </w:tcBorders>
            <w:vAlign w:val="center"/>
          </w:tcPr>
          <w:p w14:paraId="0BE01C2B" w14:textId="77777777" w:rsidR="00A320E6" w:rsidRPr="00621C83" w:rsidRDefault="00A320E6" w:rsidP="00AE0286">
            <w:pPr>
              <w:jc w:val="center"/>
              <w:rPr>
                <w:rFonts w:ascii="宋体" w:hAnsi="宋体" w:cs="宋体"/>
                <w:kern w:val="0"/>
                <w:szCs w:val="21"/>
              </w:rPr>
            </w:pPr>
          </w:p>
        </w:tc>
      </w:tr>
      <w:tr w:rsidR="00621C83" w:rsidRPr="00621C83" w14:paraId="052FC411" w14:textId="77777777" w:rsidTr="00621C83">
        <w:trPr>
          <w:trHeight w:val="567"/>
          <w:jc w:val="center"/>
        </w:trPr>
        <w:tc>
          <w:tcPr>
            <w:tcW w:w="369" w:type="pct"/>
            <w:vMerge w:val="restart"/>
            <w:tcBorders>
              <w:top w:val="nil"/>
              <w:left w:val="single" w:sz="4" w:space="0" w:color="auto"/>
              <w:bottom w:val="single" w:sz="4" w:space="0" w:color="000000"/>
              <w:right w:val="single" w:sz="4" w:space="0" w:color="auto"/>
            </w:tcBorders>
            <w:shd w:val="clear" w:color="000000" w:fill="FFFFFF"/>
            <w:vAlign w:val="center"/>
          </w:tcPr>
          <w:p w14:paraId="772D1AD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w:t>
            </w:r>
          </w:p>
        </w:tc>
        <w:tc>
          <w:tcPr>
            <w:tcW w:w="445" w:type="pct"/>
            <w:vMerge w:val="restart"/>
            <w:tcBorders>
              <w:top w:val="nil"/>
              <w:left w:val="single" w:sz="4" w:space="0" w:color="auto"/>
              <w:bottom w:val="single" w:sz="4" w:space="0" w:color="000000"/>
              <w:right w:val="single" w:sz="4" w:space="0" w:color="auto"/>
            </w:tcBorders>
            <w:shd w:val="clear" w:color="000000" w:fill="FFFFFF"/>
            <w:vAlign w:val="center"/>
          </w:tcPr>
          <w:p w14:paraId="186B5CF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排污排水沟管</w:t>
            </w: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tcPr>
          <w:p w14:paraId="69DAEFE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砖砌盖板</w:t>
            </w:r>
          </w:p>
        </w:tc>
        <w:tc>
          <w:tcPr>
            <w:tcW w:w="1773" w:type="pct"/>
            <w:tcBorders>
              <w:top w:val="nil"/>
              <w:left w:val="nil"/>
              <w:bottom w:val="single" w:sz="4" w:space="0" w:color="auto"/>
              <w:right w:val="single" w:sz="4" w:space="0" w:color="auto"/>
            </w:tcBorders>
            <w:shd w:val="clear" w:color="000000" w:fill="FFFFFF"/>
            <w:vAlign w:val="center"/>
          </w:tcPr>
          <w:p w14:paraId="0F32989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截面0.5m</w:t>
            </w:r>
            <w:r w:rsidRPr="00621C83">
              <w:rPr>
                <w:rFonts w:ascii="宋体" w:hAnsi="宋体" w:cs="宋体" w:hint="eastAsia"/>
                <w:kern w:val="0"/>
                <w:szCs w:val="21"/>
                <w:vertAlign w:val="superscript"/>
              </w:rPr>
              <w:t>2</w:t>
            </w:r>
            <w:r w:rsidRPr="00621C83">
              <w:rPr>
                <w:rFonts w:ascii="宋体" w:hAnsi="宋体" w:cs="宋体" w:hint="eastAsia"/>
                <w:kern w:val="0"/>
                <w:szCs w:val="21"/>
              </w:rPr>
              <w:t>以下</w:t>
            </w:r>
          </w:p>
        </w:tc>
        <w:tc>
          <w:tcPr>
            <w:tcW w:w="1232" w:type="pct"/>
            <w:tcBorders>
              <w:top w:val="nil"/>
              <w:left w:val="nil"/>
              <w:bottom w:val="single" w:sz="4" w:space="0" w:color="auto"/>
              <w:right w:val="single" w:sz="4" w:space="0" w:color="auto"/>
            </w:tcBorders>
            <w:shd w:val="clear" w:color="000000" w:fill="FFFFFF"/>
            <w:vAlign w:val="center"/>
          </w:tcPr>
          <w:p w14:paraId="23155FC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20-50元/m</w:t>
            </w:r>
          </w:p>
        </w:tc>
        <w:tc>
          <w:tcPr>
            <w:tcW w:w="867" w:type="pct"/>
            <w:vMerge w:val="restart"/>
            <w:tcBorders>
              <w:top w:val="nil"/>
              <w:left w:val="single" w:sz="4" w:space="0" w:color="auto"/>
              <w:bottom w:val="single" w:sz="4" w:space="0" w:color="000000"/>
              <w:right w:val="single" w:sz="4" w:space="0" w:color="auto"/>
            </w:tcBorders>
            <w:shd w:val="clear" w:color="000000" w:fill="FFFFFF"/>
            <w:vAlign w:val="center"/>
          </w:tcPr>
          <w:p w14:paraId="06083D99" w14:textId="77777777" w:rsidR="00A320E6" w:rsidRPr="00621C83" w:rsidRDefault="00A320E6" w:rsidP="00AE0286">
            <w:pPr>
              <w:jc w:val="center"/>
              <w:rPr>
                <w:rFonts w:ascii="宋体" w:hAnsi="宋体" w:cs="宋体"/>
                <w:kern w:val="0"/>
                <w:szCs w:val="21"/>
              </w:rPr>
            </w:pPr>
          </w:p>
        </w:tc>
      </w:tr>
      <w:tr w:rsidR="00621C83" w:rsidRPr="00621C83" w14:paraId="6E16C1AD"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14817D78"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46B72E66"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000000"/>
              <w:right w:val="single" w:sz="4" w:space="0" w:color="auto"/>
            </w:tcBorders>
            <w:vAlign w:val="center"/>
          </w:tcPr>
          <w:p w14:paraId="7C7BD5AB"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35C1006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截面0.5m</w:t>
            </w:r>
            <w:r w:rsidRPr="00621C83">
              <w:rPr>
                <w:rFonts w:ascii="宋体" w:hAnsi="宋体" w:cs="宋体" w:hint="eastAsia"/>
                <w:kern w:val="0"/>
                <w:szCs w:val="21"/>
                <w:vertAlign w:val="superscript"/>
              </w:rPr>
              <w:t>2</w:t>
            </w:r>
            <w:r w:rsidRPr="00621C83">
              <w:rPr>
                <w:rFonts w:ascii="宋体" w:hAnsi="宋体" w:cs="宋体" w:hint="eastAsia"/>
                <w:kern w:val="0"/>
                <w:szCs w:val="21"/>
              </w:rPr>
              <w:t>以上</w:t>
            </w:r>
          </w:p>
        </w:tc>
        <w:tc>
          <w:tcPr>
            <w:tcW w:w="1232" w:type="pct"/>
            <w:tcBorders>
              <w:top w:val="nil"/>
              <w:left w:val="nil"/>
              <w:bottom w:val="single" w:sz="4" w:space="0" w:color="auto"/>
              <w:right w:val="single" w:sz="4" w:space="0" w:color="auto"/>
            </w:tcBorders>
            <w:shd w:val="clear" w:color="000000" w:fill="FFFFFF"/>
            <w:vAlign w:val="center"/>
          </w:tcPr>
          <w:p w14:paraId="483A207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50-100元/m</w:t>
            </w:r>
          </w:p>
        </w:tc>
        <w:tc>
          <w:tcPr>
            <w:tcW w:w="867" w:type="pct"/>
            <w:vMerge/>
            <w:tcBorders>
              <w:top w:val="nil"/>
              <w:left w:val="single" w:sz="4" w:space="0" w:color="auto"/>
              <w:bottom w:val="single" w:sz="4" w:space="0" w:color="000000"/>
              <w:right w:val="single" w:sz="4" w:space="0" w:color="auto"/>
            </w:tcBorders>
            <w:vAlign w:val="center"/>
          </w:tcPr>
          <w:p w14:paraId="78FBC739" w14:textId="77777777" w:rsidR="00A320E6" w:rsidRPr="00621C83" w:rsidRDefault="00A320E6" w:rsidP="00AE0286">
            <w:pPr>
              <w:jc w:val="center"/>
              <w:rPr>
                <w:rFonts w:ascii="宋体" w:hAnsi="宋体" w:cs="宋体"/>
                <w:kern w:val="0"/>
                <w:szCs w:val="21"/>
              </w:rPr>
            </w:pPr>
          </w:p>
        </w:tc>
      </w:tr>
      <w:tr w:rsidR="00621C83" w:rsidRPr="00621C83" w14:paraId="59A4E236"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7A11004E"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7945B747"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tcPr>
          <w:p w14:paraId="0295243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钢筋混凝土管</w:t>
            </w:r>
          </w:p>
        </w:tc>
        <w:tc>
          <w:tcPr>
            <w:tcW w:w="1773" w:type="pct"/>
            <w:tcBorders>
              <w:top w:val="nil"/>
              <w:left w:val="nil"/>
              <w:bottom w:val="single" w:sz="4" w:space="0" w:color="auto"/>
              <w:right w:val="single" w:sz="4" w:space="0" w:color="auto"/>
            </w:tcBorders>
            <w:shd w:val="clear" w:color="000000" w:fill="FFFFFF"/>
            <w:vAlign w:val="center"/>
          </w:tcPr>
          <w:p w14:paraId="2E9C255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内径＜30cm</w:t>
            </w:r>
          </w:p>
        </w:tc>
        <w:tc>
          <w:tcPr>
            <w:tcW w:w="1232" w:type="pct"/>
            <w:tcBorders>
              <w:top w:val="nil"/>
              <w:left w:val="nil"/>
              <w:bottom w:val="single" w:sz="4" w:space="0" w:color="auto"/>
              <w:right w:val="single" w:sz="4" w:space="0" w:color="auto"/>
            </w:tcBorders>
            <w:shd w:val="clear" w:color="000000" w:fill="FFFFFF"/>
            <w:vAlign w:val="center"/>
          </w:tcPr>
          <w:p w14:paraId="3750FA4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30-60元/m</w:t>
            </w:r>
          </w:p>
        </w:tc>
        <w:tc>
          <w:tcPr>
            <w:tcW w:w="867" w:type="pct"/>
            <w:vMerge/>
            <w:tcBorders>
              <w:top w:val="nil"/>
              <w:left w:val="single" w:sz="4" w:space="0" w:color="auto"/>
              <w:bottom w:val="single" w:sz="4" w:space="0" w:color="000000"/>
              <w:right w:val="single" w:sz="4" w:space="0" w:color="auto"/>
            </w:tcBorders>
            <w:vAlign w:val="center"/>
          </w:tcPr>
          <w:p w14:paraId="389F7DAB" w14:textId="77777777" w:rsidR="00A320E6" w:rsidRPr="00621C83" w:rsidRDefault="00A320E6" w:rsidP="00AE0286">
            <w:pPr>
              <w:jc w:val="center"/>
              <w:rPr>
                <w:rFonts w:ascii="宋体" w:hAnsi="宋体" w:cs="宋体"/>
                <w:kern w:val="0"/>
                <w:szCs w:val="21"/>
              </w:rPr>
            </w:pPr>
          </w:p>
        </w:tc>
      </w:tr>
      <w:tr w:rsidR="00621C83" w:rsidRPr="00621C83" w14:paraId="08E3F45C"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25870A56"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48A43B1E"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000000"/>
              <w:right w:val="single" w:sz="4" w:space="0" w:color="auto"/>
            </w:tcBorders>
            <w:vAlign w:val="center"/>
          </w:tcPr>
          <w:p w14:paraId="5F7CB860"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4EBA29D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30cm0内径&lt;50cm</w:t>
            </w:r>
          </w:p>
        </w:tc>
        <w:tc>
          <w:tcPr>
            <w:tcW w:w="1232" w:type="pct"/>
            <w:tcBorders>
              <w:top w:val="nil"/>
              <w:left w:val="nil"/>
              <w:bottom w:val="single" w:sz="4" w:space="0" w:color="auto"/>
              <w:right w:val="single" w:sz="4" w:space="0" w:color="auto"/>
            </w:tcBorders>
            <w:shd w:val="clear" w:color="000000" w:fill="FFFFFF"/>
            <w:vAlign w:val="center"/>
          </w:tcPr>
          <w:p w14:paraId="56E41DA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60-100元/m</w:t>
            </w:r>
          </w:p>
        </w:tc>
        <w:tc>
          <w:tcPr>
            <w:tcW w:w="867" w:type="pct"/>
            <w:vMerge/>
            <w:tcBorders>
              <w:top w:val="nil"/>
              <w:left w:val="single" w:sz="4" w:space="0" w:color="auto"/>
              <w:bottom w:val="single" w:sz="4" w:space="0" w:color="000000"/>
              <w:right w:val="single" w:sz="4" w:space="0" w:color="auto"/>
            </w:tcBorders>
            <w:vAlign w:val="center"/>
          </w:tcPr>
          <w:p w14:paraId="085390BA" w14:textId="77777777" w:rsidR="00A320E6" w:rsidRPr="00621C83" w:rsidRDefault="00A320E6" w:rsidP="00AE0286">
            <w:pPr>
              <w:jc w:val="center"/>
              <w:rPr>
                <w:rFonts w:ascii="宋体" w:hAnsi="宋体" w:cs="宋体"/>
                <w:kern w:val="0"/>
                <w:szCs w:val="21"/>
              </w:rPr>
            </w:pPr>
          </w:p>
        </w:tc>
      </w:tr>
      <w:tr w:rsidR="00621C83" w:rsidRPr="00621C83" w14:paraId="14D78AA1"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2C221729"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32DF3A0A"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000000"/>
              <w:right w:val="single" w:sz="4" w:space="0" w:color="auto"/>
            </w:tcBorders>
            <w:vAlign w:val="center"/>
          </w:tcPr>
          <w:p w14:paraId="38C269AD"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155CD5B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50cm0内径&lt;80cm</w:t>
            </w:r>
          </w:p>
        </w:tc>
        <w:tc>
          <w:tcPr>
            <w:tcW w:w="1232" w:type="pct"/>
            <w:tcBorders>
              <w:top w:val="nil"/>
              <w:left w:val="nil"/>
              <w:bottom w:val="single" w:sz="4" w:space="0" w:color="auto"/>
              <w:right w:val="single" w:sz="4" w:space="0" w:color="auto"/>
            </w:tcBorders>
            <w:shd w:val="clear" w:color="000000" w:fill="FFFFFF"/>
            <w:vAlign w:val="center"/>
          </w:tcPr>
          <w:p w14:paraId="2580568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100-150元/m</w:t>
            </w:r>
          </w:p>
        </w:tc>
        <w:tc>
          <w:tcPr>
            <w:tcW w:w="867" w:type="pct"/>
            <w:vMerge/>
            <w:tcBorders>
              <w:top w:val="nil"/>
              <w:left w:val="single" w:sz="4" w:space="0" w:color="auto"/>
              <w:bottom w:val="single" w:sz="4" w:space="0" w:color="000000"/>
              <w:right w:val="single" w:sz="4" w:space="0" w:color="auto"/>
            </w:tcBorders>
            <w:vAlign w:val="center"/>
          </w:tcPr>
          <w:p w14:paraId="47835819" w14:textId="77777777" w:rsidR="00A320E6" w:rsidRPr="00621C83" w:rsidRDefault="00A320E6" w:rsidP="00AE0286">
            <w:pPr>
              <w:jc w:val="center"/>
              <w:rPr>
                <w:rFonts w:ascii="宋体" w:hAnsi="宋体" w:cs="宋体"/>
                <w:kern w:val="0"/>
                <w:szCs w:val="21"/>
              </w:rPr>
            </w:pPr>
          </w:p>
        </w:tc>
      </w:tr>
      <w:tr w:rsidR="00621C83" w:rsidRPr="00621C83" w14:paraId="3633273A"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2BEE0A45"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660CD35A"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000000"/>
              <w:right w:val="single" w:sz="4" w:space="0" w:color="auto"/>
            </w:tcBorders>
            <w:vAlign w:val="center"/>
          </w:tcPr>
          <w:p w14:paraId="15151F2E"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6659E85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内径≥径≥-1</w:t>
            </w:r>
          </w:p>
        </w:tc>
        <w:tc>
          <w:tcPr>
            <w:tcW w:w="1232" w:type="pct"/>
            <w:tcBorders>
              <w:top w:val="nil"/>
              <w:left w:val="nil"/>
              <w:bottom w:val="single" w:sz="4" w:space="0" w:color="auto"/>
              <w:right w:val="single" w:sz="4" w:space="0" w:color="auto"/>
            </w:tcBorders>
            <w:shd w:val="clear" w:color="000000" w:fill="FFFFFF"/>
            <w:vAlign w:val="center"/>
          </w:tcPr>
          <w:p w14:paraId="22347B5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150-300元/m</w:t>
            </w:r>
          </w:p>
        </w:tc>
        <w:tc>
          <w:tcPr>
            <w:tcW w:w="867" w:type="pct"/>
            <w:vMerge/>
            <w:tcBorders>
              <w:top w:val="nil"/>
              <w:left w:val="single" w:sz="4" w:space="0" w:color="auto"/>
              <w:bottom w:val="single" w:sz="4" w:space="0" w:color="000000"/>
              <w:right w:val="single" w:sz="4" w:space="0" w:color="auto"/>
            </w:tcBorders>
            <w:vAlign w:val="center"/>
          </w:tcPr>
          <w:p w14:paraId="526CE251" w14:textId="77777777" w:rsidR="00A320E6" w:rsidRPr="00621C83" w:rsidRDefault="00A320E6" w:rsidP="00AE0286">
            <w:pPr>
              <w:jc w:val="center"/>
              <w:rPr>
                <w:rFonts w:ascii="宋体" w:hAnsi="宋体" w:cs="宋体"/>
                <w:kern w:val="0"/>
                <w:szCs w:val="21"/>
              </w:rPr>
            </w:pPr>
          </w:p>
        </w:tc>
      </w:tr>
      <w:tr w:rsidR="00621C83" w:rsidRPr="00621C83" w14:paraId="0A59F29C"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6374A1D4"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0C711FFB"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000000"/>
              <w:right w:val="single" w:sz="4" w:space="0" w:color="auto"/>
            </w:tcBorders>
            <w:shd w:val="clear" w:color="000000" w:fill="FFFFFF"/>
            <w:vAlign w:val="center"/>
          </w:tcPr>
          <w:p w14:paraId="6AE48B1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无筋混凝土管</w:t>
            </w:r>
          </w:p>
        </w:tc>
        <w:tc>
          <w:tcPr>
            <w:tcW w:w="1773" w:type="pct"/>
            <w:tcBorders>
              <w:top w:val="nil"/>
              <w:left w:val="nil"/>
              <w:bottom w:val="single" w:sz="4" w:space="0" w:color="auto"/>
              <w:right w:val="single" w:sz="4" w:space="0" w:color="auto"/>
            </w:tcBorders>
            <w:shd w:val="clear" w:color="000000" w:fill="FFFFFF"/>
            <w:vAlign w:val="center"/>
          </w:tcPr>
          <w:p w14:paraId="5CB9DAC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内径＜20cm</w:t>
            </w:r>
          </w:p>
        </w:tc>
        <w:tc>
          <w:tcPr>
            <w:tcW w:w="1232" w:type="pct"/>
            <w:tcBorders>
              <w:top w:val="nil"/>
              <w:left w:val="nil"/>
              <w:bottom w:val="single" w:sz="4" w:space="0" w:color="auto"/>
              <w:right w:val="single" w:sz="4" w:space="0" w:color="auto"/>
            </w:tcBorders>
            <w:shd w:val="clear" w:color="000000" w:fill="FFFFFF"/>
            <w:vAlign w:val="center"/>
          </w:tcPr>
          <w:p w14:paraId="610C1A0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20-50元/m</w:t>
            </w:r>
          </w:p>
        </w:tc>
        <w:tc>
          <w:tcPr>
            <w:tcW w:w="867" w:type="pct"/>
            <w:vMerge/>
            <w:tcBorders>
              <w:top w:val="nil"/>
              <w:left w:val="single" w:sz="4" w:space="0" w:color="auto"/>
              <w:bottom w:val="single" w:sz="4" w:space="0" w:color="000000"/>
              <w:right w:val="single" w:sz="4" w:space="0" w:color="auto"/>
            </w:tcBorders>
            <w:vAlign w:val="center"/>
          </w:tcPr>
          <w:p w14:paraId="284F6ECA" w14:textId="77777777" w:rsidR="00A320E6" w:rsidRPr="00621C83" w:rsidRDefault="00A320E6" w:rsidP="00AE0286">
            <w:pPr>
              <w:jc w:val="center"/>
              <w:rPr>
                <w:rFonts w:ascii="宋体" w:hAnsi="宋体" w:cs="宋体"/>
                <w:kern w:val="0"/>
                <w:szCs w:val="21"/>
              </w:rPr>
            </w:pPr>
          </w:p>
        </w:tc>
      </w:tr>
      <w:tr w:rsidR="00621C83" w:rsidRPr="00621C83" w14:paraId="47166F9C" w14:textId="77777777" w:rsidTr="00621C83">
        <w:trPr>
          <w:trHeight w:val="567"/>
          <w:jc w:val="center"/>
        </w:trPr>
        <w:tc>
          <w:tcPr>
            <w:tcW w:w="369" w:type="pct"/>
            <w:vMerge/>
            <w:tcBorders>
              <w:top w:val="nil"/>
              <w:left w:val="single" w:sz="4" w:space="0" w:color="auto"/>
              <w:bottom w:val="single" w:sz="4" w:space="0" w:color="000000"/>
              <w:right w:val="single" w:sz="4" w:space="0" w:color="auto"/>
            </w:tcBorders>
            <w:vAlign w:val="center"/>
          </w:tcPr>
          <w:p w14:paraId="37BCF921"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67AE3224"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000000"/>
              <w:right w:val="single" w:sz="4" w:space="0" w:color="auto"/>
            </w:tcBorders>
            <w:vAlign w:val="center"/>
          </w:tcPr>
          <w:p w14:paraId="20C6700A"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77C4E4C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内径≥径≥50</w:t>
            </w:r>
          </w:p>
        </w:tc>
        <w:tc>
          <w:tcPr>
            <w:tcW w:w="1232" w:type="pct"/>
            <w:tcBorders>
              <w:top w:val="nil"/>
              <w:left w:val="nil"/>
              <w:bottom w:val="single" w:sz="4" w:space="0" w:color="auto"/>
              <w:right w:val="single" w:sz="4" w:space="0" w:color="auto"/>
            </w:tcBorders>
            <w:shd w:val="clear" w:color="000000" w:fill="FFFFFF"/>
            <w:vAlign w:val="center"/>
          </w:tcPr>
          <w:p w14:paraId="5788B7F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50-90元/m</w:t>
            </w:r>
          </w:p>
        </w:tc>
        <w:tc>
          <w:tcPr>
            <w:tcW w:w="867" w:type="pct"/>
            <w:vMerge/>
            <w:tcBorders>
              <w:top w:val="nil"/>
              <w:left w:val="single" w:sz="4" w:space="0" w:color="auto"/>
              <w:bottom w:val="single" w:sz="4" w:space="0" w:color="000000"/>
              <w:right w:val="single" w:sz="4" w:space="0" w:color="auto"/>
            </w:tcBorders>
            <w:vAlign w:val="center"/>
          </w:tcPr>
          <w:p w14:paraId="3307A374" w14:textId="77777777" w:rsidR="00A320E6" w:rsidRPr="00621C83" w:rsidRDefault="00A320E6" w:rsidP="00AE0286">
            <w:pPr>
              <w:jc w:val="center"/>
              <w:rPr>
                <w:rFonts w:ascii="宋体" w:hAnsi="宋体" w:cs="宋体"/>
                <w:kern w:val="0"/>
                <w:szCs w:val="21"/>
              </w:rPr>
            </w:pPr>
          </w:p>
        </w:tc>
      </w:tr>
      <w:tr w:rsidR="00621C83" w:rsidRPr="00621C83" w14:paraId="78316BE1" w14:textId="77777777" w:rsidTr="00621C83">
        <w:trPr>
          <w:trHeight w:val="567"/>
          <w:jc w:val="center"/>
        </w:trPr>
        <w:tc>
          <w:tcPr>
            <w:tcW w:w="369" w:type="pct"/>
            <w:tcBorders>
              <w:top w:val="nil"/>
              <w:left w:val="single" w:sz="4" w:space="0" w:color="auto"/>
              <w:bottom w:val="nil"/>
              <w:right w:val="single" w:sz="4" w:space="0" w:color="auto"/>
            </w:tcBorders>
            <w:shd w:val="clear" w:color="000000" w:fill="FFFFFF"/>
            <w:vAlign w:val="center"/>
          </w:tcPr>
          <w:p w14:paraId="42C47EA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w:t>
            </w:r>
          </w:p>
        </w:tc>
        <w:tc>
          <w:tcPr>
            <w:tcW w:w="445" w:type="pct"/>
            <w:tcBorders>
              <w:top w:val="nil"/>
              <w:left w:val="nil"/>
              <w:bottom w:val="nil"/>
              <w:right w:val="single" w:sz="4" w:space="0" w:color="auto"/>
            </w:tcBorders>
            <w:shd w:val="clear" w:color="000000" w:fill="FFFFFF"/>
            <w:vAlign w:val="center"/>
          </w:tcPr>
          <w:p w14:paraId="073C85D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供水管道</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7E8796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户内(从主干道到户内水龙头）PE管</w:t>
            </w:r>
          </w:p>
        </w:tc>
        <w:tc>
          <w:tcPr>
            <w:tcW w:w="1232" w:type="pct"/>
            <w:tcBorders>
              <w:top w:val="nil"/>
              <w:left w:val="nil"/>
              <w:bottom w:val="single" w:sz="4" w:space="0" w:color="auto"/>
              <w:right w:val="single" w:sz="4" w:space="0" w:color="auto"/>
            </w:tcBorders>
            <w:shd w:val="clear" w:color="000000" w:fill="FFFFFF"/>
            <w:vAlign w:val="center"/>
          </w:tcPr>
          <w:p w14:paraId="6C854F0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300元/户</w:t>
            </w:r>
          </w:p>
        </w:tc>
        <w:tc>
          <w:tcPr>
            <w:tcW w:w="867" w:type="pct"/>
            <w:tcBorders>
              <w:top w:val="nil"/>
              <w:left w:val="nil"/>
              <w:bottom w:val="nil"/>
              <w:right w:val="single" w:sz="4" w:space="0" w:color="auto"/>
            </w:tcBorders>
            <w:shd w:val="clear" w:color="000000" w:fill="FFFFFF"/>
            <w:vAlign w:val="center"/>
          </w:tcPr>
          <w:p w14:paraId="5134F89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包含户内水管、水嘴、水表。</w:t>
            </w:r>
          </w:p>
        </w:tc>
      </w:tr>
      <w:tr w:rsidR="00621C83" w:rsidRPr="00621C83" w14:paraId="325B0B7E" w14:textId="77777777" w:rsidTr="00621C83">
        <w:trPr>
          <w:trHeight w:val="567"/>
          <w:jc w:val="center"/>
        </w:trPr>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14:paraId="1B048B5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9</w:t>
            </w:r>
          </w:p>
        </w:tc>
        <w:tc>
          <w:tcPr>
            <w:tcW w:w="445" w:type="pct"/>
            <w:tcBorders>
              <w:top w:val="single" w:sz="4" w:space="0" w:color="auto"/>
              <w:left w:val="nil"/>
              <w:bottom w:val="single" w:sz="4" w:space="0" w:color="auto"/>
              <w:right w:val="single" w:sz="4" w:space="0" w:color="auto"/>
            </w:tcBorders>
            <w:shd w:val="clear" w:color="000000" w:fill="FFFFFF"/>
            <w:vAlign w:val="center"/>
          </w:tcPr>
          <w:p w14:paraId="1861E14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台田、石堰</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E0BE00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台田石堰</w:t>
            </w:r>
          </w:p>
        </w:tc>
        <w:tc>
          <w:tcPr>
            <w:tcW w:w="1232" w:type="pct"/>
            <w:tcBorders>
              <w:top w:val="nil"/>
              <w:left w:val="nil"/>
              <w:bottom w:val="single" w:sz="4" w:space="0" w:color="auto"/>
              <w:right w:val="single" w:sz="4" w:space="0" w:color="auto"/>
            </w:tcBorders>
            <w:shd w:val="clear" w:color="000000" w:fill="FFFFFF"/>
            <w:vAlign w:val="center"/>
          </w:tcPr>
          <w:p w14:paraId="289EE6E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70-100元/㎡</w:t>
            </w:r>
          </w:p>
        </w:tc>
        <w:tc>
          <w:tcPr>
            <w:tcW w:w="867" w:type="pct"/>
            <w:tcBorders>
              <w:top w:val="single" w:sz="4" w:space="0" w:color="auto"/>
              <w:left w:val="nil"/>
              <w:bottom w:val="single" w:sz="4" w:space="0" w:color="auto"/>
              <w:right w:val="single" w:sz="4" w:space="0" w:color="auto"/>
            </w:tcBorders>
            <w:shd w:val="clear" w:color="000000" w:fill="FFFFFF"/>
            <w:vAlign w:val="center"/>
          </w:tcPr>
          <w:p w14:paraId="730C1A54" w14:textId="77777777" w:rsidR="00A320E6" w:rsidRPr="00621C83" w:rsidRDefault="00A320E6" w:rsidP="00AE0286">
            <w:pPr>
              <w:jc w:val="center"/>
              <w:rPr>
                <w:rFonts w:ascii="宋体" w:hAnsi="宋体" w:cs="宋体"/>
                <w:kern w:val="0"/>
                <w:szCs w:val="21"/>
              </w:rPr>
            </w:pPr>
          </w:p>
        </w:tc>
      </w:tr>
      <w:tr w:rsidR="00621C83" w:rsidRPr="00621C83" w14:paraId="7F6427ED" w14:textId="77777777" w:rsidTr="00621C83">
        <w:trPr>
          <w:trHeight w:val="56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69D4A7B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1E338B4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水渠、水池</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A73BEB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土筑水渠、水池（按挖方体积）</w:t>
            </w:r>
          </w:p>
        </w:tc>
        <w:tc>
          <w:tcPr>
            <w:tcW w:w="1232" w:type="pct"/>
            <w:tcBorders>
              <w:top w:val="nil"/>
              <w:left w:val="nil"/>
              <w:bottom w:val="single" w:sz="4" w:space="0" w:color="auto"/>
              <w:right w:val="single" w:sz="4" w:space="0" w:color="auto"/>
            </w:tcBorders>
            <w:shd w:val="clear" w:color="000000" w:fill="FFFFFF"/>
            <w:vAlign w:val="center"/>
          </w:tcPr>
          <w:p w14:paraId="0567959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15-23元/m³</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71E1D2E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不包括田间毛渠。</w:t>
            </w:r>
          </w:p>
        </w:tc>
      </w:tr>
      <w:tr w:rsidR="00A320E6" w:rsidRPr="00621C83" w14:paraId="45E5F446"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405CAACE"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E11767B"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EFB17C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石砌水渠、水池</w:t>
            </w:r>
          </w:p>
        </w:tc>
        <w:tc>
          <w:tcPr>
            <w:tcW w:w="1232" w:type="pct"/>
            <w:tcBorders>
              <w:top w:val="nil"/>
              <w:left w:val="nil"/>
              <w:bottom w:val="single" w:sz="4" w:space="0" w:color="auto"/>
              <w:right w:val="single" w:sz="4" w:space="0" w:color="auto"/>
            </w:tcBorders>
            <w:shd w:val="clear" w:color="000000" w:fill="FFFFFF"/>
            <w:vAlign w:val="center"/>
          </w:tcPr>
          <w:p w14:paraId="41CB6DD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80-140元/m³</w:t>
            </w:r>
          </w:p>
        </w:tc>
        <w:tc>
          <w:tcPr>
            <w:tcW w:w="867" w:type="pct"/>
            <w:vMerge/>
            <w:tcBorders>
              <w:top w:val="nil"/>
              <w:left w:val="single" w:sz="4" w:space="0" w:color="auto"/>
              <w:bottom w:val="single" w:sz="4" w:space="0" w:color="auto"/>
              <w:right w:val="single" w:sz="4" w:space="0" w:color="auto"/>
            </w:tcBorders>
            <w:vAlign w:val="center"/>
          </w:tcPr>
          <w:p w14:paraId="34413DA0" w14:textId="77777777" w:rsidR="00A320E6" w:rsidRPr="00621C83" w:rsidRDefault="00A320E6" w:rsidP="00AE0286">
            <w:pPr>
              <w:jc w:val="center"/>
              <w:rPr>
                <w:rFonts w:ascii="宋体" w:hAnsi="宋体" w:cs="宋体"/>
                <w:kern w:val="0"/>
                <w:szCs w:val="21"/>
              </w:rPr>
            </w:pPr>
          </w:p>
        </w:tc>
      </w:tr>
      <w:tr w:rsidR="00A320E6" w:rsidRPr="00621C83" w14:paraId="57C03A65"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21D8F068"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1A8B8A7E"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64CCCE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砖砌水渠、水池</w:t>
            </w:r>
          </w:p>
        </w:tc>
        <w:tc>
          <w:tcPr>
            <w:tcW w:w="1232" w:type="pct"/>
            <w:tcBorders>
              <w:top w:val="nil"/>
              <w:left w:val="nil"/>
              <w:bottom w:val="single" w:sz="4" w:space="0" w:color="auto"/>
              <w:right w:val="single" w:sz="4" w:space="0" w:color="auto"/>
            </w:tcBorders>
            <w:shd w:val="clear" w:color="000000" w:fill="FFFFFF"/>
            <w:vAlign w:val="center"/>
          </w:tcPr>
          <w:p w14:paraId="7B5D9E8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100-175元/m³</w:t>
            </w:r>
          </w:p>
        </w:tc>
        <w:tc>
          <w:tcPr>
            <w:tcW w:w="867" w:type="pct"/>
            <w:vMerge/>
            <w:tcBorders>
              <w:top w:val="nil"/>
              <w:left w:val="single" w:sz="4" w:space="0" w:color="auto"/>
              <w:bottom w:val="single" w:sz="4" w:space="0" w:color="auto"/>
              <w:right w:val="single" w:sz="4" w:space="0" w:color="auto"/>
            </w:tcBorders>
            <w:vAlign w:val="center"/>
          </w:tcPr>
          <w:p w14:paraId="5198389A" w14:textId="77777777" w:rsidR="00A320E6" w:rsidRPr="00621C83" w:rsidRDefault="00A320E6" w:rsidP="00AE0286">
            <w:pPr>
              <w:jc w:val="center"/>
              <w:rPr>
                <w:rFonts w:ascii="宋体" w:hAnsi="宋体" w:cs="宋体"/>
                <w:kern w:val="0"/>
                <w:szCs w:val="21"/>
              </w:rPr>
            </w:pPr>
          </w:p>
        </w:tc>
      </w:tr>
      <w:tr w:rsidR="00621C83" w:rsidRPr="00621C83" w14:paraId="4F681165" w14:textId="77777777" w:rsidTr="00621C83">
        <w:trPr>
          <w:trHeight w:val="454"/>
          <w:jc w:val="center"/>
        </w:trPr>
        <w:tc>
          <w:tcPr>
            <w:tcW w:w="369" w:type="pct"/>
            <w:vMerge w:val="restart"/>
            <w:tcBorders>
              <w:top w:val="single" w:sz="4" w:space="0" w:color="auto"/>
              <w:left w:val="single" w:sz="4" w:space="0" w:color="auto"/>
              <w:right w:val="single" w:sz="4" w:space="0" w:color="auto"/>
            </w:tcBorders>
            <w:shd w:val="clear" w:color="000000" w:fill="FFFFFF"/>
            <w:vAlign w:val="center"/>
          </w:tcPr>
          <w:p w14:paraId="048D155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11</w:t>
            </w:r>
          </w:p>
        </w:tc>
        <w:tc>
          <w:tcPr>
            <w:tcW w:w="445" w:type="pct"/>
            <w:vMerge w:val="restart"/>
            <w:tcBorders>
              <w:top w:val="single" w:sz="4" w:space="0" w:color="auto"/>
              <w:left w:val="single" w:sz="4" w:space="0" w:color="auto"/>
              <w:right w:val="single" w:sz="4" w:space="0" w:color="auto"/>
            </w:tcBorders>
            <w:shd w:val="clear" w:color="000000" w:fill="FFFFFF"/>
            <w:vAlign w:val="center"/>
          </w:tcPr>
          <w:p w14:paraId="3378DD4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水井</w:t>
            </w: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CF01B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手压井</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268146B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500-600元/眼</w:t>
            </w:r>
          </w:p>
        </w:tc>
        <w:tc>
          <w:tcPr>
            <w:tcW w:w="867" w:type="pct"/>
            <w:vMerge w:val="restart"/>
            <w:tcBorders>
              <w:top w:val="single" w:sz="4" w:space="0" w:color="auto"/>
              <w:left w:val="single" w:sz="4" w:space="0" w:color="auto"/>
              <w:right w:val="single" w:sz="4" w:space="0" w:color="auto"/>
            </w:tcBorders>
            <w:shd w:val="clear" w:color="000000" w:fill="FFFFFF"/>
            <w:vAlign w:val="center"/>
          </w:tcPr>
          <w:p w14:paraId="4882724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1、水井包括开凿工程、用料及用工等费用；</w:t>
            </w:r>
            <w:r w:rsidRPr="00621C83">
              <w:rPr>
                <w:rFonts w:ascii="宋体" w:hAnsi="宋体" w:cs="宋体" w:hint="eastAsia"/>
                <w:kern w:val="0"/>
                <w:szCs w:val="21"/>
              </w:rPr>
              <w:br w:type="page"/>
              <w:t>2、废、枯井按同类井补偿标准30%-50%补偿；</w:t>
            </w:r>
            <w:r w:rsidRPr="00621C83">
              <w:rPr>
                <w:rFonts w:ascii="宋体" w:hAnsi="宋体" w:cs="宋体" w:hint="eastAsia"/>
                <w:kern w:val="0"/>
                <w:szCs w:val="21"/>
              </w:rPr>
              <w:br w:type="page"/>
              <w:t>3、机井超过200米的，可由具有资质的评估机构评估确定。</w:t>
            </w:r>
          </w:p>
        </w:tc>
      </w:tr>
      <w:tr w:rsidR="00A320E6" w:rsidRPr="00621C83" w14:paraId="78EBE087" w14:textId="77777777" w:rsidTr="00621C83">
        <w:trPr>
          <w:trHeight w:val="454"/>
          <w:jc w:val="center"/>
        </w:trPr>
        <w:tc>
          <w:tcPr>
            <w:tcW w:w="369" w:type="pct"/>
            <w:vMerge/>
            <w:tcBorders>
              <w:left w:val="single" w:sz="4" w:space="0" w:color="auto"/>
              <w:right w:val="single" w:sz="4" w:space="0" w:color="auto"/>
            </w:tcBorders>
            <w:vAlign w:val="center"/>
          </w:tcPr>
          <w:p w14:paraId="66704195"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7B90CE90"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51578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土井：直径1.2m</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3498DC7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160-200元/m</w:t>
            </w:r>
          </w:p>
        </w:tc>
        <w:tc>
          <w:tcPr>
            <w:tcW w:w="867" w:type="pct"/>
            <w:vMerge/>
            <w:tcBorders>
              <w:left w:val="single" w:sz="4" w:space="0" w:color="auto"/>
              <w:right w:val="single" w:sz="4" w:space="0" w:color="auto"/>
            </w:tcBorders>
            <w:vAlign w:val="center"/>
          </w:tcPr>
          <w:p w14:paraId="674FBBFE" w14:textId="77777777" w:rsidR="00A320E6" w:rsidRPr="00621C83" w:rsidRDefault="00A320E6" w:rsidP="00AE0286">
            <w:pPr>
              <w:jc w:val="center"/>
              <w:rPr>
                <w:rFonts w:ascii="宋体" w:hAnsi="宋体" w:cs="宋体"/>
                <w:kern w:val="0"/>
                <w:szCs w:val="21"/>
              </w:rPr>
            </w:pPr>
          </w:p>
        </w:tc>
      </w:tr>
      <w:tr w:rsidR="00A320E6" w:rsidRPr="00621C83" w14:paraId="22FAF2BD" w14:textId="77777777" w:rsidTr="00621C83">
        <w:trPr>
          <w:trHeight w:val="454"/>
          <w:jc w:val="center"/>
        </w:trPr>
        <w:tc>
          <w:tcPr>
            <w:tcW w:w="369" w:type="pct"/>
            <w:vMerge/>
            <w:tcBorders>
              <w:left w:val="single" w:sz="4" w:space="0" w:color="auto"/>
              <w:right w:val="single" w:sz="4" w:space="0" w:color="auto"/>
            </w:tcBorders>
            <w:vAlign w:val="center"/>
          </w:tcPr>
          <w:p w14:paraId="0C119268"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192A60E6"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D4051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砖石砌水井，井深5-10m，直径1.5m</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25D4EDC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4000-6000元/眼</w:t>
            </w:r>
          </w:p>
        </w:tc>
        <w:tc>
          <w:tcPr>
            <w:tcW w:w="867" w:type="pct"/>
            <w:vMerge/>
            <w:tcBorders>
              <w:left w:val="single" w:sz="4" w:space="0" w:color="auto"/>
              <w:right w:val="single" w:sz="4" w:space="0" w:color="auto"/>
            </w:tcBorders>
            <w:vAlign w:val="center"/>
          </w:tcPr>
          <w:p w14:paraId="74B370CA" w14:textId="77777777" w:rsidR="00A320E6" w:rsidRPr="00621C83" w:rsidRDefault="00A320E6" w:rsidP="00AE0286">
            <w:pPr>
              <w:jc w:val="center"/>
              <w:rPr>
                <w:rFonts w:ascii="宋体" w:hAnsi="宋体" w:cs="宋体"/>
                <w:kern w:val="0"/>
                <w:szCs w:val="21"/>
              </w:rPr>
            </w:pPr>
          </w:p>
        </w:tc>
      </w:tr>
      <w:tr w:rsidR="00A320E6" w:rsidRPr="00621C83" w14:paraId="202460AD" w14:textId="77777777" w:rsidTr="00621C83">
        <w:trPr>
          <w:trHeight w:val="454"/>
          <w:jc w:val="center"/>
        </w:trPr>
        <w:tc>
          <w:tcPr>
            <w:tcW w:w="369" w:type="pct"/>
            <w:vMerge/>
            <w:tcBorders>
              <w:left w:val="single" w:sz="4" w:space="0" w:color="auto"/>
              <w:right w:val="single" w:sz="4" w:space="0" w:color="auto"/>
            </w:tcBorders>
            <w:vAlign w:val="center"/>
          </w:tcPr>
          <w:p w14:paraId="103F1228"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5EA845AC"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85B9B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砖石砌水井，井深10-20m，直径2.5m</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3D32805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6000-8000元/眼</w:t>
            </w:r>
          </w:p>
        </w:tc>
        <w:tc>
          <w:tcPr>
            <w:tcW w:w="867" w:type="pct"/>
            <w:vMerge/>
            <w:tcBorders>
              <w:left w:val="single" w:sz="4" w:space="0" w:color="auto"/>
              <w:right w:val="single" w:sz="4" w:space="0" w:color="auto"/>
            </w:tcBorders>
            <w:vAlign w:val="center"/>
          </w:tcPr>
          <w:p w14:paraId="557261F2" w14:textId="77777777" w:rsidR="00A320E6" w:rsidRPr="00621C83" w:rsidRDefault="00A320E6" w:rsidP="00AE0286">
            <w:pPr>
              <w:jc w:val="center"/>
              <w:rPr>
                <w:rFonts w:ascii="宋体" w:hAnsi="宋体" w:cs="宋体"/>
                <w:kern w:val="0"/>
                <w:szCs w:val="21"/>
              </w:rPr>
            </w:pPr>
          </w:p>
        </w:tc>
      </w:tr>
      <w:tr w:rsidR="00A320E6" w:rsidRPr="00621C83" w14:paraId="350F6B30" w14:textId="77777777" w:rsidTr="00621C83">
        <w:trPr>
          <w:trHeight w:val="454"/>
          <w:jc w:val="center"/>
        </w:trPr>
        <w:tc>
          <w:tcPr>
            <w:tcW w:w="369" w:type="pct"/>
            <w:vMerge/>
            <w:tcBorders>
              <w:left w:val="single" w:sz="4" w:space="0" w:color="auto"/>
              <w:right w:val="single" w:sz="4" w:space="0" w:color="auto"/>
            </w:tcBorders>
            <w:vAlign w:val="center"/>
          </w:tcPr>
          <w:p w14:paraId="2E9D8592"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6C19F8C5"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69896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机井深20m以下，内径10cm以上</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5AC8837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1000-3000元/眼</w:t>
            </w:r>
          </w:p>
        </w:tc>
        <w:tc>
          <w:tcPr>
            <w:tcW w:w="867" w:type="pct"/>
            <w:vMerge/>
            <w:tcBorders>
              <w:left w:val="single" w:sz="4" w:space="0" w:color="auto"/>
              <w:right w:val="single" w:sz="4" w:space="0" w:color="auto"/>
            </w:tcBorders>
            <w:vAlign w:val="center"/>
          </w:tcPr>
          <w:p w14:paraId="59693B29" w14:textId="77777777" w:rsidR="00A320E6" w:rsidRPr="00621C83" w:rsidRDefault="00A320E6" w:rsidP="00AE0286">
            <w:pPr>
              <w:jc w:val="center"/>
              <w:rPr>
                <w:rFonts w:ascii="宋体" w:hAnsi="宋体" w:cs="宋体"/>
                <w:kern w:val="0"/>
                <w:szCs w:val="21"/>
              </w:rPr>
            </w:pPr>
          </w:p>
        </w:tc>
      </w:tr>
      <w:tr w:rsidR="00A320E6" w:rsidRPr="00621C83" w14:paraId="5D67FA5A" w14:textId="77777777" w:rsidTr="00621C83">
        <w:trPr>
          <w:trHeight w:val="454"/>
          <w:jc w:val="center"/>
        </w:trPr>
        <w:tc>
          <w:tcPr>
            <w:tcW w:w="369" w:type="pct"/>
            <w:vMerge/>
            <w:tcBorders>
              <w:left w:val="single" w:sz="4" w:space="0" w:color="auto"/>
              <w:right w:val="single" w:sz="4" w:space="0" w:color="auto"/>
            </w:tcBorders>
            <w:vAlign w:val="center"/>
          </w:tcPr>
          <w:p w14:paraId="2B8FDB5E"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48DF7133"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F06996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机井深20-50m，内径10cm以上</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7B36EEA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3000-5000元/眼</w:t>
            </w:r>
          </w:p>
        </w:tc>
        <w:tc>
          <w:tcPr>
            <w:tcW w:w="867" w:type="pct"/>
            <w:vMerge/>
            <w:tcBorders>
              <w:left w:val="single" w:sz="4" w:space="0" w:color="auto"/>
              <w:right w:val="single" w:sz="4" w:space="0" w:color="auto"/>
            </w:tcBorders>
            <w:vAlign w:val="center"/>
          </w:tcPr>
          <w:p w14:paraId="056DB93D" w14:textId="77777777" w:rsidR="00A320E6" w:rsidRPr="00621C83" w:rsidRDefault="00A320E6" w:rsidP="00AE0286">
            <w:pPr>
              <w:jc w:val="center"/>
              <w:rPr>
                <w:rFonts w:ascii="宋体" w:hAnsi="宋体" w:cs="宋体"/>
                <w:kern w:val="0"/>
                <w:szCs w:val="21"/>
              </w:rPr>
            </w:pPr>
          </w:p>
        </w:tc>
      </w:tr>
      <w:tr w:rsidR="00A320E6" w:rsidRPr="00621C83" w14:paraId="6BBB4891" w14:textId="77777777" w:rsidTr="00621C83">
        <w:trPr>
          <w:trHeight w:val="454"/>
          <w:jc w:val="center"/>
        </w:trPr>
        <w:tc>
          <w:tcPr>
            <w:tcW w:w="369" w:type="pct"/>
            <w:vMerge/>
            <w:tcBorders>
              <w:left w:val="single" w:sz="4" w:space="0" w:color="auto"/>
              <w:right w:val="single" w:sz="4" w:space="0" w:color="auto"/>
            </w:tcBorders>
            <w:vAlign w:val="center"/>
          </w:tcPr>
          <w:p w14:paraId="78FC3A70"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right w:val="single" w:sz="4" w:space="0" w:color="auto"/>
            </w:tcBorders>
            <w:vAlign w:val="center"/>
          </w:tcPr>
          <w:p w14:paraId="7F5AE287"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B1616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机井深50m-100m，内径10cm以上</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1BF1CEA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5000-10000元/眼</w:t>
            </w:r>
          </w:p>
        </w:tc>
        <w:tc>
          <w:tcPr>
            <w:tcW w:w="867" w:type="pct"/>
            <w:vMerge/>
            <w:tcBorders>
              <w:left w:val="single" w:sz="4" w:space="0" w:color="auto"/>
              <w:right w:val="single" w:sz="4" w:space="0" w:color="auto"/>
            </w:tcBorders>
            <w:vAlign w:val="center"/>
          </w:tcPr>
          <w:p w14:paraId="2692E080" w14:textId="77777777" w:rsidR="00A320E6" w:rsidRPr="00621C83" w:rsidRDefault="00A320E6" w:rsidP="00AE0286">
            <w:pPr>
              <w:jc w:val="center"/>
              <w:rPr>
                <w:rFonts w:ascii="宋体" w:hAnsi="宋体" w:cs="宋体"/>
                <w:kern w:val="0"/>
                <w:szCs w:val="21"/>
              </w:rPr>
            </w:pPr>
          </w:p>
        </w:tc>
      </w:tr>
      <w:tr w:rsidR="00A320E6" w:rsidRPr="00621C83" w14:paraId="320035DD" w14:textId="77777777" w:rsidTr="00621C83">
        <w:trPr>
          <w:trHeight w:val="454"/>
          <w:jc w:val="center"/>
        </w:trPr>
        <w:tc>
          <w:tcPr>
            <w:tcW w:w="369" w:type="pct"/>
            <w:vMerge/>
            <w:tcBorders>
              <w:left w:val="single" w:sz="4" w:space="0" w:color="auto"/>
              <w:bottom w:val="single" w:sz="4" w:space="0" w:color="auto"/>
              <w:right w:val="single" w:sz="4" w:space="0" w:color="auto"/>
            </w:tcBorders>
            <w:vAlign w:val="center"/>
          </w:tcPr>
          <w:p w14:paraId="0ADBDA1D" w14:textId="77777777" w:rsidR="00A320E6" w:rsidRPr="00621C83" w:rsidRDefault="00A320E6" w:rsidP="00AE0286">
            <w:pPr>
              <w:jc w:val="center"/>
              <w:rPr>
                <w:rFonts w:ascii="宋体" w:hAnsi="宋体" w:cs="宋体"/>
                <w:kern w:val="0"/>
                <w:szCs w:val="21"/>
              </w:rPr>
            </w:pPr>
          </w:p>
        </w:tc>
        <w:tc>
          <w:tcPr>
            <w:tcW w:w="445" w:type="pct"/>
            <w:vMerge/>
            <w:tcBorders>
              <w:left w:val="single" w:sz="4" w:space="0" w:color="auto"/>
              <w:bottom w:val="single" w:sz="4" w:space="0" w:color="auto"/>
              <w:right w:val="single" w:sz="4" w:space="0" w:color="auto"/>
            </w:tcBorders>
            <w:vAlign w:val="center"/>
          </w:tcPr>
          <w:p w14:paraId="2F4B52B1"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7B0271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机井深100m-200m，内径10cm以上</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3BD79E0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10000-20000元/眼</w:t>
            </w:r>
          </w:p>
        </w:tc>
        <w:tc>
          <w:tcPr>
            <w:tcW w:w="867" w:type="pct"/>
            <w:vMerge/>
            <w:tcBorders>
              <w:left w:val="single" w:sz="4" w:space="0" w:color="auto"/>
              <w:bottom w:val="single" w:sz="4" w:space="0" w:color="auto"/>
              <w:right w:val="single" w:sz="4" w:space="0" w:color="auto"/>
            </w:tcBorders>
            <w:vAlign w:val="center"/>
          </w:tcPr>
          <w:p w14:paraId="59D741B2" w14:textId="77777777" w:rsidR="00A320E6" w:rsidRPr="00621C83" w:rsidRDefault="00A320E6" w:rsidP="00AE0286">
            <w:pPr>
              <w:jc w:val="center"/>
              <w:rPr>
                <w:rFonts w:ascii="宋体" w:hAnsi="宋体" w:cs="宋体"/>
                <w:kern w:val="0"/>
                <w:szCs w:val="21"/>
              </w:rPr>
            </w:pPr>
          </w:p>
        </w:tc>
      </w:tr>
      <w:tr w:rsidR="00621C83" w:rsidRPr="00621C83" w14:paraId="339035B0" w14:textId="77777777" w:rsidTr="00621C83">
        <w:trPr>
          <w:trHeight w:val="528"/>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1F1DD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12</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DC9015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硬化地面/路面</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34676C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花砖地面</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21484F6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30-45元/㎡</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E1B978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旧料归原主。</w:t>
            </w:r>
          </w:p>
        </w:tc>
      </w:tr>
      <w:tr w:rsidR="00621C83" w:rsidRPr="00621C83" w14:paraId="48DA8758"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3E68644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5DC9CC3"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3B76C6E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水泥地面</w:t>
            </w:r>
          </w:p>
        </w:tc>
        <w:tc>
          <w:tcPr>
            <w:tcW w:w="1773" w:type="pct"/>
            <w:tcBorders>
              <w:top w:val="nil"/>
              <w:left w:val="nil"/>
              <w:bottom w:val="single" w:sz="4" w:space="0" w:color="auto"/>
              <w:right w:val="single" w:sz="4" w:space="0" w:color="auto"/>
            </w:tcBorders>
            <w:shd w:val="clear" w:color="000000" w:fill="FFFFFF"/>
            <w:vAlign w:val="center"/>
          </w:tcPr>
          <w:p w14:paraId="56BA1CA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厚度10cm以下</w:t>
            </w:r>
          </w:p>
        </w:tc>
        <w:tc>
          <w:tcPr>
            <w:tcW w:w="1232" w:type="pct"/>
            <w:tcBorders>
              <w:top w:val="nil"/>
              <w:left w:val="nil"/>
              <w:bottom w:val="single" w:sz="4" w:space="0" w:color="auto"/>
              <w:right w:val="single" w:sz="4" w:space="0" w:color="auto"/>
            </w:tcBorders>
            <w:shd w:val="clear" w:color="000000" w:fill="FFFFFF"/>
            <w:vAlign w:val="center"/>
          </w:tcPr>
          <w:p w14:paraId="3CEA397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35-50元/㎡</w:t>
            </w:r>
          </w:p>
        </w:tc>
        <w:tc>
          <w:tcPr>
            <w:tcW w:w="867" w:type="pct"/>
            <w:vMerge/>
            <w:tcBorders>
              <w:top w:val="nil"/>
              <w:left w:val="single" w:sz="4" w:space="0" w:color="auto"/>
              <w:bottom w:val="single" w:sz="4" w:space="0" w:color="auto"/>
              <w:right w:val="single" w:sz="4" w:space="0" w:color="auto"/>
            </w:tcBorders>
            <w:vAlign w:val="center"/>
          </w:tcPr>
          <w:p w14:paraId="00AB5B4F" w14:textId="77777777" w:rsidR="00A320E6" w:rsidRPr="00621C83" w:rsidRDefault="00A320E6" w:rsidP="00AE0286">
            <w:pPr>
              <w:jc w:val="center"/>
              <w:rPr>
                <w:rFonts w:ascii="宋体" w:hAnsi="宋体" w:cs="宋体"/>
                <w:kern w:val="0"/>
                <w:szCs w:val="21"/>
              </w:rPr>
            </w:pPr>
          </w:p>
        </w:tc>
      </w:tr>
      <w:tr w:rsidR="00621C83" w:rsidRPr="00621C83" w14:paraId="05B30856"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028703CE"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10A9A3B2"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56F99D6F"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41199DE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厚度10cm以上</w:t>
            </w:r>
          </w:p>
        </w:tc>
        <w:tc>
          <w:tcPr>
            <w:tcW w:w="1232" w:type="pct"/>
            <w:tcBorders>
              <w:top w:val="nil"/>
              <w:left w:val="nil"/>
              <w:bottom w:val="single" w:sz="4" w:space="0" w:color="auto"/>
              <w:right w:val="single" w:sz="4" w:space="0" w:color="auto"/>
            </w:tcBorders>
            <w:shd w:val="clear" w:color="000000" w:fill="FFFFFF"/>
            <w:vAlign w:val="center"/>
          </w:tcPr>
          <w:p w14:paraId="0ECB034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50-100元/㎡</w:t>
            </w:r>
          </w:p>
        </w:tc>
        <w:tc>
          <w:tcPr>
            <w:tcW w:w="867" w:type="pct"/>
            <w:vMerge/>
            <w:tcBorders>
              <w:top w:val="nil"/>
              <w:left w:val="single" w:sz="4" w:space="0" w:color="auto"/>
              <w:bottom w:val="single" w:sz="4" w:space="0" w:color="auto"/>
              <w:right w:val="single" w:sz="4" w:space="0" w:color="auto"/>
            </w:tcBorders>
            <w:vAlign w:val="center"/>
          </w:tcPr>
          <w:p w14:paraId="1D489CC6" w14:textId="77777777" w:rsidR="00A320E6" w:rsidRPr="00621C83" w:rsidRDefault="00A320E6" w:rsidP="00AE0286">
            <w:pPr>
              <w:jc w:val="center"/>
              <w:rPr>
                <w:rFonts w:ascii="宋体" w:hAnsi="宋体" w:cs="宋体"/>
                <w:kern w:val="0"/>
                <w:szCs w:val="21"/>
              </w:rPr>
            </w:pPr>
          </w:p>
        </w:tc>
      </w:tr>
      <w:tr w:rsidR="00621C83" w:rsidRPr="00621C83" w14:paraId="68A28316"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40538BC1"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0255403"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1314DC5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水泥路面</w:t>
            </w:r>
          </w:p>
        </w:tc>
        <w:tc>
          <w:tcPr>
            <w:tcW w:w="1773" w:type="pct"/>
            <w:tcBorders>
              <w:top w:val="nil"/>
              <w:left w:val="nil"/>
              <w:bottom w:val="single" w:sz="4" w:space="0" w:color="auto"/>
              <w:right w:val="single" w:sz="4" w:space="0" w:color="auto"/>
            </w:tcBorders>
            <w:shd w:val="clear" w:color="000000" w:fill="FFFFFF"/>
            <w:vAlign w:val="center"/>
          </w:tcPr>
          <w:p w14:paraId="2254F87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厚度18cm以下</w:t>
            </w:r>
          </w:p>
        </w:tc>
        <w:tc>
          <w:tcPr>
            <w:tcW w:w="1232" w:type="pct"/>
            <w:tcBorders>
              <w:top w:val="nil"/>
              <w:left w:val="nil"/>
              <w:bottom w:val="single" w:sz="4" w:space="0" w:color="auto"/>
              <w:right w:val="single" w:sz="4" w:space="0" w:color="auto"/>
            </w:tcBorders>
            <w:shd w:val="clear" w:color="000000" w:fill="FFFFFF"/>
            <w:vAlign w:val="center"/>
          </w:tcPr>
          <w:p w14:paraId="30CD2D2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50-90元/㎡</w:t>
            </w:r>
          </w:p>
        </w:tc>
        <w:tc>
          <w:tcPr>
            <w:tcW w:w="867" w:type="pct"/>
            <w:vMerge/>
            <w:tcBorders>
              <w:top w:val="nil"/>
              <w:left w:val="single" w:sz="4" w:space="0" w:color="auto"/>
              <w:bottom w:val="single" w:sz="4" w:space="0" w:color="auto"/>
              <w:right w:val="single" w:sz="4" w:space="0" w:color="auto"/>
            </w:tcBorders>
            <w:vAlign w:val="center"/>
          </w:tcPr>
          <w:p w14:paraId="4A48DF12" w14:textId="77777777" w:rsidR="00A320E6" w:rsidRPr="00621C83" w:rsidRDefault="00A320E6" w:rsidP="00AE0286">
            <w:pPr>
              <w:jc w:val="center"/>
              <w:rPr>
                <w:rFonts w:ascii="宋体" w:hAnsi="宋体" w:cs="宋体"/>
                <w:kern w:val="0"/>
                <w:szCs w:val="21"/>
              </w:rPr>
            </w:pPr>
          </w:p>
        </w:tc>
      </w:tr>
      <w:tr w:rsidR="00621C83" w:rsidRPr="00621C83" w14:paraId="2B4081DE"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3D8BE31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A94E6F7"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7D6D6F3D"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6A516B5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厚度18cm以上</w:t>
            </w:r>
          </w:p>
        </w:tc>
        <w:tc>
          <w:tcPr>
            <w:tcW w:w="1232" w:type="pct"/>
            <w:tcBorders>
              <w:top w:val="nil"/>
              <w:left w:val="nil"/>
              <w:bottom w:val="single" w:sz="4" w:space="0" w:color="auto"/>
              <w:right w:val="single" w:sz="4" w:space="0" w:color="auto"/>
            </w:tcBorders>
            <w:shd w:val="clear" w:color="000000" w:fill="FFFFFF"/>
            <w:vAlign w:val="center"/>
          </w:tcPr>
          <w:p w14:paraId="5091113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90-130元/㎡</w:t>
            </w:r>
          </w:p>
        </w:tc>
        <w:tc>
          <w:tcPr>
            <w:tcW w:w="867" w:type="pct"/>
            <w:vMerge/>
            <w:tcBorders>
              <w:top w:val="nil"/>
              <w:left w:val="single" w:sz="4" w:space="0" w:color="auto"/>
              <w:bottom w:val="single" w:sz="4" w:space="0" w:color="auto"/>
              <w:right w:val="single" w:sz="4" w:space="0" w:color="auto"/>
            </w:tcBorders>
            <w:vAlign w:val="center"/>
          </w:tcPr>
          <w:p w14:paraId="684E9F41" w14:textId="77777777" w:rsidR="00A320E6" w:rsidRPr="00621C83" w:rsidRDefault="00A320E6" w:rsidP="00AE0286">
            <w:pPr>
              <w:jc w:val="center"/>
              <w:rPr>
                <w:rFonts w:ascii="宋体" w:hAnsi="宋体" w:cs="宋体"/>
                <w:kern w:val="0"/>
                <w:szCs w:val="21"/>
              </w:rPr>
            </w:pPr>
          </w:p>
        </w:tc>
      </w:tr>
      <w:tr w:rsidR="00A320E6" w:rsidRPr="00621C83" w14:paraId="0180EED2"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64C2E1C9"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235CC871"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9826A8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沥青路面</w:t>
            </w:r>
          </w:p>
        </w:tc>
        <w:tc>
          <w:tcPr>
            <w:tcW w:w="1232" w:type="pct"/>
            <w:tcBorders>
              <w:top w:val="nil"/>
              <w:left w:val="nil"/>
              <w:bottom w:val="single" w:sz="4" w:space="0" w:color="auto"/>
              <w:right w:val="single" w:sz="4" w:space="0" w:color="auto"/>
            </w:tcBorders>
            <w:shd w:val="clear" w:color="000000" w:fill="FFFFFF"/>
            <w:vAlign w:val="center"/>
          </w:tcPr>
          <w:p w14:paraId="5B3D577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100-170元/㎡</w:t>
            </w:r>
          </w:p>
        </w:tc>
        <w:tc>
          <w:tcPr>
            <w:tcW w:w="867" w:type="pct"/>
            <w:vMerge/>
            <w:tcBorders>
              <w:top w:val="nil"/>
              <w:left w:val="single" w:sz="4" w:space="0" w:color="auto"/>
              <w:bottom w:val="single" w:sz="4" w:space="0" w:color="auto"/>
              <w:right w:val="single" w:sz="4" w:space="0" w:color="auto"/>
            </w:tcBorders>
            <w:vAlign w:val="center"/>
          </w:tcPr>
          <w:p w14:paraId="5B525B2F" w14:textId="77777777" w:rsidR="00A320E6" w:rsidRPr="00621C83" w:rsidRDefault="00A320E6" w:rsidP="00AE0286">
            <w:pPr>
              <w:jc w:val="center"/>
              <w:rPr>
                <w:rFonts w:ascii="宋体" w:hAnsi="宋体" w:cs="宋体"/>
                <w:kern w:val="0"/>
                <w:szCs w:val="21"/>
              </w:rPr>
            </w:pPr>
          </w:p>
        </w:tc>
      </w:tr>
      <w:tr w:rsidR="00A320E6" w:rsidRPr="00621C83" w14:paraId="7D8A4881" w14:textId="77777777" w:rsidTr="00621C83">
        <w:trPr>
          <w:trHeight w:val="528"/>
          <w:jc w:val="center"/>
        </w:trPr>
        <w:tc>
          <w:tcPr>
            <w:tcW w:w="369" w:type="pct"/>
            <w:vMerge/>
            <w:tcBorders>
              <w:top w:val="nil"/>
              <w:left w:val="single" w:sz="4" w:space="0" w:color="auto"/>
              <w:bottom w:val="single" w:sz="4" w:space="0" w:color="auto"/>
              <w:right w:val="single" w:sz="4" w:space="0" w:color="auto"/>
            </w:tcBorders>
            <w:vAlign w:val="center"/>
          </w:tcPr>
          <w:p w14:paraId="4A56B279"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7B09B108"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DD98CD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其他硬化</w:t>
            </w:r>
          </w:p>
        </w:tc>
        <w:tc>
          <w:tcPr>
            <w:tcW w:w="1232" w:type="pct"/>
            <w:tcBorders>
              <w:top w:val="nil"/>
              <w:left w:val="nil"/>
              <w:bottom w:val="single" w:sz="4" w:space="0" w:color="auto"/>
              <w:right w:val="single" w:sz="4" w:space="0" w:color="auto"/>
            </w:tcBorders>
            <w:shd w:val="clear" w:color="000000" w:fill="FFFFFF"/>
            <w:vAlign w:val="center"/>
          </w:tcPr>
          <w:p w14:paraId="5DFD2DE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20-40元/㎡</w:t>
            </w:r>
          </w:p>
        </w:tc>
        <w:tc>
          <w:tcPr>
            <w:tcW w:w="867" w:type="pct"/>
            <w:vMerge/>
            <w:tcBorders>
              <w:top w:val="nil"/>
              <w:left w:val="single" w:sz="4" w:space="0" w:color="auto"/>
              <w:bottom w:val="single" w:sz="4" w:space="0" w:color="auto"/>
              <w:right w:val="single" w:sz="4" w:space="0" w:color="auto"/>
            </w:tcBorders>
            <w:vAlign w:val="center"/>
          </w:tcPr>
          <w:p w14:paraId="54D80024" w14:textId="77777777" w:rsidR="00A320E6" w:rsidRPr="00621C83" w:rsidRDefault="00A320E6" w:rsidP="00AE0286">
            <w:pPr>
              <w:jc w:val="center"/>
              <w:rPr>
                <w:rFonts w:ascii="宋体" w:hAnsi="宋体" w:cs="宋体"/>
                <w:kern w:val="0"/>
                <w:szCs w:val="21"/>
              </w:rPr>
            </w:pPr>
          </w:p>
        </w:tc>
      </w:tr>
      <w:tr w:rsidR="00621C83" w:rsidRPr="00621C83" w14:paraId="4D2ADFB4" w14:textId="77777777" w:rsidTr="00621C83">
        <w:trPr>
          <w:trHeight w:val="567"/>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D0C7E7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13</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35D648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鱼塘</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0E6E7E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土筑</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455ABC9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7000-10000元/亩</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500DCF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含土石方工程及鱼苗损失费</w:t>
            </w:r>
          </w:p>
        </w:tc>
      </w:tr>
      <w:tr w:rsidR="00A320E6" w:rsidRPr="00621C83" w14:paraId="029F45CB"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00D4D7A8"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006204A7"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B592C1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砖石砌</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36FE821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8000-14000元/亩</w:t>
            </w:r>
          </w:p>
        </w:tc>
        <w:tc>
          <w:tcPr>
            <w:tcW w:w="867" w:type="pct"/>
            <w:vMerge/>
            <w:tcBorders>
              <w:top w:val="single" w:sz="4" w:space="0" w:color="auto"/>
              <w:left w:val="single" w:sz="4" w:space="0" w:color="auto"/>
              <w:bottom w:val="single" w:sz="4" w:space="0" w:color="auto"/>
              <w:right w:val="single" w:sz="4" w:space="0" w:color="auto"/>
            </w:tcBorders>
            <w:vAlign w:val="center"/>
          </w:tcPr>
          <w:p w14:paraId="5CD215E8" w14:textId="77777777" w:rsidR="00A320E6" w:rsidRPr="00621C83" w:rsidRDefault="00A320E6" w:rsidP="00AE0286">
            <w:pPr>
              <w:jc w:val="center"/>
              <w:rPr>
                <w:rFonts w:ascii="宋体" w:hAnsi="宋体" w:cs="宋体"/>
                <w:kern w:val="0"/>
                <w:szCs w:val="21"/>
              </w:rPr>
            </w:pPr>
          </w:p>
        </w:tc>
      </w:tr>
      <w:tr w:rsidR="00A320E6" w:rsidRPr="00621C83" w14:paraId="108D669B"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33452E6D"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0012CF7D"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CAEA84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混凝土</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0379A82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10000-16000元/亩</w:t>
            </w:r>
          </w:p>
        </w:tc>
        <w:tc>
          <w:tcPr>
            <w:tcW w:w="867" w:type="pct"/>
            <w:vMerge/>
            <w:tcBorders>
              <w:top w:val="single" w:sz="4" w:space="0" w:color="auto"/>
              <w:left w:val="single" w:sz="4" w:space="0" w:color="auto"/>
              <w:bottom w:val="single" w:sz="4" w:space="0" w:color="auto"/>
              <w:right w:val="single" w:sz="4" w:space="0" w:color="auto"/>
            </w:tcBorders>
            <w:vAlign w:val="center"/>
          </w:tcPr>
          <w:p w14:paraId="6D347585" w14:textId="77777777" w:rsidR="00A320E6" w:rsidRPr="00621C83" w:rsidRDefault="00A320E6" w:rsidP="00AE0286">
            <w:pPr>
              <w:jc w:val="center"/>
              <w:rPr>
                <w:rFonts w:ascii="宋体" w:hAnsi="宋体" w:cs="宋体"/>
                <w:kern w:val="0"/>
                <w:szCs w:val="21"/>
              </w:rPr>
            </w:pPr>
          </w:p>
        </w:tc>
      </w:tr>
      <w:tr w:rsidR="00621C83" w:rsidRPr="00621C83" w14:paraId="69B2A9DA" w14:textId="77777777" w:rsidTr="00621C83">
        <w:trPr>
          <w:trHeight w:val="567"/>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BA6026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14</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AB6144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藕塘</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636091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土筑</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2206C05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5000-7000元/亩</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80EC54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含土石方工程及藕损失费</w:t>
            </w:r>
          </w:p>
        </w:tc>
      </w:tr>
      <w:tr w:rsidR="00A320E6" w:rsidRPr="00621C83" w14:paraId="15240C36"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062AFC9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A2A0CDF"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A3C87D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砖石砌</w:t>
            </w:r>
          </w:p>
        </w:tc>
        <w:tc>
          <w:tcPr>
            <w:tcW w:w="1232" w:type="pct"/>
            <w:tcBorders>
              <w:top w:val="nil"/>
              <w:left w:val="nil"/>
              <w:bottom w:val="single" w:sz="4" w:space="0" w:color="auto"/>
              <w:right w:val="single" w:sz="4" w:space="0" w:color="auto"/>
            </w:tcBorders>
            <w:shd w:val="clear" w:color="000000" w:fill="FFFFFF"/>
            <w:vAlign w:val="center"/>
          </w:tcPr>
          <w:p w14:paraId="7F33880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7000-12000元/亩</w:t>
            </w:r>
          </w:p>
        </w:tc>
        <w:tc>
          <w:tcPr>
            <w:tcW w:w="867" w:type="pct"/>
            <w:vMerge/>
            <w:tcBorders>
              <w:top w:val="nil"/>
              <w:left w:val="single" w:sz="4" w:space="0" w:color="auto"/>
              <w:bottom w:val="single" w:sz="4" w:space="0" w:color="auto"/>
              <w:right w:val="single" w:sz="4" w:space="0" w:color="auto"/>
            </w:tcBorders>
            <w:vAlign w:val="center"/>
          </w:tcPr>
          <w:p w14:paraId="76F7A28E" w14:textId="77777777" w:rsidR="00A320E6" w:rsidRPr="00621C83" w:rsidRDefault="00A320E6" w:rsidP="00AE0286">
            <w:pPr>
              <w:jc w:val="center"/>
              <w:rPr>
                <w:rFonts w:ascii="宋体" w:hAnsi="宋体" w:cs="宋体"/>
                <w:kern w:val="0"/>
                <w:szCs w:val="21"/>
              </w:rPr>
            </w:pPr>
          </w:p>
        </w:tc>
      </w:tr>
      <w:tr w:rsidR="00621C83" w:rsidRPr="00621C83" w14:paraId="6ECE8B64" w14:textId="77777777" w:rsidTr="00621C83">
        <w:trPr>
          <w:trHeight w:val="56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22F5396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34A6F5D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电力通讯线路</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0431E40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经有关部门批准设立的低压线路</w:t>
            </w:r>
          </w:p>
        </w:tc>
        <w:tc>
          <w:tcPr>
            <w:tcW w:w="1232" w:type="pct"/>
            <w:tcBorders>
              <w:top w:val="nil"/>
              <w:left w:val="nil"/>
              <w:bottom w:val="single" w:sz="4" w:space="0" w:color="auto"/>
              <w:right w:val="single" w:sz="4" w:space="0" w:color="auto"/>
            </w:tcBorders>
            <w:shd w:val="clear" w:color="000000" w:fill="FFFFFF"/>
            <w:vAlign w:val="center"/>
          </w:tcPr>
          <w:p w14:paraId="0906308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1500-2000元/杆</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4D81275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1、包括电线等材料损失及拆建工费；2、已废弃的线杆不予补偿。</w:t>
            </w:r>
          </w:p>
        </w:tc>
      </w:tr>
      <w:tr w:rsidR="00A320E6" w:rsidRPr="00621C83" w14:paraId="34E0FA79"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04C67F48"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E0D9BB0"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7B1A810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通讯广播线路</w:t>
            </w:r>
          </w:p>
        </w:tc>
        <w:tc>
          <w:tcPr>
            <w:tcW w:w="1232" w:type="pct"/>
            <w:tcBorders>
              <w:top w:val="nil"/>
              <w:left w:val="nil"/>
              <w:bottom w:val="single" w:sz="4" w:space="0" w:color="auto"/>
              <w:right w:val="single" w:sz="4" w:space="0" w:color="auto"/>
            </w:tcBorders>
            <w:shd w:val="clear" w:color="000000" w:fill="FFFFFF"/>
            <w:vAlign w:val="center"/>
          </w:tcPr>
          <w:p w14:paraId="42D5F94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1500-2000元/杆</w:t>
            </w:r>
          </w:p>
        </w:tc>
        <w:tc>
          <w:tcPr>
            <w:tcW w:w="867" w:type="pct"/>
            <w:vMerge/>
            <w:tcBorders>
              <w:top w:val="nil"/>
              <w:left w:val="single" w:sz="4" w:space="0" w:color="auto"/>
              <w:bottom w:val="single" w:sz="4" w:space="0" w:color="auto"/>
              <w:right w:val="single" w:sz="4" w:space="0" w:color="auto"/>
            </w:tcBorders>
            <w:vAlign w:val="center"/>
          </w:tcPr>
          <w:p w14:paraId="25C94175" w14:textId="77777777" w:rsidR="00A320E6" w:rsidRPr="00621C83" w:rsidRDefault="00A320E6" w:rsidP="00AE0286">
            <w:pPr>
              <w:jc w:val="center"/>
              <w:rPr>
                <w:rFonts w:ascii="宋体" w:hAnsi="宋体" w:cs="宋体"/>
                <w:kern w:val="0"/>
                <w:szCs w:val="21"/>
              </w:rPr>
            </w:pPr>
          </w:p>
        </w:tc>
      </w:tr>
      <w:tr w:rsidR="00A320E6" w:rsidRPr="00621C83" w14:paraId="2DB6ADE0"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35F5CD0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1C81E13"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000000"/>
            </w:tcBorders>
            <w:shd w:val="clear" w:color="000000" w:fill="FFFFFF"/>
            <w:vAlign w:val="center"/>
          </w:tcPr>
          <w:p w14:paraId="65369B2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照明水泥线杆</w:t>
            </w:r>
          </w:p>
        </w:tc>
        <w:tc>
          <w:tcPr>
            <w:tcW w:w="1232" w:type="pct"/>
            <w:tcBorders>
              <w:top w:val="nil"/>
              <w:left w:val="nil"/>
              <w:bottom w:val="single" w:sz="4" w:space="0" w:color="auto"/>
              <w:right w:val="single" w:sz="4" w:space="0" w:color="auto"/>
            </w:tcBorders>
            <w:shd w:val="clear" w:color="000000" w:fill="FFFFFF"/>
            <w:vAlign w:val="center"/>
          </w:tcPr>
          <w:p w14:paraId="7AEA7E8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120-150元/杆</w:t>
            </w:r>
          </w:p>
        </w:tc>
        <w:tc>
          <w:tcPr>
            <w:tcW w:w="867" w:type="pct"/>
            <w:vMerge/>
            <w:tcBorders>
              <w:top w:val="nil"/>
              <w:left w:val="single" w:sz="4" w:space="0" w:color="auto"/>
              <w:bottom w:val="single" w:sz="4" w:space="0" w:color="auto"/>
              <w:right w:val="single" w:sz="4" w:space="0" w:color="auto"/>
            </w:tcBorders>
            <w:vAlign w:val="center"/>
          </w:tcPr>
          <w:p w14:paraId="1105FC8F" w14:textId="77777777" w:rsidR="00A320E6" w:rsidRPr="00621C83" w:rsidRDefault="00A320E6" w:rsidP="00AE0286">
            <w:pPr>
              <w:jc w:val="center"/>
              <w:rPr>
                <w:rFonts w:ascii="宋体" w:hAnsi="宋体" w:cs="宋体"/>
                <w:kern w:val="0"/>
                <w:szCs w:val="21"/>
              </w:rPr>
            </w:pPr>
          </w:p>
        </w:tc>
      </w:tr>
      <w:tr w:rsidR="00A320E6" w:rsidRPr="00621C83" w14:paraId="67B008D1"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54393F7E"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345ABCD"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12DCA7F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照明木线杆</w:t>
            </w:r>
          </w:p>
        </w:tc>
        <w:tc>
          <w:tcPr>
            <w:tcW w:w="1232" w:type="pct"/>
            <w:tcBorders>
              <w:top w:val="nil"/>
              <w:left w:val="nil"/>
              <w:bottom w:val="single" w:sz="4" w:space="0" w:color="auto"/>
              <w:right w:val="single" w:sz="4" w:space="0" w:color="auto"/>
            </w:tcBorders>
            <w:shd w:val="clear" w:color="000000" w:fill="FFFFFF"/>
            <w:vAlign w:val="center"/>
          </w:tcPr>
          <w:p w14:paraId="3623CBE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90-100元/杆</w:t>
            </w:r>
          </w:p>
        </w:tc>
        <w:tc>
          <w:tcPr>
            <w:tcW w:w="867" w:type="pct"/>
            <w:vMerge/>
            <w:tcBorders>
              <w:top w:val="nil"/>
              <w:left w:val="single" w:sz="4" w:space="0" w:color="auto"/>
              <w:bottom w:val="single" w:sz="4" w:space="0" w:color="auto"/>
              <w:right w:val="single" w:sz="4" w:space="0" w:color="auto"/>
            </w:tcBorders>
            <w:vAlign w:val="center"/>
          </w:tcPr>
          <w:p w14:paraId="1652205B" w14:textId="77777777" w:rsidR="00A320E6" w:rsidRPr="00621C83" w:rsidRDefault="00A320E6" w:rsidP="00AE0286">
            <w:pPr>
              <w:jc w:val="center"/>
              <w:rPr>
                <w:rFonts w:ascii="宋体" w:hAnsi="宋体" w:cs="宋体"/>
                <w:kern w:val="0"/>
                <w:szCs w:val="21"/>
              </w:rPr>
            </w:pPr>
          </w:p>
        </w:tc>
      </w:tr>
      <w:tr w:rsidR="00621C83" w:rsidRPr="00621C83" w14:paraId="55459150" w14:textId="77777777" w:rsidTr="00621C83">
        <w:trPr>
          <w:trHeight w:val="567"/>
          <w:jc w:val="center"/>
        </w:trPr>
        <w:tc>
          <w:tcPr>
            <w:tcW w:w="369" w:type="pct"/>
            <w:tcBorders>
              <w:top w:val="nil"/>
              <w:left w:val="single" w:sz="4" w:space="0" w:color="auto"/>
              <w:bottom w:val="single" w:sz="4" w:space="0" w:color="auto"/>
              <w:right w:val="single" w:sz="4" w:space="0" w:color="auto"/>
            </w:tcBorders>
            <w:shd w:val="clear" w:color="000000" w:fill="FFFFFF"/>
            <w:vAlign w:val="center"/>
          </w:tcPr>
          <w:p w14:paraId="674F17E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16</w:t>
            </w:r>
          </w:p>
        </w:tc>
        <w:tc>
          <w:tcPr>
            <w:tcW w:w="445" w:type="pct"/>
            <w:tcBorders>
              <w:top w:val="nil"/>
              <w:left w:val="nil"/>
              <w:bottom w:val="single" w:sz="4" w:space="0" w:color="auto"/>
              <w:right w:val="single" w:sz="4" w:space="0" w:color="auto"/>
            </w:tcBorders>
            <w:shd w:val="clear" w:color="000000" w:fill="FFFFFF"/>
            <w:vAlign w:val="center"/>
          </w:tcPr>
          <w:p w14:paraId="605430C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迁坟</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18DF85C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棺木、拾骨、骨灰盒</w:t>
            </w:r>
          </w:p>
        </w:tc>
        <w:tc>
          <w:tcPr>
            <w:tcW w:w="1232" w:type="pct"/>
            <w:tcBorders>
              <w:top w:val="nil"/>
              <w:left w:val="nil"/>
              <w:bottom w:val="single" w:sz="4" w:space="0" w:color="auto"/>
              <w:right w:val="single" w:sz="4" w:space="0" w:color="auto"/>
            </w:tcBorders>
            <w:shd w:val="clear" w:color="000000" w:fill="FFFFFF"/>
            <w:vAlign w:val="center"/>
          </w:tcPr>
          <w:p w14:paraId="521AF99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2000-2500元/座</w:t>
            </w:r>
          </w:p>
        </w:tc>
        <w:tc>
          <w:tcPr>
            <w:tcW w:w="867" w:type="pct"/>
            <w:tcBorders>
              <w:top w:val="nil"/>
              <w:left w:val="nil"/>
              <w:bottom w:val="single" w:sz="4" w:space="0" w:color="auto"/>
              <w:right w:val="single" w:sz="4" w:space="0" w:color="auto"/>
            </w:tcBorders>
            <w:shd w:val="clear" w:color="000000" w:fill="FFFFFF"/>
            <w:vAlign w:val="center"/>
          </w:tcPr>
          <w:p w14:paraId="6FE5930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1、包括迁葬、工料费等费用；</w:t>
            </w:r>
            <w:r w:rsidRPr="00621C83">
              <w:rPr>
                <w:rFonts w:ascii="宋体" w:hAnsi="宋体" w:cs="宋体" w:hint="eastAsia"/>
                <w:kern w:val="0"/>
                <w:szCs w:val="21"/>
              </w:rPr>
              <w:br/>
              <w:t>2、双棺可视情况增加补偿标准，原则上最高增加600元。</w:t>
            </w:r>
          </w:p>
        </w:tc>
      </w:tr>
      <w:tr w:rsidR="00A320E6" w:rsidRPr="00621C83" w14:paraId="6D6C7608" w14:textId="77777777" w:rsidTr="00621C83">
        <w:trPr>
          <w:trHeight w:val="454"/>
          <w:jc w:val="cent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68E47EF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17</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0E74F2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光伏</w:t>
            </w:r>
            <w:r w:rsidRPr="00621C83">
              <w:rPr>
                <w:rFonts w:ascii="宋体" w:hAnsi="宋体" w:cs="宋体" w:hint="eastAsia"/>
                <w:kern w:val="0"/>
                <w:szCs w:val="21"/>
              </w:rPr>
              <w:br/>
              <w:t>设施</w:t>
            </w:r>
          </w:p>
        </w:tc>
        <w:tc>
          <w:tcPr>
            <w:tcW w:w="208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D35B7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光伏太阳能电池板</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1B6899B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0.5-1.0元/瓦</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6DE68F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迁移费。</w:t>
            </w:r>
          </w:p>
        </w:tc>
      </w:tr>
      <w:tr w:rsidR="00621C83" w:rsidRPr="00621C83" w14:paraId="2F79495F" w14:textId="77777777" w:rsidTr="00621C83">
        <w:trPr>
          <w:trHeight w:val="974"/>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4F90F9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18</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1D8B38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乔木</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16B41F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胸径小于2cm</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4ACF76D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10-15元/棵</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40F714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1、乔木系指杨树、柳树、槐树、榆树、梧桐、松柏等用材林种；</w:t>
            </w:r>
            <w:r w:rsidRPr="00621C83">
              <w:rPr>
                <w:rFonts w:ascii="宋体" w:hAnsi="宋体" w:cs="宋体" w:hint="eastAsia"/>
                <w:kern w:val="0"/>
                <w:szCs w:val="21"/>
              </w:rPr>
              <w:br/>
              <w:t>2、山丘地区防护林乔木补偿标准可提高40%-60%；</w:t>
            </w:r>
            <w:r w:rsidRPr="00621C83">
              <w:rPr>
                <w:rFonts w:ascii="宋体" w:hAnsi="宋体" w:cs="宋体" w:hint="eastAsia"/>
                <w:kern w:val="0"/>
                <w:szCs w:val="21"/>
              </w:rPr>
              <w:br/>
              <w:t>3、补偿标准为移栽费，树归原主。</w:t>
            </w:r>
          </w:p>
        </w:tc>
      </w:tr>
      <w:tr w:rsidR="00A320E6" w:rsidRPr="00621C83" w14:paraId="69E56B88" w14:textId="77777777" w:rsidTr="00621C83">
        <w:trPr>
          <w:trHeight w:val="974"/>
          <w:jc w:val="center"/>
        </w:trPr>
        <w:tc>
          <w:tcPr>
            <w:tcW w:w="369" w:type="pct"/>
            <w:vMerge/>
            <w:tcBorders>
              <w:top w:val="nil"/>
              <w:left w:val="single" w:sz="4" w:space="0" w:color="auto"/>
              <w:bottom w:val="single" w:sz="4" w:space="0" w:color="auto"/>
              <w:right w:val="single" w:sz="4" w:space="0" w:color="auto"/>
            </w:tcBorders>
            <w:vAlign w:val="center"/>
          </w:tcPr>
          <w:p w14:paraId="5B008B2A"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3EE7B94D"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ABCA02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胸径2-5cm（松柏树小于3cm)</w:t>
            </w:r>
          </w:p>
        </w:tc>
        <w:tc>
          <w:tcPr>
            <w:tcW w:w="1232" w:type="pct"/>
            <w:tcBorders>
              <w:top w:val="nil"/>
              <w:left w:val="nil"/>
              <w:bottom w:val="single" w:sz="4" w:space="0" w:color="auto"/>
              <w:right w:val="single" w:sz="4" w:space="0" w:color="auto"/>
            </w:tcBorders>
            <w:shd w:val="clear" w:color="000000" w:fill="FFFFFF"/>
            <w:vAlign w:val="center"/>
          </w:tcPr>
          <w:p w14:paraId="1158E89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15-30元/棵</w:t>
            </w:r>
          </w:p>
        </w:tc>
        <w:tc>
          <w:tcPr>
            <w:tcW w:w="867" w:type="pct"/>
            <w:vMerge/>
            <w:tcBorders>
              <w:top w:val="nil"/>
              <w:left w:val="single" w:sz="4" w:space="0" w:color="auto"/>
              <w:bottom w:val="single" w:sz="4" w:space="0" w:color="auto"/>
              <w:right w:val="single" w:sz="4" w:space="0" w:color="auto"/>
            </w:tcBorders>
            <w:vAlign w:val="center"/>
          </w:tcPr>
          <w:p w14:paraId="1ADEA179" w14:textId="77777777" w:rsidR="00A320E6" w:rsidRPr="00621C83" w:rsidRDefault="00A320E6" w:rsidP="00AE0286">
            <w:pPr>
              <w:jc w:val="center"/>
              <w:rPr>
                <w:rFonts w:ascii="宋体" w:hAnsi="宋体" w:cs="宋体"/>
                <w:kern w:val="0"/>
                <w:szCs w:val="21"/>
              </w:rPr>
            </w:pPr>
          </w:p>
        </w:tc>
      </w:tr>
      <w:tr w:rsidR="00A320E6" w:rsidRPr="00621C83" w14:paraId="2E04B8E8" w14:textId="77777777" w:rsidTr="00621C83">
        <w:trPr>
          <w:trHeight w:val="974"/>
          <w:jc w:val="center"/>
        </w:trPr>
        <w:tc>
          <w:tcPr>
            <w:tcW w:w="369" w:type="pct"/>
            <w:vMerge/>
            <w:tcBorders>
              <w:top w:val="nil"/>
              <w:left w:val="single" w:sz="4" w:space="0" w:color="auto"/>
              <w:bottom w:val="single" w:sz="4" w:space="0" w:color="auto"/>
              <w:right w:val="single" w:sz="4" w:space="0" w:color="auto"/>
            </w:tcBorders>
            <w:vAlign w:val="center"/>
          </w:tcPr>
          <w:p w14:paraId="215B32AD"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2B3CA66"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066883B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胸径5-10cm（松柏树3-8cm)</w:t>
            </w:r>
          </w:p>
        </w:tc>
        <w:tc>
          <w:tcPr>
            <w:tcW w:w="1232" w:type="pct"/>
            <w:tcBorders>
              <w:top w:val="nil"/>
              <w:left w:val="nil"/>
              <w:bottom w:val="single" w:sz="4" w:space="0" w:color="auto"/>
              <w:right w:val="single" w:sz="4" w:space="0" w:color="auto"/>
            </w:tcBorders>
            <w:shd w:val="clear" w:color="000000" w:fill="FFFFFF"/>
            <w:vAlign w:val="center"/>
          </w:tcPr>
          <w:p w14:paraId="729118E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30-60元/棵</w:t>
            </w:r>
          </w:p>
        </w:tc>
        <w:tc>
          <w:tcPr>
            <w:tcW w:w="867" w:type="pct"/>
            <w:vMerge/>
            <w:tcBorders>
              <w:top w:val="nil"/>
              <w:left w:val="single" w:sz="4" w:space="0" w:color="auto"/>
              <w:bottom w:val="single" w:sz="4" w:space="0" w:color="auto"/>
              <w:right w:val="single" w:sz="4" w:space="0" w:color="auto"/>
            </w:tcBorders>
            <w:vAlign w:val="center"/>
          </w:tcPr>
          <w:p w14:paraId="4376576D" w14:textId="77777777" w:rsidR="00A320E6" w:rsidRPr="00621C83" w:rsidRDefault="00A320E6" w:rsidP="00AE0286">
            <w:pPr>
              <w:jc w:val="center"/>
              <w:rPr>
                <w:rFonts w:ascii="宋体" w:hAnsi="宋体" w:cs="宋体"/>
                <w:kern w:val="0"/>
                <w:szCs w:val="21"/>
              </w:rPr>
            </w:pPr>
          </w:p>
        </w:tc>
      </w:tr>
      <w:tr w:rsidR="00A320E6" w:rsidRPr="00621C83" w14:paraId="568AFCD2" w14:textId="77777777" w:rsidTr="00621C83">
        <w:trPr>
          <w:trHeight w:val="974"/>
          <w:jc w:val="center"/>
        </w:trPr>
        <w:tc>
          <w:tcPr>
            <w:tcW w:w="369" w:type="pct"/>
            <w:vMerge/>
            <w:tcBorders>
              <w:top w:val="nil"/>
              <w:left w:val="single" w:sz="4" w:space="0" w:color="auto"/>
              <w:bottom w:val="single" w:sz="4" w:space="0" w:color="auto"/>
              <w:right w:val="single" w:sz="4" w:space="0" w:color="auto"/>
            </w:tcBorders>
            <w:vAlign w:val="center"/>
          </w:tcPr>
          <w:p w14:paraId="06365AA0"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E3F6465"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10FB605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胸径10-20cm（松柏树8-15cm)</w:t>
            </w:r>
          </w:p>
        </w:tc>
        <w:tc>
          <w:tcPr>
            <w:tcW w:w="1232" w:type="pct"/>
            <w:tcBorders>
              <w:top w:val="nil"/>
              <w:left w:val="nil"/>
              <w:bottom w:val="single" w:sz="4" w:space="0" w:color="auto"/>
              <w:right w:val="single" w:sz="4" w:space="0" w:color="auto"/>
            </w:tcBorders>
            <w:shd w:val="clear" w:color="000000" w:fill="FFFFFF"/>
            <w:vAlign w:val="center"/>
          </w:tcPr>
          <w:p w14:paraId="16ABC7F1"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60-100元/棵</w:t>
            </w:r>
          </w:p>
        </w:tc>
        <w:tc>
          <w:tcPr>
            <w:tcW w:w="867" w:type="pct"/>
            <w:vMerge/>
            <w:tcBorders>
              <w:top w:val="nil"/>
              <w:left w:val="single" w:sz="4" w:space="0" w:color="auto"/>
              <w:bottom w:val="single" w:sz="4" w:space="0" w:color="auto"/>
              <w:right w:val="single" w:sz="4" w:space="0" w:color="auto"/>
            </w:tcBorders>
            <w:vAlign w:val="center"/>
          </w:tcPr>
          <w:p w14:paraId="57223653" w14:textId="77777777" w:rsidR="00A320E6" w:rsidRPr="00621C83" w:rsidRDefault="00A320E6" w:rsidP="00AE0286">
            <w:pPr>
              <w:jc w:val="center"/>
              <w:rPr>
                <w:rFonts w:ascii="宋体" w:hAnsi="宋体" w:cs="宋体"/>
                <w:kern w:val="0"/>
                <w:szCs w:val="21"/>
              </w:rPr>
            </w:pPr>
          </w:p>
        </w:tc>
      </w:tr>
      <w:tr w:rsidR="00A320E6" w:rsidRPr="00621C83" w14:paraId="1360BAFE" w14:textId="77777777" w:rsidTr="00621C83">
        <w:trPr>
          <w:trHeight w:val="974"/>
          <w:jc w:val="center"/>
        </w:trPr>
        <w:tc>
          <w:tcPr>
            <w:tcW w:w="369" w:type="pct"/>
            <w:vMerge/>
            <w:tcBorders>
              <w:top w:val="nil"/>
              <w:left w:val="single" w:sz="4" w:space="0" w:color="auto"/>
              <w:bottom w:val="single" w:sz="4" w:space="0" w:color="auto"/>
              <w:right w:val="single" w:sz="4" w:space="0" w:color="auto"/>
            </w:tcBorders>
            <w:vAlign w:val="center"/>
          </w:tcPr>
          <w:p w14:paraId="2D11E8F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232436E9"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F5B4BE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胸径大于20cm（松柏树15cm）以上成材树</w:t>
            </w:r>
          </w:p>
        </w:tc>
        <w:tc>
          <w:tcPr>
            <w:tcW w:w="1232" w:type="pct"/>
            <w:tcBorders>
              <w:top w:val="nil"/>
              <w:left w:val="nil"/>
              <w:bottom w:val="single" w:sz="4" w:space="0" w:color="auto"/>
              <w:right w:val="single" w:sz="4" w:space="0" w:color="auto"/>
            </w:tcBorders>
            <w:shd w:val="clear" w:color="000000" w:fill="FFFFFF"/>
            <w:vAlign w:val="center"/>
          </w:tcPr>
          <w:p w14:paraId="2C7CC7A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100-110元/棵</w:t>
            </w:r>
          </w:p>
        </w:tc>
        <w:tc>
          <w:tcPr>
            <w:tcW w:w="867" w:type="pct"/>
            <w:vMerge/>
            <w:tcBorders>
              <w:top w:val="nil"/>
              <w:left w:val="single" w:sz="4" w:space="0" w:color="auto"/>
              <w:bottom w:val="single" w:sz="4" w:space="0" w:color="auto"/>
              <w:right w:val="single" w:sz="4" w:space="0" w:color="auto"/>
            </w:tcBorders>
            <w:vAlign w:val="center"/>
          </w:tcPr>
          <w:p w14:paraId="4A03EB25" w14:textId="77777777" w:rsidR="00A320E6" w:rsidRPr="00621C83" w:rsidRDefault="00A320E6" w:rsidP="00AE0286">
            <w:pPr>
              <w:jc w:val="center"/>
              <w:rPr>
                <w:rFonts w:ascii="宋体" w:hAnsi="宋体" w:cs="宋体"/>
                <w:kern w:val="0"/>
                <w:szCs w:val="21"/>
              </w:rPr>
            </w:pPr>
          </w:p>
        </w:tc>
      </w:tr>
      <w:tr w:rsidR="00621C83" w:rsidRPr="00621C83" w14:paraId="41775349" w14:textId="77777777" w:rsidTr="00621C83">
        <w:trPr>
          <w:trHeight w:val="73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00F25FD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19</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6D5486F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果树</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ECA77D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苗木地径在1.5cm以下</w:t>
            </w:r>
          </w:p>
        </w:tc>
        <w:tc>
          <w:tcPr>
            <w:tcW w:w="1232" w:type="pct"/>
            <w:tcBorders>
              <w:top w:val="nil"/>
              <w:left w:val="nil"/>
              <w:bottom w:val="single" w:sz="4" w:space="0" w:color="auto"/>
              <w:right w:val="single" w:sz="4" w:space="0" w:color="auto"/>
            </w:tcBorders>
            <w:shd w:val="clear" w:color="000000" w:fill="FFFFFF"/>
            <w:vAlign w:val="center"/>
          </w:tcPr>
          <w:p w14:paraId="18653F4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5-6元/棵（每亩不超过1500棵）</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7F38CF5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1、果树包括：苹果、梨、桃、杏、核桃、樱桃、柿、枣、板栗、李子等树种；</w:t>
            </w:r>
            <w:r w:rsidRPr="00621C83">
              <w:rPr>
                <w:rFonts w:ascii="宋体" w:hAnsi="宋体" w:cs="宋体" w:hint="eastAsia"/>
                <w:kern w:val="0"/>
                <w:szCs w:val="21"/>
              </w:rPr>
              <w:br w:type="page"/>
              <w:t>2、补偿标准为移栽费，树归原主；</w:t>
            </w:r>
            <w:r w:rsidRPr="00621C83">
              <w:rPr>
                <w:rFonts w:ascii="宋体" w:hAnsi="宋体" w:cs="宋体" w:hint="eastAsia"/>
                <w:kern w:val="0"/>
                <w:szCs w:val="21"/>
              </w:rPr>
              <w:br w:type="page"/>
              <w:t>3、特殊品种或特殊栽培方式的果树补偿，可由具有资质的评估机构评估确定；4、葡萄每亩不超过300棵。</w:t>
            </w:r>
          </w:p>
        </w:tc>
      </w:tr>
      <w:tr w:rsidR="00A320E6" w:rsidRPr="00621C83" w14:paraId="022299B5"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19C2FC27"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68501578"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3548A5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幼龄期地径在3cm以下</w:t>
            </w:r>
          </w:p>
        </w:tc>
        <w:tc>
          <w:tcPr>
            <w:tcW w:w="1232" w:type="pct"/>
            <w:tcBorders>
              <w:top w:val="nil"/>
              <w:left w:val="nil"/>
              <w:bottom w:val="single" w:sz="4" w:space="0" w:color="auto"/>
              <w:right w:val="single" w:sz="4" w:space="0" w:color="auto"/>
            </w:tcBorders>
            <w:shd w:val="clear" w:color="000000" w:fill="FFFFFF"/>
            <w:vAlign w:val="center"/>
          </w:tcPr>
          <w:p w14:paraId="3D4CEF9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40-50元/棵（每亩不超过220棵）</w:t>
            </w:r>
          </w:p>
        </w:tc>
        <w:tc>
          <w:tcPr>
            <w:tcW w:w="867" w:type="pct"/>
            <w:vMerge/>
            <w:tcBorders>
              <w:top w:val="nil"/>
              <w:left w:val="single" w:sz="4" w:space="0" w:color="auto"/>
              <w:bottom w:val="single" w:sz="4" w:space="0" w:color="auto"/>
              <w:right w:val="single" w:sz="4" w:space="0" w:color="auto"/>
            </w:tcBorders>
            <w:vAlign w:val="center"/>
          </w:tcPr>
          <w:p w14:paraId="4B9083F1" w14:textId="77777777" w:rsidR="00A320E6" w:rsidRPr="00621C83" w:rsidRDefault="00A320E6" w:rsidP="00AE0286">
            <w:pPr>
              <w:jc w:val="center"/>
              <w:rPr>
                <w:rFonts w:ascii="宋体" w:hAnsi="宋体" w:cs="宋体"/>
                <w:kern w:val="0"/>
                <w:szCs w:val="21"/>
              </w:rPr>
            </w:pPr>
          </w:p>
        </w:tc>
      </w:tr>
      <w:tr w:rsidR="00A320E6" w:rsidRPr="00621C83" w14:paraId="32D5C3DA"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046F707A"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23AA2E2"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5E87892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初果期地径在6cm以下（定植三年以上）</w:t>
            </w:r>
          </w:p>
        </w:tc>
        <w:tc>
          <w:tcPr>
            <w:tcW w:w="1232" w:type="pct"/>
            <w:tcBorders>
              <w:top w:val="nil"/>
              <w:left w:val="nil"/>
              <w:bottom w:val="single" w:sz="4" w:space="0" w:color="auto"/>
              <w:right w:val="single" w:sz="4" w:space="0" w:color="auto"/>
            </w:tcBorders>
            <w:shd w:val="clear" w:color="000000" w:fill="FFFFFF"/>
            <w:vAlign w:val="center"/>
          </w:tcPr>
          <w:p w14:paraId="10A5EF5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260-350元/棵（每亩不超过120棵）</w:t>
            </w:r>
          </w:p>
        </w:tc>
        <w:tc>
          <w:tcPr>
            <w:tcW w:w="867" w:type="pct"/>
            <w:vMerge/>
            <w:tcBorders>
              <w:top w:val="nil"/>
              <w:left w:val="single" w:sz="4" w:space="0" w:color="auto"/>
              <w:bottom w:val="single" w:sz="4" w:space="0" w:color="auto"/>
              <w:right w:val="single" w:sz="4" w:space="0" w:color="auto"/>
            </w:tcBorders>
            <w:vAlign w:val="center"/>
          </w:tcPr>
          <w:p w14:paraId="48DBC9B3" w14:textId="77777777" w:rsidR="00A320E6" w:rsidRPr="00621C83" w:rsidRDefault="00A320E6" w:rsidP="00AE0286">
            <w:pPr>
              <w:jc w:val="center"/>
              <w:rPr>
                <w:rFonts w:ascii="宋体" w:hAnsi="宋体" w:cs="宋体"/>
                <w:kern w:val="0"/>
                <w:szCs w:val="21"/>
              </w:rPr>
            </w:pPr>
          </w:p>
        </w:tc>
      </w:tr>
      <w:tr w:rsidR="00A320E6" w:rsidRPr="00621C83" w14:paraId="76FFEBFE"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4DC74448"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70935FEF"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0D4559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盛果期地径超过6cm以上（定植三年以上）</w:t>
            </w:r>
          </w:p>
        </w:tc>
        <w:tc>
          <w:tcPr>
            <w:tcW w:w="1232" w:type="pct"/>
            <w:tcBorders>
              <w:top w:val="nil"/>
              <w:left w:val="nil"/>
              <w:bottom w:val="single" w:sz="4" w:space="0" w:color="auto"/>
              <w:right w:val="single" w:sz="4" w:space="0" w:color="auto"/>
            </w:tcBorders>
            <w:shd w:val="clear" w:color="000000" w:fill="FFFFFF"/>
            <w:vAlign w:val="center"/>
          </w:tcPr>
          <w:p w14:paraId="4CE4BF8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400-600元/棵（每亩不超过100棵）</w:t>
            </w:r>
          </w:p>
        </w:tc>
        <w:tc>
          <w:tcPr>
            <w:tcW w:w="867" w:type="pct"/>
            <w:vMerge/>
            <w:tcBorders>
              <w:top w:val="nil"/>
              <w:left w:val="single" w:sz="4" w:space="0" w:color="auto"/>
              <w:bottom w:val="single" w:sz="4" w:space="0" w:color="auto"/>
              <w:right w:val="single" w:sz="4" w:space="0" w:color="auto"/>
            </w:tcBorders>
            <w:vAlign w:val="center"/>
          </w:tcPr>
          <w:p w14:paraId="7E936112" w14:textId="77777777" w:rsidR="00A320E6" w:rsidRPr="00621C83" w:rsidRDefault="00A320E6" w:rsidP="00AE0286">
            <w:pPr>
              <w:jc w:val="center"/>
              <w:rPr>
                <w:rFonts w:ascii="宋体" w:hAnsi="宋体" w:cs="宋体"/>
                <w:kern w:val="0"/>
                <w:szCs w:val="21"/>
              </w:rPr>
            </w:pPr>
          </w:p>
        </w:tc>
      </w:tr>
      <w:tr w:rsidR="00A320E6" w:rsidRPr="00621C83" w14:paraId="784B645A"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530D643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3CB4077"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774F9E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衰老期（区分树种）</w:t>
            </w:r>
          </w:p>
        </w:tc>
        <w:tc>
          <w:tcPr>
            <w:tcW w:w="1232" w:type="pct"/>
            <w:tcBorders>
              <w:top w:val="nil"/>
              <w:left w:val="nil"/>
              <w:bottom w:val="single" w:sz="4" w:space="0" w:color="auto"/>
              <w:right w:val="single" w:sz="4" w:space="0" w:color="auto"/>
            </w:tcBorders>
            <w:shd w:val="clear" w:color="000000" w:fill="FFFFFF"/>
            <w:vAlign w:val="center"/>
          </w:tcPr>
          <w:p w14:paraId="0DA5247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120-260元/棵</w:t>
            </w:r>
          </w:p>
        </w:tc>
        <w:tc>
          <w:tcPr>
            <w:tcW w:w="867" w:type="pct"/>
            <w:vMerge/>
            <w:tcBorders>
              <w:top w:val="nil"/>
              <w:left w:val="single" w:sz="4" w:space="0" w:color="auto"/>
              <w:bottom w:val="single" w:sz="4" w:space="0" w:color="auto"/>
              <w:right w:val="single" w:sz="4" w:space="0" w:color="auto"/>
            </w:tcBorders>
            <w:vAlign w:val="center"/>
          </w:tcPr>
          <w:p w14:paraId="13748628" w14:textId="77777777" w:rsidR="00A320E6" w:rsidRPr="00621C83" w:rsidRDefault="00A320E6" w:rsidP="00AE0286">
            <w:pPr>
              <w:jc w:val="center"/>
              <w:rPr>
                <w:rFonts w:ascii="宋体" w:hAnsi="宋体" w:cs="宋体"/>
                <w:kern w:val="0"/>
                <w:szCs w:val="21"/>
              </w:rPr>
            </w:pPr>
          </w:p>
        </w:tc>
      </w:tr>
      <w:tr w:rsidR="00621C83" w:rsidRPr="00621C83" w14:paraId="55EDB07A"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7F55B6E5"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1656661B" w14:textId="77777777" w:rsidR="00A320E6" w:rsidRPr="00621C83" w:rsidRDefault="00A320E6" w:rsidP="00AE0286">
            <w:pPr>
              <w:jc w:val="center"/>
              <w:rPr>
                <w:rFonts w:ascii="宋体" w:hAnsi="宋体" w:cs="宋体"/>
                <w:kern w:val="0"/>
                <w:szCs w:val="21"/>
              </w:rPr>
            </w:pPr>
          </w:p>
        </w:tc>
        <w:tc>
          <w:tcPr>
            <w:tcW w:w="314" w:type="pct"/>
            <w:vMerge w:val="restart"/>
            <w:tcBorders>
              <w:top w:val="nil"/>
              <w:left w:val="single" w:sz="4" w:space="0" w:color="auto"/>
              <w:bottom w:val="single" w:sz="4" w:space="0" w:color="auto"/>
              <w:right w:val="single" w:sz="4" w:space="0" w:color="auto"/>
            </w:tcBorders>
            <w:shd w:val="clear" w:color="000000" w:fill="FFFFFF"/>
            <w:vAlign w:val="center"/>
          </w:tcPr>
          <w:p w14:paraId="0B97D77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葡萄</w:t>
            </w:r>
          </w:p>
        </w:tc>
        <w:tc>
          <w:tcPr>
            <w:tcW w:w="1773" w:type="pct"/>
            <w:tcBorders>
              <w:top w:val="nil"/>
              <w:left w:val="nil"/>
              <w:bottom w:val="single" w:sz="4" w:space="0" w:color="auto"/>
              <w:right w:val="single" w:sz="4" w:space="0" w:color="auto"/>
            </w:tcBorders>
            <w:shd w:val="clear" w:color="000000" w:fill="FFFFFF"/>
            <w:vAlign w:val="center"/>
          </w:tcPr>
          <w:p w14:paraId="5B32299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幼苗期</w:t>
            </w:r>
          </w:p>
        </w:tc>
        <w:tc>
          <w:tcPr>
            <w:tcW w:w="1232" w:type="pct"/>
            <w:tcBorders>
              <w:top w:val="nil"/>
              <w:left w:val="nil"/>
              <w:bottom w:val="single" w:sz="4" w:space="0" w:color="auto"/>
              <w:right w:val="single" w:sz="4" w:space="0" w:color="auto"/>
            </w:tcBorders>
            <w:shd w:val="clear" w:color="000000" w:fill="FFFFFF"/>
            <w:vAlign w:val="center"/>
          </w:tcPr>
          <w:p w14:paraId="2E72E15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6-8元/棵</w:t>
            </w:r>
          </w:p>
        </w:tc>
        <w:tc>
          <w:tcPr>
            <w:tcW w:w="867" w:type="pct"/>
            <w:vMerge/>
            <w:tcBorders>
              <w:top w:val="nil"/>
              <w:left w:val="single" w:sz="4" w:space="0" w:color="auto"/>
              <w:bottom w:val="single" w:sz="4" w:space="0" w:color="auto"/>
              <w:right w:val="single" w:sz="4" w:space="0" w:color="auto"/>
            </w:tcBorders>
            <w:vAlign w:val="center"/>
          </w:tcPr>
          <w:p w14:paraId="083AE19B" w14:textId="77777777" w:rsidR="00A320E6" w:rsidRPr="00621C83" w:rsidRDefault="00A320E6" w:rsidP="00AE0286">
            <w:pPr>
              <w:jc w:val="center"/>
              <w:rPr>
                <w:rFonts w:ascii="宋体" w:hAnsi="宋体" w:cs="宋体"/>
                <w:kern w:val="0"/>
                <w:szCs w:val="21"/>
              </w:rPr>
            </w:pPr>
          </w:p>
        </w:tc>
      </w:tr>
      <w:tr w:rsidR="00621C83" w:rsidRPr="00621C83" w14:paraId="1C504CCB"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1A9828DD"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5A647961"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5B9168EF"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74738BD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初果期</w:t>
            </w:r>
          </w:p>
        </w:tc>
        <w:tc>
          <w:tcPr>
            <w:tcW w:w="1232" w:type="pct"/>
            <w:tcBorders>
              <w:top w:val="nil"/>
              <w:left w:val="nil"/>
              <w:bottom w:val="single" w:sz="4" w:space="0" w:color="auto"/>
              <w:right w:val="single" w:sz="4" w:space="0" w:color="auto"/>
            </w:tcBorders>
            <w:shd w:val="clear" w:color="000000" w:fill="FFFFFF"/>
            <w:vAlign w:val="center"/>
          </w:tcPr>
          <w:p w14:paraId="0FC889F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20-30元/棵</w:t>
            </w:r>
          </w:p>
        </w:tc>
        <w:tc>
          <w:tcPr>
            <w:tcW w:w="867" w:type="pct"/>
            <w:vMerge/>
            <w:tcBorders>
              <w:top w:val="nil"/>
              <w:left w:val="single" w:sz="4" w:space="0" w:color="auto"/>
              <w:bottom w:val="single" w:sz="4" w:space="0" w:color="auto"/>
              <w:right w:val="single" w:sz="4" w:space="0" w:color="auto"/>
            </w:tcBorders>
            <w:vAlign w:val="center"/>
          </w:tcPr>
          <w:p w14:paraId="1B6211C4" w14:textId="77777777" w:rsidR="00A320E6" w:rsidRPr="00621C83" w:rsidRDefault="00A320E6" w:rsidP="00AE0286">
            <w:pPr>
              <w:jc w:val="center"/>
              <w:rPr>
                <w:rFonts w:ascii="宋体" w:hAnsi="宋体" w:cs="宋体"/>
                <w:kern w:val="0"/>
                <w:szCs w:val="21"/>
              </w:rPr>
            </w:pPr>
          </w:p>
        </w:tc>
      </w:tr>
      <w:tr w:rsidR="00621C83" w:rsidRPr="00621C83" w14:paraId="51702227" w14:textId="77777777" w:rsidTr="00621C83">
        <w:trPr>
          <w:trHeight w:val="737"/>
          <w:jc w:val="center"/>
        </w:trPr>
        <w:tc>
          <w:tcPr>
            <w:tcW w:w="369" w:type="pct"/>
            <w:vMerge/>
            <w:tcBorders>
              <w:top w:val="nil"/>
              <w:left w:val="single" w:sz="4" w:space="0" w:color="auto"/>
              <w:bottom w:val="single" w:sz="4" w:space="0" w:color="auto"/>
              <w:right w:val="single" w:sz="4" w:space="0" w:color="auto"/>
            </w:tcBorders>
            <w:vAlign w:val="center"/>
          </w:tcPr>
          <w:p w14:paraId="4F9ED140"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1ACE655C" w14:textId="77777777" w:rsidR="00A320E6" w:rsidRPr="00621C83" w:rsidRDefault="00A320E6" w:rsidP="00AE0286">
            <w:pPr>
              <w:jc w:val="center"/>
              <w:rPr>
                <w:rFonts w:ascii="宋体" w:hAnsi="宋体" w:cs="宋体"/>
                <w:kern w:val="0"/>
                <w:szCs w:val="21"/>
              </w:rPr>
            </w:pPr>
          </w:p>
        </w:tc>
        <w:tc>
          <w:tcPr>
            <w:tcW w:w="314" w:type="pct"/>
            <w:vMerge/>
            <w:tcBorders>
              <w:top w:val="nil"/>
              <w:left w:val="single" w:sz="4" w:space="0" w:color="auto"/>
              <w:bottom w:val="single" w:sz="4" w:space="0" w:color="auto"/>
              <w:right w:val="single" w:sz="4" w:space="0" w:color="auto"/>
            </w:tcBorders>
            <w:vAlign w:val="center"/>
          </w:tcPr>
          <w:p w14:paraId="7B133D7B" w14:textId="77777777" w:rsidR="00A320E6" w:rsidRPr="00621C83" w:rsidRDefault="00A320E6" w:rsidP="00AE0286">
            <w:pPr>
              <w:jc w:val="center"/>
              <w:rPr>
                <w:rFonts w:ascii="宋体" w:hAnsi="宋体" w:cs="宋体"/>
                <w:kern w:val="0"/>
                <w:szCs w:val="21"/>
              </w:rPr>
            </w:pPr>
          </w:p>
        </w:tc>
        <w:tc>
          <w:tcPr>
            <w:tcW w:w="1773" w:type="pct"/>
            <w:tcBorders>
              <w:top w:val="nil"/>
              <w:left w:val="nil"/>
              <w:bottom w:val="single" w:sz="4" w:space="0" w:color="auto"/>
              <w:right w:val="single" w:sz="4" w:space="0" w:color="auto"/>
            </w:tcBorders>
            <w:shd w:val="clear" w:color="000000" w:fill="FFFFFF"/>
            <w:vAlign w:val="center"/>
          </w:tcPr>
          <w:p w14:paraId="2C2A875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盛果期</w:t>
            </w:r>
          </w:p>
        </w:tc>
        <w:tc>
          <w:tcPr>
            <w:tcW w:w="1232" w:type="pct"/>
            <w:tcBorders>
              <w:top w:val="nil"/>
              <w:left w:val="nil"/>
              <w:bottom w:val="single" w:sz="4" w:space="0" w:color="auto"/>
              <w:right w:val="single" w:sz="4" w:space="0" w:color="auto"/>
            </w:tcBorders>
            <w:shd w:val="clear" w:color="000000" w:fill="FFFFFF"/>
            <w:vAlign w:val="center"/>
          </w:tcPr>
          <w:p w14:paraId="76966DD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100-150元/棵</w:t>
            </w:r>
          </w:p>
        </w:tc>
        <w:tc>
          <w:tcPr>
            <w:tcW w:w="867" w:type="pct"/>
            <w:vMerge/>
            <w:tcBorders>
              <w:top w:val="nil"/>
              <w:left w:val="single" w:sz="4" w:space="0" w:color="auto"/>
              <w:bottom w:val="single" w:sz="4" w:space="0" w:color="auto"/>
              <w:right w:val="single" w:sz="4" w:space="0" w:color="auto"/>
            </w:tcBorders>
            <w:vAlign w:val="center"/>
          </w:tcPr>
          <w:p w14:paraId="0401BB03" w14:textId="77777777" w:rsidR="00A320E6" w:rsidRPr="00621C83" w:rsidRDefault="00A320E6" w:rsidP="00AE0286">
            <w:pPr>
              <w:jc w:val="center"/>
              <w:rPr>
                <w:rFonts w:ascii="宋体" w:hAnsi="宋体" w:cs="宋体"/>
                <w:kern w:val="0"/>
                <w:szCs w:val="21"/>
              </w:rPr>
            </w:pPr>
          </w:p>
        </w:tc>
      </w:tr>
      <w:tr w:rsidR="00621C83" w:rsidRPr="00621C83" w14:paraId="373E0D5B" w14:textId="77777777" w:rsidTr="00621C83">
        <w:trPr>
          <w:trHeight w:val="567"/>
          <w:jc w:val="center"/>
        </w:trPr>
        <w:tc>
          <w:tcPr>
            <w:tcW w:w="369" w:type="pct"/>
            <w:vMerge w:val="restart"/>
            <w:tcBorders>
              <w:top w:val="nil"/>
              <w:left w:val="single" w:sz="4" w:space="0" w:color="auto"/>
              <w:bottom w:val="single" w:sz="4" w:space="0" w:color="auto"/>
              <w:right w:val="single" w:sz="4" w:space="0" w:color="auto"/>
            </w:tcBorders>
            <w:shd w:val="clear" w:color="000000" w:fill="FFFFFF"/>
            <w:vAlign w:val="center"/>
          </w:tcPr>
          <w:p w14:paraId="55DB179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20</w:t>
            </w:r>
          </w:p>
        </w:tc>
        <w:tc>
          <w:tcPr>
            <w:tcW w:w="445" w:type="pct"/>
            <w:vMerge w:val="restart"/>
            <w:tcBorders>
              <w:top w:val="nil"/>
              <w:left w:val="single" w:sz="4" w:space="0" w:color="auto"/>
              <w:bottom w:val="single" w:sz="4" w:space="0" w:color="auto"/>
              <w:right w:val="single" w:sz="4" w:space="0" w:color="auto"/>
            </w:tcBorders>
            <w:shd w:val="clear" w:color="000000" w:fill="FFFFFF"/>
            <w:vAlign w:val="center"/>
          </w:tcPr>
          <w:p w14:paraId="5126065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灌木</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3ACE917F"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一年生以内</w:t>
            </w:r>
          </w:p>
        </w:tc>
        <w:tc>
          <w:tcPr>
            <w:tcW w:w="1232" w:type="pct"/>
            <w:tcBorders>
              <w:top w:val="nil"/>
              <w:left w:val="nil"/>
              <w:bottom w:val="single" w:sz="4" w:space="0" w:color="auto"/>
              <w:right w:val="single" w:sz="4" w:space="0" w:color="auto"/>
            </w:tcBorders>
            <w:shd w:val="clear" w:color="000000" w:fill="FFFFFF"/>
            <w:vAlign w:val="center"/>
          </w:tcPr>
          <w:p w14:paraId="21B0971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6-9元/墩</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0EA0508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每墩出条数按10-20根计算。</w:t>
            </w:r>
          </w:p>
        </w:tc>
      </w:tr>
      <w:tr w:rsidR="00A320E6" w:rsidRPr="00621C83" w14:paraId="58D291D1" w14:textId="77777777" w:rsidTr="00621C83">
        <w:trPr>
          <w:trHeight w:val="567"/>
          <w:jc w:val="center"/>
        </w:trPr>
        <w:tc>
          <w:tcPr>
            <w:tcW w:w="369" w:type="pct"/>
            <w:vMerge/>
            <w:tcBorders>
              <w:top w:val="nil"/>
              <w:left w:val="single" w:sz="4" w:space="0" w:color="auto"/>
              <w:bottom w:val="single" w:sz="4" w:space="0" w:color="auto"/>
              <w:right w:val="single" w:sz="4" w:space="0" w:color="auto"/>
            </w:tcBorders>
            <w:vAlign w:val="center"/>
          </w:tcPr>
          <w:p w14:paraId="62932C61"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31A7AA7"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69E0245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一年生以上</w:t>
            </w:r>
          </w:p>
        </w:tc>
        <w:tc>
          <w:tcPr>
            <w:tcW w:w="1232" w:type="pct"/>
            <w:tcBorders>
              <w:top w:val="nil"/>
              <w:left w:val="nil"/>
              <w:bottom w:val="single" w:sz="4" w:space="0" w:color="auto"/>
              <w:right w:val="single" w:sz="4" w:space="0" w:color="auto"/>
            </w:tcBorders>
            <w:shd w:val="clear" w:color="000000" w:fill="FFFFFF"/>
            <w:vAlign w:val="center"/>
          </w:tcPr>
          <w:p w14:paraId="56DF2F5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9-14元/墩</w:t>
            </w:r>
          </w:p>
        </w:tc>
        <w:tc>
          <w:tcPr>
            <w:tcW w:w="867" w:type="pct"/>
            <w:vMerge/>
            <w:tcBorders>
              <w:top w:val="nil"/>
              <w:left w:val="single" w:sz="4" w:space="0" w:color="auto"/>
              <w:bottom w:val="single" w:sz="4" w:space="0" w:color="auto"/>
              <w:right w:val="single" w:sz="4" w:space="0" w:color="auto"/>
            </w:tcBorders>
            <w:vAlign w:val="center"/>
          </w:tcPr>
          <w:p w14:paraId="4B28019C" w14:textId="77777777" w:rsidR="00A320E6" w:rsidRPr="00621C83" w:rsidRDefault="00A320E6" w:rsidP="00AE0286">
            <w:pPr>
              <w:jc w:val="center"/>
              <w:rPr>
                <w:rFonts w:ascii="宋体" w:hAnsi="宋体" w:cs="宋体"/>
                <w:kern w:val="0"/>
                <w:szCs w:val="21"/>
              </w:rPr>
            </w:pPr>
          </w:p>
        </w:tc>
      </w:tr>
      <w:tr w:rsidR="00621C83" w:rsidRPr="00621C83" w14:paraId="0464384E" w14:textId="77777777" w:rsidTr="00621C83">
        <w:trPr>
          <w:trHeight w:val="567"/>
          <w:jc w:val="center"/>
        </w:trPr>
        <w:tc>
          <w:tcPr>
            <w:tcW w:w="369" w:type="pct"/>
            <w:tcBorders>
              <w:top w:val="nil"/>
              <w:left w:val="single" w:sz="4" w:space="0" w:color="auto"/>
              <w:bottom w:val="single" w:sz="4" w:space="0" w:color="auto"/>
              <w:right w:val="single" w:sz="4" w:space="0" w:color="auto"/>
            </w:tcBorders>
            <w:shd w:val="clear" w:color="000000" w:fill="FFFFFF"/>
            <w:vAlign w:val="center"/>
          </w:tcPr>
          <w:p w14:paraId="2130D81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21</w:t>
            </w:r>
          </w:p>
        </w:tc>
        <w:tc>
          <w:tcPr>
            <w:tcW w:w="445" w:type="pct"/>
            <w:tcBorders>
              <w:top w:val="nil"/>
              <w:left w:val="nil"/>
              <w:bottom w:val="single" w:sz="4" w:space="0" w:color="auto"/>
              <w:right w:val="single" w:sz="4" w:space="0" w:color="auto"/>
            </w:tcBorders>
            <w:shd w:val="clear" w:color="000000" w:fill="FFFFFF"/>
            <w:vAlign w:val="center"/>
          </w:tcPr>
          <w:p w14:paraId="69DECA0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苗圃</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22F9B9C0"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苗木</w:t>
            </w:r>
          </w:p>
        </w:tc>
        <w:tc>
          <w:tcPr>
            <w:tcW w:w="1232" w:type="pct"/>
            <w:tcBorders>
              <w:top w:val="nil"/>
              <w:left w:val="nil"/>
              <w:bottom w:val="single" w:sz="4" w:space="0" w:color="auto"/>
              <w:right w:val="single" w:sz="4" w:space="0" w:color="auto"/>
            </w:tcBorders>
            <w:shd w:val="clear" w:color="000000" w:fill="FFFFFF"/>
            <w:vAlign w:val="center"/>
          </w:tcPr>
          <w:p w14:paraId="6157C59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7000-12000元/亩</w:t>
            </w:r>
          </w:p>
        </w:tc>
        <w:tc>
          <w:tcPr>
            <w:tcW w:w="867" w:type="pct"/>
            <w:tcBorders>
              <w:top w:val="nil"/>
              <w:left w:val="nil"/>
              <w:bottom w:val="single" w:sz="4" w:space="0" w:color="auto"/>
              <w:right w:val="single" w:sz="4" w:space="0" w:color="auto"/>
            </w:tcBorders>
            <w:shd w:val="clear" w:color="000000" w:fill="FFFFFF"/>
            <w:vAlign w:val="center"/>
          </w:tcPr>
          <w:p w14:paraId="7F44906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1、含苗木树种及培育、移栽等各种费用；2、对于稀有珍贵苗木补偿可由具有资质的评估机构评估确定。</w:t>
            </w:r>
          </w:p>
        </w:tc>
      </w:tr>
      <w:tr w:rsidR="00A320E6" w:rsidRPr="00621C83" w14:paraId="32F89ABB" w14:textId="77777777" w:rsidTr="00621C83">
        <w:trPr>
          <w:trHeight w:val="637"/>
          <w:jc w:val="center"/>
        </w:trPr>
        <w:tc>
          <w:tcPr>
            <w:tcW w:w="369" w:type="pct"/>
            <w:vMerge w:val="restart"/>
            <w:tcBorders>
              <w:top w:val="nil"/>
              <w:left w:val="single" w:sz="4" w:space="0" w:color="auto"/>
              <w:bottom w:val="single" w:sz="4" w:space="0" w:color="000000"/>
              <w:right w:val="single" w:sz="4" w:space="0" w:color="auto"/>
            </w:tcBorders>
            <w:shd w:val="clear" w:color="auto" w:fill="auto"/>
            <w:noWrap/>
            <w:vAlign w:val="center"/>
          </w:tcPr>
          <w:p w14:paraId="13D0B21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22</w:t>
            </w:r>
          </w:p>
        </w:tc>
        <w:tc>
          <w:tcPr>
            <w:tcW w:w="445" w:type="pct"/>
            <w:vMerge w:val="restart"/>
            <w:tcBorders>
              <w:top w:val="nil"/>
              <w:left w:val="single" w:sz="4" w:space="0" w:color="auto"/>
              <w:bottom w:val="single" w:sz="4" w:space="0" w:color="000000"/>
              <w:right w:val="single" w:sz="4" w:space="0" w:color="auto"/>
            </w:tcBorders>
            <w:shd w:val="clear" w:color="auto" w:fill="auto"/>
            <w:noWrap/>
            <w:vAlign w:val="center"/>
          </w:tcPr>
          <w:p w14:paraId="484C3D0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金银花</w:t>
            </w:r>
          </w:p>
        </w:tc>
        <w:tc>
          <w:tcPr>
            <w:tcW w:w="2087" w:type="pct"/>
            <w:gridSpan w:val="2"/>
            <w:tcBorders>
              <w:top w:val="single" w:sz="4" w:space="0" w:color="auto"/>
              <w:left w:val="nil"/>
              <w:bottom w:val="single" w:sz="4" w:space="0" w:color="auto"/>
              <w:right w:val="single" w:sz="4" w:space="0" w:color="000000"/>
            </w:tcBorders>
            <w:shd w:val="clear" w:color="auto" w:fill="auto"/>
            <w:noWrap/>
            <w:vAlign w:val="center"/>
          </w:tcPr>
          <w:p w14:paraId="2FCECD6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2年生以内</w:t>
            </w:r>
          </w:p>
        </w:tc>
        <w:tc>
          <w:tcPr>
            <w:tcW w:w="1232" w:type="pct"/>
            <w:tcBorders>
              <w:top w:val="nil"/>
              <w:left w:val="nil"/>
              <w:bottom w:val="single" w:sz="4" w:space="0" w:color="auto"/>
              <w:right w:val="single" w:sz="4" w:space="0" w:color="auto"/>
            </w:tcBorders>
            <w:shd w:val="clear" w:color="000000" w:fill="FFFFFF"/>
            <w:vAlign w:val="center"/>
          </w:tcPr>
          <w:p w14:paraId="2BAAAC4E"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5-10元/棵</w:t>
            </w:r>
          </w:p>
        </w:tc>
        <w:tc>
          <w:tcPr>
            <w:tcW w:w="867" w:type="pct"/>
            <w:vMerge w:val="restart"/>
            <w:tcBorders>
              <w:top w:val="nil"/>
              <w:left w:val="single" w:sz="4" w:space="0" w:color="auto"/>
              <w:bottom w:val="single" w:sz="4" w:space="0" w:color="auto"/>
              <w:right w:val="single" w:sz="4" w:space="0" w:color="auto"/>
            </w:tcBorders>
            <w:shd w:val="clear" w:color="000000" w:fill="FFFFFF"/>
            <w:vAlign w:val="center"/>
          </w:tcPr>
          <w:p w14:paraId="4DA0F58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树归原主，金银花栽植密度为430-450棵/亩</w:t>
            </w:r>
          </w:p>
        </w:tc>
      </w:tr>
      <w:tr w:rsidR="00A320E6" w:rsidRPr="00621C83" w14:paraId="0B3C0710" w14:textId="77777777" w:rsidTr="00621C83">
        <w:trPr>
          <w:trHeight w:val="637"/>
          <w:jc w:val="center"/>
        </w:trPr>
        <w:tc>
          <w:tcPr>
            <w:tcW w:w="369" w:type="pct"/>
            <w:vMerge/>
            <w:tcBorders>
              <w:top w:val="nil"/>
              <w:left w:val="single" w:sz="4" w:space="0" w:color="auto"/>
              <w:bottom w:val="single" w:sz="4" w:space="0" w:color="000000"/>
              <w:right w:val="single" w:sz="4" w:space="0" w:color="auto"/>
            </w:tcBorders>
            <w:vAlign w:val="center"/>
          </w:tcPr>
          <w:p w14:paraId="0654CB7C"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7E0EF576"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000000"/>
            </w:tcBorders>
            <w:shd w:val="clear" w:color="auto" w:fill="auto"/>
            <w:noWrap/>
            <w:vAlign w:val="center"/>
          </w:tcPr>
          <w:p w14:paraId="1EEBB08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2年生以上</w:t>
            </w:r>
          </w:p>
        </w:tc>
        <w:tc>
          <w:tcPr>
            <w:tcW w:w="1232" w:type="pct"/>
            <w:tcBorders>
              <w:top w:val="nil"/>
              <w:left w:val="nil"/>
              <w:bottom w:val="single" w:sz="4" w:space="0" w:color="auto"/>
              <w:right w:val="single" w:sz="4" w:space="0" w:color="auto"/>
            </w:tcBorders>
            <w:shd w:val="clear" w:color="000000" w:fill="FFFFFF"/>
            <w:vAlign w:val="center"/>
          </w:tcPr>
          <w:p w14:paraId="52DFB382"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10-40元/棵</w:t>
            </w:r>
          </w:p>
        </w:tc>
        <w:tc>
          <w:tcPr>
            <w:tcW w:w="867" w:type="pct"/>
            <w:vMerge/>
            <w:tcBorders>
              <w:top w:val="nil"/>
              <w:left w:val="single" w:sz="4" w:space="0" w:color="auto"/>
              <w:bottom w:val="single" w:sz="4" w:space="0" w:color="auto"/>
              <w:right w:val="single" w:sz="4" w:space="0" w:color="auto"/>
            </w:tcBorders>
            <w:vAlign w:val="center"/>
          </w:tcPr>
          <w:p w14:paraId="6AF67038" w14:textId="77777777" w:rsidR="00A320E6" w:rsidRPr="00621C83" w:rsidRDefault="00A320E6" w:rsidP="00AE0286">
            <w:pPr>
              <w:jc w:val="center"/>
              <w:rPr>
                <w:rFonts w:ascii="宋体" w:hAnsi="宋体" w:cs="宋体"/>
                <w:kern w:val="0"/>
                <w:szCs w:val="21"/>
              </w:rPr>
            </w:pPr>
          </w:p>
        </w:tc>
      </w:tr>
      <w:tr w:rsidR="00A320E6" w:rsidRPr="00621C83" w14:paraId="0FEDF106" w14:textId="77777777" w:rsidTr="00621C83">
        <w:trPr>
          <w:trHeight w:val="538"/>
          <w:jc w:val="center"/>
        </w:trPr>
        <w:tc>
          <w:tcPr>
            <w:tcW w:w="369" w:type="pct"/>
            <w:vMerge w:val="restart"/>
            <w:tcBorders>
              <w:top w:val="nil"/>
              <w:left w:val="single" w:sz="4" w:space="0" w:color="auto"/>
              <w:bottom w:val="single" w:sz="4" w:space="0" w:color="000000"/>
              <w:right w:val="single" w:sz="4" w:space="0" w:color="auto"/>
            </w:tcBorders>
            <w:shd w:val="clear" w:color="auto" w:fill="auto"/>
            <w:noWrap/>
            <w:vAlign w:val="center"/>
          </w:tcPr>
          <w:p w14:paraId="18E7A7E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23</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tcPr>
          <w:p w14:paraId="0A20765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花椒、香椿</w:t>
            </w:r>
          </w:p>
        </w:tc>
        <w:tc>
          <w:tcPr>
            <w:tcW w:w="2087" w:type="pct"/>
            <w:gridSpan w:val="2"/>
            <w:tcBorders>
              <w:top w:val="single" w:sz="4" w:space="0" w:color="auto"/>
              <w:left w:val="nil"/>
              <w:bottom w:val="single" w:sz="4" w:space="0" w:color="auto"/>
              <w:right w:val="single" w:sz="4" w:space="0" w:color="000000"/>
            </w:tcBorders>
            <w:shd w:val="clear" w:color="auto" w:fill="auto"/>
            <w:noWrap/>
            <w:vAlign w:val="center"/>
          </w:tcPr>
          <w:p w14:paraId="1A6907BB"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小苗（地径2cm以下）</w:t>
            </w:r>
          </w:p>
        </w:tc>
        <w:tc>
          <w:tcPr>
            <w:tcW w:w="1232" w:type="pct"/>
            <w:tcBorders>
              <w:top w:val="nil"/>
              <w:left w:val="nil"/>
              <w:bottom w:val="single" w:sz="4" w:space="0" w:color="auto"/>
              <w:right w:val="single" w:sz="4" w:space="0" w:color="auto"/>
            </w:tcBorders>
            <w:shd w:val="clear" w:color="000000" w:fill="FFFFFF"/>
            <w:vAlign w:val="center"/>
          </w:tcPr>
          <w:p w14:paraId="4A5A4AC7"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3-6元/棵</w:t>
            </w:r>
          </w:p>
        </w:tc>
        <w:tc>
          <w:tcPr>
            <w:tcW w:w="867" w:type="pct"/>
            <w:vMerge w:val="restart"/>
            <w:tcBorders>
              <w:top w:val="nil"/>
              <w:left w:val="single" w:sz="4" w:space="0" w:color="auto"/>
              <w:bottom w:val="single" w:sz="4" w:space="0" w:color="000000"/>
              <w:right w:val="single" w:sz="4" w:space="0" w:color="auto"/>
            </w:tcBorders>
            <w:shd w:val="clear" w:color="auto" w:fill="auto"/>
            <w:noWrap/>
            <w:vAlign w:val="center"/>
          </w:tcPr>
          <w:p w14:paraId="04F396D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树归原主</w:t>
            </w:r>
          </w:p>
        </w:tc>
      </w:tr>
      <w:tr w:rsidR="00A320E6" w:rsidRPr="00621C83" w14:paraId="5F28192A" w14:textId="77777777" w:rsidTr="00621C83">
        <w:trPr>
          <w:trHeight w:val="637"/>
          <w:jc w:val="center"/>
        </w:trPr>
        <w:tc>
          <w:tcPr>
            <w:tcW w:w="369" w:type="pct"/>
            <w:vMerge/>
            <w:tcBorders>
              <w:top w:val="nil"/>
              <w:left w:val="single" w:sz="4" w:space="0" w:color="auto"/>
              <w:bottom w:val="single" w:sz="4" w:space="0" w:color="000000"/>
              <w:right w:val="single" w:sz="4" w:space="0" w:color="auto"/>
            </w:tcBorders>
            <w:vAlign w:val="center"/>
          </w:tcPr>
          <w:p w14:paraId="36443AE3"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000000"/>
              <w:right w:val="single" w:sz="4" w:space="0" w:color="auto"/>
            </w:tcBorders>
            <w:vAlign w:val="center"/>
          </w:tcPr>
          <w:p w14:paraId="7293E9C8"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000000"/>
            </w:tcBorders>
            <w:shd w:val="clear" w:color="auto" w:fill="auto"/>
            <w:noWrap/>
            <w:vAlign w:val="center"/>
          </w:tcPr>
          <w:p w14:paraId="2F7C9D43"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地径在2-5cm</w:t>
            </w:r>
          </w:p>
        </w:tc>
        <w:tc>
          <w:tcPr>
            <w:tcW w:w="1232" w:type="pct"/>
            <w:tcBorders>
              <w:top w:val="nil"/>
              <w:left w:val="nil"/>
              <w:bottom w:val="single" w:sz="4" w:space="0" w:color="auto"/>
              <w:right w:val="single" w:sz="4" w:space="0" w:color="auto"/>
            </w:tcBorders>
            <w:shd w:val="clear" w:color="000000" w:fill="FFFFFF"/>
            <w:vAlign w:val="center"/>
          </w:tcPr>
          <w:p w14:paraId="5AA9D3B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10-30元/棵</w:t>
            </w:r>
          </w:p>
        </w:tc>
        <w:tc>
          <w:tcPr>
            <w:tcW w:w="867" w:type="pct"/>
            <w:vMerge/>
            <w:tcBorders>
              <w:top w:val="nil"/>
              <w:left w:val="single" w:sz="4" w:space="0" w:color="auto"/>
              <w:bottom w:val="single" w:sz="4" w:space="0" w:color="000000"/>
              <w:right w:val="single" w:sz="4" w:space="0" w:color="auto"/>
            </w:tcBorders>
            <w:vAlign w:val="center"/>
          </w:tcPr>
          <w:p w14:paraId="402B7B5B" w14:textId="77777777" w:rsidR="00A320E6" w:rsidRPr="00621C83" w:rsidRDefault="00A320E6" w:rsidP="00AE0286">
            <w:pPr>
              <w:jc w:val="center"/>
              <w:rPr>
                <w:rFonts w:ascii="宋体" w:hAnsi="宋体" w:cs="宋体"/>
                <w:kern w:val="0"/>
                <w:szCs w:val="21"/>
              </w:rPr>
            </w:pPr>
          </w:p>
        </w:tc>
      </w:tr>
      <w:tr w:rsidR="00A320E6" w:rsidRPr="00621C83" w14:paraId="7EA48B17" w14:textId="77777777" w:rsidTr="00621C83">
        <w:trPr>
          <w:trHeight w:val="637"/>
          <w:jc w:val="center"/>
        </w:trPr>
        <w:tc>
          <w:tcPr>
            <w:tcW w:w="369" w:type="pct"/>
            <w:vMerge/>
            <w:tcBorders>
              <w:top w:val="nil"/>
              <w:left w:val="single" w:sz="4" w:space="0" w:color="auto"/>
              <w:bottom w:val="single" w:sz="4" w:space="0" w:color="auto"/>
              <w:right w:val="single" w:sz="4" w:space="0" w:color="auto"/>
            </w:tcBorders>
            <w:vAlign w:val="center"/>
          </w:tcPr>
          <w:p w14:paraId="205A488F" w14:textId="77777777" w:rsidR="00A320E6" w:rsidRPr="00621C83" w:rsidRDefault="00A320E6" w:rsidP="00AE0286">
            <w:pPr>
              <w:jc w:val="center"/>
              <w:rPr>
                <w:rFonts w:ascii="宋体" w:hAnsi="宋体" w:cs="宋体"/>
                <w:kern w:val="0"/>
                <w:szCs w:val="21"/>
              </w:rPr>
            </w:pPr>
          </w:p>
        </w:tc>
        <w:tc>
          <w:tcPr>
            <w:tcW w:w="445" w:type="pct"/>
            <w:vMerge/>
            <w:tcBorders>
              <w:top w:val="nil"/>
              <w:left w:val="single" w:sz="4" w:space="0" w:color="auto"/>
              <w:bottom w:val="single" w:sz="4" w:space="0" w:color="auto"/>
              <w:right w:val="single" w:sz="4" w:space="0" w:color="auto"/>
            </w:tcBorders>
            <w:vAlign w:val="center"/>
          </w:tcPr>
          <w:p w14:paraId="429E69CB"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000000"/>
            </w:tcBorders>
            <w:shd w:val="clear" w:color="auto" w:fill="auto"/>
            <w:noWrap/>
            <w:vAlign w:val="center"/>
          </w:tcPr>
          <w:p w14:paraId="524D7466"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地径在5cm以上</w:t>
            </w:r>
          </w:p>
        </w:tc>
        <w:tc>
          <w:tcPr>
            <w:tcW w:w="1232" w:type="pct"/>
            <w:tcBorders>
              <w:top w:val="nil"/>
              <w:left w:val="nil"/>
              <w:bottom w:val="single" w:sz="4" w:space="0" w:color="auto"/>
              <w:right w:val="single" w:sz="4" w:space="0" w:color="auto"/>
            </w:tcBorders>
            <w:shd w:val="clear" w:color="000000" w:fill="FFFFFF"/>
            <w:vAlign w:val="center"/>
          </w:tcPr>
          <w:p w14:paraId="00775D3A"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30-120元/棵</w:t>
            </w:r>
          </w:p>
        </w:tc>
        <w:tc>
          <w:tcPr>
            <w:tcW w:w="867" w:type="pct"/>
            <w:vMerge/>
            <w:tcBorders>
              <w:top w:val="nil"/>
              <w:left w:val="single" w:sz="4" w:space="0" w:color="auto"/>
              <w:bottom w:val="single" w:sz="4" w:space="0" w:color="auto"/>
              <w:right w:val="single" w:sz="4" w:space="0" w:color="auto"/>
            </w:tcBorders>
            <w:vAlign w:val="center"/>
          </w:tcPr>
          <w:p w14:paraId="7E402A52" w14:textId="77777777" w:rsidR="00A320E6" w:rsidRPr="00621C83" w:rsidRDefault="00A320E6" w:rsidP="00AE0286">
            <w:pPr>
              <w:jc w:val="center"/>
              <w:rPr>
                <w:rFonts w:ascii="宋体" w:hAnsi="宋体" w:cs="宋体"/>
                <w:kern w:val="0"/>
                <w:szCs w:val="21"/>
              </w:rPr>
            </w:pPr>
          </w:p>
        </w:tc>
      </w:tr>
      <w:tr w:rsidR="00621C83" w:rsidRPr="00621C83" w14:paraId="762B6C10" w14:textId="77777777" w:rsidTr="00621C83">
        <w:trPr>
          <w:trHeight w:val="567"/>
          <w:jc w:val="cent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978EE1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24</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F5392A4"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青苗</w:t>
            </w:r>
          </w:p>
        </w:tc>
        <w:tc>
          <w:tcPr>
            <w:tcW w:w="2087" w:type="pct"/>
            <w:gridSpan w:val="2"/>
            <w:tcBorders>
              <w:top w:val="single" w:sz="4" w:space="0" w:color="auto"/>
              <w:left w:val="nil"/>
              <w:bottom w:val="single" w:sz="4" w:space="0" w:color="auto"/>
              <w:right w:val="single" w:sz="4" w:space="0" w:color="auto"/>
            </w:tcBorders>
            <w:shd w:val="clear" w:color="000000" w:fill="FFFFFF"/>
            <w:vAlign w:val="center"/>
          </w:tcPr>
          <w:p w14:paraId="442DA20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粮食作物（小麦、玉米、水稻）</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25AEABF5"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1500-1800元/亩</w:t>
            </w:r>
          </w:p>
        </w:tc>
        <w:tc>
          <w:tcPr>
            <w:tcW w:w="8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907AAAC"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能收获的不予补偿。</w:t>
            </w:r>
          </w:p>
        </w:tc>
      </w:tr>
      <w:tr w:rsidR="00A320E6" w:rsidRPr="00621C83" w14:paraId="32E7F6A2"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7ADD8B02"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202ACCD5"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00B9A8"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蔬菜类</w:t>
            </w:r>
          </w:p>
        </w:tc>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14:paraId="27DF374D"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3000-6000元/亩</w:t>
            </w:r>
          </w:p>
        </w:tc>
        <w:tc>
          <w:tcPr>
            <w:tcW w:w="867" w:type="pct"/>
            <w:vMerge/>
            <w:tcBorders>
              <w:top w:val="single" w:sz="4" w:space="0" w:color="auto"/>
              <w:left w:val="single" w:sz="4" w:space="0" w:color="auto"/>
              <w:bottom w:val="single" w:sz="4" w:space="0" w:color="auto"/>
              <w:right w:val="single" w:sz="4" w:space="0" w:color="auto"/>
            </w:tcBorders>
            <w:vAlign w:val="center"/>
          </w:tcPr>
          <w:p w14:paraId="39595393" w14:textId="77777777" w:rsidR="00A320E6" w:rsidRPr="00621C83" w:rsidRDefault="00A320E6" w:rsidP="00AE0286">
            <w:pPr>
              <w:jc w:val="center"/>
              <w:rPr>
                <w:rFonts w:ascii="宋体" w:hAnsi="宋体" w:cs="宋体"/>
                <w:kern w:val="0"/>
                <w:szCs w:val="21"/>
              </w:rPr>
            </w:pPr>
          </w:p>
        </w:tc>
      </w:tr>
      <w:tr w:rsidR="00A320E6" w:rsidRPr="00621C83" w14:paraId="5F57D214" w14:textId="77777777" w:rsidTr="00621C83">
        <w:trPr>
          <w:trHeight w:val="567"/>
          <w:jc w:val="center"/>
        </w:trPr>
        <w:tc>
          <w:tcPr>
            <w:tcW w:w="369" w:type="pct"/>
            <w:vMerge/>
            <w:tcBorders>
              <w:top w:val="single" w:sz="4" w:space="0" w:color="auto"/>
              <w:left w:val="single" w:sz="4" w:space="0" w:color="auto"/>
              <w:bottom w:val="single" w:sz="4" w:space="0" w:color="auto"/>
              <w:right w:val="single" w:sz="4" w:space="0" w:color="auto"/>
            </w:tcBorders>
            <w:vAlign w:val="center"/>
          </w:tcPr>
          <w:p w14:paraId="07ED8297" w14:textId="77777777" w:rsidR="00A320E6" w:rsidRPr="00621C83" w:rsidRDefault="00A320E6" w:rsidP="00AE0286">
            <w:pPr>
              <w:jc w:val="center"/>
              <w:rPr>
                <w:rFonts w:ascii="宋体" w:hAnsi="宋体" w:cs="宋体"/>
                <w:kern w:val="0"/>
                <w:szCs w:val="21"/>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3DB79740" w14:textId="77777777" w:rsidR="00A320E6" w:rsidRPr="00621C83" w:rsidRDefault="00A320E6" w:rsidP="00AE0286">
            <w:pPr>
              <w:jc w:val="center"/>
              <w:rPr>
                <w:rFonts w:ascii="宋体" w:hAnsi="宋体" w:cs="宋体"/>
                <w:kern w:val="0"/>
                <w:szCs w:val="21"/>
              </w:rPr>
            </w:pPr>
          </w:p>
        </w:tc>
        <w:tc>
          <w:tcPr>
            <w:tcW w:w="2087" w:type="pct"/>
            <w:gridSpan w:val="2"/>
            <w:tcBorders>
              <w:top w:val="single" w:sz="4" w:space="0" w:color="auto"/>
              <w:left w:val="nil"/>
              <w:bottom w:val="single" w:sz="4" w:space="0" w:color="auto"/>
              <w:right w:val="single" w:sz="4" w:space="0" w:color="auto"/>
            </w:tcBorders>
            <w:shd w:val="clear" w:color="auto" w:fill="auto"/>
            <w:noWrap/>
            <w:vAlign w:val="center"/>
          </w:tcPr>
          <w:p w14:paraId="4732352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经济作物（花生、大豆、油菜籽、芝麻、棉花、黄烟等）</w:t>
            </w:r>
          </w:p>
        </w:tc>
        <w:tc>
          <w:tcPr>
            <w:tcW w:w="1232" w:type="pct"/>
            <w:tcBorders>
              <w:top w:val="single" w:sz="4" w:space="0" w:color="auto"/>
              <w:left w:val="nil"/>
              <w:bottom w:val="single" w:sz="4" w:space="0" w:color="auto"/>
              <w:right w:val="single" w:sz="4" w:space="0" w:color="auto"/>
            </w:tcBorders>
            <w:shd w:val="clear" w:color="000000" w:fill="FFFFFF"/>
            <w:vAlign w:val="center"/>
          </w:tcPr>
          <w:p w14:paraId="6C2E4799" w14:textId="77777777" w:rsidR="00A320E6" w:rsidRPr="00621C83" w:rsidRDefault="00000000" w:rsidP="00AE0286">
            <w:pPr>
              <w:jc w:val="center"/>
              <w:rPr>
                <w:rFonts w:ascii="宋体" w:hAnsi="宋体" w:cs="宋体"/>
                <w:kern w:val="0"/>
                <w:szCs w:val="21"/>
              </w:rPr>
            </w:pPr>
            <w:r w:rsidRPr="00621C83">
              <w:rPr>
                <w:rFonts w:ascii="宋体" w:hAnsi="宋体" w:cs="宋体" w:hint="eastAsia"/>
                <w:kern w:val="0"/>
                <w:szCs w:val="21"/>
              </w:rPr>
              <w:t>1300-3000元/亩</w:t>
            </w:r>
          </w:p>
        </w:tc>
        <w:tc>
          <w:tcPr>
            <w:tcW w:w="867" w:type="pct"/>
            <w:vMerge/>
            <w:tcBorders>
              <w:top w:val="single" w:sz="4" w:space="0" w:color="auto"/>
              <w:left w:val="single" w:sz="4" w:space="0" w:color="auto"/>
              <w:bottom w:val="single" w:sz="4" w:space="0" w:color="auto"/>
              <w:right w:val="single" w:sz="4" w:space="0" w:color="auto"/>
            </w:tcBorders>
            <w:vAlign w:val="center"/>
          </w:tcPr>
          <w:p w14:paraId="467DB364" w14:textId="77777777" w:rsidR="00A320E6" w:rsidRPr="00621C83" w:rsidRDefault="00A320E6" w:rsidP="00AE0286">
            <w:pPr>
              <w:jc w:val="center"/>
              <w:rPr>
                <w:rFonts w:ascii="宋体" w:hAnsi="宋体" w:cs="宋体"/>
                <w:kern w:val="0"/>
                <w:szCs w:val="21"/>
              </w:rPr>
            </w:pPr>
          </w:p>
        </w:tc>
      </w:tr>
    </w:tbl>
    <w:p w14:paraId="47231F6F" w14:textId="77777777" w:rsidR="00A320E6" w:rsidRDefault="00A320E6" w:rsidP="00AE0286">
      <w:pPr>
        <w:jc w:val="center"/>
        <w:rPr>
          <w:rFonts w:ascii="Times New Roman" w:eastAsia="仿宋_GB2312" w:hAnsi="Times New Roman" w:cs="Times New Roman"/>
          <w:b/>
          <w:bCs/>
          <w:sz w:val="24"/>
          <w:szCs w:val="24"/>
        </w:rPr>
      </w:pPr>
    </w:p>
    <w:p w14:paraId="2979BAD2"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说明：</w:t>
      </w:r>
    </w:p>
    <w:p w14:paraId="3E00C76E"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1、涉及合法农村住宅成片征地拆迁的，由县（区）政府（管委会）另行制定拆迁补偿方案</w:t>
      </w:r>
    </w:p>
    <w:p w14:paraId="3EEFA931"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2、电力、电信等设备设施的迁移费按照行业标准执行。</w:t>
      </w:r>
    </w:p>
    <w:p w14:paraId="0B3A9BAA"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3、林木类、果树类采用嫁接方式种植的，以砧木（台木）的地径作为补偿标准的依据；（地径：苗干靠近地表面处的直径，无特殊情况通常默认是地面以上10公分处）。</w:t>
      </w:r>
    </w:p>
    <w:p w14:paraId="62727A95"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4、绿化树、景观树可按市场价格补偿或由具有资质的评估机构评估确定。</w:t>
      </w:r>
    </w:p>
    <w:p w14:paraId="5CD59E50"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5、国家和省确定的铁路、公路、机场、航道港口、水利工程、能源工程等重大基础设施项目征收土地地上附着物和青苗补偿等标准另有规定的，按照国家或省规定执行。</w:t>
      </w:r>
    </w:p>
    <w:p w14:paraId="0A274A64" w14:textId="77777777" w:rsidR="00A320E6" w:rsidRDefault="00000000" w:rsidP="00AE0286">
      <w:pPr>
        <w:adjustRightInd w:val="0"/>
        <w:snapToGrid w:val="0"/>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6、表中未列出的地上附着物或青苗可参照本标准中相近标准进行补偿；无法参照的，可协商或由具有资质的评估机构评估确定。</w:t>
      </w:r>
    </w:p>
    <w:p w14:paraId="205DA450" w14:textId="77777777" w:rsidR="00A320E6" w:rsidRDefault="00000000" w:rsidP="00AE0286">
      <w:pPr>
        <w:pStyle w:val="a3"/>
        <w:spacing w:line="360" w:lineRule="auto"/>
        <w:ind w:firstLine="480"/>
        <w:jc w:val="left"/>
        <w:rPr>
          <w:rFonts w:ascii="宋体" w:hAnsi="宋体" w:cs="宋体"/>
          <w:kern w:val="0"/>
          <w:sz w:val="24"/>
        </w:rPr>
      </w:pPr>
      <w:r>
        <w:rPr>
          <w:rFonts w:ascii="宋体" w:hAnsi="宋体" w:cs="宋体" w:hint="eastAsia"/>
          <w:kern w:val="0"/>
          <w:sz w:val="24"/>
        </w:rPr>
        <w:t>7、自征收土地预公告发布之日起，任何单位和个人不得在拟征收范围内抢栽抢建；违反规定抢栽抢建的，对抢栽抢建部分不予补偿。</w:t>
      </w:r>
    </w:p>
    <w:p w14:paraId="43755D90" w14:textId="77777777" w:rsidR="00A320E6" w:rsidRDefault="00000000" w:rsidP="00EC761E">
      <w:pPr>
        <w:pStyle w:val="27"/>
        <w:rPr>
          <w:lang w:eastAsia="zh-Hans"/>
        </w:rPr>
      </w:pPr>
      <w:bookmarkStart w:id="131" w:name="_Toc112227429"/>
      <w:r>
        <w:rPr>
          <w:rFonts w:hint="eastAsia"/>
          <w:lang w:eastAsia="zh-Hans"/>
        </w:rPr>
        <w:t>北京市规范</w:t>
      </w:r>
      <w:bookmarkEnd w:id="131"/>
    </w:p>
    <w:p w14:paraId="6B313AB4" w14:textId="77777777" w:rsidR="00D61E4F" w:rsidRDefault="00000000" w:rsidP="00F67407">
      <w:pPr>
        <w:keepNext/>
        <w:spacing w:beforeLines="50" w:before="156" w:afterLines="20" w:after="62" w:line="360" w:lineRule="auto"/>
        <w:jc w:val="center"/>
        <w:outlineLvl w:val="2"/>
        <w:rPr>
          <w:b/>
          <w:bCs/>
          <w:sz w:val="24"/>
          <w:lang w:eastAsia="zh-Hans"/>
        </w:rPr>
      </w:pPr>
      <w:bookmarkStart w:id="132" w:name="_Toc112227430"/>
      <w:r>
        <w:rPr>
          <w:rFonts w:hint="eastAsia"/>
          <w:b/>
          <w:bCs/>
          <w:sz w:val="24"/>
          <w:lang w:eastAsia="zh-Hans"/>
        </w:rPr>
        <w:t>关于发布《北京市协议出让涉及的划拨地价评估技术指引（试行）》的通知</w:t>
      </w:r>
      <w:bookmarkEnd w:id="132"/>
    </w:p>
    <w:p w14:paraId="0893489D" w14:textId="71692EB1" w:rsidR="00A320E6" w:rsidRDefault="00000000" w:rsidP="00D61E4F">
      <w:pPr>
        <w:pStyle w:val="13"/>
        <w:spacing w:before="62" w:after="62"/>
        <w:rPr>
          <w:lang w:eastAsia="zh-Hans"/>
        </w:rPr>
      </w:pPr>
      <w:r>
        <w:rPr>
          <w:rFonts w:hint="eastAsia"/>
          <w:lang w:eastAsia="zh-Hans"/>
        </w:rPr>
        <w:t>（北估秘[2022]002号）</w:t>
      </w:r>
    </w:p>
    <w:p w14:paraId="155566B6" w14:textId="77777777" w:rsidR="00A320E6" w:rsidRDefault="00000000" w:rsidP="00AE0286">
      <w:pPr>
        <w:pStyle w:val="a3"/>
        <w:spacing w:line="360" w:lineRule="auto"/>
        <w:ind w:firstLineChars="0" w:firstLine="0"/>
        <w:jc w:val="left"/>
        <w:rPr>
          <w:sz w:val="24"/>
          <w:lang w:eastAsia="zh-Hans"/>
        </w:rPr>
      </w:pPr>
      <w:r>
        <w:rPr>
          <w:sz w:val="24"/>
          <w:lang w:eastAsia="zh-Hans"/>
        </w:rPr>
        <w:t>各房地产、土地估价机构、相关单位：</w:t>
      </w:r>
    </w:p>
    <w:p w14:paraId="08520606" w14:textId="77777777" w:rsidR="00A320E6" w:rsidRDefault="00000000" w:rsidP="00AE0286">
      <w:pPr>
        <w:pStyle w:val="a3"/>
        <w:spacing w:line="360" w:lineRule="auto"/>
        <w:ind w:firstLine="480"/>
        <w:rPr>
          <w:sz w:val="24"/>
          <w:lang w:eastAsia="zh-Hans"/>
        </w:rPr>
      </w:pPr>
      <w:r>
        <w:rPr>
          <w:sz w:val="24"/>
          <w:lang w:eastAsia="zh-Hans"/>
        </w:rPr>
        <w:t xml:space="preserve">　　为进一步规范本市划拨国有建设用地使用权地价评估活动，依据《自然资源部办公厅关于印发</w:t>
      </w:r>
      <w:r>
        <w:rPr>
          <w:sz w:val="24"/>
          <w:lang w:eastAsia="zh-Hans"/>
        </w:rPr>
        <w:t>&lt;</w:t>
      </w:r>
      <w:r>
        <w:rPr>
          <w:sz w:val="24"/>
          <w:lang w:eastAsia="zh-Hans"/>
        </w:rPr>
        <w:t>划拨国有建设用地使用权地价评估指导意见</w:t>
      </w:r>
      <w:r>
        <w:rPr>
          <w:sz w:val="24"/>
          <w:lang w:eastAsia="zh-Hans"/>
        </w:rPr>
        <w:t>(</w:t>
      </w:r>
      <w:r>
        <w:rPr>
          <w:sz w:val="24"/>
          <w:lang w:eastAsia="zh-Hans"/>
        </w:rPr>
        <w:t>试行</w:t>
      </w:r>
      <w:r>
        <w:rPr>
          <w:sz w:val="24"/>
          <w:lang w:eastAsia="zh-Hans"/>
        </w:rPr>
        <w:t>)&gt;</w:t>
      </w:r>
      <w:r>
        <w:rPr>
          <w:sz w:val="24"/>
          <w:lang w:eastAsia="zh-Hans"/>
        </w:rPr>
        <w:t>的通知》</w:t>
      </w:r>
      <w:r>
        <w:rPr>
          <w:sz w:val="24"/>
          <w:lang w:eastAsia="zh-Hans"/>
        </w:rPr>
        <w:t>(</w:t>
      </w:r>
      <w:r>
        <w:rPr>
          <w:sz w:val="24"/>
          <w:lang w:eastAsia="zh-Hans"/>
        </w:rPr>
        <w:t>自然资办函〔</w:t>
      </w:r>
      <w:r>
        <w:rPr>
          <w:sz w:val="24"/>
          <w:lang w:eastAsia="zh-Hans"/>
        </w:rPr>
        <w:t>2019</w:t>
      </w:r>
      <w:r>
        <w:rPr>
          <w:sz w:val="24"/>
          <w:lang w:eastAsia="zh-Hans"/>
        </w:rPr>
        <w:t>〕</w:t>
      </w:r>
      <w:r>
        <w:rPr>
          <w:sz w:val="24"/>
          <w:lang w:eastAsia="zh-Hans"/>
        </w:rPr>
        <w:t>922</w:t>
      </w:r>
      <w:r>
        <w:rPr>
          <w:sz w:val="24"/>
          <w:lang w:eastAsia="zh-Hans"/>
        </w:rPr>
        <w:t>号</w:t>
      </w:r>
      <w:r>
        <w:rPr>
          <w:sz w:val="24"/>
          <w:lang w:eastAsia="zh-Hans"/>
        </w:rPr>
        <w:t>)</w:t>
      </w:r>
      <w:r>
        <w:rPr>
          <w:sz w:val="24"/>
          <w:lang w:eastAsia="zh-Hans"/>
        </w:rPr>
        <w:t>、《国土资源部办公厅关于印发</w:t>
      </w:r>
      <w:r>
        <w:rPr>
          <w:sz w:val="24"/>
          <w:lang w:eastAsia="zh-Hans"/>
        </w:rPr>
        <w:t>&lt;</w:t>
      </w:r>
      <w:r>
        <w:rPr>
          <w:sz w:val="24"/>
          <w:lang w:eastAsia="zh-Hans"/>
        </w:rPr>
        <w:t>国有建设用地使用权出让地价评估技术规范</w:t>
      </w:r>
      <w:r>
        <w:rPr>
          <w:sz w:val="24"/>
          <w:lang w:eastAsia="zh-Hans"/>
        </w:rPr>
        <w:t>&gt;</w:t>
      </w:r>
      <w:r>
        <w:rPr>
          <w:sz w:val="24"/>
          <w:lang w:eastAsia="zh-Hans"/>
        </w:rPr>
        <w:t>的通知》</w:t>
      </w:r>
      <w:r>
        <w:rPr>
          <w:sz w:val="24"/>
          <w:lang w:eastAsia="zh-Hans"/>
        </w:rPr>
        <w:t>(</w:t>
      </w:r>
      <w:r>
        <w:rPr>
          <w:sz w:val="24"/>
          <w:lang w:eastAsia="zh-Hans"/>
        </w:rPr>
        <w:t>国土资厅发〔</w:t>
      </w:r>
      <w:r>
        <w:rPr>
          <w:sz w:val="24"/>
          <w:lang w:eastAsia="zh-Hans"/>
        </w:rPr>
        <w:t>2018</w:t>
      </w:r>
      <w:r>
        <w:rPr>
          <w:sz w:val="24"/>
          <w:lang w:eastAsia="zh-Hans"/>
        </w:rPr>
        <w:t>〕</w:t>
      </w:r>
      <w:r>
        <w:rPr>
          <w:sz w:val="24"/>
          <w:lang w:eastAsia="zh-Hans"/>
        </w:rPr>
        <w:t>4</w:t>
      </w:r>
      <w:r>
        <w:rPr>
          <w:sz w:val="24"/>
          <w:lang w:eastAsia="zh-Hans"/>
        </w:rPr>
        <w:t>号</w:t>
      </w:r>
      <w:r>
        <w:rPr>
          <w:sz w:val="24"/>
          <w:lang w:eastAsia="zh-Hans"/>
        </w:rPr>
        <w:t>)</w:t>
      </w:r>
      <w:r>
        <w:rPr>
          <w:sz w:val="24"/>
          <w:lang w:eastAsia="zh-Hans"/>
        </w:rPr>
        <w:t>、《北京市人民政府关于更新出让国有建设用地使用权基准地价的通知》</w:t>
      </w:r>
      <w:r>
        <w:rPr>
          <w:sz w:val="24"/>
          <w:lang w:eastAsia="zh-Hans"/>
        </w:rPr>
        <w:t>(</w:t>
      </w:r>
      <w:r>
        <w:rPr>
          <w:sz w:val="24"/>
          <w:lang w:eastAsia="zh-Hans"/>
        </w:rPr>
        <w:t>京政发〔</w:t>
      </w:r>
      <w:r>
        <w:rPr>
          <w:sz w:val="24"/>
          <w:lang w:eastAsia="zh-Hans"/>
        </w:rPr>
        <w:t>2022</w:t>
      </w:r>
      <w:r>
        <w:rPr>
          <w:sz w:val="24"/>
          <w:lang w:eastAsia="zh-Hans"/>
        </w:rPr>
        <w:t>〕</w:t>
      </w:r>
      <w:r>
        <w:rPr>
          <w:sz w:val="24"/>
          <w:lang w:eastAsia="zh-Hans"/>
        </w:rPr>
        <w:t>12</w:t>
      </w:r>
      <w:r>
        <w:rPr>
          <w:sz w:val="24"/>
          <w:lang w:eastAsia="zh-Hans"/>
        </w:rPr>
        <w:t>号</w:t>
      </w:r>
      <w:r>
        <w:rPr>
          <w:sz w:val="24"/>
          <w:lang w:eastAsia="zh-Hans"/>
        </w:rPr>
        <w:t>)</w:t>
      </w:r>
      <w:r>
        <w:rPr>
          <w:sz w:val="24"/>
          <w:lang w:eastAsia="zh-Hans"/>
        </w:rPr>
        <w:t>和《城镇土地估价规程》</w:t>
      </w:r>
      <w:r>
        <w:rPr>
          <w:sz w:val="24"/>
          <w:lang w:eastAsia="zh-Hans"/>
        </w:rPr>
        <w:t>(GB/T 18508-2014)</w:t>
      </w:r>
      <w:r>
        <w:rPr>
          <w:sz w:val="24"/>
          <w:lang w:eastAsia="zh-Hans"/>
        </w:rPr>
        <w:t>等有关规定，结合本市实际情况，我会受北京市自然资源利用中心委托，组织制定《北京市协议出让涉及的划拨地价评估技术指引</w:t>
      </w:r>
      <w:r>
        <w:rPr>
          <w:sz w:val="24"/>
          <w:lang w:eastAsia="zh-Hans"/>
        </w:rPr>
        <w:t>(</w:t>
      </w:r>
      <w:r>
        <w:rPr>
          <w:sz w:val="24"/>
          <w:lang w:eastAsia="zh-Hans"/>
        </w:rPr>
        <w:t>试行</w:t>
      </w:r>
      <w:r>
        <w:rPr>
          <w:sz w:val="24"/>
          <w:lang w:eastAsia="zh-Hans"/>
        </w:rPr>
        <w:t>)</w:t>
      </w:r>
      <w:r>
        <w:rPr>
          <w:sz w:val="24"/>
          <w:lang w:eastAsia="zh-Hans"/>
        </w:rPr>
        <w:t>》</w:t>
      </w:r>
      <w:r>
        <w:rPr>
          <w:sz w:val="24"/>
          <w:lang w:eastAsia="zh-Hans"/>
        </w:rPr>
        <w:t>(</w:t>
      </w:r>
      <w:r>
        <w:rPr>
          <w:sz w:val="24"/>
          <w:lang w:eastAsia="zh-Hans"/>
        </w:rPr>
        <w:t>以下简称指引</w:t>
      </w:r>
      <w:r>
        <w:rPr>
          <w:sz w:val="24"/>
          <w:lang w:eastAsia="zh-Hans"/>
        </w:rPr>
        <w:t>)</w:t>
      </w:r>
      <w:r>
        <w:rPr>
          <w:sz w:val="24"/>
          <w:lang w:eastAsia="zh-Hans"/>
        </w:rPr>
        <w:t>。</w:t>
      </w:r>
    </w:p>
    <w:p w14:paraId="4DBDC69B" w14:textId="77777777" w:rsidR="00A320E6" w:rsidRDefault="00000000" w:rsidP="00AE0286">
      <w:pPr>
        <w:pStyle w:val="a3"/>
        <w:spacing w:line="360" w:lineRule="auto"/>
        <w:ind w:firstLine="480"/>
        <w:rPr>
          <w:sz w:val="24"/>
          <w:lang w:eastAsia="zh-Hans"/>
        </w:rPr>
      </w:pPr>
      <w:r>
        <w:rPr>
          <w:sz w:val="24"/>
          <w:lang w:eastAsia="zh-Hans"/>
        </w:rPr>
        <w:t xml:space="preserve">　　该《指引》已征询相关机构及行业专家的意见，现向全行业发布，供参考执行。本《指引》自发布之日起试行，有效期</w:t>
      </w:r>
      <w:r>
        <w:rPr>
          <w:sz w:val="24"/>
          <w:lang w:eastAsia="zh-Hans"/>
        </w:rPr>
        <w:t>2</w:t>
      </w:r>
      <w:r>
        <w:rPr>
          <w:sz w:val="24"/>
          <w:lang w:eastAsia="zh-Hans"/>
        </w:rPr>
        <w:t>年。实施期间由我会负责解释，并根据政策和实施情况，适时修订。</w:t>
      </w:r>
    </w:p>
    <w:p w14:paraId="04790B85" w14:textId="77777777" w:rsidR="00A320E6" w:rsidRDefault="00000000" w:rsidP="00AE0286">
      <w:pPr>
        <w:pStyle w:val="a3"/>
        <w:spacing w:line="360" w:lineRule="auto"/>
        <w:ind w:firstLine="480"/>
        <w:jc w:val="right"/>
        <w:rPr>
          <w:sz w:val="24"/>
          <w:lang w:eastAsia="zh-Hans"/>
        </w:rPr>
      </w:pPr>
      <w:r>
        <w:rPr>
          <w:sz w:val="24"/>
          <w:lang w:eastAsia="zh-Hans"/>
        </w:rPr>
        <w:t xml:space="preserve">　</w:t>
      </w:r>
      <w:r>
        <w:rPr>
          <w:sz w:val="24"/>
          <w:lang w:eastAsia="zh-Hans"/>
        </w:rPr>
        <w:t xml:space="preserve">             </w:t>
      </w:r>
      <w:r>
        <w:rPr>
          <w:sz w:val="24"/>
          <w:lang w:eastAsia="zh-Hans"/>
        </w:rPr>
        <w:t>北京房地产估价师和土地估价师与不动产登记代理人协会</w:t>
      </w:r>
    </w:p>
    <w:p w14:paraId="32BB8D50" w14:textId="3D393904" w:rsidR="00A320E6" w:rsidRDefault="00000000" w:rsidP="00AE0286">
      <w:pPr>
        <w:pStyle w:val="a3"/>
        <w:spacing w:line="360" w:lineRule="auto"/>
        <w:ind w:firstLine="480"/>
        <w:jc w:val="right"/>
        <w:rPr>
          <w:b/>
          <w:bCs/>
          <w:sz w:val="24"/>
          <w:lang w:eastAsia="zh-Hans"/>
        </w:rPr>
      </w:pPr>
      <w:r>
        <w:rPr>
          <w:sz w:val="24"/>
          <w:lang w:eastAsia="zh-Hans"/>
        </w:rPr>
        <w:t>二〇二二年七月十八日</w:t>
      </w:r>
    </w:p>
    <w:p w14:paraId="6028FF0B" w14:textId="77777777" w:rsidR="00A320E6" w:rsidRDefault="00000000" w:rsidP="00621C83">
      <w:pPr>
        <w:pStyle w:val="13"/>
        <w:spacing w:before="62" w:after="62"/>
        <w:rPr>
          <w:lang w:eastAsia="zh-Hans"/>
        </w:rPr>
      </w:pPr>
      <w:r>
        <w:rPr>
          <w:rFonts w:hint="eastAsia"/>
          <w:lang w:eastAsia="zh-Hans"/>
        </w:rPr>
        <w:t>《北京市协议出让涉及的划拨地价评估技术指引（试行）》</w:t>
      </w:r>
    </w:p>
    <w:p w14:paraId="1FCD1FB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为进一步规范本市划拨国有建设用地使用权地价评估活动，依据《自然资源部办公厅关于印发&lt;划拨国有建设用地使用权地价评估指导意见（试行）&gt;的通知》（自然资办函〔2019〕922号）（下称“指导意见”）、《国土资源部办公厅关于印发&lt;国有建设用地使用权出让地价评估技术规范&gt;的通知》（国土资厅发〔2018〕4号）（下称“技术规范”）、《北京市人民政府关于更新出让国有建设用地使用权基准地价的通知》（京政发〔2022〕12号）和《城镇土地估价规程》（GB/T18508-2014）等有关规定，结合本市实际情况，制定本指引。</w:t>
      </w:r>
    </w:p>
    <w:p w14:paraId="1B4582D9" w14:textId="77777777" w:rsidR="00A320E6" w:rsidRDefault="00000000" w:rsidP="00D61E4F">
      <w:pPr>
        <w:pStyle w:val="1a"/>
        <w:rPr>
          <w:lang w:eastAsia="zh-Hans"/>
        </w:rPr>
      </w:pPr>
      <w:r>
        <w:rPr>
          <w:rFonts w:hint="eastAsia"/>
          <w:lang w:eastAsia="zh-Hans"/>
        </w:rPr>
        <w:t>1.适用范围</w:t>
      </w:r>
    </w:p>
    <w:p w14:paraId="54B985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本市行政区域内划拨土地办理协议出让时涉及的划拨国有建设用地使用权地价（下称“划拨地价”）评估行为，适用本指引。</w:t>
      </w:r>
    </w:p>
    <w:p w14:paraId="6C42F1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5F2E83E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北京市行政区域内的企业改制土地资产处置、土地收储等涉及的划拨地价评估，可参照本指引。</w:t>
      </w:r>
    </w:p>
    <w:p w14:paraId="16876321" w14:textId="77777777" w:rsidR="00A320E6" w:rsidRDefault="00000000" w:rsidP="00D61E4F">
      <w:pPr>
        <w:pStyle w:val="1a"/>
        <w:rPr>
          <w:lang w:eastAsia="zh-Hans"/>
        </w:rPr>
      </w:pPr>
      <w:r>
        <w:rPr>
          <w:rFonts w:hint="eastAsia"/>
          <w:lang w:eastAsia="zh-Hans"/>
        </w:rPr>
        <w:t>2.价格内涵</w:t>
      </w:r>
    </w:p>
    <w:p w14:paraId="62F2A88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2.1本指引中的划拨国有建设用地使用权地价是指以划拨方式取得的、无年期限制的、现状使用条件下的土地使用权价格。</w:t>
      </w:r>
    </w:p>
    <w:p w14:paraId="12381E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DE6D9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指导意见第1条划拨地价定义：本指导意见所述划拨国有建设用地使用权地价，是指以划拨方式取得的、无年期限制的土地使用权价格。本指引与指导意见相比，增加了“现状使用条件”的限定，因为按照技术规范6.3（2）的规定，在划拨土地办理协议出让时，所评估的划拨土地使用权价格为现状使用条件下的划拨地价。</w:t>
      </w:r>
    </w:p>
    <w:p w14:paraId="6C3AB29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现状使用条件”是基于土地利用给定的各种合法的约束条件（限定的利用方式，例如土地用途；允许的利用强度，例如容积率、建筑密度等规划条件；既定的利用环境，例如市政环境、区域社会环境等）的集合，与“土地的现实利用”不尽相同。“土地的现实利用”是指土地的实际使用状况。</w:t>
      </w:r>
    </w:p>
    <w:p w14:paraId="22E15F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具体而言，划拨土地办理协议出让时的“现状使用条件”是指，土地用途以登记用途（批准/规划用途）为准，容积率为合法的现状地上容积率，土地开发程度为宗地红线外市政基础设施连通、宗地红线内场地平整的实际状况。</w:t>
      </w:r>
    </w:p>
    <w:p w14:paraId="3B1047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2.2在地价定义时，应分别对出让国有建设用地使用权正常市场价格（下称“出让地价”）和划拨地价的内涵进行设定。</w:t>
      </w:r>
    </w:p>
    <w:p w14:paraId="7A84D8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2.2.1出让时不改变土地及建筑物、构筑物现状的，出让地价和划拨地价均按照现状使用条件设定，土地用途以不动产权证书、划拨决定书或土地权属审查告知书等登记用途（批准/规划用途）进行设定，容积率以合法的现状地上容积率进行设定，土地开发程度以宗地红线外市政基础设施连通、宗地红线内场地平整的实际状况进行设定。</w:t>
      </w:r>
    </w:p>
    <w:p w14:paraId="557B7CC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2.2.2出让时重新设定规划建设条件的，设定土地用途、容积率、土地开发程度等，出让地价按照新规划建设条件设定，划拨地价按照现状使用条件设定。</w:t>
      </w:r>
    </w:p>
    <w:p w14:paraId="7D6F18C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2.2.3出让地价和划拨地价对应的估价期日应相同。</w:t>
      </w:r>
    </w:p>
    <w:p w14:paraId="2A16DB3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49E3D0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划拨土地办理协议出让”涉及出让地价和划拨地价两种价格评估，地价定义时应当分别定义。特别应注意除“土地使用权性质（划拨、出让）、用途、年期、容积率、实际与设定开发程度、市场性质（条件）”需要分别定义外，“估价期日”应当一致。另外，在进行“市场性质（条件）”定义时，需注意出让地价和划拨地价的区别，出让地价为公开市场条件下形成的市场价格，划拨地价为特定市场条件下形成的价格。</w:t>
      </w:r>
    </w:p>
    <w:p w14:paraId="43C389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（2）对于已建成项目补办土地出让手续时，宗地红线内应按照“场地平整”</w:t>
      </w:r>
    </w:p>
    <w:p w14:paraId="3F8B92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进行设定，不按照“宗地红线内**通一平”进行设定，即土地开发程度设定结果为：宗地红线外**通、宗地红线内场地平整。</w:t>
      </w:r>
    </w:p>
    <w:p w14:paraId="687E89C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2.3在确定划拨土地合法的现状地上容积率时，需结合土地和地上房屋的登记资料、规划资料或评估委托书等资料以及土地利用现状条件合理确定。</w:t>
      </w:r>
    </w:p>
    <w:p w14:paraId="5978EA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ED5250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（1）容积率的设定需遵循合法现状利用原则。</w:t>
      </w:r>
    </w:p>
    <w:p w14:paraId="21F9390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对于已按规划条件实施开发建设（例如，地上房屋已办理不动产权登记的；已按批准的规划条件实施开发建设且已竣工，但尚未办理不动产权登记的；已按批准的规划条件实施开发建设，但尚未竣工的；现状为空地，规划条件已批准且已实施，但地上房屋未办理不动产权登记，但有证据证明房屋已拆除的等）、未按规划条件实施开发建设（例如，现状为空地，规划条件已批准但未实施，且在有效期内的；现状为空地，规划条件已批准但未实施，且已超有效期的等）等不同利用状况的划拨土地，需结合土地和地上房屋的登记资料、规划资料或评估委托书等资料以及土地利用现状条件分类合理确定。</w:t>
      </w:r>
    </w:p>
    <w:p w14:paraId="710CCA8E" w14:textId="77777777" w:rsidR="00A320E6" w:rsidRDefault="00000000" w:rsidP="00D61E4F">
      <w:pPr>
        <w:pStyle w:val="1a"/>
        <w:rPr>
          <w:lang w:eastAsia="zh-Hans"/>
        </w:rPr>
      </w:pPr>
      <w:r>
        <w:rPr>
          <w:rFonts w:hint="eastAsia"/>
          <w:lang w:eastAsia="zh-Hans"/>
        </w:rPr>
        <w:t>3.估价期日</w:t>
      </w:r>
    </w:p>
    <w:p w14:paraId="12C398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土地使用权人申请划拨土地办理协议出让，估价期日需在评估委托书中明确。</w:t>
      </w:r>
    </w:p>
    <w:p w14:paraId="74C6199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6ED18F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技术规范6.4（1）规定：土地出让后经原出让方批准改变用途或容积率等土地使用条件的，在评估需补缴地价款时，估价期日应以国土资源主管部门依法受理补缴地价申请时点为准。</w:t>
      </w:r>
    </w:p>
    <w:p w14:paraId="787258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参照上述规定，划拨土地办理协议出让时，估价期日原则上以北京市规划和自然资源主管部门依法受理时点为准；但当已有相关文件，例如司法文书等，明确了估价期日的，应以相关文件明确的估价期日为准。市规划和自然资源主管部门在办理评估委托时，需在评估委托书中明确估价期日。</w:t>
      </w:r>
    </w:p>
    <w:p w14:paraId="55B47280" w14:textId="77777777" w:rsidR="00A320E6" w:rsidRDefault="00000000" w:rsidP="00D61E4F">
      <w:pPr>
        <w:pStyle w:val="1a"/>
        <w:rPr>
          <w:lang w:eastAsia="zh-Hans"/>
        </w:rPr>
      </w:pPr>
      <w:r>
        <w:rPr>
          <w:rFonts w:hint="eastAsia"/>
          <w:lang w:eastAsia="zh-Hans"/>
        </w:rPr>
        <w:t>4.技术路线</w:t>
      </w:r>
    </w:p>
    <w:p w14:paraId="069971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4.1出让时不改变土地及建筑物、构筑物现状的，按照技术规范评估现状使用条件下的出让地价，减去按照指导意见和本指引评估的现状使用条件下的划拨地价，作为评估结果，并提出应当缴纳的地价款金额建议。</w:t>
      </w:r>
    </w:p>
    <w:p w14:paraId="47A1C6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4.2出让时重新设定规划建设条件的，按照技术规范评估新设定规划建设条件下的出让地价，减去按照指导意见和本指引评估的现状使用条件下的划拨地价，作为评估结果，并提出应当缴纳的地价款金额建议。</w:t>
      </w:r>
    </w:p>
    <w:p w14:paraId="245597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2A1AC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按照技术规范6.3（2）确定，划拨土地办理协议出让分为两种情况：第1种情况，出让时不改变土地及建筑物、构筑物现状的，评估结果＝现状使用条件下的出让地价－划拨地价；第2种情况，出让时重新设定规划建设条件的，评估结果＝新设定规划建设条件下的出让地价－现状使用条件下的划拨地价。前述两种情形下的“划拨地价”均为“现状使用条件下的划拨地价”。</w:t>
      </w:r>
    </w:p>
    <w:p w14:paraId="0F71904D" w14:textId="77777777" w:rsidR="00A320E6" w:rsidRDefault="00000000" w:rsidP="00D61E4F">
      <w:pPr>
        <w:pStyle w:val="1a"/>
        <w:rPr>
          <w:lang w:eastAsia="zh-Hans"/>
        </w:rPr>
      </w:pPr>
      <w:r>
        <w:rPr>
          <w:rFonts w:hint="eastAsia"/>
          <w:lang w:eastAsia="zh-Hans"/>
        </w:rPr>
        <w:t>5.评估方法</w:t>
      </w:r>
    </w:p>
    <w:p w14:paraId="12B990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划拨地价评估，宜遵循谨慎原则，优先选用成本逼近法和剩余（增值收益扣减）法，原则不选用公示地价系数修正法和市场比较法。当划拨土地上房地产出租案例充足，所在行政区明确规定了租金收益需要上缴国家的土地收益比例，且满足收益还原法或剩余法应用条件时，可选择收益还原法或剩余法。</w:t>
      </w:r>
    </w:p>
    <w:p w14:paraId="73EFF7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当划拨土地上房地产转让案例充足，且满足剩余法应用条件时，可选择剩余法。</w:t>
      </w:r>
    </w:p>
    <w:p w14:paraId="5805C4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705A4C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（1）《城镇土地估价规程》（GB/T18508-2014）10.6和指导意见规定，划拨地价评估一般可采用的评估方法包括：成本逼近法、市场比较法、公示地价系数修正法、收益还原法、剩余法和剩余（增值收益扣减）法。</w:t>
      </w:r>
    </w:p>
    <w:p w14:paraId="532549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同一宗地采用《城镇土地估价规程》（GB/T18508-2014）规定的剩余法和指导意见中衍生的剩余法【剩余（增值收益扣减）法】进行评估，由于扣除项目的实质内容不同，是两种不同的扣减思路，可以视为两种方法。</w:t>
      </w:r>
    </w:p>
    <w:p w14:paraId="588449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（2）经过地价评估实践，北京市在办理划拨土地协议出让时，成本逼近法和剩余（增值收益扣减）法是最常用的两种划拨地价评估方法。</w:t>
      </w:r>
    </w:p>
    <w:p w14:paraId="660EDB5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（3）目前，北京市公示地价中无划拨地价体系，公示地价系数修正法不适用直接评估北京市划拨地价。</w:t>
      </w:r>
    </w:p>
    <w:p w14:paraId="63016B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经了解，现阶段北京市新建项目办理划拨供地手续时，对于单独选址的公租房等项目，由用地单位直接将土地收购成本支付给原土地使用者。对于位于土地一级开发区片范围内的划拨供地项目，按照经营性用地平均一级开发成本的一定比例分摊土地开发成本，并作为供地条件，纳入出让供地方案中，项目建成后，一般由土地竞得人无偿移交给相关部门。因此，政府划拨供地，最终的划拨土地使用者并没有直接支付给政府划拨地价款。且，中国土地市场网、北京市规划和自然资源委员会网站公示的划拨供地案例成交价格均为0。故，现阶段在北京市范围内，市场比较法不适用直接评估划拨地价。</w:t>
      </w:r>
    </w:p>
    <w:p w14:paraId="48769DC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依据《城市房地产管理法》《城镇国有土地使用权出让和转让暂行条例》，可将划拨土地进行出租，且地方政府明确了需要上缴国家的土地收益比例，所在区域存在划拨土地上房地产出租案例的，可选择收益还原法或剩余法。依据《城市房地产管理法》《城镇国有土地使用权出让和转让暂行条例》，可将划拨土地进行转让，存在划拨土地上房地产转让案例的，可选择剩余法。在北京市，房山区出台的《北京市房山区国有建设用地使用权转让、出租、抵押二级市场暂行管理办法》（市规划国土发〔2018〕253号）中明确了划拨土地出租需上缴政府的土地收益比例，理论上可以采用收益还原法或剩余法。</w:t>
      </w:r>
    </w:p>
    <w:p w14:paraId="098F091A" w14:textId="77777777" w:rsidR="00A320E6" w:rsidRDefault="00000000" w:rsidP="00D61E4F">
      <w:pPr>
        <w:pStyle w:val="1a"/>
        <w:rPr>
          <w:lang w:eastAsia="zh-Hans"/>
        </w:rPr>
      </w:pPr>
      <w:r>
        <w:rPr>
          <w:rFonts w:hint="eastAsia"/>
          <w:lang w:eastAsia="zh-Hans"/>
        </w:rPr>
        <w:t>6.评估要点</w:t>
      </w:r>
    </w:p>
    <w:p w14:paraId="4F5CD3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划拨地价评估，除遵循《自然资源价格评估通则》（TD/T1061-2021）、《城镇土地估价规程》（GB/T18508-2014）和《自然资源部办公厅关于印发&lt;划拨国有建设用地使用权地价评估指导意见（试行）&gt;的通知》（自然资办函〔2019〕922号）规定外，各方法还应关注以下内容。</w:t>
      </w:r>
    </w:p>
    <w:p w14:paraId="373C299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6.1成本逼近法</w:t>
      </w:r>
    </w:p>
    <w:p w14:paraId="1A1503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6.1.1计算公式</w:t>
      </w:r>
    </w:p>
    <w:p w14:paraId="333C46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划拨地价＝（土地取得费＋土地开发费＋相关税费＋土地开发利息＋土地开发利润）×（1＋个别因素修正系数）</w:t>
      </w:r>
    </w:p>
    <w:p w14:paraId="2A5F8C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2E95F5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国土资发〔2001〕44号文件明确规定：企业改制时，可依据划拨土地的平均取得和开发成本，评定划拨土地使用权价格，作为原土地使用者的权益。按照指导意见4.1（1）规定，划拨地价由土地取得费、土地开发费、相关税费、土地开发利息和土地开发利润等客观成本构成，不计土地增值。</w:t>
      </w:r>
    </w:p>
    <w:p w14:paraId="4A089F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6.1.2土地取得费</w:t>
      </w:r>
    </w:p>
    <w:p w14:paraId="47E55E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1结合估价对象所在区位及周边区域用地结构，分析在估价期日模拟获取估价对象类似用地可能采用的土地取得方式，选用客观的土地取得及开发成本数据，合理确定土地取得费。</w:t>
      </w:r>
    </w:p>
    <w:p w14:paraId="457A12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772D95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（1）《自然资源价格评估通则》（TD/T1061-2021）8.1.2.1规定：采用成本逼近法评估划拨土地使用权价格时，应选用客观的土地取得及开发成本数据，合理确定土地取得费。</w:t>
      </w:r>
    </w:p>
    <w:p w14:paraId="2AD416D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（2）指导意见4.1（2）规定：结合估价对象所在区位及周边区域用地结构，分析在估价期日模拟获取估价对象类似用地可能采用的土地取得方式，测算相应的土地取得费。</w:t>
      </w:r>
    </w:p>
    <w:p w14:paraId="257C2B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结合指导意见和评估通则，采用成本逼近法时，首先，要依据估价对象所在区位，调查估价对象周边区域的用地结构。然后，模拟类似土地最可能的取得方式，且模拟的该土地取得方式从经济逻辑上是可实现的。也就是说，要分析模拟假设的合理性和可实现性。最后，调查和测算客观的相应土地取得及开发成本数据。</w:t>
      </w:r>
    </w:p>
    <w:p w14:paraId="279493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（4）成本逼近法是模拟在符合规划的前提下，取得原某类用地并经过开发</w:t>
      </w:r>
    </w:p>
    <w:p w14:paraId="09E3519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熟化后可用于生产经营场地之需所支付的相关成本。理性的社会投资人不会在规划条件没有调增（含容积率、土地用途等）、没有扩展收益的情况下原拆原建，一般是征收、收购或拆迁低收益类型土地，开发建设高收益类型土地。如征收集体农用地开发建设工业土地，征收集体宅基地或征拆工业用地开发建设住宅、商办用地，征拆低容积率住宅用地开发建设高容积率的住宅用地等。因此，成本逼近法应用时，需分析在估价期日模拟获取估价对象类似用地可能采用的土地取得方式。</w:t>
      </w:r>
    </w:p>
    <w:p w14:paraId="70BD707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估价对象所在区位主要分为城市建成区内、城市建成区外两类。位于城市建成区内的宗地，周边区域用地结构以建设用地为主，类似土地最可能的取得方式为城镇建设用地拆迁；位于城市建成区外的宗地，周边区域用地结构以非建设用地为主，类似土地最可能的取得方式为以农用地为主的集体土地征收。城市建成区是指城市行政范围内，实际建成或正在建成的、相对集中分布的地区，是城市建设发展在地域分布上的客观反映，包括市区集中连片的部分以及分散在近郊区与城市有着密切联系，具有基本完善的市政公用设施的城市建设用地（如机场、铁路编组站、污水处理厂、通讯电台等）。</w:t>
      </w:r>
    </w:p>
    <w:p w14:paraId="2E91171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估价对象位于城市建成区外或远郊区域，周边区域主要以征收集体土地方式获取建设用地的，宜采用征收农村集体土地的模式，以估价对象周边区域平均客观的征收补偿安置费用作为土地取得费，具体包括征地补偿费、地上附着物和青苗补偿费等。</w:t>
      </w:r>
    </w:p>
    <w:p w14:paraId="0F2FC9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37583F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指导意见4.1（2）规定：估价对象位于城市建成区外或远郊区域的，以估价对象周边区域平均征收补偿安置费用作为土地取得费。相比指导意见，本指引将“区域平均”调整为“区域平均客观”，比“平均”更合理。在估价实践中，先分析确定区域客观的征收补偿安置费用，然后再进行平均，求得成本逼近法中的土地取得费。</w:t>
      </w:r>
    </w:p>
    <w:p w14:paraId="4F8302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征地补偿费（主要包括土地补偿费、安置补助费、社会保障费等）一般可通过北京市规划和自然资源委员会网站公布的征地补偿安置协议、征地补偿安置公告、一书四方案、征地公告、国家建设征收土地结案表等资料中获取。按照距离优先原则，宜在同一行政区内选择不少于三个征地案例，分析确定客观的征地补偿费。估价机构和评估专业人员在调查征地补偿标准时，需注意估价对象所行政区社会保障资金的筹集渠道，是否已包含在土地补偿费或安置补助费中。</w:t>
      </w:r>
    </w:p>
    <w:p w14:paraId="7010ACD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4AC3EA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北京市征收农用地区片综合地价标准》中的区片综合地价包含土地补偿费、安置补助费，不包含社会保障费。而，北京市规划和自然资源委员会网站公布的征地补偿安置协议、征地公告等资料中一般都列明了征地项目的土地补偿费、安置补助费、社会保障费金额。因此，可通过查询征地补偿安置协议、征地</w:t>
      </w:r>
    </w:p>
    <w:p w14:paraId="58FEAF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公告等资料获得征地补偿费。若个别集体土地征收项目的相关资料未列明社会保障费时，估价机构需广辟资料收集途径，调查该项目是否存在社会保障费补偿，是否已包含在土地补偿费或安置补助费中，以及社会保障费筹集渠道和相应金额。</w:t>
      </w:r>
    </w:p>
    <w:p w14:paraId="3D9923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（2）征地补偿标准各行政区差异较大，在选择征地案例时，宜在估价对象所在行政辖区内选择。征地补偿费对应的时点，以征地补偿安置协议签订时间为准；一般要选择近三年内的案例。</w:t>
      </w:r>
    </w:p>
    <w:p w14:paraId="36E2750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估价作业时，评估机构需收集并在估价报告中列明，估价对象所在行政区内近三年全部的征地案例，然后再选出最适宜的不少于三个的征地案例，并在估价报告中阐述征地案例的选择过程。</w:t>
      </w:r>
    </w:p>
    <w:p w14:paraId="28B056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北京市规划和自然资源委员会网站公布的征地资料，包括征地补偿安置协议、征地补偿安置公告、一书四方案、征地公告和国家建设征收土地结案表，不同项目可能会有差异，可能公布的不全。评估机构在分析确定客观的征地补偿费时，应综合对比分析这些资料中的相关数据。</w:t>
      </w:r>
    </w:p>
    <w:p w14:paraId="0FE2EA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土地补偿费、安置补助费标准，亦可依据《北京市征收农用地区片综合地价标准》确定。社会保障费亦可依据《北京市建设征地补偿安置办法》（市政府令第148号）等相关政策进行测算，或通过调查征地案例中的社会保障费金额，分析确定客观的社会保障费标准。</w:t>
      </w:r>
    </w:p>
    <w:p w14:paraId="0F3D861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464D71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征地案例不足、征地补偿安置协议签订时间在《北京市征收农用地区片综合地价标准》公布日之前时，宜采用《北京市征收农用地区片综合地价标准》确定土地补偿费、安置补助费标准。此时，对于社会保障费标准，有政策规定的，依据政策确定；无政策规定的，可通过征地案例记载的社会保障费金额，分析确定。</w:t>
      </w:r>
    </w:p>
    <w:p w14:paraId="240ECD7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（3）地上附着物和青苗补偿费，结合区域土地利用结构，按照区域平均客观的补偿价格测算。</w:t>
      </w:r>
    </w:p>
    <w:p w14:paraId="66ED43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373D5D2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北京市规划和自然资源委员会网站公布的征地资料中所涉及的征地补偿费，不含地上附着物和青苗补偿费。依据模拟的土地取得方式，合理确定地上附着物和青苗补偿费的内容。</w:t>
      </w:r>
    </w:p>
    <w:p w14:paraId="482ADD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w:t>
      </w:r>
    </w:p>
    <w:p w14:paraId="2F751D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若无法满足，可适当扩大到相邻行政区或低土地级别内选择，也可在同一圈层区域（首都功能核心区、中心城区、北京城市副中心、多点、生态涵养区）进行选择。有存量工业用地收储案例的，可优先选择使用。</w:t>
      </w:r>
    </w:p>
    <w:p w14:paraId="3B037D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FFA67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估价对象位于城市建成区内的，类似土地最可能的取得方式为城镇建设用地拆迁，采用拆迁模式下的成本逼近法时，应当遵低阶用地向高阶用地转化6的原则，模拟假设的土地取得方式是合理的和可实现的，例如拆工业建住宅商业，拆成片棚户区建高品质住宅小区等。另外，位于城市建成区内的工业用地，若在保证现状条件下周边几乎没有更低阶用地的转换模式，应采用低级别内的工业用地收储或征拆案例进行区位调整。</w:t>
      </w:r>
    </w:p>
    <w:p w14:paraId="1465CA3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指导意见4.1（2）规定：估价对象位于城市建成区内的，可合理选择估价对象周边区域或类似地区的土地收储、国有土地上房屋征收或集体建设用地拆迁等案例，经期日、区位等修正后，算术平均确定估价对象土地取得费。有存量工业用地收储案例的，可优先选择使用。</w:t>
      </w:r>
    </w:p>
    <w:p w14:paraId="200BE4E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关于发布&lt;北京市企业国有建设用地使用权收购补偿价格评估技术指引&gt;应用有关说明的通知》（北估秘〔2021〕001号）要求，成本数据选择时，要遵循同区域或类似区域原则和同用途基准地价级别优先原则。</w:t>
      </w:r>
    </w:p>
    <w:p w14:paraId="0358E62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同区域或类似区域原则。在供需圈的基础上，优先选择同一行政区内三个（含）以上经审定后的土地一级开发项目案例，若无法满足，可适当扩大到相邻行政区内选择，也可在同一圈层区域（首都功能核心区、中心城区、北京城市副中心、多点、生态涵养区）进行选择。</w:t>
      </w:r>
    </w:p>
    <w:p w14:paraId="0482528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同用途基准地价级别优先原则。满足上述选择原则的基础上，优先选择同用途基准地价级别内的项目。</w:t>
      </w:r>
    </w:p>
    <w:p w14:paraId="16A45E7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本指引在指导意见的基础上，参照《关于发布&lt;北京市企业国有建设用地使用权收购补偿价格评估技术指引&gt;应用有关说明的通知》（北估秘〔2021〕001号），提出案例选择的原则。首先，选择土地收储、国有土地上房屋征收或集体建设用地拆迁等具体的项目案例，从选择范围上，逐步扩大。土地收储成本的支付，主要包括两个方面，一是由土地储备机构支付给原土地使用者收储价款，二是由新用地单位直接支付给原土地使用者收储价款。</w:t>
      </w:r>
    </w:p>
    <w:p w14:paraId="3AC8737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7016D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4CDB2A7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无法选择到具体征拆案例时，可选择出让成交案例中的土地一级开发补偿费数据，通过剥离非征地拆迁补偿费或者通过市、区土地储备机构查询征拆费用比，得到土地取得费数据。采用该路径时，需要遵循低阶用地向高阶用地转化的原则，由于在分摊土地一级开发成本时，不同用途分摊的比例和金额不同，所选择的案例规划主用途与估价对象应当相同或相似。例如，估价对象为工业用地，不应选择规划主用途为商品住宅的招拍挂出让案例。</w:t>
      </w:r>
    </w:p>
    <w:p w14:paraId="0EF93C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采用土地收储等具体案例或经审定的土地一级开发项目成本数据时，应按照《关于发布&lt;北京市企业国有建设用地使用权收购补偿价格评估技术指引&gt;应用有关说明的通知》（北估秘〔2021〕001号）要求，采用地面单价进行比较分析，并需进行容积率修正。之所以需要进行容积率修正，是因为地上房屋建筑规模的差异，会影响土地收储总价差异，将土地收储总价折算至土地面积，地面单价也有差异。</w:t>
      </w:r>
    </w:p>
    <w:p w14:paraId="0A9C4E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采用招拍挂土地出让成交案例中土地一级开发补偿费数据时，应采用楼面单价进行比较分析，不进行容积率修正；当出让成交案例容积率小于1.0时，该案例采用地面单价。这是因为，招拍挂土地出让地块的土地一级开发成本在分摊时，除不同用途之间分摊比例和金额有差异外，是按照规划建筑面积进行的分摊，相同的土地面积，容积率不同，分摊的土地一级开发补偿费总额不同，但楼面土地一级开发成本相同；当容积率小于1.0时，采用土地面积代替建筑面积，进行土地一级开发成本分摊。</w:t>
      </w:r>
    </w:p>
    <w:p w14:paraId="297FE3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估价作业时，评估机构需收集并在估价报告中列明，近三年内可供选择全部的土地收储、国有土地上房屋征收或集体建设用地拆迁等具体案例，或者经审定的土地一级开发项目成本数据、招拍挂土地出让成交案例中经审定的土地一级开发补偿费数据，然后再选出最适宜的不少于三个的案例，并在估价报告中阐述案例的选择过程。</w:t>
      </w:r>
    </w:p>
    <w:p w14:paraId="2A4A6DB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6.1.3土地开发费</w:t>
      </w:r>
    </w:p>
    <w:p w14:paraId="04610F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宗地红线外土地开发费按照估价期日现状市政基础设施建设标准核定，取值可参照《北京市人民政府关于更新出让国有建设用地使用权基准地价的通知》（京政发〔2022〕12号）相关规定（见下表），并根据政策及市场情况调整确定。</w:t>
      </w:r>
    </w:p>
    <w:p w14:paraId="1A8C522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土地开发费（单位：元/土地平方米）</w:t>
      </w:r>
    </w:p>
    <w:tbl>
      <w:tblPr>
        <w:tblStyle w:val="ae"/>
        <w:tblW w:w="5000" w:type="pct"/>
        <w:tblLook w:val="04A0" w:firstRow="1" w:lastRow="0" w:firstColumn="1" w:lastColumn="0" w:noHBand="0" w:noVBand="1"/>
      </w:tblPr>
      <w:tblGrid>
        <w:gridCol w:w="894"/>
        <w:gridCol w:w="894"/>
        <w:gridCol w:w="894"/>
        <w:gridCol w:w="894"/>
        <w:gridCol w:w="895"/>
        <w:gridCol w:w="895"/>
        <w:gridCol w:w="895"/>
        <w:gridCol w:w="895"/>
        <w:gridCol w:w="895"/>
        <w:gridCol w:w="895"/>
      </w:tblGrid>
      <w:tr w:rsidR="00A320E6" w14:paraId="1EB2A64F" w14:textId="77777777" w:rsidTr="00D61E4F">
        <w:tc>
          <w:tcPr>
            <w:tcW w:w="500" w:type="pct"/>
          </w:tcPr>
          <w:p w14:paraId="14394F02"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所在土地级别</w:t>
            </w:r>
          </w:p>
        </w:tc>
        <w:tc>
          <w:tcPr>
            <w:tcW w:w="500" w:type="pct"/>
            <w:vAlign w:val="center"/>
          </w:tcPr>
          <w:p w14:paraId="7598BE37"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通路</w:t>
            </w:r>
          </w:p>
        </w:tc>
        <w:tc>
          <w:tcPr>
            <w:tcW w:w="500" w:type="pct"/>
            <w:vAlign w:val="center"/>
          </w:tcPr>
          <w:p w14:paraId="7FC6308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通电</w:t>
            </w:r>
          </w:p>
        </w:tc>
        <w:tc>
          <w:tcPr>
            <w:tcW w:w="500" w:type="pct"/>
            <w:vAlign w:val="center"/>
          </w:tcPr>
          <w:p w14:paraId="714172B4"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通讯</w:t>
            </w:r>
          </w:p>
        </w:tc>
        <w:tc>
          <w:tcPr>
            <w:tcW w:w="500" w:type="pct"/>
            <w:vAlign w:val="center"/>
          </w:tcPr>
          <w:p w14:paraId="76DA495D"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通上水</w:t>
            </w:r>
          </w:p>
        </w:tc>
        <w:tc>
          <w:tcPr>
            <w:tcW w:w="500" w:type="pct"/>
            <w:vAlign w:val="center"/>
          </w:tcPr>
          <w:p w14:paraId="2F3D7D3B"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通下水</w:t>
            </w:r>
          </w:p>
        </w:tc>
        <w:tc>
          <w:tcPr>
            <w:tcW w:w="500" w:type="pct"/>
            <w:vAlign w:val="center"/>
          </w:tcPr>
          <w:p w14:paraId="64FA116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通热</w:t>
            </w:r>
          </w:p>
        </w:tc>
        <w:tc>
          <w:tcPr>
            <w:tcW w:w="500" w:type="pct"/>
            <w:vAlign w:val="center"/>
          </w:tcPr>
          <w:p w14:paraId="687B905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通燃气</w:t>
            </w:r>
          </w:p>
        </w:tc>
        <w:tc>
          <w:tcPr>
            <w:tcW w:w="500" w:type="pct"/>
            <w:vAlign w:val="center"/>
          </w:tcPr>
          <w:p w14:paraId="675E0CB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平整</w:t>
            </w:r>
          </w:p>
        </w:tc>
        <w:tc>
          <w:tcPr>
            <w:tcW w:w="500" w:type="pct"/>
            <w:vAlign w:val="center"/>
          </w:tcPr>
          <w:p w14:paraId="1E1B770B"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合计</w:t>
            </w:r>
          </w:p>
        </w:tc>
      </w:tr>
      <w:tr w:rsidR="00A320E6" w14:paraId="65462731" w14:textId="77777777" w:rsidTr="00D61E4F">
        <w:tc>
          <w:tcPr>
            <w:tcW w:w="500" w:type="pct"/>
          </w:tcPr>
          <w:p w14:paraId="46A2D8D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1-2级</w:t>
            </w:r>
          </w:p>
        </w:tc>
        <w:tc>
          <w:tcPr>
            <w:tcW w:w="500" w:type="pct"/>
            <w:vAlign w:val="center"/>
          </w:tcPr>
          <w:p w14:paraId="7065E6DA"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80</w:t>
            </w:r>
          </w:p>
        </w:tc>
        <w:tc>
          <w:tcPr>
            <w:tcW w:w="500" w:type="pct"/>
            <w:vAlign w:val="center"/>
          </w:tcPr>
          <w:p w14:paraId="10563A3A"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70</w:t>
            </w:r>
          </w:p>
        </w:tc>
        <w:tc>
          <w:tcPr>
            <w:tcW w:w="500" w:type="pct"/>
            <w:vAlign w:val="center"/>
          </w:tcPr>
          <w:p w14:paraId="57046E74"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20</w:t>
            </w:r>
          </w:p>
        </w:tc>
        <w:tc>
          <w:tcPr>
            <w:tcW w:w="500" w:type="pct"/>
            <w:vAlign w:val="center"/>
          </w:tcPr>
          <w:p w14:paraId="600E387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30</w:t>
            </w:r>
          </w:p>
        </w:tc>
        <w:tc>
          <w:tcPr>
            <w:tcW w:w="500" w:type="pct"/>
            <w:vAlign w:val="center"/>
          </w:tcPr>
          <w:p w14:paraId="1C9A509B"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45</w:t>
            </w:r>
          </w:p>
        </w:tc>
        <w:tc>
          <w:tcPr>
            <w:tcW w:w="500" w:type="pct"/>
            <w:vAlign w:val="center"/>
          </w:tcPr>
          <w:p w14:paraId="6713166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60</w:t>
            </w:r>
          </w:p>
        </w:tc>
        <w:tc>
          <w:tcPr>
            <w:tcW w:w="500" w:type="pct"/>
            <w:vAlign w:val="center"/>
          </w:tcPr>
          <w:p w14:paraId="62508F24"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50</w:t>
            </w:r>
          </w:p>
        </w:tc>
        <w:tc>
          <w:tcPr>
            <w:tcW w:w="500" w:type="pct"/>
            <w:vAlign w:val="center"/>
          </w:tcPr>
          <w:p w14:paraId="47904AB8"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20</w:t>
            </w:r>
          </w:p>
        </w:tc>
        <w:tc>
          <w:tcPr>
            <w:tcW w:w="500" w:type="pct"/>
            <w:vAlign w:val="center"/>
          </w:tcPr>
          <w:p w14:paraId="058F4B3D"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375</w:t>
            </w:r>
          </w:p>
        </w:tc>
      </w:tr>
      <w:tr w:rsidR="00A320E6" w14:paraId="52EEED66" w14:textId="77777777" w:rsidTr="00D61E4F">
        <w:tc>
          <w:tcPr>
            <w:tcW w:w="500" w:type="pct"/>
          </w:tcPr>
          <w:p w14:paraId="4F5A804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3-7级</w:t>
            </w:r>
          </w:p>
        </w:tc>
        <w:tc>
          <w:tcPr>
            <w:tcW w:w="500" w:type="pct"/>
            <w:vAlign w:val="center"/>
          </w:tcPr>
          <w:p w14:paraId="5DF913B0"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70</w:t>
            </w:r>
          </w:p>
        </w:tc>
        <w:tc>
          <w:tcPr>
            <w:tcW w:w="500" w:type="pct"/>
            <w:vAlign w:val="center"/>
          </w:tcPr>
          <w:p w14:paraId="3775419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60</w:t>
            </w:r>
          </w:p>
        </w:tc>
        <w:tc>
          <w:tcPr>
            <w:tcW w:w="500" w:type="pct"/>
            <w:vAlign w:val="center"/>
          </w:tcPr>
          <w:p w14:paraId="28624B52"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15</w:t>
            </w:r>
          </w:p>
        </w:tc>
        <w:tc>
          <w:tcPr>
            <w:tcW w:w="500" w:type="pct"/>
            <w:vAlign w:val="center"/>
          </w:tcPr>
          <w:p w14:paraId="5DF0603B"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25</w:t>
            </w:r>
          </w:p>
        </w:tc>
        <w:tc>
          <w:tcPr>
            <w:tcW w:w="500" w:type="pct"/>
            <w:vAlign w:val="center"/>
          </w:tcPr>
          <w:p w14:paraId="69A8904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40</w:t>
            </w:r>
          </w:p>
        </w:tc>
        <w:tc>
          <w:tcPr>
            <w:tcW w:w="500" w:type="pct"/>
            <w:vAlign w:val="center"/>
          </w:tcPr>
          <w:p w14:paraId="02B49DC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50</w:t>
            </w:r>
          </w:p>
        </w:tc>
        <w:tc>
          <w:tcPr>
            <w:tcW w:w="500" w:type="pct"/>
            <w:vAlign w:val="center"/>
          </w:tcPr>
          <w:p w14:paraId="6615EA41"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40</w:t>
            </w:r>
          </w:p>
        </w:tc>
        <w:tc>
          <w:tcPr>
            <w:tcW w:w="500" w:type="pct"/>
            <w:vAlign w:val="center"/>
          </w:tcPr>
          <w:p w14:paraId="71C8AF55"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15</w:t>
            </w:r>
          </w:p>
        </w:tc>
        <w:tc>
          <w:tcPr>
            <w:tcW w:w="500" w:type="pct"/>
            <w:vAlign w:val="center"/>
          </w:tcPr>
          <w:p w14:paraId="3AFB3A0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315</w:t>
            </w:r>
          </w:p>
        </w:tc>
      </w:tr>
      <w:tr w:rsidR="00A320E6" w14:paraId="523A6CD4" w14:textId="77777777" w:rsidTr="00D61E4F">
        <w:tc>
          <w:tcPr>
            <w:tcW w:w="500" w:type="pct"/>
          </w:tcPr>
          <w:p w14:paraId="33163261"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8-12级</w:t>
            </w:r>
          </w:p>
        </w:tc>
        <w:tc>
          <w:tcPr>
            <w:tcW w:w="500" w:type="pct"/>
            <w:vAlign w:val="center"/>
          </w:tcPr>
          <w:p w14:paraId="7597824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60</w:t>
            </w:r>
          </w:p>
        </w:tc>
        <w:tc>
          <w:tcPr>
            <w:tcW w:w="500" w:type="pct"/>
            <w:vAlign w:val="center"/>
          </w:tcPr>
          <w:p w14:paraId="506E1C8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50</w:t>
            </w:r>
          </w:p>
        </w:tc>
        <w:tc>
          <w:tcPr>
            <w:tcW w:w="500" w:type="pct"/>
            <w:vAlign w:val="center"/>
          </w:tcPr>
          <w:p w14:paraId="2B4A857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10</w:t>
            </w:r>
          </w:p>
        </w:tc>
        <w:tc>
          <w:tcPr>
            <w:tcW w:w="500" w:type="pct"/>
            <w:vAlign w:val="center"/>
          </w:tcPr>
          <w:p w14:paraId="64EF3F88"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20</w:t>
            </w:r>
          </w:p>
        </w:tc>
        <w:tc>
          <w:tcPr>
            <w:tcW w:w="500" w:type="pct"/>
            <w:vAlign w:val="center"/>
          </w:tcPr>
          <w:p w14:paraId="496536A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35</w:t>
            </w:r>
          </w:p>
        </w:tc>
        <w:tc>
          <w:tcPr>
            <w:tcW w:w="500" w:type="pct"/>
            <w:vAlign w:val="center"/>
          </w:tcPr>
          <w:p w14:paraId="4AEF3E66"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40</w:t>
            </w:r>
          </w:p>
        </w:tc>
        <w:tc>
          <w:tcPr>
            <w:tcW w:w="500" w:type="pct"/>
            <w:vAlign w:val="center"/>
          </w:tcPr>
          <w:p w14:paraId="5739A7B2"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30</w:t>
            </w:r>
          </w:p>
        </w:tc>
        <w:tc>
          <w:tcPr>
            <w:tcW w:w="500" w:type="pct"/>
            <w:vAlign w:val="center"/>
          </w:tcPr>
          <w:p w14:paraId="59E32CE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10</w:t>
            </w:r>
          </w:p>
        </w:tc>
        <w:tc>
          <w:tcPr>
            <w:tcW w:w="500" w:type="pct"/>
            <w:vAlign w:val="center"/>
          </w:tcPr>
          <w:p w14:paraId="7B3F9B6C"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255</w:t>
            </w:r>
          </w:p>
        </w:tc>
      </w:tr>
    </w:tbl>
    <w:p w14:paraId="266DDE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当所选择的土地收储、国有土地上房屋征收或集体建设用地拆迁等案例，其土地补偿价格已包含宗地红线外土地开发费时，需比较估价对象与案例的市政基础设施状况差异，并做相应调整。</w:t>
      </w:r>
    </w:p>
    <w:p w14:paraId="60074E8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135B942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费取值不以各区要求缴纳的城市基础设施建设费为标准。土地供应后，是否缴纳城市基础设施建设费，各区规定不一致，同一个行政区，不同项目也不一致，主要和土地一级开发成本是否包含土地开发费有关。</w:t>
      </w:r>
    </w:p>
    <w:p w14:paraId="3B4EE46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6.1.4相关税费</w:t>
      </w:r>
    </w:p>
    <w:p w14:paraId="5C9DD7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（1）模拟征收农村集体土地的模式测算土地取得费时，发生的税费主要包括耕地占用税、耕地开垦费、森林植被恢复费、耕地保护补偿费等。</w:t>
      </w:r>
    </w:p>
    <w:p w14:paraId="2E67FC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（2）采用土地收储、国有土地上房屋征收或集体建设用地拆迁等案例，或9者采用经审定的土地一级开发补偿费数据，测算土地取得费时，该项费用按照0计取。</w:t>
      </w:r>
    </w:p>
    <w:p w14:paraId="665D5F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272BD6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土地一级开发补偿费中的征地补偿费，已经包含耕地占用税、耕地开垦费、森林植被恢复费、耕地保护补偿费等税费；土地收储时，免征增值税、土地增值税。</w:t>
      </w:r>
    </w:p>
    <w:p w14:paraId="57CBDD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6.1.5土地开发利息</w:t>
      </w:r>
    </w:p>
    <w:p w14:paraId="4302C2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土地开发利息以土地取得费、土地开发费和各项税费为计取基数。土地取得费和各项税费设定在土地开发周期内一次性投入，土地开发费原则上设定在土地开发周期内均匀投入。</w:t>
      </w:r>
    </w:p>
    <w:p w14:paraId="5BE603F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土地开发周期结合宗地规模、现状市政基础设施建设标准合理确定，最长不超3年。土地开发周期＞1年者，土地开发利息按复利测算；土地开发周期≤1年者，土地开发利息按照单利测算。</w:t>
      </w:r>
    </w:p>
    <w:p w14:paraId="22338A8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贷款利率参照中国人民银行公布的贷款基准利率，并根据政策及市场情况调整确定。</w:t>
      </w:r>
    </w:p>
    <w:p w14:paraId="2E5533E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15B60C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贷款利率的取值与北京市基准地价更新成果衔接，基准地价成果中的中国人民银行公布的一年期贷款利率是指4.35%。对于1-3年期，基于贷款市场报价利率，仍然参考原来的做法，采用4.75%，且与现行中国人民银行统计的结果差异不大，中国人民银行统计2021年全年企业贷款利率为4.61%，</w:t>
      </w:r>
    </w:p>
    <w:p w14:paraId="0412F8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http://www.pbc.gov.cn/rmyh/3963412/3963426/4451702/index.html。</w:t>
      </w:r>
    </w:p>
    <w:p w14:paraId="66C8214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（2）按照土地开发周期，贷款利率取值可参照下表，并根据政策及市场情况调整确定。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8"/>
        <w:gridCol w:w="2921"/>
        <w:gridCol w:w="2921"/>
      </w:tblGrid>
      <w:tr w:rsidR="00A320E6" w14:paraId="1153F5B4" w14:textId="77777777" w:rsidTr="00D61E4F">
        <w:trPr>
          <w:trHeight w:val="285"/>
        </w:trPr>
        <w:tc>
          <w:tcPr>
            <w:tcW w:w="1666" w:type="pct"/>
            <w:shd w:val="clear" w:color="auto" w:fill="auto"/>
            <w:vAlign w:val="center"/>
          </w:tcPr>
          <w:p w14:paraId="26B08FF5"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土地开发周期</w:t>
            </w:r>
          </w:p>
        </w:tc>
        <w:tc>
          <w:tcPr>
            <w:tcW w:w="1667" w:type="pct"/>
            <w:shd w:val="clear" w:color="auto" w:fill="auto"/>
            <w:vAlign w:val="center"/>
          </w:tcPr>
          <w:p w14:paraId="5E8F7F92"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1年（含）以内</w:t>
            </w:r>
          </w:p>
        </w:tc>
        <w:tc>
          <w:tcPr>
            <w:tcW w:w="1667" w:type="pct"/>
            <w:shd w:val="clear" w:color="auto" w:fill="auto"/>
            <w:vAlign w:val="center"/>
          </w:tcPr>
          <w:p w14:paraId="421DEE83"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1-3年（含）</w:t>
            </w:r>
          </w:p>
        </w:tc>
      </w:tr>
      <w:tr w:rsidR="00A320E6" w14:paraId="3A8F9F89" w14:textId="77777777" w:rsidTr="00D61E4F">
        <w:trPr>
          <w:trHeight w:val="285"/>
        </w:trPr>
        <w:tc>
          <w:tcPr>
            <w:tcW w:w="1666" w:type="pct"/>
            <w:shd w:val="clear" w:color="auto" w:fill="auto"/>
            <w:vAlign w:val="center"/>
          </w:tcPr>
          <w:p w14:paraId="5D05B342"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贷款利率</w:t>
            </w:r>
          </w:p>
        </w:tc>
        <w:tc>
          <w:tcPr>
            <w:tcW w:w="1667" w:type="pct"/>
            <w:shd w:val="clear" w:color="auto" w:fill="auto"/>
            <w:vAlign w:val="center"/>
          </w:tcPr>
          <w:p w14:paraId="3EBAE602"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4.35%</w:t>
            </w:r>
          </w:p>
        </w:tc>
        <w:tc>
          <w:tcPr>
            <w:tcW w:w="1667" w:type="pct"/>
            <w:shd w:val="clear" w:color="auto" w:fill="auto"/>
            <w:vAlign w:val="center"/>
          </w:tcPr>
          <w:p w14:paraId="2316BE4F"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4.75%</w:t>
            </w:r>
          </w:p>
        </w:tc>
      </w:tr>
    </w:tbl>
    <w:p w14:paraId="32E825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当所选择的土地收储、国有土地上房屋征收或集体建设用地拆迁等案例，其土地补偿价格已包含宗地红线外土地开发费时，且比较估价对象与案例的市政基础设施状况无差异，此时，土地开发费包含在土地取得费中，与土地取得费一并进行土地开发利息计算。</w:t>
      </w:r>
    </w:p>
    <w:p w14:paraId="0EF3C4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6.1.6土地开发利润</w:t>
      </w:r>
    </w:p>
    <w:p w14:paraId="38D16E0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土地开发利润以土地取得费、土地开发费和各项税费之和为计取基数。</w:t>
      </w:r>
    </w:p>
    <w:p w14:paraId="5577951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按照土地开发周期，土地开发利润率取值可参照《关于进一步规范土地一级开发项目管理费和利润管理的通知》（京规自发〔2021〕303号）规定的企业投资项目的利润率（见下表），并根据政策及市场情况调整确定。</w:t>
      </w:r>
    </w:p>
    <w:p w14:paraId="679F0E7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土地开发利润率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8"/>
        <w:gridCol w:w="2351"/>
        <w:gridCol w:w="2351"/>
        <w:gridCol w:w="2160"/>
      </w:tblGrid>
      <w:tr w:rsidR="00A320E6" w14:paraId="51366AA0" w14:textId="77777777" w:rsidTr="00D61E4F">
        <w:trPr>
          <w:trHeight w:val="285"/>
        </w:trPr>
        <w:tc>
          <w:tcPr>
            <w:tcW w:w="1083" w:type="pct"/>
            <w:shd w:val="clear" w:color="auto" w:fill="auto"/>
            <w:vAlign w:val="center"/>
          </w:tcPr>
          <w:p w14:paraId="5BFB8C4D"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土地开发周期</w:t>
            </w:r>
          </w:p>
        </w:tc>
        <w:tc>
          <w:tcPr>
            <w:tcW w:w="1342" w:type="pct"/>
            <w:shd w:val="clear" w:color="auto" w:fill="auto"/>
            <w:vAlign w:val="center"/>
          </w:tcPr>
          <w:p w14:paraId="5C425D55"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1年（含）以内</w:t>
            </w:r>
          </w:p>
        </w:tc>
        <w:tc>
          <w:tcPr>
            <w:tcW w:w="1342" w:type="pct"/>
            <w:shd w:val="clear" w:color="auto" w:fill="auto"/>
            <w:vAlign w:val="center"/>
          </w:tcPr>
          <w:p w14:paraId="79036D47"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1-2年（含）</w:t>
            </w:r>
          </w:p>
        </w:tc>
        <w:tc>
          <w:tcPr>
            <w:tcW w:w="1233" w:type="pct"/>
            <w:shd w:val="clear" w:color="auto" w:fill="auto"/>
            <w:vAlign w:val="center"/>
          </w:tcPr>
          <w:p w14:paraId="1384301C"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2-3年（含）</w:t>
            </w:r>
          </w:p>
        </w:tc>
      </w:tr>
      <w:tr w:rsidR="00A320E6" w14:paraId="003C557E" w14:textId="77777777" w:rsidTr="00D61E4F">
        <w:trPr>
          <w:trHeight w:val="285"/>
        </w:trPr>
        <w:tc>
          <w:tcPr>
            <w:tcW w:w="1083" w:type="pct"/>
            <w:shd w:val="clear" w:color="auto" w:fill="auto"/>
            <w:vAlign w:val="center"/>
          </w:tcPr>
          <w:p w14:paraId="2FA56EC4"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土地开发利润率</w:t>
            </w:r>
          </w:p>
        </w:tc>
        <w:tc>
          <w:tcPr>
            <w:tcW w:w="1342" w:type="pct"/>
            <w:shd w:val="clear" w:color="auto" w:fill="auto"/>
            <w:vAlign w:val="center"/>
          </w:tcPr>
          <w:p w14:paraId="78972B98"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11%-15%</w:t>
            </w:r>
          </w:p>
        </w:tc>
        <w:tc>
          <w:tcPr>
            <w:tcW w:w="1342" w:type="pct"/>
            <w:shd w:val="clear" w:color="auto" w:fill="auto"/>
            <w:vAlign w:val="center"/>
          </w:tcPr>
          <w:p w14:paraId="5A70509E"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10%-14%</w:t>
            </w:r>
          </w:p>
        </w:tc>
        <w:tc>
          <w:tcPr>
            <w:tcW w:w="1233" w:type="pct"/>
            <w:shd w:val="clear" w:color="auto" w:fill="auto"/>
            <w:vAlign w:val="center"/>
          </w:tcPr>
          <w:p w14:paraId="21D1948B"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9%-13%</w:t>
            </w:r>
          </w:p>
        </w:tc>
      </w:tr>
    </w:tbl>
    <w:p w14:paraId="25A870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49F890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关于进一步规范土地一级开发项目管理费和利润管理的通知》（京规自发〔2021〕303号）二（三）规定：在不增加地方隐性债务的前提下、企业可继续投资的项目，4年完成所有批准地块现场验收和成本审核达到供应条件的，利润率最高为12%；每提前1年（不足1年不计），利润率最多增加1个百分点，最高不高于15%；每延期1年（不足1年按1年计算），利润率至少降低1个百分点，最低不低于8%。</w:t>
      </w:r>
    </w:p>
    <w:p w14:paraId="5FCC179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表中数据，分别按照12%、8%以基数，按照提前1年、2年、3年测算得出取值范围。</w:t>
      </w:r>
    </w:p>
    <w:p w14:paraId="33B2430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6.1.7个别因素修正</w:t>
      </w:r>
    </w:p>
    <w:p w14:paraId="58C1C2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由于土地取得费、土地开发费、相关税费等均是以区域平均状况为依据测算，通过上述步骤测算的土地价格，还应当根据估价对象所在区域内的位置和宗地条件，进行个别因素修正。</w:t>
      </w:r>
    </w:p>
    <w:p w14:paraId="1C553E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6.2剩余（增值收益扣减）法</w:t>
      </w:r>
    </w:p>
    <w:p w14:paraId="0D3C8FE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6.2.1计算公式</w:t>
      </w:r>
    </w:p>
    <w:p w14:paraId="6769D2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划拨地价=出让地价×（1-土地增值收益率）</w:t>
      </w:r>
    </w:p>
    <w:p w14:paraId="61B8D3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A8EA7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城镇土地估价规程》（GB/T18508-2014）6.4成本逼近法中的6.4.9规定：当土地增值是以有限年期的价格与成本价格的差额确定时，不再另行年期修正；当土地增值是以无限年期的价格与成本价格的差额确定时，土地增值收益与成本价格一并进行年期修正。</w:t>
      </w:r>
    </w:p>
    <w:p w14:paraId="1DCF29D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土地增值是以有限年期的价格与成本价格的差额确定时，不再另行年期修正”，是因为年期修正已在土地增值收益中体现。而且，现实中无法获得无限年期的市场价格（出让地价），以有限年期的价格与成本价格的差额确定土地增值是最为常见的。后文土地增值的测算，也是通过有限年期的出让价格与土地成本的差额确定。同时，通过成本逼近法测算出的成本价格，对应的是无年期限制。</w:t>
      </w:r>
    </w:p>
    <w:p w14:paraId="2F8404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因此，“当土地增值是以有限年期的价格与成本价格的差额确定时”，土地增值=有限年期出让价格－成本价格（无年期限制）。则，有限年期出让地价=成本价格（无年期限制）+土地增值，无需进行年期修正。反之，成本价格（无年期限制）=有限年期出让地价-土地增值，无需进行年期修正。</w:t>
      </w:r>
    </w:p>
    <w:p w14:paraId="76A9B6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综上，通过剩余（增值收益扣减）法计算公式，划拨地价=出让地价×（1-土地增值收益率），测算得出的划拨地价不进行年期修正。</w:t>
      </w:r>
    </w:p>
    <w:p w14:paraId="67C02AC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6.2.2出让地价</w:t>
      </w:r>
    </w:p>
    <w:p w14:paraId="5236FD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按照技术规范相关规定，至少采用包括基准地价系数修正法在内的两种评估方法，评估估价对象法定最高出让年期、现状使用条件下的出让地价。</w:t>
      </w:r>
    </w:p>
    <w:p w14:paraId="22BA0A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563E4AE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新版北京市出让基准地价体系是北京市地价管理体系的重要组成部分，是政府进行土地市场宏观调控的重要地价手段，现势性强，可指导规范土地估价行为，在评估出让地价时，应当作为必选方法之一，尤其是评估公共服务设施出让地价时。</w:t>
      </w:r>
    </w:p>
    <w:p w14:paraId="2ECC11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需注意该“出让地价”与“评估结果=出让地价-划拨地价”中的“出让地价”的异同。当出让时不改变土地及建筑物、构筑物现状，且按照法定最高出让年期转出让时，二者相同；出让时重新设定规划建设条件的，二者不同。</w:t>
      </w:r>
    </w:p>
    <w:p w14:paraId="65D7952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涉及弹性年期出让时，例如出让年期为20年，按照技术规范规定，“评估结果=出让地价-划拨地价”中的“出让地价”，对应20年出让年期。此时，“划拨地价=出让地价×（1-土地增值收益率）”中的“出让地价”，仍应当对应法定最高出让年期，得出无年期限制的划拨地价。若评估结果为负值，估价报告中应当提示土地出让方在土地出让合同中约定土地出让到期时原划拨权益的处理方式。</w:t>
      </w:r>
    </w:p>
    <w:p w14:paraId="1A8293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6.2.3土地增值收益率</w:t>
      </w:r>
    </w:p>
    <w:p w14:paraId="1E5019F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选取与估价对象位于同一供需圈或类似地区，近三年内规划主用途相同或相似的招拍挂土地出让成交案例，采用各案例的土地成交总价和土地一级开发补偿费总额，测算各案例的土地增值收益率，进而汇总分析确定估价对象的土地增值收益率。</w:t>
      </w:r>
    </w:p>
    <w:p w14:paraId="01FFD9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土地增值收益率计算公式为：土地增值收益率＝（土地成交总价－土地一级开发补偿费总额）÷土地成交总价。</w:t>
      </w:r>
    </w:p>
    <w:p w14:paraId="4F3CE2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当可选公开招拍挂土地出让成交案例少于三宗时，应结合市场实际情况，对测算的“土地增值收益率”进行充分论证后使用。</w:t>
      </w:r>
    </w:p>
    <w:p w14:paraId="6DC398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03ADB6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（1）指导意见4.5规定：对未公布土地增值收益的地区，估价机构可在满足数理统计要求的前提下，选择案例和技术路线测算土地增值收益。</w:t>
      </w:r>
    </w:p>
    <w:p w14:paraId="3A2E879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（2）土地增收益率测算时，工业类（亦庄除外）宜以北京市为单位进行测算；其他类宜以各自行政辖区进行测算。同时，宜选择近3年的全部案例进行测算，采用算术平均确定土地增值收益率。</w:t>
      </w:r>
    </w:p>
    <w:p w14:paraId="261558E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（2）不得直接采用《北京市人民政府关于更新出让国有建设用地使用权基准地价的通知》（京政发〔2022〕12号）规定的政府土地出让收益比例，作为土地增值收益率。</w:t>
      </w:r>
    </w:p>
    <w:p w14:paraId="1C0102C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6DD3F96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指导意见4.5规定：对于仅在地方政府文件或基准地价中规定出让金缴纳比例的，不宜将其作为经科学论证的土地增值收益，不得直接扣减该比例测算划拨地价。</w:t>
      </w:r>
    </w:p>
    <w:p w14:paraId="781413A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7.权重选择</w:t>
      </w:r>
    </w:p>
    <w:p w14:paraId="3543A8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各评估方法评估结果权重，参照以下规定取值。</w:t>
      </w:r>
    </w:p>
    <w:tbl>
      <w:tblPr>
        <w:tblW w:w="4998" w:type="pct"/>
        <w:tblCellMar>
          <w:top w:w="15" w:type="dxa"/>
          <w:left w:w="15" w:type="dxa"/>
          <w:bottom w:w="15" w:type="dxa"/>
          <w:right w:w="15" w:type="dxa"/>
        </w:tblCellMar>
        <w:tblLook w:val="04A0" w:firstRow="1" w:lastRow="0" w:firstColumn="1" w:lastColumn="0" w:noHBand="0" w:noVBand="1"/>
      </w:tblPr>
      <w:tblGrid>
        <w:gridCol w:w="2142"/>
        <w:gridCol w:w="2268"/>
        <w:gridCol w:w="4346"/>
      </w:tblGrid>
      <w:tr w:rsidR="00A320E6" w14:paraId="0B8C68C4" w14:textId="77777777" w:rsidTr="00D61E4F">
        <w:trPr>
          <w:trHeight w:val="285"/>
        </w:trPr>
        <w:tc>
          <w:tcPr>
            <w:tcW w:w="12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C13FE"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各方法评估结果差异率</w:t>
            </w:r>
          </w:p>
        </w:tc>
        <w:tc>
          <w:tcPr>
            <w:tcW w:w="1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7F3CE"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评估结果确定方法</w:t>
            </w:r>
          </w:p>
        </w:tc>
        <w:tc>
          <w:tcPr>
            <w:tcW w:w="2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0FB7B"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权重取值要求</w:t>
            </w:r>
          </w:p>
        </w:tc>
      </w:tr>
      <w:tr w:rsidR="00A320E6" w14:paraId="3C131168" w14:textId="77777777" w:rsidTr="00D61E4F">
        <w:trPr>
          <w:trHeight w:val="285"/>
        </w:trPr>
        <w:tc>
          <w:tcPr>
            <w:tcW w:w="12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BDAD5"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小于等于10%</w:t>
            </w:r>
          </w:p>
        </w:tc>
        <w:tc>
          <w:tcPr>
            <w:tcW w:w="1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6D6A1"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简单算术平均</w:t>
            </w:r>
          </w:p>
        </w:tc>
        <w:tc>
          <w:tcPr>
            <w:tcW w:w="2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48947"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采用两种评估方法时，权重各取50%。</w:t>
            </w:r>
          </w:p>
        </w:tc>
      </w:tr>
      <w:tr w:rsidR="00A320E6" w14:paraId="3E542987" w14:textId="77777777" w:rsidTr="00D61E4F">
        <w:trPr>
          <w:trHeight w:val="285"/>
        </w:trPr>
        <w:tc>
          <w:tcPr>
            <w:tcW w:w="12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F877E"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大于10%，小于等于30%</w:t>
            </w:r>
          </w:p>
        </w:tc>
        <w:tc>
          <w:tcPr>
            <w:tcW w:w="1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DB5E8"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加权算术平均</w:t>
            </w:r>
          </w:p>
        </w:tc>
        <w:tc>
          <w:tcPr>
            <w:tcW w:w="2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8438D"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在对每种方法的估价结果可信度分析基础上，合理确定每种方法的权重，且每种方法的权重均不宜低于30%。</w:t>
            </w:r>
          </w:p>
        </w:tc>
      </w:tr>
      <w:tr w:rsidR="00A320E6" w14:paraId="38489B22" w14:textId="77777777" w:rsidTr="00D61E4F">
        <w:trPr>
          <w:trHeight w:val="285"/>
        </w:trPr>
        <w:tc>
          <w:tcPr>
            <w:tcW w:w="12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9E773"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大于30%</w:t>
            </w:r>
          </w:p>
        </w:tc>
        <w:tc>
          <w:tcPr>
            <w:tcW w:w="1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10497"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w:t>
            </w:r>
          </w:p>
        </w:tc>
        <w:tc>
          <w:tcPr>
            <w:tcW w:w="24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9D837"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对权重进行充分论证后使用或重新评估。</w:t>
            </w:r>
          </w:p>
        </w:tc>
      </w:tr>
      <w:tr w:rsidR="00A320E6" w14:paraId="740D6951" w14:textId="77777777" w:rsidTr="00D61E4F">
        <w:trPr>
          <w:trHeight w:val="285"/>
        </w:trPr>
        <w:tc>
          <w:tcPr>
            <w:tcW w:w="12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4496F"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备注</w:t>
            </w:r>
          </w:p>
        </w:tc>
        <w:tc>
          <w:tcPr>
            <w:tcW w:w="37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1F840"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评估结果差异率=（高值－低值）/低值</w:t>
            </w:r>
          </w:p>
        </w:tc>
      </w:tr>
    </w:tbl>
    <w:p w14:paraId="418E3FD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条文说明：结合北京市地价评估实践经验总结确定。</w:t>
      </w:r>
    </w:p>
    <w:p w14:paraId="0934C9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8.注意事项</w:t>
      </w:r>
    </w:p>
    <w:p w14:paraId="4920CAD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8.1划拨土地合法的现状地上容积率＜1.0时，按照容积率1.0测算划拨地价。</w:t>
      </w:r>
    </w:p>
    <w:p w14:paraId="0A119AC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606C935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（1）与新版基准地价体系相衔接。</w:t>
      </w:r>
    </w:p>
    <w:p w14:paraId="405E88B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（2）当合法的现状地上容积率＜1.0时，地价定义时按照合法的现状地上容积率数值进行定义，土地单价测算时按照1.0进行测算，土地总价=土地单价×土地面积。</w:t>
      </w:r>
    </w:p>
    <w:p w14:paraId="05B0A3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采用收益还原法、剩余法直接评估划拨地价时，采用案例比较得出的房地产租金或售价单价，应是容积率1.0利用条件下的价格。</w:t>
      </w:r>
    </w:p>
    <w:p w14:paraId="648549E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成本逼近法应用时，若采用招拍挂土地出让成交案例中土地一级开发补偿费数据，采用楼面单价进行比较分析，不进行容积率修正，比较得出的楼面土地取得费数据，即是划拨土地1.0条件下的土地取得费。</w:t>
      </w:r>
    </w:p>
    <w:p w14:paraId="68719D2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剩余（增值收益扣减）法评估划拨地价时，出让地价按照容积率1.0进行测算。</w:t>
      </w:r>
    </w:p>
    <w:p w14:paraId="69A7BB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8.2划拨土地办理协议出让的结建式建设项目，包含地下空间划拨土地时，需评估地下空间政府土地出让收益，并按照以下计算公式确定评估结果：</w:t>
      </w:r>
    </w:p>
    <w:p w14:paraId="62C7D3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（1）现状地上容积率≥1.0时，评估总价＝地上出让地价楼面单价×地上建筑面积＋地下空间政府土地出让收益楼面单价×地下空间出让建筑面积－地上划拨地价楼面单价×地上建筑面积。</w:t>
      </w:r>
    </w:p>
    <w:p w14:paraId="26FA7D8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（2）现状地上容积率＜1.0时，评估总价＝出让地价地面单价×土地面积＋地下空间政府土地出让收益楼面单价×地下空间出让建筑面积－划拨地价地面单价×土地面积。</w:t>
      </w:r>
    </w:p>
    <w:p w14:paraId="72ADE81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14ADFB4C" w14:textId="22D5ADA0"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（1）《北京市国土资源局关于出让国有建设用地使用权基准地价应用有关问题的公告》（2016年4月20日）</w:t>
      </w:r>
      <w:r w:rsidR="00977BD5" w:rsidRPr="00D61E4F">
        <w:rPr>
          <w:rFonts w:ascii="宋体" w:hAnsi="宋体" w:cs="宋体" w:hint="eastAsia"/>
          <w:bCs/>
          <w:sz w:val="24"/>
          <w:lang w:eastAsia="zh-Hans"/>
        </w:rPr>
        <w:t>第九条</w:t>
      </w:r>
      <w:r>
        <w:rPr>
          <w:rFonts w:ascii="宋体" w:hAnsi="宋体" w:cs="宋体" w:hint="eastAsia"/>
          <w:sz w:val="24"/>
          <w:lang w:eastAsia="zh-Hans"/>
        </w:rPr>
        <w:t>“已出让用地增加地下规模”规定：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p>
    <w:p w14:paraId="718E61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对于结建式建设项目，按照地上建筑规模进行分摊土地一级开发成本（容积率小于1.0时，按照土地面积参与分摊），地下空间不参与分摊。参照《关于改革土地估价结果确认和土地资产处置审批办法的通知》（国土资发〔2001〕44号）“为支持和促进企业改革，企业改制时，可依据划拨土地的平均取得成本和开发成本，评定划拨土地使用权价格，作为原土地使用者的权益，计入企业资产”的规定，通过成本逼近法测算得出的地上划拨地价，实际是整个结建式项目的划拨地价，包括了地上和地下。</w:t>
      </w:r>
    </w:p>
    <w:p w14:paraId="7E50DB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（3）在实践中，结建式项目中的出让土地增加地下空间，也只评估和收取政府土地出让收益。</w:t>
      </w:r>
    </w:p>
    <w:p w14:paraId="7F03B19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综上，结建式项目中的划拨土地办理协议出让时涉及的地下空间，无论是现状地下空间，还是新建地下空间，也应只收取政府土地出让收益。划拨土地办理协议出让的结建式项目，包含地下空间划拨土地时，只需评估地下空间政府土地出让收益。</w:t>
      </w:r>
    </w:p>
    <w:p w14:paraId="6FB709A6" w14:textId="7A729CB4" w:rsidR="00A320E6" w:rsidRDefault="00000000" w:rsidP="00D61E4F">
      <w:pPr>
        <w:pStyle w:val="a3"/>
        <w:spacing w:line="360" w:lineRule="auto"/>
        <w:ind w:firstLine="480"/>
        <w:rPr>
          <w:rFonts w:ascii="宋体" w:hAnsi="宋体" w:cs="宋体"/>
          <w:sz w:val="24"/>
          <w:lang w:eastAsia="zh-Hans"/>
        </w:rPr>
      </w:pPr>
      <w:r>
        <w:rPr>
          <w:rFonts w:ascii="宋体" w:hAnsi="宋体" w:cs="宋体" w:hint="eastAsia"/>
          <w:sz w:val="24"/>
          <w:lang w:eastAsia="zh-Hans"/>
        </w:rPr>
        <w:t>地下空间政府土地出让收益按照地下空间出让地价的一定比例计取，具体比例按照《北京市人民政府关于更新出让国有建设用地使用权基准地价的通知》（京政发〔2022〕12号）相关规定取值。参考取值如下：</w:t>
      </w:r>
    </w:p>
    <w:tbl>
      <w:tblPr>
        <w:tblW w:w="4997" w:type="pct"/>
        <w:tblCellMar>
          <w:top w:w="15" w:type="dxa"/>
          <w:left w:w="15" w:type="dxa"/>
          <w:bottom w:w="15" w:type="dxa"/>
          <w:right w:w="15" w:type="dxa"/>
        </w:tblCellMar>
        <w:tblLook w:val="04A0" w:firstRow="1" w:lastRow="0" w:firstColumn="1" w:lastColumn="0" w:noHBand="0" w:noVBand="1"/>
      </w:tblPr>
      <w:tblGrid>
        <w:gridCol w:w="1953"/>
        <w:gridCol w:w="887"/>
        <w:gridCol w:w="2774"/>
        <w:gridCol w:w="1047"/>
        <w:gridCol w:w="1047"/>
        <w:gridCol w:w="1047"/>
      </w:tblGrid>
      <w:tr w:rsidR="00A320E6" w14:paraId="4111120A" w14:textId="77777777">
        <w:trPr>
          <w:trHeight w:val="285"/>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BFA22BC"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设定地下空间土地用途</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261362D6"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商业类</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14:paraId="50C36BBB"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办公类</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408C36A"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住宅类</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F3DBB96"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工业类</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E52298E"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公共服务类</w:t>
            </w:r>
          </w:p>
        </w:tc>
      </w:tr>
      <w:tr w:rsidR="00A320E6" w14:paraId="0F4F0A6E" w14:textId="77777777">
        <w:trPr>
          <w:trHeight w:val="285"/>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46EDE139"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政府土地出让收益比例</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2EE62E83"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25%</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14:paraId="4F931328"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25%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852CEE1"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25%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BD77669"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15%</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3E690D5" w14:textId="77777777" w:rsidR="00A320E6" w:rsidRDefault="00000000" w:rsidP="00AE0286">
            <w:pPr>
              <w:pStyle w:val="a3"/>
              <w:ind w:firstLineChars="0" w:firstLine="0"/>
              <w:jc w:val="center"/>
              <w:rPr>
                <w:rFonts w:ascii="宋体" w:hAnsi="宋体" w:cs="宋体"/>
                <w:szCs w:val="21"/>
                <w:lang w:eastAsia="zh-Hans"/>
              </w:rPr>
            </w:pPr>
            <w:r>
              <w:rPr>
                <w:rFonts w:ascii="宋体" w:hAnsi="宋体" w:cs="宋体" w:hint="eastAsia"/>
                <w:szCs w:val="21"/>
                <w:lang w:eastAsia="zh-Hans"/>
              </w:rPr>
              <w:t>25%</w:t>
            </w:r>
          </w:p>
        </w:tc>
      </w:tr>
    </w:tbl>
    <w:p w14:paraId="664FE9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地下空间出让地价参照《关于发布&lt;北京市“地下空间”使用权协议出让地价评估技术更新的说明&gt;的通知》（北估秘〔2019〕002号）规定进行测算。</w:t>
      </w:r>
    </w:p>
    <w:p w14:paraId="22C2FD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2D8748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（1）地下空间土地用途归类参照《北京市人民政府关于更新出让国有建设用地使用权基准地价的通知》（京政发〔2022〕12号）相关规定确定。</w:t>
      </w:r>
    </w:p>
    <w:p w14:paraId="39F5044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关于发布&lt;北京市“地下空间”使用权协议出让地价评估技术更新的说明&gt;的通知》（北估秘〔2019〕002号）规定了地下空出让地价评估思路：选择适宜的评估方法评估地上楼面地价，然后各方法分别参照《北京市基准地价地下空间修正系数表》进行地下空间修正，如估价师自行选取修正系数则应进行充分的论述及说明，然后综合确定地下空间使用权价格。如市场条件允许，可直接测算地下空间使用权价格。</w:t>
      </w:r>
    </w:p>
    <w:p w14:paraId="07B217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8.3对于按照国家产业政策，利用存量房产、土地资源发展国家支持的产业、行业，享受在一定年期内不改变用地主体和规划条件的过渡期支持政策的，过渡期满或过渡期间转让，办理划拨土地协议出让手续时，出让土地使用年期及起止日期，按照经批准的实施方案确定；实施方案未明确的，在评估委托书中明确。</w:t>
      </w:r>
    </w:p>
    <w:p w14:paraId="5635847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5E27EE12" w14:textId="19F28D78"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（1）《产业用地政策实施工作指引（2019年版）》（自然资办发〔2019〕31号）</w:t>
      </w:r>
      <w:r w:rsidR="00EC0B72" w:rsidRPr="00D61E4F">
        <w:rPr>
          <w:rFonts w:ascii="宋体" w:hAnsi="宋体" w:cs="宋体" w:hint="eastAsia"/>
          <w:bCs/>
          <w:sz w:val="24"/>
          <w:lang w:eastAsia="zh-Hans"/>
        </w:rPr>
        <w:t>第二十条</w:t>
      </w:r>
      <w:r>
        <w:rPr>
          <w:rFonts w:ascii="宋体" w:hAnsi="宋体" w:cs="宋体" w:hint="eastAsia"/>
          <w:sz w:val="24"/>
          <w:lang w:eastAsia="zh-Hans"/>
        </w:rPr>
        <w:t>（过渡期政策）第3款规定，自然资源主管部门应当做好相关起算时点和过渡期时间跨度的备案管理，过渡期临近结束时，应当提前通知存量房产、土地资源的使用方，掌握其继续使用房产、土地资源的意愿，做好政策服务。期满及涉及转让需以协议方式办理相关用地手续的，按《协议出让国有土地使用权规定》和《协议出让国有土地使用权规范（试行）》办理。</w:t>
      </w:r>
    </w:p>
    <w:p w14:paraId="3CE519C2" w14:textId="0929F39D"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（2）《北京市城市更新条例（征求意见稿）》（2022年6月7日）</w:t>
      </w:r>
      <w:r w:rsidR="00EC0B72" w:rsidRPr="00D61E4F">
        <w:rPr>
          <w:rFonts w:ascii="宋体" w:hAnsi="宋体" w:cs="宋体" w:hint="eastAsia"/>
          <w:bCs/>
          <w:sz w:val="24"/>
          <w:lang w:eastAsia="zh-Hans"/>
        </w:rPr>
        <w:t>第二十条</w:t>
      </w:r>
      <w:r>
        <w:rPr>
          <w:rFonts w:ascii="宋体" w:hAnsi="宋体" w:cs="宋体" w:hint="eastAsia"/>
          <w:sz w:val="24"/>
          <w:lang w:eastAsia="zh-Hans"/>
        </w:rPr>
        <w:t>规定，在不改变用地主体的条件下，城市更新项目符合更新规划以及国家和本市支持的产业业态，在5年内实行按原用途、原权利类型使用土地的过渡期政策。</w:t>
      </w:r>
    </w:p>
    <w:p w14:paraId="3C19EC9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过渡期内，可按新用途办理规划许可和施工许可手续，不补缴土地价款，不办理不动产登记；过渡期满或转让时，经属地政府评估，符合更新规划和产业发展方向，已实现实施方案既定的使用功能和预期效果的，可按新用途以协议方式办理用地手续。建设用地使用权配置方式、土地使用年期、土地价款评估标准等按照经批准的实施方案和规划许可手续等确定。</w:t>
      </w:r>
    </w:p>
    <w:p w14:paraId="499515E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过渡期起始日为核发建筑工程施工许可证的日期；不需要办理建筑工程施工许可证的，起始日为核发建设工程规划许可证的日期。</w:t>
      </w:r>
    </w:p>
    <w:p w14:paraId="7776CE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9附则</w:t>
      </w:r>
    </w:p>
    <w:p w14:paraId="23E6C2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9.1应当缴纳的地价款金额建议</w:t>
      </w:r>
    </w:p>
    <w:p w14:paraId="66ADEF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（1）将评估的出让地价，减去评估的划拨地价，作为评估结果。</w:t>
      </w:r>
    </w:p>
    <w:p w14:paraId="39D123C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（2）评估的出让地价乘以《北京市人民政府关于更新出让国有建设用地使用权基准地价的通知》（京政发〔2022〕12号）规定的相应政府土地出让收益比例，得到政府土地出让收益金额。</w:t>
      </w:r>
    </w:p>
    <w:p w14:paraId="275678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3B507C8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和（2）中的“出让地价”是指“2.价格内涵界定”“4.评估技术路线”中的“出让地价”，包括现状使用条件下的出让地价和新设定规划建设条件下的出让地价。注意与“6.2.2出让地价”中“出让地价”的异同。</w:t>
      </w:r>
    </w:p>
    <w:p w14:paraId="19C721B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（3）将评估结果与上述政府土地出让收益金额进行对比，按照孰高原则确定应当缴纳的地价款金额建议。</w:t>
      </w:r>
    </w:p>
    <w:p w14:paraId="0766147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条文说明：</w:t>
      </w:r>
    </w:p>
    <w:p w14:paraId="722B29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（1）技术规范6.3（2）规定：当地对划拨土地使用权补办出让手续应缴土地收益有明确规定的，应与评估结果进行对比，在土地估价报告中明确提示对比结果，合理确定应缴土地收益。</w:t>
      </w:r>
    </w:p>
    <w:p w14:paraId="7CE4671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北京市人民政府关于更新出让国有建设用地使用权基准地价的通知》（京政发〔2022〕12号）规定，国有建设用地使用权出让政府土地收益按照楼面熟地价及各土地用途的政府土地收益比例确定。参照商业、办公、住宅、公共服务类基准地价的，政府土地出让收益按照政府审定楼面熟地价的25%确定；参照工业类基准地价的，政府土地出让收益按照政府审定楼面熟地价的15%确定。</w:t>
      </w:r>
    </w:p>
    <w:p w14:paraId="615402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因此，在划拨土地协议出让的评估中，可以将评估的出让地价乘以《北京市人民政府关于更新出让国有建设用地使用权基准地价的通知》（京政发〔2022〕12号）规定的相应政府土地出让收益比例，得到政府土地出让收益金额。</w:t>
      </w:r>
    </w:p>
    <w:p w14:paraId="6EE2499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（3）为防止国有资产流失，将评估结果与上述政府土地出让收益金额进行对比，可以按照孰高原则确定应当缴纳的地价款金额。</w:t>
      </w:r>
    </w:p>
    <w:p w14:paraId="7A2DCF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9.2施行</w:t>
      </w:r>
    </w:p>
    <w:p w14:paraId="4A84946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（1）本市行政区域内的企业改制土地资产处置、土地收储等涉及的划拨地价评估，可参照本指引。</w:t>
      </w:r>
    </w:p>
    <w:p w14:paraId="5B3D5588" w14:textId="687193BD" w:rsidR="00AE028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（2）本指引自发布之日起试行，有效期2年。实施期间由北京房地产估价师和土地估价师与不动产登记代理人协会负责解释，并根据政策和实施情况，适时修订。</w:t>
      </w:r>
    </w:p>
    <w:p w14:paraId="683D98D1" w14:textId="77777777" w:rsidR="00AE0286" w:rsidRDefault="00AE0286" w:rsidP="00AE0286">
      <w:pPr>
        <w:pStyle w:val="2"/>
        <w:rPr>
          <w:szCs w:val="24"/>
          <w:lang w:eastAsia="zh-Hans"/>
        </w:rPr>
      </w:pPr>
      <w:r>
        <w:rPr>
          <w:lang w:eastAsia="zh-Hans"/>
        </w:rPr>
        <w:br w:type="page"/>
      </w:r>
    </w:p>
    <w:p w14:paraId="5B072BC1" w14:textId="77777777" w:rsidR="00A320E6" w:rsidRDefault="00000000" w:rsidP="00AE0286">
      <w:pPr>
        <w:numPr>
          <w:ilvl w:val="0"/>
          <w:numId w:val="1"/>
        </w:numPr>
        <w:jc w:val="left"/>
        <w:outlineLvl w:val="0"/>
        <w:rPr>
          <w:rFonts w:ascii="黑体" w:eastAsia="黑体" w:hAnsi="宋体" w:cs="黑体"/>
          <w:color w:val="000000"/>
          <w:kern w:val="0"/>
          <w:sz w:val="31"/>
          <w:szCs w:val="31"/>
          <w:lang w:eastAsia="zh-Hans" w:bidi="ar"/>
        </w:rPr>
      </w:pPr>
      <w:bookmarkStart w:id="133" w:name="_Toc112227431"/>
      <w:r>
        <w:rPr>
          <w:rFonts w:ascii="黑体" w:eastAsia="黑体" w:hAnsi="宋体" w:cs="黑体" w:hint="eastAsia"/>
          <w:color w:val="000000"/>
          <w:kern w:val="0"/>
          <w:sz w:val="31"/>
          <w:szCs w:val="31"/>
          <w:lang w:eastAsia="zh-Hans" w:bidi="ar"/>
        </w:rPr>
        <w:t>矿业权评估准则</w:t>
      </w:r>
      <w:bookmarkEnd w:id="133"/>
    </w:p>
    <w:p w14:paraId="3D2673CA" w14:textId="77777777" w:rsidR="00A320E6" w:rsidRDefault="00000000" w:rsidP="00EC761E">
      <w:pPr>
        <w:pStyle w:val="27"/>
        <w:rPr>
          <w:lang w:eastAsia="zh-Hans"/>
        </w:rPr>
      </w:pPr>
      <w:bookmarkStart w:id="134" w:name="_Toc112227432"/>
      <w:r>
        <w:rPr>
          <w:rFonts w:hint="eastAsia"/>
          <w:lang w:eastAsia="zh-Hans"/>
        </w:rPr>
        <w:t>矿业权评估基本准则</w:t>
      </w:r>
      <w:bookmarkEnd w:id="134"/>
    </w:p>
    <w:p w14:paraId="0734DCB6" w14:textId="77777777" w:rsidR="00A320E6" w:rsidRPr="00D61E4F" w:rsidRDefault="00000000" w:rsidP="00D61E4F">
      <w:pPr>
        <w:pStyle w:val="34"/>
      </w:pPr>
      <w:bookmarkStart w:id="135" w:name="_Toc112227433"/>
      <w:r w:rsidRPr="00D61E4F">
        <w:rPr>
          <w:rFonts w:hint="eastAsia"/>
        </w:rPr>
        <w:t>评估师职业道德基本准则</w:t>
      </w:r>
      <w:bookmarkEnd w:id="135"/>
    </w:p>
    <w:p w14:paraId="1203DACE" w14:textId="77777777" w:rsidR="00A320E6" w:rsidRDefault="00000000" w:rsidP="00D61E4F">
      <w:pPr>
        <w:pStyle w:val="1c"/>
        <w:rPr>
          <w:lang w:eastAsia="zh-Hans"/>
        </w:rPr>
      </w:pPr>
      <w:r>
        <w:rPr>
          <w:rFonts w:hint="eastAsia"/>
          <w:lang w:eastAsia="zh-Hans"/>
        </w:rPr>
        <w:t>CMV 20000-2007</w:t>
      </w:r>
    </w:p>
    <w:p w14:paraId="38EDDC8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中国矿业权评估师和矿产储量评估师在执业过程中应遵循以下基本准则： </w:t>
      </w:r>
      <w:r>
        <w:rPr>
          <w:rFonts w:ascii="宋体" w:hAnsi="宋体" w:cs="宋体" w:hint="eastAsia"/>
          <w:sz w:val="24"/>
          <w:lang w:eastAsia="zh-Hans"/>
        </w:rPr>
        <w:br/>
        <w:t xml:space="preserve">　　一、诚实正直，勤勉尽责，恪守独立、客观、公正、诚信的原则。 </w:t>
      </w:r>
      <w:r>
        <w:rPr>
          <w:rFonts w:ascii="宋体" w:hAnsi="宋体" w:cs="宋体" w:hint="eastAsia"/>
          <w:sz w:val="24"/>
          <w:lang w:eastAsia="zh-Hans"/>
        </w:rPr>
        <w:br/>
        <w:t xml:space="preserve">　　二、维护行业形象，不得从事与评估师身份不符或可能损害行业形象的活动；不得贬低或诋毁其他评估师或评估(审)机构。</w:t>
      </w:r>
      <w:r>
        <w:rPr>
          <w:rFonts w:ascii="宋体" w:hAnsi="宋体" w:cs="宋体" w:hint="eastAsia"/>
          <w:sz w:val="24"/>
          <w:lang w:eastAsia="zh-Hans"/>
        </w:rPr>
        <w:br/>
        <w:t xml:space="preserve">　　 三、开展评估(审)业务，应当独立进行分析、评估(审)并形成专业意见，有权抵制外部干预不受委托方或相关当事方的影响，不得以预先设定的实物量、价值量引导评估(审)结论。 </w:t>
      </w:r>
      <w:r>
        <w:rPr>
          <w:rFonts w:ascii="宋体" w:hAnsi="宋体" w:cs="宋体" w:hint="eastAsia"/>
          <w:sz w:val="24"/>
          <w:lang w:eastAsia="zh-Hans"/>
        </w:rPr>
        <w:br/>
        <w:t xml:space="preserve">　　四、不得出具虚假、不实、有偏见或具有误导性的评估报告(评审意见)。</w:t>
      </w:r>
      <w:r>
        <w:rPr>
          <w:rFonts w:ascii="宋体" w:hAnsi="宋体" w:cs="宋体" w:hint="eastAsia"/>
          <w:sz w:val="24"/>
          <w:lang w:eastAsia="zh-Hans"/>
        </w:rPr>
        <w:br/>
        <w:t xml:space="preserve">　　五、 遵守保密原则。除国家和行业规定外，未经委托方书面许可，不得对外提供执业过程中获知的商业秘密和业务资料。 </w:t>
      </w:r>
      <w:r>
        <w:rPr>
          <w:rFonts w:ascii="宋体" w:hAnsi="宋体" w:cs="宋体" w:hint="eastAsia"/>
          <w:sz w:val="24"/>
          <w:lang w:eastAsia="zh-Hans"/>
        </w:rPr>
        <w:br/>
        <w:t xml:space="preserve">　　六、不得采用欺诈、利诱、强迫、恶意降低评估(审)费用等不正当手段招揽业务；不得向委托方或相关当事方索取约定服务费之外的不正当利益。　 </w:t>
      </w:r>
      <w:r>
        <w:rPr>
          <w:rFonts w:ascii="宋体" w:hAnsi="宋体" w:cs="宋体" w:hint="eastAsia"/>
          <w:sz w:val="24"/>
          <w:lang w:eastAsia="zh-Hans"/>
        </w:rPr>
        <w:br/>
        <w:t xml:space="preserve">　　七、不得利用执业便利为自己或他人谋取不正当利益。 </w:t>
      </w:r>
      <w:r>
        <w:rPr>
          <w:rFonts w:ascii="宋体" w:hAnsi="宋体" w:cs="宋体" w:hint="eastAsia"/>
          <w:sz w:val="24"/>
          <w:lang w:eastAsia="zh-Hans"/>
        </w:rPr>
        <w:br/>
        <w:t xml:space="preserve">　　八、 不得签署本人未参与项目的评估报告(评审意见)，也不得允许他人以本人名义签署评估报告(评审意见)。 </w:t>
      </w:r>
      <w:r>
        <w:rPr>
          <w:rFonts w:ascii="宋体" w:hAnsi="宋体" w:cs="宋体" w:hint="eastAsia"/>
          <w:sz w:val="24"/>
          <w:lang w:eastAsia="zh-Hans"/>
        </w:rPr>
        <w:br/>
        <w:t xml:space="preserve">　　九、如实声明其具有的专业胜任能力和执业经验，不得对其专业胜任能力和执业经验进行夸张、虚假和误导性宣传。</w:t>
      </w:r>
      <w:r>
        <w:rPr>
          <w:rFonts w:ascii="宋体" w:hAnsi="宋体" w:cs="宋体" w:hint="eastAsia"/>
          <w:sz w:val="24"/>
          <w:lang w:eastAsia="zh-Hans"/>
        </w:rPr>
        <w:br/>
        <w:t xml:space="preserve">　　十、与委托方或相关当事方之间存在利害关系可能影响公正执业的，应当回避。</w:t>
      </w:r>
    </w:p>
    <w:p w14:paraId="183178F7"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 xml:space="preserve">中国矿业权评估师协会 </w:t>
      </w:r>
    </w:p>
    <w:p w14:paraId="3CFA5A5F"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二○○七年五月十一日</w:t>
      </w:r>
    </w:p>
    <w:p w14:paraId="6B69C2A7" w14:textId="77777777" w:rsidR="00A320E6" w:rsidRPr="00D61E4F" w:rsidRDefault="00000000" w:rsidP="00D61E4F">
      <w:pPr>
        <w:pStyle w:val="34"/>
      </w:pPr>
      <w:bookmarkStart w:id="136" w:name="_Toc112227434"/>
      <w:r w:rsidRPr="00D61E4F">
        <w:rPr>
          <w:rFonts w:hint="eastAsia"/>
        </w:rPr>
        <w:t>矿业权评估技术基本准则</w:t>
      </w:r>
      <w:bookmarkEnd w:id="136"/>
    </w:p>
    <w:p w14:paraId="535D8032" w14:textId="77777777" w:rsidR="00A320E6" w:rsidRDefault="00000000" w:rsidP="00D61E4F">
      <w:pPr>
        <w:pStyle w:val="1c"/>
        <w:rPr>
          <w:lang w:eastAsia="zh-Hans"/>
        </w:rPr>
      </w:pPr>
      <w:r>
        <w:rPr>
          <w:rFonts w:hint="eastAsia"/>
          <w:lang w:eastAsia="zh-Hans"/>
        </w:rPr>
        <w:t>（CMVS 00001-2008）</w:t>
      </w:r>
    </w:p>
    <w:p w14:paraId="450BDDFF" w14:textId="77777777" w:rsidR="00A320E6" w:rsidRDefault="00000000" w:rsidP="00D61E4F">
      <w:pPr>
        <w:pStyle w:val="1a"/>
        <w:rPr>
          <w:lang w:eastAsia="zh-Hans"/>
        </w:rPr>
      </w:pPr>
      <w:r>
        <w:rPr>
          <w:rFonts w:hint="eastAsia"/>
          <w:lang w:eastAsia="zh-Hans"/>
        </w:rPr>
        <w:t xml:space="preserve">1 总则 </w:t>
      </w:r>
    </w:p>
    <w:p w14:paraId="735065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为规范注册矿业权评估师执业行为，保证执业质量，明确执业责任，维护社会公共利益和矿业权评估各方当事人合法权益，根据国家矿业权管理有关法律法规和《中国矿业权评估师协会章程》，制定本准则。 </w:t>
      </w:r>
    </w:p>
    <w:p w14:paraId="6E59F9E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矿业权评估业务分为矿业权价值评估业务和矿业权价值咨询业务。注册矿业权评估师执行矿业权评估业务，应当遵守矿业权管理有关法律法规和矿业权评估准则，勤勉尽责，恪守独立、客观、公正的原则。 </w:t>
      </w:r>
    </w:p>
    <w:p w14:paraId="0CD54BE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执行与矿业权价值估算相关的其他业务，应当遵守矿业权管理有关法律法规，参照矿业权评估准则。 </w:t>
      </w:r>
    </w:p>
    <w:p w14:paraId="6DCE3B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注册矿业权评估师应当按相关规定接受专门教育和培训，具备相应的专业知识和执业经验，能够胜任所执行的矿业权评估业务。 </w:t>
      </w:r>
    </w:p>
    <w:p w14:paraId="1BDFDC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注册矿业权评估师应当按相关规定不断接受后续教育和培训，保持和提高专业胜任能力。 </w:t>
      </w:r>
    </w:p>
    <w:p w14:paraId="760FB6C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1.4 注册矿业权评估师执行矿业权评估业务，应当独立进行分析、估算并形成专业意见，不受委托方或相关当事方的影响，不得预先设定评估结论。 </w:t>
      </w:r>
    </w:p>
    <w:p w14:paraId="53E465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1.5 注册矿业权评估师执行矿业权评估业务，可以聘请相关领域专家协助工作，也可聘请其他专业人员协助工作，但应采取必要措施，使其遵守矿业权评估准则，确信其工作的合理性，并对其工作结果负责。 </w:t>
      </w:r>
    </w:p>
    <w:p w14:paraId="7C265F4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1.6 注册矿业权评估师执行矿业权评估业务，可以引用相关专业报告（或专业意见）和财务会计报告，但应确信引用的合理性，并予以披露。 </w:t>
      </w:r>
    </w:p>
    <w:p w14:paraId="67230D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1.7 注册矿业权评估师执行矿业权评估业务，在不违背矿业权评估准则基本要求的前提下，采用不同于矿业权评估准则规定的程序和方法时，应确信所采用程序和方法的合理性，并在矿业权评估报告中明确披露。 </w:t>
      </w:r>
    </w:p>
    <w:p w14:paraId="46DCE7B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1.8 矿业权评估准则未做明确规定，或规定的程序和方法暂不适用具体评估对象、评估业务时，注册矿业权评估师可以谨慎参照其他评估专业的程序和方法或境外矿业权评估准则（或类似规范），但应确信所采用程序和方法适用于所执行的矿业权评估业务，并在矿业权评估报告中明确说明理由。 </w:t>
      </w:r>
    </w:p>
    <w:p w14:paraId="23B36ABF" w14:textId="77777777" w:rsidR="00A320E6" w:rsidRDefault="00000000" w:rsidP="00D61E4F">
      <w:pPr>
        <w:pStyle w:val="1a"/>
        <w:rPr>
          <w:lang w:eastAsia="zh-Hans"/>
        </w:rPr>
      </w:pPr>
      <w:r>
        <w:rPr>
          <w:rFonts w:hint="eastAsia"/>
          <w:lang w:eastAsia="zh-Hans"/>
        </w:rPr>
        <w:t xml:space="preserve">2 基本术语和定义 </w:t>
      </w:r>
    </w:p>
    <w:p w14:paraId="3512EB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 本准则所指矿业权，包括探矿权和采矿权。探矿权是指在依法取得的勘查许可证规定的范围内，勘查矿产资源的权利。采矿权是指在依法取得的采矿许可证规定的范围内，开采矿产资源和获得所开采的矿产品的权利。 </w:t>
      </w:r>
    </w:p>
    <w:p w14:paraId="31E10C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2.2 本准则所指矿业权评估，是指基于委托关系，矿业权评估机构和注册矿业权评估师，按照国家矿业权管理有关法律法规和矿业权评估准则，根据特定评估目的，遵循评估原则，依照相关评估程序，运用恰当的评估方法，对约定评估矿业权在一定时点的价值进行分析、估算并提供专业意见的服务行为和过程。 </w:t>
      </w:r>
    </w:p>
    <w:p w14:paraId="21B8C2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本准则所指矿业权评估机构，是指依法设立并取得探矿权采矿权评估资格证书从事矿业权评估业务的专业服务机构。 </w:t>
      </w:r>
    </w:p>
    <w:p w14:paraId="4805A9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本准则所指注册矿业权评估师，是指通过国家统一考试取得执业资格，并依法注册的矿业权评估专业人员。 </w:t>
      </w:r>
    </w:p>
    <w:p w14:paraId="1C37139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矿业权评估机构和注册矿业权评估师为矿业权评估主体。 </w:t>
      </w:r>
    </w:p>
    <w:p w14:paraId="07F63F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2.3 本准则所指矿业权评估准则，包括矿业权评估基本准则、矿业权评估技术规范、矿业权评估应用指南和矿业权评估指导意见。 </w:t>
      </w:r>
    </w:p>
    <w:p w14:paraId="0CE9107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2.4 本准则所指矿业权评估对象，包括探矿权、采矿权。权利客体为已查明或潜在的矿产资源储量，权利主体为矿业权人，权利价值内涵为用益物权价值，一般情况下是已查明或潜在矿产资源储量开发价值的一部分。 </w:t>
      </w:r>
    </w:p>
    <w:p w14:paraId="6429D5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2.5 本准则所指与矿业权价值估算相关的其他业务，是指除矿业权评估业务外，围绕价值评估和咨询、或为价值评估和咨询提供基础或依据的业务。通常包括（预）可行性研究报告、矿床工业指标论证报告、生产能力论证报告、综合开发利用方案、矿产资源开发利用方案等的编制业务。 </w:t>
      </w:r>
    </w:p>
    <w:p w14:paraId="33E932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2.6 本准则所指矿业权价值咨询业务，是指矿业权评估机构接受委托对矿业权价值进行了解的业务。 </w:t>
      </w:r>
    </w:p>
    <w:p w14:paraId="143DB4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评估程序受到一定限制，且所受限制对评估结论构成重大影响，委托方和相关当事方在评估报告出具前未能排除或未能完全排除限制，可以将该业务视同于矿业权价值咨询业务。 </w:t>
      </w:r>
    </w:p>
    <w:p w14:paraId="1E3560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上述两种情况应出具限制使用性质的矿业权评估咨询报告。 </w:t>
      </w:r>
    </w:p>
    <w:p w14:paraId="00BD9C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委托方和其他报告使用者应当知晓矿业权评估咨询报告及其结论作为参考依据的适用性不同于评估结论，并按限制使用条件合理使用矿业权评估咨询报告及其结论。 </w:t>
      </w:r>
    </w:p>
    <w:p w14:paraId="051AA1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2.7 矿业权评估结果是基于一般市场条件，由注册矿业权评估师对矿业权在特定交易目的、确定时点的价值估计数额，质、量均不等同于矿业权实际成交价格。实际成交价格是交易双方对矿业权交换价值认可的结果。 </w:t>
      </w:r>
    </w:p>
    <w:p w14:paraId="69C502C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矿业权评估结论不得作为矿业权实际成交价格的保证。 </w:t>
      </w:r>
    </w:p>
    <w:p w14:paraId="4608AD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2.8 在特殊方式交易条件下（如拍卖、招标）成交的矿业权，其成交价格直接取决于参与竞买人和投标人的数量、交易环境、购买动机等特定因素。通常，注册矿业权评估师不能预知并设定这些因素，成交价格与矿业权评估结果并不必然等同。</w:t>
      </w:r>
    </w:p>
    <w:p w14:paraId="56031E3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2.9 本准则所指矿业权评估目的，是为满足特定经济行为的需要，而为交易提供价值参考依据。 </w:t>
      </w:r>
    </w:p>
    <w:p w14:paraId="50AB65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通常情况下，同一矿业权在同一基准日，不同的经济行为其矿业权评估结果并不必然等同。 </w:t>
      </w:r>
    </w:p>
    <w:p w14:paraId="5A5700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2.10 本准则所指矿业权评估基准日，是指判断矿业权价值的基准时点。矿业权评估报告日是指矿业权评估报告出具日。评估结论使用有效期是指矿业权评估结论运用于经济行为的时限。</w:t>
      </w:r>
    </w:p>
    <w:p w14:paraId="56BAB1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委托方和相关当事方应当知晓矿业权评估基准日和矿业权评估报告日是评估报告中两个不同的日期。在矿业权评估基准日后至评估报告出具前可能存在的对评估结论产生影响的期后事项，委托方和相关当事方应充分考虑其对评估结论的影响程度，合理利用评估结论。 </w:t>
      </w:r>
    </w:p>
    <w:p w14:paraId="5346988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2.11 矿业权评估特定假设，是对矿业权实物载体、法律、经济、市场环境等方面的不确定信息作出的用于评估的前提。特定假设直接与具体评估结论对应，不同的特定假设，评估结论不同。 </w:t>
      </w:r>
    </w:p>
    <w:p w14:paraId="5655FE5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2.12 本准则所指现行的、有效的，是指对评估依据的限定。现行的，是指评估所依据的法律法规是现时执行的，不明示或暗示未来的法律法规状况。有效的，是指评估所依据的法律法规、计价依据以及其他评估依据未被修订、废止。 </w:t>
      </w:r>
    </w:p>
    <w:p w14:paraId="3C0BD3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2.13 本准则所指引用专业报告，是指执行矿业权评估业务时，汇总、引用、依据专业报告的全部和部分内容的行为。引用专业报告应遵循矿业权评估相关指导意见。专业报告通常包括后续地质勘查设计、地质勘查报告、资源储量核实报告、（预）可行性研究报告、矿山设计、矿产资源开发利用方案等。 </w:t>
      </w:r>
    </w:p>
    <w:p w14:paraId="2CB646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2.14 本准则所指专家，是指在矿业权评估业务相关领域中具有专门技能、知识和经验的自然人。</w:t>
      </w:r>
    </w:p>
    <w:p w14:paraId="67CAF78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地质要素评序法是专家协助的一种评估方法，所聘请专家的专业资格、专家数量和专家工作程序的规范，属于方法构成内容，应按成本途径评估方法规范的要求利用专家协助工作。 </w:t>
      </w:r>
    </w:p>
    <w:p w14:paraId="708656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本准则所指其他专业人员，是指矿业权评估业务相关领域中的业务助理人员。</w:t>
      </w:r>
    </w:p>
    <w:p w14:paraId="6CB1344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专家和其他专业人员可以从评估机构外部聘请。 </w:t>
      </w:r>
    </w:p>
    <w:p w14:paraId="652F88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2.15 本准则所指委托方，是指评估业务需求者（当然的评估报告使用者），通常包括委托评估项目的法人、其他组织和自然人。本准则所称相关当事方，是指除矿业权评估机构、注册矿业权评估师、委托方之外的的其他当事人的统称，包括其他评估报告使用者等与评估报告相关的单位或个人。 </w:t>
      </w:r>
    </w:p>
    <w:p w14:paraId="6B9812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2.16 本准则所指合理性，是指对所执行矿业权评估业务过程和结论的衡量结果。本准则衡量标准为履行必要程序、获取充分事实、假设合理，依据可靠、推断理性、计算准确、披露充分。 </w:t>
      </w:r>
    </w:p>
    <w:p w14:paraId="4404C616" w14:textId="77777777" w:rsidR="00A320E6" w:rsidRDefault="00000000" w:rsidP="00D61E4F">
      <w:pPr>
        <w:pStyle w:val="1a"/>
        <w:rPr>
          <w:lang w:eastAsia="zh-Hans"/>
        </w:rPr>
      </w:pPr>
      <w:r>
        <w:rPr>
          <w:rFonts w:hint="eastAsia"/>
          <w:lang w:eastAsia="zh-Hans"/>
        </w:rPr>
        <w:t xml:space="preserve">3 评估原则 </w:t>
      </w:r>
    </w:p>
    <w:p w14:paraId="063007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3.1 矿业权评估原则是调整矿业权评估主体与经济行为有关各方在矿业权评估中的相互关系，规范矿业权评估行为和业务的准则。包括矿业权评估工作原则和经济原则。</w:t>
      </w:r>
    </w:p>
    <w:p w14:paraId="7B92B9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矿业权评估工作原则，是指注册矿业权评估师在执行矿业权评估业务中应遵循的基本原则，一般包括独立性原则、客观性原则和公正性原则。 </w:t>
      </w:r>
    </w:p>
    <w:p w14:paraId="46EDE27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矿业权评估经济原则，是指注册矿业权评估师在执行矿业权评估业务中进行技术处理的原则。一般包括预期收益原则、替代原则、效用原则和贡献原则。 </w:t>
      </w:r>
    </w:p>
    <w:p w14:paraId="2F1664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矿业权与矿产资源相互依存、尊重地质规律及资源经济规律、遵守矿产资源勘查开发规范，是注册矿业权评估师执行矿业权评估业务中遵循的重要原则。 </w:t>
      </w:r>
    </w:p>
    <w:p w14:paraId="0924BC7A" w14:textId="77777777" w:rsidR="00A320E6" w:rsidRDefault="00000000" w:rsidP="00D61E4F">
      <w:pPr>
        <w:pStyle w:val="1a"/>
        <w:rPr>
          <w:lang w:eastAsia="zh-Hans"/>
        </w:rPr>
      </w:pPr>
      <w:r>
        <w:rPr>
          <w:rFonts w:hint="eastAsia"/>
          <w:lang w:eastAsia="zh-Hans"/>
        </w:rPr>
        <w:t xml:space="preserve">4 评估方法 </w:t>
      </w:r>
    </w:p>
    <w:p w14:paraId="615F3EC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对矿业权价值进行分析判断的原理、计算模型及其参数等构成矿业权评估方法。成本、收益和市场途径是被公认的反映矿业权价值的技术路径。矿业权评估方法是三种技术途径原理、计算模型及其参数的细化。 </w:t>
      </w:r>
    </w:p>
    <w:p w14:paraId="1DF93E4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 注册矿业权评估师应当按照评估方法规范中具体评估方法及其相关规定，进行矿业权价值评估。 </w:t>
      </w:r>
    </w:p>
    <w:p w14:paraId="7DD7E5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4.3 注册矿业权评估师应熟知、理解并恰当运用评估方法。执行矿业权评估业务，应当根据评估目的、评估对象、资料收集情况等相关条件，结合评估方法的适用范围和前提条件，恰当选择评估方法，形成合理评估结论，并确保得出的评估结论满足评估目的的需要。 </w:t>
      </w:r>
    </w:p>
    <w:p w14:paraId="5E7F6A4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4.4 注册矿业权评估师应当理解评估方法与评估参数的对应关系，以及参数内涵与计算口径的对应关系，并按照评估参数确定指导意见，确定与评估目的相适应的、评估方法所必需的评估参数。 </w:t>
      </w:r>
    </w:p>
    <w:p w14:paraId="591C0B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4.5 注册矿业权评估师执行矿业权价值咨询业务，可以根据委托方的特殊要求，选择不同于评估方法规范中的具体评估方法，但应当确信所采用具体评估方法的合理性，并在评估报告中明确说明方法原理、来源、选取理由。 </w:t>
      </w:r>
    </w:p>
    <w:p w14:paraId="2403E018" w14:textId="77777777" w:rsidR="00A320E6" w:rsidRDefault="00000000" w:rsidP="00D61E4F">
      <w:pPr>
        <w:pStyle w:val="1a"/>
        <w:rPr>
          <w:lang w:eastAsia="zh-Hans"/>
        </w:rPr>
      </w:pPr>
      <w:r>
        <w:rPr>
          <w:rFonts w:hint="eastAsia"/>
          <w:lang w:eastAsia="zh-Hans"/>
        </w:rPr>
        <w:t xml:space="preserve">5 评估程序 </w:t>
      </w:r>
    </w:p>
    <w:p w14:paraId="43B8B8A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矿业权评估程序是指矿业权评估机构和注册矿业权评估师执行矿业权评估业务履行的工作步骤。注册矿业权评估师应当按照矿业权评估程序规范的要求执行矿业权评估业务。 </w:t>
      </w:r>
    </w:p>
    <w:p w14:paraId="208FF65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注册矿业权评估师在执行评估业务过程中，因受客观限制，无法或不能履行既定的评估程序时，应当决定继续执行评估业务或中止评估业务。决定继续执行评估业务并出具矿业权评估报告，应当在评估报告中披露执行评估过程中受到的客观限制、无法履行的具体评估程序及其原因和采取的必要补救措施，并说明对评估结论的影响。 </w:t>
      </w:r>
    </w:p>
    <w:p w14:paraId="4DEB53F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 注册矿业权评估师在执行矿业权评估业务过程中，因委托方的特殊要求，未履行完整的评估程序，应当取得委托方的书面说明，并在评估报告中进行披露，说明其对评估结论的影响。 </w:t>
      </w:r>
    </w:p>
    <w:p w14:paraId="5801AA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5.4 注册矿业权评估师执行矿业权评估业务，根据评估业务具体情况，采用不同于矿业权评估程序规范所规定的评估程序时，应当在评估报告中明确说明实际履行的具体程序及理由，并确信所采用具体评估程序足以支持评估结论。</w:t>
      </w:r>
    </w:p>
    <w:p w14:paraId="52ECA8C5" w14:textId="77777777" w:rsidR="00A320E6" w:rsidRDefault="00000000" w:rsidP="00D61E4F">
      <w:pPr>
        <w:pStyle w:val="1a"/>
        <w:rPr>
          <w:lang w:eastAsia="zh-Hans"/>
        </w:rPr>
      </w:pPr>
      <w:r>
        <w:rPr>
          <w:rFonts w:hint="eastAsia"/>
          <w:lang w:eastAsia="zh-Hans"/>
        </w:rPr>
        <w:t xml:space="preserve">6 评估结论 </w:t>
      </w:r>
    </w:p>
    <w:p w14:paraId="5C1379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评估结论是注册矿业权评估师履行矿业权评估程序后，对矿业权价值进行分析、估算并发表的专业意见。一般基于假设和限定条件形成。 </w:t>
      </w:r>
    </w:p>
    <w:p w14:paraId="723312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一个完整的评估结论由评估结果及其涵义、形成的假设条件和使用条件等构成。理解假设和限定条件是正确使用评估结论的必要条件。评估报告应提示委托方和相关当事方全面理解和正确使用评估结论。 </w:t>
      </w:r>
    </w:p>
    <w:p w14:paraId="2C63DCB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不同评估价值涵义下会得出不同的评估结果（如压覆补偿、价值赔偿等），委托方和其他报告使用者应结合评估价值涵义、按照评估报告披露的评估结论使用条件和评估目的正确使用评估结论。 </w:t>
      </w:r>
    </w:p>
    <w:p w14:paraId="0E1842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6.3 评估结果，应当以文字与数字形式完整表示。 </w:t>
      </w:r>
    </w:p>
    <w:p w14:paraId="53BA6F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评估结果通常应是一个明确的数值，并标明货币单位。注册矿业权评估师执行矿业权价值咨询业务，可以与委托方协商，采用其他评估结果形式（如区间范围、数学表达式等）。 </w:t>
      </w:r>
    </w:p>
    <w:p w14:paraId="325DEC25" w14:textId="77777777" w:rsidR="00A320E6" w:rsidRDefault="00000000" w:rsidP="00D61E4F">
      <w:pPr>
        <w:pStyle w:val="1a"/>
        <w:rPr>
          <w:lang w:eastAsia="zh-Hans"/>
        </w:rPr>
      </w:pPr>
      <w:r>
        <w:rPr>
          <w:rFonts w:hint="eastAsia"/>
          <w:lang w:eastAsia="zh-Hans"/>
        </w:rPr>
        <w:t xml:space="preserve">7 评估报告 </w:t>
      </w:r>
    </w:p>
    <w:p w14:paraId="583927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矿业权评估报告，包括探矿权评估报告和采矿权评估报告。是指注册矿业权评估师在履行了必要的评估程序后，对评估对象在评估基准日特定目的下的价值发表的、由其所在评估机构出具的书面专业意见。 </w:t>
      </w:r>
    </w:p>
    <w:p w14:paraId="23B2ED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7.2 评估机构接受委托执行矿业权价值咨询业务，可以出具限制使用性质的矿业权评估咨询报告。 </w:t>
      </w:r>
    </w:p>
    <w:p w14:paraId="225AFF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7.3 评估程序受到一定限制时，且所受限制对评估结论构成重大影响，委托方和相关当事方在报告出具前未能排除或未能完全排除限制，可以出具限制使用性质的矿业权评估咨询报告。但在矿业权评估咨询报告中应提示委托方和其他报告使用者，其结论作为参考依据的适用性不同于价值评估结论。 </w:t>
      </w:r>
    </w:p>
    <w:p w14:paraId="17F9C3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评估程序受到一定限制时，且所受限制已无法得出合理的评估结论，委托方和相关当事方在报告出具前未能排除或未能完全排除限制的前提下，可以拒绝出具矿业权评估报告或矿业权评估咨询报告。 </w:t>
      </w:r>
    </w:p>
    <w:p w14:paraId="63C3F4D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7.4 矿业权评估报告编制应遵循独立、客观、公正的基本原则，矿业权评估报告内容应满足全面、客观、准确和概括的基本原则要求。 </w:t>
      </w:r>
    </w:p>
    <w:p w14:paraId="6F94DB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 注册矿业权评估师应当按照矿业权评估报告编制规范规定的内容和格式，编制矿业权评估报告。 </w:t>
      </w:r>
    </w:p>
    <w:p w14:paraId="3CBD95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矿业权评估报告应当按照矿业权评估报告编制规范规定的报告出具和生效要件出具。 </w:t>
      </w:r>
    </w:p>
    <w:p w14:paraId="50198AE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7.6 在遵守相关法律法规和矿业权评估准则的基础上，注册矿业权评估师可以根据特殊委托方、委托方的特殊要求、评估对象的复杂程度等，合理确定评估报告的繁简程度，但应满足矿业权评估报告编制规范规定的基本内容要求。</w:t>
      </w:r>
    </w:p>
    <w:p w14:paraId="7EF37F42" w14:textId="77777777" w:rsidR="00A320E6" w:rsidRDefault="00000000" w:rsidP="00D61E4F">
      <w:pPr>
        <w:pStyle w:val="1a"/>
        <w:rPr>
          <w:lang w:eastAsia="zh-Hans"/>
        </w:rPr>
      </w:pPr>
      <w:r>
        <w:rPr>
          <w:rFonts w:hint="eastAsia"/>
          <w:lang w:eastAsia="zh-Hans"/>
        </w:rPr>
        <w:t xml:space="preserve">8 工作底稿及评估档案 </w:t>
      </w:r>
    </w:p>
    <w:p w14:paraId="5E660D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8.1 矿业权评估工作底稿，是指注册矿业权评估师执行矿业权评估业务中形成的，反映评估程序履行情况、支持评估结论的相关依据、记录和资料。 </w:t>
      </w:r>
    </w:p>
    <w:p w14:paraId="0C0E77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8.2 注册矿业权评估师和矿业权评估机构应按矿业权评估工作底稿规范的规定编制、复核、使用及管理工作底稿。 </w:t>
      </w:r>
    </w:p>
    <w:p w14:paraId="2206495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8.3 注册矿业权评估师执行矿业权价值咨询业务，可以决定工作底稿的繁简程度，但应真实全面反映评估程序执行情况，支持价值咨询结论。 </w:t>
      </w:r>
    </w:p>
    <w:p w14:paraId="663829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8.4 委托方、矿业权人（或矿业权申请人）等相关单位提供的资料或文件作为工作底稿时，应以盖章方式确认。 </w:t>
      </w:r>
    </w:p>
    <w:p w14:paraId="13919C3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8.5 矿业权评估工作底稿的所有权，属于评估机构。评估业务完成后，应将工作底稿分类整理，与矿业权评估报告、项目管理文件资料等一并归档，形成矿业权评估档案。 </w:t>
      </w:r>
    </w:p>
    <w:p w14:paraId="54239C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8.6 矿业权评估工作底稿保存期一般不少于 5 年，重要评估项目（如证券业务、财产纠纷等）的工作底稿保存期一般不少于 10 年。国家法律、法规另有相关规定的，从其规定。 </w:t>
      </w:r>
    </w:p>
    <w:p w14:paraId="753DEA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8.7 矿业权评估机构应当按国家档案管理有关法律法规对评估档案进行管理，不得在规定的保存期内删改或销毁评估档案。 </w:t>
      </w:r>
    </w:p>
    <w:p w14:paraId="636166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8.8 矿业权评估机构应建立工作底稿保密制度。除下列情形外,不得对外提供： </w:t>
      </w:r>
    </w:p>
    <w:p w14:paraId="2A9FC99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司法部门按法定程序进行的查询； </w:t>
      </w:r>
    </w:p>
    <w:p w14:paraId="4F0538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有权审核和检查评估项目的政府管理部门，对评估项目进行审核和检查； </w:t>
      </w:r>
    </w:p>
    <w:p w14:paraId="16643B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行业自律组织按规定程序对执业质量进行检查，受司法、行政部门或当事人委托组织鉴定评估报告； </w:t>
      </w:r>
    </w:p>
    <w:p w14:paraId="1E4D56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其他依法可以查阅的情形。 </w:t>
      </w:r>
    </w:p>
    <w:p w14:paraId="180DBA77" w14:textId="77777777" w:rsidR="00A320E6" w:rsidRDefault="00000000" w:rsidP="00D61E4F">
      <w:pPr>
        <w:pStyle w:val="1a"/>
        <w:rPr>
          <w:lang w:eastAsia="zh-Hans"/>
        </w:rPr>
      </w:pPr>
      <w:r>
        <w:rPr>
          <w:rFonts w:hint="eastAsia"/>
          <w:lang w:eastAsia="zh-Hans"/>
        </w:rPr>
        <w:t xml:space="preserve">9 执业责任 </w:t>
      </w:r>
    </w:p>
    <w:p w14:paraId="61B729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9.1 注册矿业权评估师执行矿业权评估业务，应当对形成并发表的矿业权评估结论的合理性承担责任。 </w:t>
      </w:r>
    </w:p>
    <w:p w14:paraId="4AB8EA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9.2 遵守相关法律法规和矿业权评估准则，对矿业权在评估基准日特定目的下的价值进行分析、估算并发表专业意见，是注册矿业权评估师的责任；提供必要的资料并保证所提供资料的真实性、合法性、完整性，恰当使用矿业权评估报告是委托方和相关当事方的责任。 </w:t>
      </w:r>
    </w:p>
    <w:p w14:paraId="32FDCEA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9.3 注册矿业权评估师应当对所引用的专业报告（或专业意见）进行恰当分析后引用，对其来源予以必要说明。所引用的专业报告的真实性、合法性、完整性由提供者负责。 </w:t>
      </w:r>
    </w:p>
    <w:p w14:paraId="4DEE40AD" w14:textId="77777777" w:rsidR="00A320E6" w:rsidRDefault="00000000" w:rsidP="00D61E4F">
      <w:pPr>
        <w:pStyle w:val="1a"/>
        <w:rPr>
          <w:lang w:eastAsia="zh-Hans"/>
        </w:rPr>
      </w:pPr>
      <w:r>
        <w:rPr>
          <w:rFonts w:hint="eastAsia"/>
          <w:lang w:eastAsia="zh-Hans"/>
        </w:rPr>
        <w:t>10 附则</w:t>
      </w:r>
    </w:p>
    <w:p w14:paraId="4833FC6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10.1 评估机构应当遵守本准则的相关规定。 </w:t>
      </w:r>
    </w:p>
    <w:p w14:paraId="0D6791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10.2 中国矿业权评估师协会根据本准则制定矿业权评估相关规范、应用指南和指导意见。 </w:t>
      </w:r>
    </w:p>
    <w:p w14:paraId="593F12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10.3 本准则由中国矿业权评估师协会负责解释。 </w:t>
      </w:r>
    </w:p>
    <w:p w14:paraId="63A3F1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10.4 本准则自 2008 年 9 月 1 日起施行。</w:t>
      </w:r>
    </w:p>
    <w:p w14:paraId="236B52D6" w14:textId="77777777" w:rsidR="00A320E6" w:rsidRDefault="00000000" w:rsidP="00EC761E">
      <w:pPr>
        <w:pStyle w:val="27"/>
        <w:rPr>
          <w:lang w:eastAsia="zh-Hans"/>
        </w:rPr>
      </w:pPr>
      <w:bookmarkStart w:id="137" w:name="_Toc112227435"/>
      <w:r>
        <w:rPr>
          <w:rFonts w:hint="eastAsia"/>
          <w:lang w:eastAsia="zh-Hans"/>
        </w:rPr>
        <w:t>矿业权评估技术规范</w:t>
      </w:r>
      <w:bookmarkEnd w:id="137"/>
    </w:p>
    <w:p w14:paraId="675597C2"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38" w:name="_Toc112227436"/>
      <w:r>
        <w:rPr>
          <w:rFonts w:ascii="宋体" w:hAnsi="宋体" w:cs="宋体" w:hint="eastAsia"/>
          <w:b/>
          <w:bCs/>
          <w:sz w:val="24"/>
          <w:lang w:eastAsia="zh-Hans"/>
        </w:rPr>
        <w:t>矿业权评估程序规范</w:t>
      </w:r>
      <w:bookmarkEnd w:id="138"/>
    </w:p>
    <w:p w14:paraId="59ABDA45" w14:textId="77777777" w:rsidR="00A320E6" w:rsidRDefault="00000000" w:rsidP="00D61E4F">
      <w:pPr>
        <w:pStyle w:val="1c"/>
        <w:rPr>
          <w:lang w:eastAsia="zh-Hans"/>
        </w:rPr>
      </w:pPr>
      <w:r>
        <w:rPr>
          <w:rFonts w:hint="eastAsia"/>
          <w:lang w:eastAsia="zh-Hans"/>
        </w:rPr>
        <w:t>（CMVS 11000-2008）</w:t>
      </w:r>
    </w:p>
    <w:p w14:paraId="30E17F61" w14:textId="77777777" w:rsidR="00A320E6" w:rsidRDefault="00000000" w:rsidP="003D4944">
      <w:pPr>
        <w:pStyle w:val="1a"/>
        <w:rPr>
          <w:lang w:eastAsia="zh-Hans"/>
        </w:rPr>
      </w:pPr>
      <w:r>
        <w:rPr>
          <w:rFonts w:hint="eastAsia"/>
          <w:lang w:eastAsia="zh-Hans"/>
        </w:rPr>
        <w:t>1、总则</w:t>
      </w:r>
    </w:p>
    <w:p w14:paraId="55E07E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1.1 为规范矿业权评估程序，保证矿业权评估结论客观公正，明确矿业权评估执业责任，维护社会公共利益和评估各方当事人合法权益，根据《矿业权评估技术基本准则》，制定本规范。</w:t>
      </w:r>
    </w:p>
    <w:p w14:paraId="206DAB7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1.2 本规范所称评估程序，是指矿业权评估机构和注册矿业权评估师从事矿业权评估业务履行的工作步骤。</w:t>
      </w:r>
    </w:p>
    <w:p w14:paraId="2A5877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1.3 执行矿业权评估业务，可以根据本规范及评估业务具体情况制定并履行具体评估程序，并在确信所实施的评估程序能够支持评估结论的前提下，将所实施的评估程序完整披露于评估报告中。</w:t>
      </w:r>
    </w:p>
    <w:p w14:paraId="1EE116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1.4 评估程序应遵循独立、客观、公正、谨慎原则。</w:t>
      </w:r>
    </w:p>
    <w:p w14:paraId="3C2236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1.5 从事矿业权评估业务，应遵守本规范。从事与矿业权价值估算相关的其他业务，可参照本规范。</w:t>
      </w:r>
    </w:p>
    <w:p w14:paraId="07876B99" w14:textId="77777777" w:rsidR="00A320E6" w:rsidRDefault="00000000" w:rsidP="003D4944">
      <w:pPr>
        <w:pStyle w:val="1a"/>
        <w:rPr>
          <w:lang w:eastAsia="zh-Hans"/>
        </w:rPr>
      </w:pPr>
      <w:r>
        <w:rPr>
          <w:rFonts w:hint="eastAsia"/>
          <w:lang w:eastAsia="zh-Hans"/>
        </w:rPr>
        <w:t>2、基本要求</w:t>
      </w:r>
    </w:p>
    <w:p w14:paraId="713791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2.1 从事矿业权评估业务应当履行以下程序：</w:t>
      </w:r>
    </w:p>
    <w:p w14:paraId="7BCAD38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（1）明确评估业务基本事项；</w:t>
      </w:r>
    </w:p>
    <w:p w14:paraId="2F20E4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（2）签订业务约定书；</w:t>
      </w:r>
    </w:p>
    <w:p w14:paraId="1BF212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（3）编制评估计划；</w:t>
      </w:r>
    </w:p>
    <w:p w14:paraId="30B3D5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（4）尽职调查；</w:t>
      </w:r>
    </w:p>
    <w:p w14:paraId="7E071A8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（5）收集评估资料；</w:t>
      </w:r>
    </w:p>
    <w:p w14:paraId="7192C4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（6）评定估算；</w:t>
      </w:r>
    </w:p>
    <w:p w14:paraId="268F194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（7）编制和提交评估报告；</w:t>
      </w:r>
    </w:p>
    <w:p w14:paraId="5ACA88B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（8）工作底稿归档。</w:t>
      </w:r>
    </w:p>
    <w:p w14:paraId="26EAF9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2.2 注册矿业权评估师可以根据评估业务性质和复杂程度等因素确定评估程序内容的繁简程度，但不得删减评估程序。</w:t>
      </w:r>
    </w:p>
    <w:p w14:paraId="1F7EA90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2.3 由于受到客观限制不能履行既定评估程序，可以决定继续履行或终止履行业务约定书。</w:t>
      </w:r>
    </w:p>
    <w:p w14:paraId="592682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决定继续履行业务约定书的，应当在评估报告中对受到的限制、采取的补救措施和可能对评估结论造成的影响予以披露。</w:t>
      </w:r>
    </w:p>
    <w:p w14:paraId="356EFAB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2.4 由于委托方的特殊要求不能履行既定评估程序，应当取得委托方出具书面说明，并在评估报告中对未履行的评估程序和对评估结论造成的可能影响予以披露。</w:t>
      </w:r>
    </w:p>
    <w:p w14:paraId="7D95F5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2.5 评估程序的履行情况应当在评估工作底稿中完整记录。</w:t>
      </w:r>
    </w:p>
    <w:p w14:paraId="7D00F54D" w14:textId="77777777" w:rsidR="00A320E6" w:rsidRDefault="00000000" w:rsidP="003D4944">
      <w:pPr>
        <w:pStyle w:val="1a"/>
        <w:rPr>
          <w:lang w:eastAsia="zh-Hans"/>
        </w:rPr>
      </w:pPr>
      <w:r>
        <w:rPr>
          <w:rFonts w:hint="eastAsia"/>
          <w:lang w:eastAsia="zh-Hans"/>
        </w:rPr>
        <w:t>3、明确评估业务基本事项</w:t>
      </w:r>
    </w:p>
    <w:p w14:paraId="28CF7A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3.1 评估对象和范围。</w:t>
      </w:r>
    </w:p>
    <w:p w14:paraId="3A916C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3.2 矿业权权属。</w:t>
      </w:r>
    </w:p>
    <w:p w14:paraId="77F570C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3.3 评估目的。</w:t>
      </w:r>
    </w:p>
    <w:p w14:paraId="1DF4B78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3.4 评估基准日。</w:t>
      </w:r>
    </w:p>
    <w:p w14:paraId="503238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3.5 评估报告提交方式与日期。</w:t>
      </w:r>
    </w:p>
    <w:p w14:paraId="31A780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3.6 评估服务费。</w:t>
      </w:r>
    </w:p>
    <w:p w14:paraId="01E8398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3.7 业务风险评价。</w:t>
      </w:r>
    </w:p>
    <w:p w14:paraId="44F3E2D5" w14:textId="77777777" w:rsidR="00A320E6" w:rsidRDefault="00000000" w:rsidP="003D4944">
      <w:pPr>
        <w:pStyle w:val="1a"/>
        <w:rPr>
          <w:lang w:eastAsia="zh-Hans"/>
        </w:rPr>
      </w:pPr>
      <w:r>
        <w:rPr>
          <w:rFonts w:hint="eastAsia"/>
          <w:lang w:eastAsia="zh-Hans"/>
        </w:rPr>
        <w:t>4、签订业务约定书</w:t>
      </w:r>
    </w:p>
    <w:p w14:paraId="5B51E9B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4.1 评估机构应当与评估委托人签订业务约定书。</w:t>
      </w:r>
    </w:p>
    <w:p w14:paraId="707FBDE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4.2 业务约定书应当符合矿业权评估业务约定书规范的规定。</w:t>
      </w:r>
    </w:p>
    <w:p w14:paraId="6FA588D4" w14:textId="77777777" w:rsidR="00A320E6" w:rsidRDefault="00000000" w:rsidP="003D4944">
      <w:pPr>
        <w:pStyle w:val="1a"/>
        <w:rPr>
          <w:lang w:eastAsia="zh-Hans"/>
        </w:rPr>
      </w:pPr>
      <w:r>
        <w:rPr>
          <w:rFonts w:hint="eastAsia"/>
          <w:lang w:eastAsia="zh-Hans"/>
        </w:rPr>
        <w:t>5、编制评估计划</w:t>
      </w:r>
    </w:p>
    <w:p w14:paraId="3C7F308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5.1 评估计划通常包括评估项目的技术方案、实施步骤、时间进度、人员安排、费用预算等内容。</w:t>
      </w:r>
    </w:p>
    <w:p w14:paraId="767509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5.2 评估计划可以根据实施过程中的变化进行必要调整和补充。</w:t>
      </w:r>
    </w:p>
    <w:p w14:paraId="02F678E8" w14:textId="77777777" w:rsidR="00A320E6" w:rsidRDefault="00000000" w:rsidP="003D4944">
      <w:pPr>
        <w:pStyle w:val="1a"/>
        <w:rPr>
          <w:lang w:eastAsia="zh-Hans"/>
        </w:rPr>
      </w:pPr>
      <w:r>
        <w:rPr>
          <w:rFonts w:hint="eastAsia"/>
          <w:lang w:eastAsia="zh-Hans"/>
        </w:rPr>
        <w:t>6、尽职调查</w:t>
      </w:r>
    </w:p>
    <w:p w14:paraId="448910A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6.1 尽职调查是指为尽可能全面掌握评估对象信息而进行查证和核实。</w:t>
      </w:r>
    </w:p>
    <w:p w14:paraId="5950D59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6.2 尽职调查一般包括以下内容：</w:t>
      </w:r>
    </w:p>
    <w:p w14:paraId="0D1F33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（1）评估对象权属状况；</w:t>
      </w:r>
    </w:p>
    <w:p w14:paraId="0116552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（2）地形地貌等自然地理条件；</w:t>
      </w:r>
    </w:p>
    <w:p w14:paraId="50CC4E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（3）交通、供电、供水等基础设施条件及区域经济发展状况；</w:t>
      </w:r>
    </w:p>
    <w:p w14:paraId="48FD54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（4）勘查、开发历史及现状；</w:t>
      </w:r>
    </w:p>
    <w:p w14:paraId="39A885C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（5）野外主要地质勘查实物工作量状况；</w:t>
      </w:r>
    </w:p>
    <w:p w14:paraId="112179E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（6）矿山建设和生产经营状况；</w:t>
      </w:r>
    </w:p>
    <w:p w14:paraId="4C4DDBB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（7）周边的勘查、开发活动；</w:t>
      </w:r>
    </w:p>
    <w:p w14:paraId="61F21A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（8）当地矿产品、矿业权市场情况；</w:t>
      </w:r>
    </w:p>
    <w:p w14:paraId="1FF05E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（9）评估对象既往评估和交易情况；</w:t>
      </w:r>
    </w:p>
    <w:p w14:paraId="637462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（10）矿业权评估师认为需要调查的其他事项。</w:t>
      </w:r>
    </w:p>
    <w:p w14:paraId="03006C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6.3 尽职调查的具体内容，需要根据评估业务性质、评估对象的勘查开发阶段、拟选用的评估方法等情况而确定。</w:t>
      </w:r>
    </w:p>
    <w:p w14:paraId="425721B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6.4 尽职调查可以通过核查、现场勘查、函证、询问、座谈等方式进行。</w:t>
      </w:r>
    </w:p>
    <w:p w14:paraId="23B61C2B" w14:textId="77777777" w:rsidR="00A320E6" w:rsidRDefault="00000000" w:rsidP="003D4944">
      <w:pPr>
        <w:pStyle w:val="1a"/>
        <w:rPr>
          <w:lang w:eastAsia="zh-Hans"/>
        </w:rPr>
      </w:pPr>
      <w:r>
        <w:rPr>
          <w:rFonts w:hint="eastAsia"/>
          <w:lang w:eastAsia="zh-Hans"/>
        </w:rPr>
        <w:t>7、收集评估资料</w:t>
      </w:r>
    </w:p>
    <w:p w14:paraId="1C63533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7.1 评估资料一般包括：</w:t>
      </w:r>
    </w:p>
    <w:p w14:paraId="297B7A2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（1）评估对象权属资料；</w:t>
      </w:r>
    </w:p>
    <w:p w14:paraId="010943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（2）评估对象目前和历史状况及相应的证明材料；</w:t>
      </w:r>
    </w:p>
    <w:p w14:paraId="5B6D1E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（3）地质勘查类资料；</w:t>
      </w:r>
    </w:p>
    <w:p w14:paraId="044221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（4）矿山开发（预）可行性研究、初步设计/开发利用方案类资料；</w:t>
      </w:r>
    </w:p>
    <w:p w14:paraId="7809C1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（5）财务会计及生产经营资料；</w:t>
      </w:r>
    </w:p>
    <w:p w14:paraId="2964143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（6）相关法律、法规及规范性文件；</w:t>
      </w:r>
    </w:p>
    <w:p w14:paraId="7F68BE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（7）行业信息、市场询价、数据分析等资料；</w:t>
      </w:r>
    </w:p>
    <w:p w14:paraId="7069AE4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（8）其他专业报告等。</w:t>
      </w:r>
    </w:p>
    <w:p w14:paraId="214EAE9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7.2 在评估过程中，应当根据情况变化及时补充收集评估资料。</w:t>
      </w:r>
    </w:p>
    <w:p w14:paraId="628C622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7.3 评估资料提供方应当对所出具或提供的财务会计及生产经营等资料以签章方式进行确认。</w:t>
      </w:r>
    </w:p>
    <w:p w14:paraId="3E9EF5DF" w14:textId="77777777" w:rsidR="00A320E6" w:rsidRDefault="00000000" w:rsidP="003D4944">
      <w:pPr>
        <w:pStyle w:val="1a"/>
        <w:rPr>
          <w:lang w:eastAsia="zh-Hans"/>
        </w:rPr>
      </w:pPr>
      <w:r>
        <w:rPr>
          <w:rFonts w:hint="eastAsia"/>
          <w:lang w:eastAsia="zh-Hans"/>
        </w:rPr>
        <w:t>8、评定估算</w:t>
      </w:r>
    </w:p>
    <w:p w14:paraId="734B35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8.1 注册矿业权评估师应当对尽职调查所获得的信息及评估资料进行分析和判断。</w:t>
      </w:r>
    </w:p>
    <w:p w14:paraId="27456A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8.2 注册矿业权评估师应当选择适当的评估方法，合理选取评估参数。</w:t>
      </w:r>
    </w:p>
    <w:p w14:paraId="2D16835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8.3 注册矿业权评估师应当对评定估算结果进行必要的分析，形成评估结论。</w:t>
      </w:r>
    </w:p>
    <w:p w14:paraId="53B85BD8" w14:textId="77777777" w:rsidR="00A320E6" w:rsidRDefault="00000000" w:rsidP="003D4944">
      <w:pPr>
        <w:pStyle w:val="1a"/>
        <w:rPr>
          <w:lang w:eastAsia="zh-Hans"/>
        </w:rPr>
      </w:pPr>
      <w:r>
        <w:rPr>
          <w:rFonts w:hint="eastAsia"/>
          <w:lang w:eastAsia="zh-Hans"/>
        </w:rPr>
        <w:t>9、编制和提交评估报告</w:t>
      </w:r>
    </w:p>
    <w:p w14:paraId="62A847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9.1 评估报告的编制应当符合矿业权评估报告编制规范的规定。</w:t>
      </w:r>
    </w:p>
    <w:p w14:paraId="6CD5B2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9.2 评估报告及评估程序执行情况应进行内部审核。</w:t>
      </w:r>
    </w:p>
    <w:p w14:paraId="5D3158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9.3 提交评估报告前，在不影响对最终评估结论进行独立判断的前提下，可以与委托方就评估有关事项进行沟通。</w:t>
      </w:r>
    </w:p>
    <w:p w14:paraId="4913396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9.4 评估机构应根据业务约定书约定的时间和方式向委托方提交评估报告。</w:t>
      </w:r>
    </w:p>
    <w:p w14:paraId="018F3B48" w14:textId="77777777" w:rsidR="00A320E6" w:rsidRDefault="00000000" w:rsidP="003D4944">
      <w:pPr>
        <w:pStyle w:val="1a"/>
        <w:rPr>
          <w:lang w:eastAsia="zh-Hans"/>
        </w:rPr>
      </w:pPr>
      <w:r>
        <w:rPr>
          <w:rFonts w:hint="eastAsia"/>
          <w:lang w:eastAsia="zh-Hans"/>
        </w:rPr>
        <w:t>10、工作底稿归档</w:t>
      </w:r>
    </w:p>
    <w:p w14:paraId="6EE1F87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10.1 评估报告提交后，应当整理形成评估工作底稿。</w:t>
      </w:r>
    </w:p>
    <w:p w14:paraId="6E0600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10.2 工作底稿应当符合矿业权评估工作底稿规范的规定。</w:t>
      </w:r>
    </w:p>
    <w:p w14:paraId="773E58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10.3 工作底稿归档应当符合矿业权评估档案管理规范的规定。</w:t>
      </w:r>
    </w:p>
    <w:p w14:paraId="2DCF96F6" w14:textId="77777777" w:rsidR="00A320E6" w:rsidRDefault="00000000" w:rsidP="003D4944">
      <w:pPr>
        <w:pStyle w:val="1a"/>
        <w:rPr>
          <w:lang w:eastAsia="zh-Hans"/>
        </w:rPr>
      </w:pPr>
      <w:r>
        <w:rPr>
          <w:rFonts w:hint="eastAsia"/>
          <w:lang w:eastAsia="zh-Hans"/>
        </w:rPr>
        <w:t>11 附则</w:t>
      </w:r>
    </w:p>
    <w:p w14:paraId="0FDF2C5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11.1 本规范由中国矿业权评估师协会负责解释。</w:t>
      </w:r>
    </w:p>
    <w:p w14:paraId="7FB5D3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11.2 本规范自 2008 年 9 月 1 日起施行。</w:t>
      </w:r>
    </w:p>
    <w:p w14:paraId="7D73A563"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39" w:name="_Toc112227437"/>
      <w:r>
        <w:rPr>
          <w:rFonts w:ascii="宋体" w:hAnsi="宋体" w:cs="宋体" w:hint="eastAsia"/>
          <w:b/>
          <w:bCs/>
          <w:sz w:val="24"/>
          <w:lang w:eastAsia="zh-Hans"/>
        </w:rPr>
        <w:t>矿业权评估业务约定书规范</w:t>
      </w:r>
      <w:bookmarkEnd w:id="139"/>
    </w:p>
    <w:p w14:paraId="589CB5C8" w14:textId="77777777" w:rsidR="00A320E6" w:rsidRDefault="00000000" w:rsidP="00AE0286">
      <w:pPr>
        <w:pStyle w:val="a3"/>
        <w:spacing w:line="360" w:lineRule="auto"/>
        <w:ind w:firstLine="482"/>
        <w:jc w:val="center"/>
        <w:rPr>
          <w:rFonts w:ascii="宋体" w:hAnsi="宋体" w:cs="宋体"/>
          <w:sz w:val="24"/>
          <w:lang w:eastAsia="zh-Hans"/>
        </w:rPr>
      </w:pPr>
      <w:r>
        <w:rPr>
          <w:rFonts w:ascii="宋体" w:hAnsi="宋体" w:cs="宋体" w:hint="eastAsia"/>
          <w:b/>
          <w:bCs/>
          <w:sz w:val="24"/>
          <w:lang w:eastAsia="zh-Hans"/>
        </w:rPr>
        <w:t>（CMVS 11100-2008）</w:t>
      </w:r>
    </w:p>
    <w:p w14:paraId="0EF6AC60" w14:textId="77777777" w:rsidR="00A320E6" w:rsidRDefault="00000000" w:rsidP="003D4944">
      <w:pPr>
        <w:pStyle w:val="1a"/>
        <w:rPr>
          <w:lang w:eastAsia="zh-Hans"/>
        </w:rPr>
      </w:pPr>
      <w:r>
        <w:rPr>
          <w:rFonts w:hint="eastAsia"/>
          <w:lang w:eastAsia="zh-Hans"/>
        </w:rPr>
        <w:t xml:space="preserve">1 总则 </w:t>
      </w:r>
    </w:p>
    <w:p w14:paraId="283F95E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矿业权评估业务约定书的签订、履行和其他相关行为，明确矿业权评估机构与委托方及相关当事方的权利和义务，明确矿业权评估业务范围及其他约定事项，维护矿业权评估各方当事人合法权益，根据《中华人民共和国合同法》和《矿业权评估技术基本准则》，制定本规范。 </w:t>
      </w:r>
    </w:p>
    <w:p w14:paraId="2A6572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本规范所称业务约定书，是指评估机构与委托方签订的确认矿业权评估业务委托与受托关系，明确评估目的、评估对象、评估范围、评估基准日、评估服务费、评估报告类型、评估报告提交时间和方式、评估报告使用者和使用方式等评估业务基本事项，约定权利、义务、违约责任和争议解决等内容的书面合同。 </w:t>
      </w:r>
    </w:p>
    <w:p w14:paraId="10DE58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矿业权评估机构受托、注册矿业权评估师执行矿业权评估业务，应当遵守本规范。受托执行与矿业权价值估算相关的其他业务，可以参照本规范。 </w:t>
      </w:r>
    </w:p>
    <w:p w14:paraId="3CF220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1.4 签约双方签订、履行业务约定书，应当遵守相关法律法规和矿业权评估技术基本准则，遵循诚实信用原则，不得损害社会公共利益和第三方利益。 </w:t>
      </w:r>
    </w:p>
    <w:p w14:paraId="2FE48A85" w14:textId="77777777" w:rsidR="00A320E6" w:rsidRDefault="00000000" w:rsidP="003D4944">
      <w:pPr>
        <w:pStyle w:val="1a"/>
        <w:rPr>
          <w:lang w:eastAsia="zh-Hans"/>
        </w:rPr>
      </w:pPr>
      <w:r>
        <w:rPr>
          <w:rFonts w:hint="eastAsia"/>
          <w:lang w:eastAsia="zh-Hans"/>
        </w:rPr>
        <w:t xml:space="preserve">2 业务约定书的签订 </w:t>
      </w:r>
    </w:p>
    <w:p w14:paraId="6DA2D2E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 评估机构受托承担矿业权评估业务，在明确矿业权评估业务基本事项后，与委托方签订评估业务约定书。 </w:t>
      </w:r>
    </w:p>
    <w:p w14:paraId="1A82BA4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政府采购性质的评估业务，其委托书及其他类似书面文件，视同于本规范中的评估业务约定书。但评估机构应明确评估业务基本事项。 </w:t>
      </w:r>
    </w:p>
    <w:p w14:paraId="2431B42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2.2 在签定业务约定书前，应当关注根据法律法规，签约方是否有权委托评估、是否具有委托资格；评估机构应当具有与所承接业务相适应的专业评估资格，并为所承接评估业务配备相应专业胜任能力的注册矿业权评估师和其他评估专业人员。 </w:t>
      </w:r>
    </w:p>
    <w:p w14:paraId="21D9EF8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评估机构不得在业务约定书签订过程中作出超越自身专业胜任能力和影响独立性的承诺；不得对预测和未来事项作出承诺；不应承诺承担相关当事人决策的责任。 </w:t>
      </w:r>
    </w:p>
    <w:p w14:paraId="40C6C4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业务约定书应当由评估机构的法定代表人（执行合伙企业事务的合伙人）或其授权代表人与委托方签订。 </w:t>
      </w:r>
    </w:p>
    <w:p w14:paraId="247F170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2.3 评估机构及参与评估项目的注册矿业权评估师和其他评估专业人员，在签订业务约定书过程中知悉的商业秘密，无论业务约定书是否成立，不得泄漏或者不正当使用。 </w:t>
      </w:r>
    </w:p>
    <w:p w14:paraId="3AA3B64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2.4 评估机构应当将业务约定书存档。</w:t>
      </w:r>
    </w:p>
    <w:p w14:paraId="35945487" w14:textId="77777777" w:rsidR="00A320E6" w:rsidRDefault="00000000" w:rsidP="003D4944">
      <w:pPr>
        <w:pStyle w:val="1a"/>
        <w:rPr>
          <w:lang w:eastAsia="zh-Hans"/>
        </w:rPr>
      </w:pPr>
      <w:r>
        <w:rPr>
          <w:rFonts w:hint="eastAsia"/>
          <w:lang w:eastAsia="zh-Hans"/>
        </w:rPr>
        <w:t xml:space="preserve">3 业务约定书的内容 </w:t>
      </w:r>
    </w:p>
    <w:p w14:paraId="167B82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因评估业务不同可以存在差异，但应当包括以下基本要素： </w:t>
      </w:r>
    </w:p>
    <w:p w14:paraId="1B40CE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签约双方名称、住所、通讯地址、联系方式； </w:t>
      </w:r>
    </w:p>
    <w:p w14:paraId="204B85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评估目的； </w:t>
      </w:r>
    </w:p>
    <w:p w14:paraId="0C472AC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评估对象与评估范围； </w:t>
      </w:r>
    </w:p>
    <w:p w14:paraId="2140FBC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评估基准日； </w:t>
      </w:r>
    </w:p>
    <w:p w14:paraId="5507887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评估服务费总额、支付时间和方式； </w:t>
      </w:r>
    </w:p>
    <w:p w14:paraId="1D0BE7A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评估报告类型及要求； </w:t>
      </w:r>
    </w:p>
    <w:p w14:paraId="6CC377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 评估报告提交时间和方式； </w:t>
      </w:r>
    </w:p>
    <w:p w14:paraId="21BF839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 评估报告使用者和使用方式； </w:t>
      </w:r>
    </w:p>
    <w:p w14:paraId="4B28F38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 当事人的其他权利和义务； </w:t>
      </w:r>
    </w:p>
    <w:p w14:paraId="7D13658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 违约责任和争议解决； </w:t>
      </w:r>
    </w:p>
    <w:p w14:paraId="6C2B8E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签约时间。 </w:t>
      </w:r>
    </w:p>
    <w:p w14:paraId="5DF6E7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业务约定书中载明的评估目的应当惟一，评估目的表述应当明确、清晰。 </w:t>
      </w:r>
    </w:p>
    <w:p w14:paraId="6413E1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评估对象通常表述为探矿权、采矿权，签约双方应当在业务约定书中以恰当方式表述评估对象。 </w:t>
      </w:r>
    </w:p>
    <w:p w14:paraId="69B0109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 业务约定书中载明的评估基准日应当惟一，并符合确定评估基准日指导意见的相关规定。 </w:t>
      </w:r>
    </w:p>
    <w:p w14:paraId="22786E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 业务约定书中应当明确评估服务费总额、支付时间和方式，并明确评估服务费未包括的其他费用项目和承担方式。 </w:t>
      </w:r>
    </w:p>
    <w:p w14:paraId="012A9CD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 业务约定书中应当约定，除法律法规另有规定外，评估报告仅供委托方和业务约定书中明确的其他评估报告使用者使用。 </w:t>
      </w:r>
    </w:p>
    <w:p w14:paraId="5ACEB24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业务约定书中应当约定，除法律法规有规定外，未经委托方许可，评估机构和注册矿业权评估师不应将评估报告及内容向第三方提供或公开。 </w:t>
      </w:r>
    </w:p>
    <w:p w14:paraId="469B0C8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业务约定书中应当约定，除法律法规另有规定外，未征得评估机构同意，委托方不得将评估报告的全部或部分内容在公开媒体上披露。 </w:t>
      </w:r>
    </w:p>
    <w:p w14:paraId="453CE3E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 业务约定书中还应当约定的其他内容： </w:t>
      </w:r>
    </w:p>
    <w:p w14:paraId="4BFFB9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 遵守相关法律法规和矿业权评估准则，对评估对象在评估基准日特定目的下的价值进行分析、估算并发表专业意见，是注册矿业权评估师的责任；提供必要的资料并保证所提供资料的真实性、合法性、完整性，以及恰当使用评估报告是委托方和相关当事方的责任。</w:t>
      </w:r>
    </w:p>
    <w:p w14:paraId="2C72F6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委托方应当为执行约定评估业务的注册矿业权评估师及其他评估专业人员提供必要的工作条件和协助；如果委托方不是矿业权人或矿业权申请人，根据评估业务需要委托方应当就注册矿业权评估师与矿业权人或矿业权申请人之间的协调提供必要协助。 </w:t>
      </w:r>
    </w:p>
    <w:p w14:paraId="5166E7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评估机构应当按约定的时间和方式提交评估报告；委托方应当按约定的时间和方式支付评估服务费。 </w:t>
      </w:r>
    </w:p>
    <w:p w14:paraId="73C2C49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在执行矿业权评估业务过程中受到限制，无法完整执行评估程序，且所受限制对评估结论构成重大影响，注册矿业权评估师可以中止评估业务，并由所在评估机构以书面形式通知委托方。如果委托方等在合理期限内未能排除限制，评估机构可以终止矿业权评估业务，解除业务约定书。 </w:t>
      </w:r>
    </w:p>
    <w:p w14:paraId="11FD9B9F" w14:textId="77777777" w:rsidR="00A320E6" w:rsidRDefault="00000000" w:rsidP="003D4944">
      <w:pPr>
        <w:pStyle w:val="1a"/>
        <w:rPr>
          <w:lang w:eastAsia="zh-Hans"/>
        </w:rPr>
      </w:pPr>
      <w:r>
        <w:rPr>
          <w:rFonts w:hint="eastAsia"/>
          <w:lang w:eastAsia="zh-Hans"/>
        </w:rPr>
        <w:t xml:space="preserve">4 业务约定书的履行和变更 </w:t>
      </w:r>
    </w:p>
    <w:p w14:paraId="4947DB7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签约双方应当按照业务约定书约定全面履行义务。 </w:t>
      </w:r>
    </w:p>
    <w:p w14:paraId="64BBEAC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 业务约定书生效后，签约双方发现相关事项没有约定、约定不明确或发生变化的，可以签订补充协议或重新签订业务约定书。 </w:t>
      </w:r>
    </w:p>
    <w:p w14:paraId="182AC01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业务约定书生效后，评估目的、评估对象、评估基准日、评估报告类型发生变化，或评估范围发生重大变化，评估机构应当要求与委托方签订补充协议或重新签订业务约定书。 </w:t>
      </w:r>
    </w:p>
    <w:p w14:paraId="3B1900FC" w14:textId="77777777" w:rsidR="00A320E6" w:rsidRDefault="00000000" w:rsidP="003D4944">
      <w:pPr>
        <w:pStyle w:val="1a"/>
        <w:rPr>
          <w:lang w:eastAsia="zh-Hans"/>
        </w:rPr>
      </w:pPr>
      <w:r>
        <w:rPr>
          <w:rFonts w:hint="eastAsia"/>
          <w:lang w:eastAsia="zh-Hans"/>
        </w:rPr>
        <w:t xml:space="preserve">5 业务约定书权別和义务的终止 </w:t>
      </w:r>
    </w:p>
    <w:p w14:paraId="4947A5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业务约定书履行完毕或解除，业务约定书权利和义务自行终止。 </w:t>
      </w:r>
    </w:p>
    <w:p w14:paraId="5C9E62E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业务约定书权利和义务终止后，签约双方应当履行与业务约定书终止相关的通知、协助和保密等义务。 </w:t>
      </w:r>
    </w:p>
    <w:p w14:paraId="43460F04" w14:textId="77777777" w:rsidR="00A320E6" w:rsidRDefault="00000000" w:rsidP="003D4944">
      <w:pPr>
        <w:pStyle w:val="1a"/>
        <w:rPr>
          <w:lang w:eastAsia="zh-Hans"/>
        </w:rPr>
      </w:pPr>
      <w:r>
        <w:rPr>
          <w:rFonts w:hint="eastAsia"/>
          <w:lang w:eastAsia="zh-Hans"/>
        </w:rPr>
        <w:t xml:space="preserve">6 违约责仸和争议解决 </w:t>
      </w:r>
    </w:p>
    <w:p w14:paraId="71BADC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签约双方任何一方不履行或者未完全履行业务约定书义务的，应当承担继续履行、采取补救措施或者赔偿损失等违约责任。 </w:t>
      </w:r>
    </w:p>
    <w:p w14:paraId="2897CE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签约双方任何一方因不可抗力无法履行业务约定书的，应当根据不可抗力的影响，部分或者全部免除责任，法律另有规定的除外。签约双方任何一方迟延履行后发生不可抗力的，不能免除责任。 </w:t>
      </w:r>
    </w:p>
    <w:p w14:paraId="62DF11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业务约定书履行过程中产生争议时，签约双方应当按照约定的争议解决方式和地点解决争议。 </w:t>
      </w:r>
    </w:p>
    <w:p w14:paraId="22BB4729" w14:textId="77777777" w:rsidR="00A320E6" w:rsidRDefault="00000000" w:rsidP="003D4944">
      <w:pPr>
        <w:pStyle w:val="1a"/>
        <w:rPr>
          <w:lang w:eastAsia="zh-Hans"/>
        </w:rPr>
      </w:pPr>
      <w:r>
        <w:rPr>
          <w:rFonts w:hint="eastAsia"/>
          <w:lang w:eastAsia="zh-Hans"/>
        </w:rPr>
        <w:t xml:space="preserve">7 附则 </w:t>
      </w:r>
    </w:p>
    <w:p w14:paraId="05A5A74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本规范由中国矿业权评估师协会负责解释。 </w:t>
      </w:r>
    </w:p>
    <w:p w14:paraId="3F0EBE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7.2 本规范自 2008 年 9 月 1 日起施行。</w:t>
      </w:r>
    </w:p>
    <w:p w14:paraId="33AD77C7" w14:textId="77777777" w:rsidR="00A320E6" w:rsidRDefault="00000000" w:rsidP="003D4944">
      <w:pPr>
        <w:pStyle w:val="34"/>
        <w:rPr>
          <w:lang w:eastAsia="zh-Hans"/>
        </w:rPr>
      </w:pPr>
      <w:bookmarkStart w:id="140" w:name="_Toc112227438"/>
      <w:r>
        <w:rPr>
          <w:rFonts w:hint="eastAsia"/>
          <w:lang w:eastAsia="zh-Hans"/>
        </w:rPr>
        <w:t>矿业权评估项目工作底稿规范</w:t>
      </w:r>
      <w:bookmarkEnd w:id="140"/>
    </w:p>
    <w:p w14:paraId="20D8EF00" w14:textId="77777777" w:rsidR="00A320E6" w:rsidRDefault="00000000" w:rsidP="003D4944">
      <w:pPr>
        <w:pStyle w:val="1c"/>
        <w:rPr>
          <w:lang w:eastAsia="zh-Hans"/>
        </w:rPr>
      </w:pPr>
      <w:r>
        <w:rPr>
          <w:rFonts w:hint="eastAsia"/>
          <w:lang w:eastAsia="zh-Hans"/>
        </w:rPr>
        <w:t>（CMVS11200-2010）</w:t>
      </w:r>
    </w:p>
    <w:p w14:paraId="3D55A772" w14:textId="77777777" w:rsidR="00A320E6" w:rsidRDefault="00000000" w:rsidP="003D4944">
      <w:pPr>
        <w:pStyle w:val="1a"/>
        <w:rPr>
          <w:lang w:eastAsia="zh-Hans"/>
        </w:rPr>
      </w:pPr>
      <w:r>
        <w:rPr>
          <w:rFonts w:hint="eastAsia"/>
          <w:lang w:eastAsia="zh-Hans"/>
        </w:rPr>
        <w:t xml:space="preserve">1 总则 </w:t>
      </w:r>
    </w:p>
    <w:p w14:paraId="1A058F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为规范矿业权评估工作底稿的编制和管理，明确矿业权评估执业责任，维护社会公共利益和矿业权评估各方当事人的合法权益，根据《矿业权评估技术基本准则》，制定本规范。 </w:t>
      </w:r>
    </w:p>
    <w:p w14:paraId="624F348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本规范所称矿业权评估项目工作底稿，是注册矿业权评估师在执行矿业权评估业务中形成的，反映评估程序履行情况、支持评估结论的相关依据、记录和资料。 </w:t>
      </w:r>
    </w:p>
    <w:p w14:paraId="13A005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执行矿业权评估业务，应遵守本规范。从事与矿业权价值估算相关的其他业务，可参照本规范。 </w:t>
      </w:r>
    </w:p>
    <w:p w14:paraId="7CF458A7" w14:textId="77777777" w:rsidR="00A320E6" w:rsidRDefault="00000000" w:rsidP="003D4944">
      <w:pPr>
        <w:pStyle w:val="1a"/>
        <w:rPr>
          <w:lang w:eastAsia="zh-Hans"/>
        </w:rPr>
      </w:pPr>
      <w:r>
        <w:rPr>
          <w:rFonts w:hint="eastAsia"/>
          <w:lang w:eastAsia="zh-Hans"/>
        </w:rPr>
        <w:t xml:space="preserve">2 分类 </w:t>
      </w:r>
    </w:p>
    <w:p w14:paraId="44FA0AC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矿业权评估项目工作底稿通常分为管理类工作底稿和操作类工作底稿。 </w:t>
      </w:r>
    </w:p>
    <w:p w14:paraId="477C8E4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管理类工作底稿是指为承接、计划、控制和管理评估项目所形成的行为依据、工作记录及其他相关资料。 </w:t>
      </w:r>
    </w:p>
    <w:p w14:paraId="106AD1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操作类工作底稿是指反映尽职调查、评估参数确定等评估过程的工作记录，取得的产权证明文件、取价依据及收集的其他价值估算依据的相关资料。 </w:t>
      </w:r>
    </w:p>
    <w:p w14:paraId="6CED11F9" w14:textId="77777777" w:rsidR="00A320E6" w:rsidRDefault="00000000" w:rsidP="003D4944">
      <w:pPr>
        <w:pStyle w:val="1a"/>
        <w:rPr>
          <w:lang w:eastAsia="zh-Hans"/>
        </w:rPr>
      </w:pPr>
      <w:r>
        <w:rPr>
          <w:rFonts w:hint="eastAsia"/>
          <w:lang w:eastAsia="zh-Hans"/>
        </w:rPr>
        <w:t xml:space="preserve">3 基本要求 </w:t>
      </w:r>
    </w:p>
    <w:p w14:paraId="5DD77F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注册矿业权评估师在执行矿业权评估业务中，应遵守法律、法规的规定和矿业权评估准则的相关规范，编制和管理矿业权评估项目工作底稿。 </w:t>
      </w:r>
    </w:p>
    <w:p w14:paraId="2F4FEA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矿业权评估项目工作底稿应做到内容真实、要件齐全、格式规范、标识一致、记录清晰完整。 </w:t>
      </w:r>
    </w:p>
    <w:p w14:paraId="27DCFA6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矿业权评估工作底稿的介质形式可以为纸质、电子或其它形式。可以根据评估业务的具体情况合理选择工作底稿的介质形式。采取何种介质形式，都必须满足归档、查询的需要。 </w:t>
      </w:r>
    </w:p>
    <w:p w14:paraId="637ECDC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 注册矿业权评估师可以在反映评估程序、支持评估结论的前提下，根据评估业务的具体情况，合理确定矿业权评估项目工作底稿的繁简程度。 </w:t>
      </w:r>
    </w:p>
    <w:p w14:paraId="12A94A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 在评估业务完成后，注册矿业权评估师应及时整理矿业权评估项目工作底稿并归档。 </w:t>
      </w:r>
    </w:p>
    <w:p w14:paraId="0396FA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矿业权评估项目工作底稿的使用与管理，均应按《矿业权评估技术基本准则》和《矿业权评估档案管理规范》的相关规范使用和管理。 </w:t>
      </w:r>
    </w:p>
    <w:p w14:paraId="521E623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 矿业权评估工作底稿中，由委托方、矿业权人（或矿业权申请人）等相关单位提供的资料或文件应以签章方式确认。 </w:t>
      </w:r>
    </w:p>
    <w:p w14:paraId="72AB3A0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 矿业权评估项目工作底稿应当反映内部审核过程记录。审核人在审核工作底稿时，应当书面表示审核意见并签字。 </w:t>
      </w:r>
    </w:p>
    <w:p w14:paraId="2DDE6BD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3.8 注册矿业权评估师应根据矿业权评估业务特点和工作底稿类别，编制矿业权评估工作底稿目录。 </w:t>
      </w:r>
    </w:p>
    <w:p w14:paraId="48DC31FB" w14:textId="77777777" w:rsidR="00A320E6" w:rsidRDefault="00000000" w:rsidP="003D4944">
      <w:pPr>
        <w:pStyle w:val="1a"/>
        <w:rPr>
          <w:lang w:eastAsia="zh-Hans"/>
        </w:rPr>
      </w:pPr>
      <w:r>
        <w:rPr>
          <w:rFonts w:hint="eastAsia"/>
          <w:lang w:eastAsia="zh-Hans"/>
        </w:rPr>
        <w:t xml:space="preserve">4 矿业权评估项目工作底稿的内容 </w:t>
      </w:r>
    </w:p>
    <w:p w14:paraId="427655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管理类工作底稿通常包括： </w:t>
      </w:r>
    </w:p>
    <w:p w14:paraId="50B46D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评估业务约定书（评估合同书）； </w:t>
      </w:r>
    </w:p>
    <w:p w14:paraId="34EBF0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评估工作计划； </w:t>
      </w:r>
    </w:p>
    <w:p w14:paraId="5A6F9E8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评估业务执行过程中重大问题处理记录； </w:t>
      </w:r>
    </w:p>
    <w:p w14:paraId="072297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评估报告的审核记录； </w:t>
      </w:r>
    </w:p>
    <w:p w14:paraId="5527B5F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评估业务涉及的其他事项的记录。 </w:t>
      </w:r>
    </w:p>
    <w:p w14:paraId="6F7BF0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 操作类工作底稿通常包括： </w:t>
      </w:r>
    </w:p>
    <w:p w14:paraId="00C6A52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尽职调查记录； </w:t>
      </w:r>
    </w:p>
    <w:p w14:paraId="5FB9F7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矿业权权属类文件； </w:t>
      </w:r>
    </w:p>
    <w:p w14:paraId="7C5B7D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地质勘查文件、矿产资源储量报告（含图件）； </w:t>
      </w:r>
    </w:p>
    <w:p w14:paraId="5CE2A9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矿山设计文件； </w:t>
      </w:r>
    </w:p>
    <w:p w14:paraId="7E7CF7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企业财务报告及生产技术经营相关资料； </w:t>
      </w:r>
    </w:p>
    <w:p w14:paraId="1B1F5E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与评估参数确定依据的相关政策性文件； </w:t>
      </w:r>
    </w:p>
    <w:p w14:paraId="1D691EE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 矿产品市场相关信息资料； </w:t>
      </w:r>
    </w:p>
    <w:p w14:paraId="64D249A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 评估参数确定过程记录； </w:t>
      </w:r>
    </w:p>
    <w:p w14:paraId="726029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 评估收集的其他相关资料。 </w:t>
      </w:r>
    </w:p>
    <w:p w14:paraId="6E2D2519" w14:textId="77777777" w:rsidR="00A320E6" w:rsidRDefault="00000000" w:rsidP="003D4944">
      <w:pPr>
        <w:pStyle w:val="1a"/>
        <w:rPr>
          <w:lang w:eastAsia="zh-Hans"/>
        </w:rPr>
      </w:pPr>
      <w:r>
        <w:rPr>
          <w:rFonts w:hint="eastAsia"/>
          <w:lang w:eastAsia="zh-Hans"/>
        </w:rPr>
        <w:t xml:space="preserve">5 附则 </w:t>
      </w:r>
    </w:p>
    <w:p w14:paraId="54F5253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中国矿业权评估师协会根据本规范推举矿业权评估项目工作底稿格式与标识。 </w:t>
      </w:r>
    </w:p>
    <w:p w14:paraId="5BA0C5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本规范由中国矿业权评估师协会负责解释。 </w:t>
      </w:r>
    </w:p>
    <w:p w14:paraId="41C203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5.3 本规范自 2011 年 1 月 1 日起施行。</w:t>
      </w:r>
    </w:p>
    <w:p w14:paraId="4B0340E8"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1" w:name="_Toc112227439"/>
      <w:r>
        <w:rPr>
          <w:rFonts w:ascii="宋体" w:hAnsi="宋体" w:cs="宋体" w:hint="eastAsia"/>
          <w:b/>
          <w:bCs/>
          <w:sz w:val="24"/>
          <w:lang w:eastAsia="zh-Hans"/>
        </w:rPr>
        <w:t>矿业权评估项目档案管理规范</w:t>
      </w:r>
      <w:bookmarkEnd w:id="141"/>
    </w:p>
    <w:p w14:paraId="56DDE6E3" w14:textId="77777777" w:rsidR="00A320E6" w:rsidRDefault="00000000" w:rsidP="00AE0286">
      <w:pPr>
        <w:pStyle w:val="a3"/>
        <w:spacing w:line="360" w:lineRule="auto"/>
        <w:ind w:firstLine="482"/>
        <w:jc w:val="center"/>
        <w:rPr>
          <w:rFonts w:ascii="宋体" w:hAnsi="宋体" w:cs="宋体"/>
          <w:b/>
          <w:bCs/>
          <w:sz w:val="24"/>
          <w:lang w:eastAsia="zh-Hans"/>
        </w:rPr>
      </w:pPr>
      <w:r>
        <w:rPr>
          <w:rFonts w:ascii="宋体" w:hAnsi="宋体" w:cs="宋体" w:hint="eastAsia"/>
          <w:b/>
          <w:bCs/>
          <w:sz w:val="24"/>
          <w:lang w:eastAsia="zh-Hans"/>
        </w:rPr>
        <w:t>（CMVS 11300-2010）</w:t>
      </w:r>
    </w:p>
    <w:p w14:paraId="19EF6DCE" w14:textId="77777777" w:rsidR="00A320E6" w:rsidRDefault="00000000" w:rsidP="003D4944">
      <w:pPr>
        <w:pStyle w:val="1a"/>
        <w:rPr>
          <w:lang w:eastAsia="zh-Hans"/>
        </w:rPr>
      </w:pPr>
      <w:r>
        <w:rPr>
          <w:rFonts w:hint="eastAsia"/>
          <w:lang w:eastAsia="zh-Hans"/>
        </w:rPr>
        <w:t xml:space="preserve">1 总则 </w:t>
      </w:r>
    </w:p>
    <w:p w14:paraId="11543B6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矿业权评估项目档案的管理，促进矿业权评估项目的档案管理工作规范化、标准化和制度化，依据《中华人民共和国档案法》和有关法津、法规的规定，以及《矿业评估技术基本准则》的相关规范，制定本规范。 </w:t>
      </w:r>
    </w:p>
    <w:p w14:paraId="677871E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本规范所称矿业权评估项目档案是指矿业权评估业务中形成的具有保存价值的各种文字、图表和声像等不同形式的记录。 </w:t>
      </w:r>
    </w:p>
    <w:p w14:paraId="12B78D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本规范规定了矿业权评估项目档案的归档、立卷、整理、保管、查阅和鉴定销毁的要求和方法，适用于矿业权评估机构的矿业权评估项目档案管理工作。 </w:t>
      </w:r>
    </w:p>
    <w:p w14:paraId="26AFEFC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1.4 评估机构应建立、健全矿业权评估项目档案管理制度，配置档案管理人员，采用科学方法管理档案，提高档案管理水平。 </w:t>
      </w:r>
    </w:p>
    <w:p w14:paraId="468DBB58" w14:textId="77777777" w:rsidR="00A320E6" w:rsidRDefault="00000000" w:rsidP="003D4944">
      <w:pPr>
        <w:pStyle w:val="1a"/>
        <w:rPr>
          <w:lang w:eastAsia="zh-Hans"/>
        </w:rPr>
      </w:pPr>
      <w:r>
        <w:rPr>
          <w:rFonts w:hint="eastAsia"/>
          <w:lang w:eastAsia="zh-Hans"/>
        </w:rPr>
        <w:t xml:space="preserve">2 归档 </w:t>
      </w:r>
    </w:p>
    <w:p w14:paraId="4658FE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 归档范围。矿业权评估业务中形成的矿业权评估工作底稿、矿业权评估报告、项目管理文件资料等。 </w:t>
      </w:r>
    </w:p>
    <w:p w14:paraId="5F39A4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2.2 归档时间。在评估项目结束后，通常最应自评估报告出具日或取得备案文件之日起 3个月内归档。 </w:t>
      </w:r>
    </w:p>
    <w:p w14:paraId="415FA57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2.3 归档手续。归档前，评估项目组应编制好移交目录，档案管理人员应对评估项目组移交的档案材料逐一清点，检查案卷质量，核对移交目录，并由交接双方在移交目录备考表上履行签字手续。 </w:t>
      </w:r>
    </w:p>
    <w:p w14:paraId="0D5A80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2.4 归档要求。归档案卷应组卷合理，卷内文件材料应完整、精炼。 </w:t>
      </w:r>
    </w:p>
    <w:p w14:paraId="63F7B4F3" w14:textId="77777777" w:rsidR="00A320E6" w:rsidRDefault="00000000" w:rsidP="003D4944">
      <w:pPr>
        <w:pStyle w:val="1a"/>
        <w:rPr>
          <w:lang w:eastAsia="zh-Hans"/>
        </w:rPr>
      </w:pPr>
      <w:r>
        <w:rPr>
          <w:rFonts w:hint="eastAsia"/>
          <w:lang w:eastAsia="zh-Hans"/>
        </w:rPr>
        <w:t xml:space="preserve">3 立卷 </w:t>
      </w:r>
    </w:p>
    <w:p w14:paraId="30E5BE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立卷方法。以评估项目为单元立卷，即一项一卷。不得把两个或两个以上项目的材料合并立卷。跨年度结束的评估项目，也应按项目立卷，案卷应存放于评估报告文号注明的年度。 </w:t>
      </w:r>
    </w:p>
    <w:p w14:paraId="78DC11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案卷编目。案卷编目的主要内容包括案卷封面、案卷标题、卷内文件目录等。 </w:t>
      </w:r>
    </w:p>
    <w:p w14:paraId="2D89DB15" w14:textId="77777777" w:rsidR="00A320E6" w:rsidRDefault="00000000" w:rsidP="003D4944">
      <w:pPr>
        <w:pStyle w:val="1a"/>
        <w:rPr>
          <w:lang w:eastAsia="zh-Hans"/>
        </w:rPr>
      </w:pPr>
      <w:r>
        <w:rPr>
          <w:rFonts w:hint="eastAsia"/>
          <w:lang w:eastAsia="zh-Hans"/>
        </w:rPr>
        <w:t xml:space="preserve">4 整理 </w:t>
      </w:r>
    </w:p>
    <w:p w14:paraId="1CA682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评估机构可自行选择档案的分类方法。但只能采用一种分类方法，不能同时采用两种以上的分类方法。 </w:t>
      </w:r>
    </w:p>
    <w:p w14:paraId="3ADCF87A" w14:textId="77777777" w:rsidR="00A320E6" w:rsidRDefault="00000000" w:rsidP="003D4944">
      <w:pPr>
        <w:pStyle w:val="1a"/>
        <w:rPr>
          <w:lang w:eastAsia="zh-Hans"/>
        </w:rPr>
      </w:pPr>
      <w:r>
        <w:rPr>
          <w:rFonts w:hint="eastAsia"/>
          <w:lang w:eastAsia="zh-Hans"/>
        </w:rPr>
        <w:t xml:space="preserve">5 保管 </w:t>
      </w:r>
    </w:p>
    <w:p w14:paraId="4A352B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保管要求。为保护各方当事人的利益，矿业权评估机构必须加强档案保管工作，确保档案不丢失、不泄密。 </w:t>
      </w:r>
    </w:p>
    <w:p w14:paraId="74C062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保管期限。保管期限分为 5 年、10 年两种。 </w:t>
      </w:r>
    </w:p>
    <w:p w14:paraId="1396EE2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矿业权价款、证券业务抵押贷款及纠纷等评估项目的档案保管期限为 10 年，其他评估项目的档案保管期限为 5 年。国家法律、法规另有规定的从其规定。 </w:t>
      </w:r>
    </w:p>
    <w:p w14:paraId="203B1D85" w14:textId="77777777" w:rsidR="00A320E6" w:rsidRDefault="00000000" w:rsidP="003D4944">
      <w:pPr>
        <w:pStyle w:val="1a"/>
        <w:rPr>
          <w:lang w:eastAsia="zh-Hans"/>
        </w:rPr>
      </w:pPr>
      <w:r>
        <w:rPr>
          <w:rFonts w:hint="eastAsia"/>
          <w:lang w:eastAsia="zh-Hans"/>
        </w:rPr>
        <w:t xml:space="preserve">6 查阅 </w:t>
      </w:r>
    </w:p>
    <w:p w14:paraId="16E838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矿业权评估项目档案的外部查阅，除下列情形外，须经委托方和立档单位的同意： </w:t>
      </w:r>
    </w:p>
    <w:p w14:paraId="65CC87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司法部门按法定程序进行的查阅； </w:t>
      </w:r>
    </w:p>
    <w:p w14:paraId="7280B74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有权审核和检查评估项目的政府管理部门进行的查阅； </w:t>
      </w:r>
    </w:p>
    <w:p w14:paraId="4F02FEA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行业自律组织对执业质量进行检查，以及受司法、行政部门或当事人委托对评估报告组织鉴定的查阅； </w:t>
      </w:r>
    </w:p>
    <w:p w14:paraId="40F0E0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其他依法可以查阅的情形。 </w:t>
      </w:r>
    </w:p>
    <w:p w14:paraId="73CF5AA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查阅档案的单位和个人，必须按规定履行借阅登记手续，严格遵守登记、审批和复制制度。 </w:t>
      </w:r>
    </w:p>
    <w:p w14:paraId="74D6EC39" w14:textId="77777777" w:rsidR="00A320E6" w:rsidRDefault="00000000" w:rsidP="003D4944">
      <w:pPr>
        <w:pStyle w:val="1a"/>
        <w:rPr>
          <w:lang w:eastAsia="zh-Hans"/>
        </w:rPr>
      </w:pPr>
      <w:r>
        <w:rPr>
          <w:rFonts w:hint="eastAsia"/>
          <w:lang w:eastAsia="zh-Hans"/>
        </w:rPr>
        <w:t xml:space="preserve">7 鉴定销毁 </w:t>
      </w:r>
    </w:p>
    <w:p w14:paraId="743142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矿业权评估项目档案超过规定保存期限需要销毁的，评估机构应对其进行鉴定。拟销毁的评估档案的鉴定，应由评估机构负责人主持，与档案管理人员和评估人员组成鉴定小组进行逐卷审查。对需要延长保管期限的档案，由鉴定小组提出调整保管期限的具体意见。 </w:t>
      </w:r>
    </w:p>
    <w:p w14:paraId="20C7F26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7.2 对经鉴定需销毁的评估档案，应清点核对，登记造册，经评估机构法定代表人批准后销毁。销毁档案应派专人监销。销毁清册及监销报告应由经手人签字后立卷归档。 </w:t>
      </w:r>
    </w:p>
    <w:p w14:paraId="31AB798A" w14:textId="77777777" w:rsidR="00A320E6" w:rsidRDefault="00000000" w:rsidP="003D4944">
      <w:pPr>
        <w:pStyle w:val="1a"/>
        <w:rPr>
          <w:lang w:eastAsia="zh-Hans"/>
        </w:rPr>
      </w:pPr>
      <w:r>
        <w:rPr>
          <w:rFonts w:hint="eastAsia"/>
          <w:lang w:eastAsia="zh-Hans"/>
        </w:rPr>
        <w:t xml:space="preserve">8 附则 </w:t>
      </w:r>
    </w:p>
    <w:p w14:paraId="1A62835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8.1 本规范由中国矿业权评估师协会负责解释。 </w:t>
      </w:r>
    </w:p>
    <w:p w14:paraId="5055832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8.2 本规范自 2011 年 1 月 1 日起施行。</w:t>
      </w:r>
    </w:p>
    <w:p w14:paraId="7B94AA15"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2" w:name="_Toc112227440"/>
      <w:r>
        <w:rPr>
          <w:rFonts w:ascii="宋体" w:hAnsi="宋体" w:cs="宋体" w:hint="eastAsia"/>
          <w:b/>
          <w:bCs/>
          <w:sz w:val="24"/>
          <w:lang w:eastAsia="zh-Hans"/>
        </w:rPr>
        <w:t>矿业权评估报告编制规范</w:t>
      </w:r>
      <w:bookmarkEnd w:id="142"/>
    </w:p>
    <w:p w14:paraId="114DD5B4" w14:textId="77777777" w:rsidR="00A320E6" w:rsidRDefault="00000000" w:rsidP="003D4944">
      <w:pPr>
        <w:pStyle w:val="1c"/>
        <w:rPr>
          <w:lang w:eastAsia="zh-Hans"/>
        </w:rPr>
      </w:pPr>
      <w:r>
        <w:rPr>
          <w:rFonts w:hint="eastAsia"/>
          <w:lang w:eastAsia="zh-Hans"/>
        </w:rPr>
        <w:t>（CMVS 11400-2008）</w:t>
      </w:r>
    </w:p>
    <w:p w14:paraId="720C076B" w14:textId="77777777" w:rsidR="00A320E6" w:rsidRDefault="00000000" w:rsidP="003D4944">
      <w:pPr>
        <w:pStyle w:val="1a"/>
        <w:rPr>
          <w:lang w:eastAsia="zh-Hans"/>
        </w:rPr>
      </w:pPr>
      <w:r>
        <w:rPr>
          <w:rFonts w:hint="eastAsia"/>
          <w:lang w:eastAsia="zh-Hans"/>
        </w:rPr>
        <w:t xml:space="preserve">1 总则 </w:t>
      </w:r>
    </w:p>
    <w:p w14:paraId="52859A7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为规范注册矿业权评估师编制和矿业权评估机构出具矿业权评估报告，维护社会公共利益和矿业权评估相关当事人合法权益，根据《矿业权评估技术基本准则》，制定本规范。 </w:t>
      </w:r>
    </w:p>
    <w:p w14:paraId="6A82C3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本规范所称矿业权评估报告，是指注册矿业权评估师根据矿业权评估准则的要求，在履行矿业权评估程序后，对评估对象在评估基准日特定目的下的价值发表的、由其所在评估机构出具的书面专业意见。 </w:t>
      </w:r>
    </w:p>
    <w:p w14:paraId="3595FF8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编制和出具矿业权评估报告，应当遵守本规范。执行与矿业权价值估算相关的其他业务，可以参照本规范编写和出具书面专业意见。 </w:t>
      </w:r>
    </w:p>
    <w:p w14:paraId="567799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1.4 执行矿业权评估业务过程中，部分评估程序受到限制，且所受限制对评估结论构成重大影响，委托方和相关当事方在报告出具前未能排除或未能完全排除限制，可以出具限制使用性质的矿业权评估咨询报告，并在报告中披露其使用限制条件，以及可能对评估结论造成的影响。 </w:t>
      </w:r>
    </w:p>
    <w:p w14:paraId="453D599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矿业权评估咨询报告仅供委托方和报告使用者了解矿业权价值，不能用于产权交易、工记、融资等用途。 </w:t>
      </w:r>
    </w:p>
    <w:p w14:paraId="5DA235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1.5 执行矿业权评估业务过程中，部分评估程序受到限制，且所受限制无法得出合理结论，委托方和相关当事方在报告出具前未能排除或未能完全排除限制的前提下，可以拒绝出具矿业权评估报告和矿业权评估咨询报告。 </w:t>
      </w:r>
    </w:p>
    <w:p w14:paraId="32F0BB3B" w14:textId="77777777" w:rsidR="00A320E6" w:rsidRDefault="00000000" w:rsidP="003D4944">
      <w:pPr>
        <w:pStyle w:val="1a"/>
        <w:rPr>
          <w:lang w:eastAsia="zh-Hans"/>
        </w:rPr>
      </w:pPr>
      <w:r>
        <w:rPr>
          <w:rFonts w:hint="eastAsia"/>
          <w:lang w:eastAsia="zh-Hans"/>
        </w:rPr>
        <w:t xml:space="preserve">2 基本要求 </w:t>
      </w:r>
    </w:p>
    <w:p w14:paraId="584B9A6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 矿业权评估报告内容应全面、客观、准确和概括。 </w:t>
      </w:r>
    </w:p>
    <w:p w14:paraId="6770393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2.1.1 全面性：完整反映评估中所获取的有限事实以及根据所获取的有限事实进行合理推断的过程和结论。评估报告内容和相关附件资料应齐全、配套、有效。 </w:t>
      </w:r>
    </w:p>
    <w:p w14:paraId="574ECE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2.1.2 客观性：对影响和决定评估价值的因素进行客观陈述、分析，得出的评估结论应当有充分依据。 </w:t>
      </w:r>
    </w:p>
    <w:p w14:paraId="054F9D2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2.1.3 准确性：按照矿业权评估准则有关术语和定义编制评估报告，用语应力求准确，不得使用模棱两可或易生误解的文字，对未经查实的事项应如实披露，对难以确定的事项应客观说明是事项本身及其对评估结论可能产生的影响。 </w:t>
      </w:r>
    </w:p>
    <w:p w14:paraId="5A4CB31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2.1.4 概括性：用简洁的文字对必需内容进行概括，对获得的资料应在科学鉴别与分析的基础上进行筛选，选择典型、有代表性、能反映事实本质特征的资料来源说明情况和表达观点。 </w:t>
      </w:r>
    </w:p>
    <w:p w14:paraId="4B7E5B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2.2 注册矿业权评估师应当清晰、准确地陈述矿业权评估报告内容，不得使用含有歧义和误导性的表述。 </w:t>
      </w:r>
    </w:p>
    <w:p w14:paraId="497A030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2.3 注册矿业权评估师应当在矿业权评估报告中提供必要信息，使矿业权评估报告使用者能够合理理解评估结论。 </w:t>
      </w:r>
    </w:p>
    <w:p w14:paraId="68D33D2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2.4 注册矿业权评估师执行矿业权评估业务,可以根据评估对象的复杂程度、委托方要求，合理确定矿业权评估报告的详略程度。 </w:t>
      </w:r>
    </w:p>
    <w:p w14:paraId="0ADD9C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2.5 矿业权评估报告应该明确报告的使用者，矿业权评估报告使用者主要包括委托方、业务约定书中约定的其他矿业权评估报告使用者和国家法律法规规定的矿业权评估报告使用者。 </w:t>
      </w:r>
    </w:p>
    <w:p w14:paraId="72BED9C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2.6 矿业权评估报告通常使用中文撰写，需同时出具外文矿业权评估报告的，以中文为准。 </w:t>
      </w:r>
    </w:p>
    <w:p w14:paraId="1EB55B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2.7 矿业权评估结果一般以人民币为计量币种，需要使用外币表示的，应注明币种及与人民币在评估基准日的汇率。 </w:t>
      </w:r>
    </w:p>
    <w:p w14:paraId="2E7388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2.8 矿业权评估报告，应按确定评估基准日指导意见的相关规定，披露相关日期。 </w:t>
      </w:r>
    </w:p>
    <w:p w14:paraId="2153C9FC" w14:textId="77777777" w:rsidR="00A320E6" w:rsidRDefault="00000000" w:rsidP="003D4944">
      <w:pPr>
        <w:pStyle w:val="1a"/>
        <w:rPr>
          <w:lang w:eastAsia="zh-Hans"/>
        </w:rPr>
      </w:pPr>
      <w:r>
        <w:rPr>
          <w:rFonts w:hint="eastAsia"/>
          <w:lang w:eastAsia="zh-Hans"/>
        </w:rPr>
        <w:t xml:space="preserve">3 矿业权评估报告的基本内容 </w:t>
      </w:r>
    </w:p>
    <w:p w14:paraId="267894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矿业权评估报告应当包括以下基本内容： </w:t>
      </w:r>
    </w:p>
    <w:p w14:paraId="7AD85A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矿业权评估报告名称及文号； </w:t>
      </w:r>
    </w:p>
    <w:p w14:paraId="59098C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摘要； </w:t>
      </w:r>
    </w:p>
    <w:p w14:paraId="5E5B39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正文： </w:t>
      </w:r>
    </w:p>
    <w:p w14:paraId="6CA9BE4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a.评估机构的名称、地址等 </w:t>
      </w:r>
    </w:p>
    <w:p w14:paraId="46F5C0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b.委托方概况 </w:t>
      </w:r>
    </w:p>
    <w:p w14:paraId="5CE006D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c.矿业权人（或矿业权申请人）概况 </w:t>
      </w:r>
    </w:p>
    <w:p w14:paraId="19736C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d.评估目的 </w:t>
      </w:r>
    </w:p>
    <w:p w14:paraId="7C118BE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e.评估对象和评估范围 </w:t>
      </w:r>
    </w:p>
    <w:p w14:paraId="4830B50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f.评估基准卵 </w:t>
      </w:r>
    </w:p>
    <w:p w14:paraId="0F9E53B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g.评估依据 </w:t>
      </w:r>
    </w:p>
    <w:p w14:paraId="47FE82D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h.矿产资源勘查和开发概况 </w:t>
      </w:r>
    </w:p>
    <w:p w14:paraId="09EDAF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i.评估实施过卼 </w:t>
      </w:r>
    </w:p>
    <w:p w14:paraId="7E6CA2E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j.评估方法 </w:t>
      </w:r>
    </w:p>
    <w:p w14:paraId="28B158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k.评估参数的确定 </w:t>
      </w:r>
    </w:p>
    <w:p w14:paraId="3698FF9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l.评估假设 </w:t>
      </w:r>
    </w:p>
    <w:p w14:paraId="269343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m.评估结论 </w:t>
      </w:r>
    </w:p>
    <w:p w14:paraId="7AA22B7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24矿业权评估报告编制规范（CMVS 11400-2008） </w:t>
      </w:r>
    </w:p>
    <w:p w14:paraId="3A6AA0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n.特别事项说明 </w:t>
      </w:r>
    </w:p>
    <w:p w14:paraId="27932C5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o.矿业权评估报告使用限制 </w:t>
      </w:r>
    </w:p>
    <w:p w14:paraId="5418E51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p.评估机构和注册矿业权评估师签字、盖章 </w:t>
      </w:r>
    </w:p>
    <w:p w14:paraId="5A18806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q.矿业权评估报告日 </w:t>
      </w:r>
    </w:p>
    <w:p w14:paraId="79022D2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附表； </w:t>
      </w:r>
    </w:p>
    <w:p w14:paraId="638C28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附件。 </w:t>
      </w:r>
    </w:p>
    <w:p w14:paraId="12E8B18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矿业权评估报告的名称一般包含以下主题词： </w:t>
      </w:r>
    </w:p>
    <w:p w14:paraId="03EF03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勘查项目名称或矿山名称； </w:t>
      </w:r>
    </w:p>
    <w:p w14:paraId="03622F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探矿权或采矿权； </w:t>
      </w:r>
    </w:p>
    <w:p w14:paraId="68D2A9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评估报告。 </w:t>
      </w:r>
    </w:p>
    <w:p w14:paraId="74B1A5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矿业权评估报告文号应简明，并反映评估机构特征字及年序。 </w:t>
      </w:r>
    </w:p>
    <w:p w14:paraId="5E2049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矿业权评估报告摘要应当提供矿业权评估报告的主要信息，方便报告使用者使用。摘要应由评估机构盖章和法定代表人（执行合伙企业事务的合伙人）、注册矿业权评估师签字。摘要具有和矿业权评估报告正文同等的法律效力。 </w:t>
      </w:r>
    </w:p>
    <w:p w14:paraId="17BFFA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 矿业权评估报告正文内容应满足如下要求： </w:t>
      </w:r>
    </w:p>
    <w:p w14:paraId="3AF474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矿业权评估报告应说明评估机构名称全称、有效资格证书等。 </w:t>
      </w:r>
    </w:p>
    <w:p w14:paraId="4F1DFEB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矿业权评估报告应介绍委托方的名称、企业类型等简要情况。 </w:t>
      </w:r>
    </w:p>
    <w:p w14:paraId="4CC0B4E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矿业权评估报告应介绍矿业权人或矿业权申请人的注册地址、注册号、注册资金、企业类型、法定代表人、经营范围等。 </w:t>
      </w:r>
    </w:p>
    <w:p w14:paraId="17E8CB4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简述矿床勘查、矿山建设规划或矿山建设和生产经营等基本情况。简述矿业权取得时间、方式和以往矿业权价款或价值评估、处置或交易等情况。 </w:t>
      </w:r>
    </w:p>
    <w:p w14:paraId="58CB0F9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矿业权评估报告中应载明评估目的，评估目的应当惟一，表述应当明确、清晰，并注明为满足报告使用者的何种需要。 </w:t>
      </w:r>
    </w:p>
    <w:p w14:paraId="012252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矿业权评估报告应依据有效的勘查许可证、采矿许可证或者矿业权出让管理机关划定矿区范围批复文件或者矿业权管理机关委托评估范围文件，分别介绍评估对象和评估范围。探矿权主要包括：勘查许可证号、探矿权人、勘查项目名称、勘查范围、各拐点地理坐标、勘查面积、有效期限等。 </w:t>
      </w:r>
    </w:p>
    <w:p w14:paraId="1CBA29C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采矿权主要包括：采矿许可证号、采矿权人、矿山名称、开采矿种、开采方式、生产规模、矿区面积、有效期限、各拐点地理坐标、开采深度等。 </w:t>
      </w:r>
    </w:p>
    <w:p w14:paraId="2CE1B0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矿业权评估报告应当载明评估基准日，并与业务约定书约定的评估基准日一致。 </w:t>
      </w:r>
    </w:p>
    <w:p w14:paraId="694C6B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 矿业权评估报告应说明评估遵循的法律法规、评估准则、经济行为依据、权属依据、取价依据以及所引用的专业报告等，评估依据披露应当准确、清晰。 </w:t>
      </w:r>
    </w:p>
    <w:p w14:paraId="33CC38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 矿业权评估报告应描述评估对象的矿产资源勘查和开发概况： </w:t>
      </w:r>
    </w:p>
    <w:p w14:paraId="3C9AF5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a.勘查区或矿区位置和交通、自然地理与经济概况。 </w:t>
      </w:r>
    </w:p>
    <w:p w14:paraId="1FC8B4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b.勘查区或矿区地质工作概况及所取得的地质勘查成果。 </w:t>
      </w:r>
    </w:p>
    <w:p w14:paraId="71D371E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c.勘查区或矿区地质概况。重点说明勘查区或矿区地层、构造、岩浆岩、围岩蚀变情况等。 </w:t>
      </w:r>
    </w:p>
    <w:p w14:paraId="57C55C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d.矿产资源概况。重点说明矿床特征、矿体特征、矿石质量和矿石加工技术性能等。 </w:t>
      </w:r>
    </w:p>
    <w:p w14:paraId="49729E0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e.矿床开采技术条件。 </w:t>
      </w:r>
    </w:p>
    <w:p w14:paraId="4D2686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f.勘查区勘查现状或矿山开发利用现状。 </w:t>
      </w:r>
    </w:p>
    <w:p w14:paraId="59F39FC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 矿业权评估报告应按矿业权评估程序规范的要求，说明评估程序实施的基本内容。 </w:t>
      </w:r>
    </w:p>
    <w:p w14:paraId="7245C4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 矿业权评估报告应说明评估方法选择的依据和理由，并列示主要计算公式。 </w:t>
      </w:r>
    </w:p>
    <w:p w14:paraId="797E0A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矿业权评估报告应说明评估参数确定选取情况，基本要点如下： </w:t>
      </w:r>
    </w:p>
    <w:p w14:paraId="73658E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a.简述所依据或参考资料的来源或出处。 </w:t>
      </w:r>
    </w:p>
    <w:p w14:paraId="1A22CCF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b.各评估参数选取、确定的原则、依据、确定（计算）过程和结果。计算的评估参数，需列示计算公式和计算结果。 </w:t>
      </w:r>
    </w:p>
    <w:p w14:paraId="441D2E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c.引用专业报告（或专业意见）确定评估参数，应说明专业报告的名称、形成时间、结论等主要情况。对引用专业报告参数进行调整确定评估参数，应说明其调整过程。 </w:t>
      </w:r>
    </w:p>
    <w:p w14:paraId="2E8886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d.利用专家协助确定评估参数，应说明专家的数量、专业及资格、专家工作过程、结论等主要情况，并说明对其检查、汇总以及分析的过程。 </w:t>
      </w:r>
    </w:p>
    <w:p w14:paraId="469A830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矿业权评估报告应说明评估假设及其对所形成评估结论的影响。 </w:t>
      </w:r>
    </w:p>
    <w:p w14:paraId="30A185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(13) 矿业权评估报告应当以文字与数字的形式表示评估结论。 </w:t>
      </w:r>
    </w:p>
    <w:p w14:paraId="3F8D3C2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(14) 注册矿业权评估师应当对认为需要说明的特别事项，以及可能影响评估结论但非注册矿业权评估师执业水平和能力所能完成的事项，在矿业权评估报告应进行客观说明，重点提请矿业权评估报告使用者关注其可能对评估结论产生的影响。 </w:t>
      </w:r>
    </w:p>
    <w:p w14:paraId="284A6E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特别事项通常包括： </w:t>
      </w:r>
    </w:p>
    <w:p w14:paraId="4A8D64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a.产权瑕疵； </w:t>
      </w:r>
    </w:p>
    <w:p w14:paraId="2D59CCE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b.或有事项（包括未决事项、法律纠纷等）； </w:t>
      </w:r>
    </w:p>
    <w:p w14:paraId="69177D8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c.引用专业报告（或专业意见）、利用专家协助工作； </w:t>
      </w:r>
    </w:p>
    <w:p w14:paraId="4537B7A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d.不确定因素对评估结论的影响； </w:t>
      </w:r>
    </w:p>
    <w:p w14:paraId="058D55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e.委托方的特殊要求； </w:t>
      </w:r>
    </w:p>
    <w:p w14:paraId="1A0527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f.对受客观条件限制未履行必要评估程序所采取的有关措施； </w:t>
      </w:r>
    </w:p>
    <w:p w14:paraId="52B6CD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g.提请报告使用者应根据国家法律法规的有关规定，正确理解并合理使用矿业权评估报告，否则，评估机构和注册矿业权评估师不承担相应的法律责任； </w:t>
      </w:r>
    </w:p>
    <w:p w14:paraId="49F0A3B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h.尽职调查过程中，注册矿业权评估师未开展的、超出评估专业范畴的工作； </w:t>
      </w:r>
    </w:p>
    <w:p w14:paraId="2FC4F81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i.委托方要求执行的、超出评估规范要求和注册矿业权评估师专业范畴的工作； </w:t>
      </w:r>
    </w:p>
    <w:p w14:paraId="326EAA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j.评估依据资料的真实性、完整性和合法性对评估结论影响； </w:t>
      </w:r>
    </w:p>
    <w:p w14:paraId="5A8C0AA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k.其他认为需要说明的事项。 </w:t>
      </w:r>
    </w:p>
    <w:p w14:paraId="4981B5A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(15) 矿业权评估报告的所有权属于委托方，但矿业权评估报告中应说明矿业权评估报告的使用限制，通常包括： </w:t>
      </w:r>
    </w:p>
    <w:p w14:paraId="1023CE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a.矿业权评估报告只能由在业务约定书中载明的矿业权评估报告使用者使用； </w:t>
      </w:r>
    </w:p>
    <w:p w14:paraId="48B882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b.矿业权评估报告只能服务于矿业权评估报告中载明的评估目的； </w:t>
      </w:r>
    </w:p>
    <w:p w14:paraId="696A52A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c.除法律法规规定以及相关当事方另有约定外，未征得矿业权评估机构同意，矿业权评估报告的全部或部分内容不得被摘抄、引用或披露于公开媒体。 </w:t>
      </w:r>
    </w:p>
    <w:p w14:paraId="2EF0C1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(16) 矿业权评估报告应当由两名注册矿业权评估师及评估机构法定代表人（执行合伙企业事务的合伙人）签字，并由评估机构盖章出具。 </w:t>
      </w:r>
    </w:p>
    <w:p w14:paraId="6549C07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(17) 矿业权评估报告应按确定评估基准日指导意见的有关要求载明矿业权评估报告日。 </w:t>
      </w:r>
    </w:p>
    <w:p w14:paraId="5969106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 矿业权评估报告附件一般包括： </w:t>
      </w:r>
    </w:p>
    <w:p w14:paraId="2EA85A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评估对象所涉及的权属证明资料； </w:t>
      </w:r>
    </w:p>
    <w:p w14:paraId="0BA6A0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委托方和相关当事方的承诺函； </w:t>
      </w:r>
    </w:p>
    <w:p w14:paraId="1258C6D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评估机构资质及本项目签字注册矿业权评估师资格； </w:t>
      </w:r>
    </w:p>
    <w:p w14:paraId="72D1AF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其他相关资料等。 </w:t>
      </w:r>
    </w:p>
    <w:p w14:paraId="7140E9D5" w14:textId="77777777" w:rsidR="00A320E6" w:rsidRDefault="00000000" w:rsidP="003D4944">
      <w:pPr>
        <w:pStyle w:val="1a"/>
        <w:rPr>
          <w:lang w:eastAsia="zh-Hans"/>
        </w:rPr>
      </w:pPr>
      <w:r>
        <w:rPr>
          <w:rFonts w:hint="eastAsia"/>
          <w:lang w:eastAsia="zh-Hans"/>
        </w:rPr>
        <w:t xml:space="preserve">4 矿业权评估咨询报告 </w:t>
      </w:r>
    </w:p>
    <w:p w14:paraId="62577D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出具限制使用性质的矿业权评估咨询报告，应在评估咨询报告中提示委托方及报告使用者，其结论作为参考依据的适用性不同于价值评估结论，仅供委托方了解矿业权的价值。 </w:t>
      </w:r>
    </w:p>
    <w:p w14:paraId="518995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 矿业权评估咨询应按照本规范要求编制和出具。 </w:t>
      </w:r>
    </w:p>
    <w:p w14:paraId="264A5DD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附则 </w:t>
      </w:r>
    </w:p>
    <w:p w14:paraId="0DFF2E1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中国矿业权评估师协会根据本规范推荐矿业评估报告参考格式。 </w:t>
      </w:r>
    </w:p>
    <w:p w14:paraId="1198F8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本规范由中国矿业权评估师协会负责解释。 </w:t>
      </w:r>
    </w:p>
    <w:p w14:paraId="3470418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5.3 本规范自 2008 年 9 月 1 日起施行。</w:t>
      </w:r>
    </w:p>
    <w:p w14:paraId="518E5366" w14:textId="77777777" w:rsidR="00A320E6" w:rsidRDefault="00000000" w:rsidP="00EC761E">
      <w:pPr>
        <w:pStyle w:val="27"/>
        <w:rPr>
          <w:lang w:eastAsia="zh-Hans"/>
        </w:rPr>
      </w:pPr>
      <w:bookmarkStart w:id="143" w:name="_Toc112227441"/>
      <w:r>
        <w:rPr>
          <w:rFonts w:hint="eastAsia"/>
          <w:lang w:eastAsia="zh-Hans"/>
        </w:rPr>
        <w:t>评估方法规范</w:t>
      </w:r>
      <w:bookmarkEnd w:id="143"/>
    </w:p>
    <w:p w14:paraId="5C223FDA"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4" w:name="_Toc112227442"/>
      <w:r>
        <w:rPr>
          <w:rFonts w:ascii="宋体" w:hAnsi="宋体" w:cs="宋体" w:hint="eastAsia"/>
          <w:b/>
          <w:bCs/>
          <w:sz w:val="24"/>
          <w:lang w:eastAsia="zh-Hans"/>
        </w:rPr>
        <w:t>收益途径评估方法规范</w:t>
      </w:r>
      <w:bookmarkEnd w:id="144"/>
    </w:p>
    <w:p w14:paraId="28F87932" w14:textId="77777777" w:rsidR="00A320E6" w:rsidRDefault="00000000" w:rsidP="003D4944">
      <w:pPr>
        <w:pStyle w:val="1c"/>
        <w:rPr>
          <w:lang w:eastAsia="zh-Hans"/>
        </w:rPr>
      </w:pPr>
      <w:r>
        <w:rPr>
          <w:rFonts w:hint="eastAsia"/>
          <w:lang w:eastAsia="zh-Hans"/>
        </w:rPr>
        <w:t>（CMVS 12100-2008）</w:t>
      </w:r>
    </w:p>
    <w:p w14:paraId="5F4E3553" w14:textId="77777777" w:rsidR="00A320E6" w:rsidRDefault="00000000" w:rsidP="003D4944">
      <w:pPr>
        <w:pStyle w:val="1a"/>
        <w:rPr>
          <w:lang w:eastAsia="zh-Hans"/>
        </w:rPr>
      </w:pPr>
      <w:r>
        <w:rPr>
          <w:rFonts w:hint="eastAsia"/>
          <w:lang w:eastAsia="zh-Hans"/>
        </w:rPr>
        <w:t xml:space="preserve">1 目的 </w:t>
      </w:r>
    </w:p>
    <w:p w14:paraId="566099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为规范注册矿业权评估师采用收益途径进行矿业权评估的方法和程序，保证执业质量，根据《矿业权评估技术基本准则》，制定本规范。 </w:t>
      </w:r>
    </w:p>
    <w:p w14:paraId="52FD0A35" w14:textId="77777777" w:rsidR="00A320E6" w:rsidRDefault="00000000" w:rsidP="003D4944">
      <w:pPr>
        <w:pStyle w:val="1a"/>
        <w:rPr>
          <w:lang w:eastAsia="zh-Hans"/>
        </w:rPr>
      </w:pPr>
      <w:r>
        <w:rPr>
          <w:rFonts w:hint="eastAsia"/>
          <w:lang w:eastAsia="zh-Hans"/>
        </w:rPr>
        <w:t xml:space="preserve">2 定义 </w:t>
      </w:r>
    </w:p>
    <w:p w14:paraId="507D848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为本规范需要，使用如下定义： </w:t>
      </w:r>
    </w:p>
    <w:p w14:paraId="7A52BAE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收益途径，是基于预期收益原则和效用原则，通过计算待估矿业权所对应的矿产资源储量开发获得预期收益的现值，估算待估矿业权价值的技术路径。是一类评估方法的总称。 </w:t>
      </w:r>
    </w:p>
    <w:p w14:paraId="52D964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本规范，收益途径评估方法包括折现现金流量法、折现剩余现金流量法、剩余利润法、收入权益法和折现现金流量风险系数调整法五种。 </w:t>
      </w:r>
    </w:p>
    <w:p w14:paraId="78F12C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预期收益，是矿业权所对应矿产资源储量开发所获得的收益额。本规范，预期收益通过净现金流量（剩余净现金流量）、销售收入、净利润指标表示。 </w:t>
      </w:r>
    </w:p>
    <w:p w14:paraId="574C198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预期收益年限，是指矿业权所对应矿产资源储量开发的收益年限。 </w:t>
      </w:r>
    </w:p>
    <w:p w14:paraId="1D7C35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评估计算年限，是矿业权价值估算中确定的年限。包括后续勘查年限（评估基准日后需地质勘查工作的期限）、建设期（拟建、在建、改扩建矿山）及评估确定的矿山生产年限。 </w:t>
      </w:r>
    </w:p>
    <w:p w14:paraId="412B80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投资收益，是指在矿业权评估计算年限内，投资应获得的合理报酬。 </w:t>
      </w:r>
    </w:p>
    <w:p w14:paraId="3CDD77D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折现率，是指将预期收益折算成现值的比率。折现率与收益口径密切相关。 </w:t>
      </w:r>
    </w:p>
    <w:p w14:paraId="174ABD76" w14:textId="77777777" w:rsidR="00A320E6" w:rsidRDefault="00000000" w:rsidP="003D4944">
      <w:pPr>
        <w:pStyle w:val="1a"/>
        <w:rPr>
          <w:lang w:eastAsia="zh-Hans"/>
        </w:rPr>
      </w:pPr>
      <w:r>
        <w:rPr>
          <w:rFonts w:hint="eastAsia"/>
          <w:lang w:eastAsia="zh-Hans"/>
        </w:rPr>
        <w:t xml:space="preserve">3 应用前提条件 </w:t>
      </w:r>
    </w:p>
    <w:p w14:paraId="295309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预期收益和风险可以预测并以货币计量； </w:t>
      </w:r>
    </w:p>
    <w:p w14:paraId="719684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预期收益年限可以预测或确定。 </w:t>
      </w:r>
    </w:p>
    <w:p w14:paraId="365CD8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应用程序及基本要求 </w:t>
      </w:r>
    </w:p>
    <w:p w14:paraId="22D86EB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应用程序除按矿业权评估程序规范规定程序操作外，应执行以下应用程序： </w:t>
      </w:r>
    </w:p>
    <w:p w14:paraId="641C4B1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选择适当的收益口径及评估方法； </w:t>
      </w:r>
    </w:p>
    <w:p w14:paraId="2C792D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分析、引用评估利用的资源储量，估算可采储量； </w:t>
      </w:r>
    </w:p>
    <w:p w14:paraId="3FE5EFB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分析、选用评估采用的资源开发指标及相关参数； </w:t>
      </w:r>
    </w:p>
    <w:p w14:paraId="732A312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进行评定估算。 </w:t>
      </w:r>
    </w:p>
    <w:p w14:paraId="34AC4756" w14:textId="77777777" w:rsidR="00A320E6" w:rsidRDefault="00000000" w:rsidP="003D4944">
      <w:pPr>
        <w:pStyle w:val="1a"/>
        <w:rPr>
          <w:lang w:eastAsia="zh-Hans"/>
        </w:rPr>
      </w:pPr>
      <w:r>
        <w:rPr>
          <w:rFonts w:hint="eastAsia"/>
          <w:lang w:eastAsia="zh-Hans"/>
        </w:rPr>
        <w:t xml:space="preserve">4.2 基本要求： </w:t>
      </w:r>
    </w:p>
    <w:p w14:paraId="503981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4.2.1 选择收益途径评估方法，应考虑的因素包括但不限于： </w:t>
      </w:r>
    </w:p>
    <w:p w14:paraId="49296A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评估对应的经济行为； </w:t>
      </w:r>
    </w:p>
    <w:p w14:paraId="54EE7F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勘查开采阶段或状况； </w:t>
      </w:r>
    </w:p>
    <w:p w14:paraId="5CB0BA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可获取信息资料的范围及可靠程度； </w:t>
      </w:r>
    </w:p>
    <w:p w14:paraId="02E2D2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委托方的特殊要求。 </w:t>
      </w:r>
    </w:p>
    <w:p w14:paraId="52AD5C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4.2.2 收益途径评估方法涉及的评估参数，应根据相关应用指南、指导意见，在明确其涵义、分析其使用条件的前提下，合理确定。确定折现率应与收益口径相匹配。 </w:t>
      </w:r>
    </w:p>
    <w:p w14:paraId="5FC954B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4.2.3 从事矿业权价值咨询业务，应委托方特殊要求，可以选择所要求的评估参数，但应谨慎分析其合理性，并在矿业权评估报告中，明确说明形成评估结论的条件以及限制使用条件。 </w:t>
      </w:r>
    </w:p>
    <w:p w14:paraId="49C377E6" w14:textId="77777777" w:rsidR="00A320E6" w:rsidRDefault="00000000" w:rsidP="00D71C66">
      <w:pPr>
        <w:pStyle w:val="1a"/>
        <w:rPr>
          <w:lang w:eastAsia="zh-Hans"/>
        </w:rPr>
      </w:pPr>
      <w:r>
        <w:rPr>
          <w:rFonts w:hint="eastAsia"/>
          <w:lang w:eastAsia="zh-Hans"/>
        </w:rPr>
        <w:t xml:space="preserve">5 折现现金流量法 </w:t>
      </w:r>
    </w:p>
    <w:p w14:paraId="6ADB8BB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一般原理 </w:t>
      </w:r>
    </w:p>
    <w:p w14:paraId="038BF18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折现现金流量法，即 DCF 法（Discounted Cash Flow），通常是将项目或资产在生命期内未来产生的现金流折现，计算出当前价值的一种方法，或者为了预期的未来现金流所愿付出的当前代价，通常应用于项目投资分析和资产估值领域。资产估值领域中的折现现金流量法，是将一项资产的价值认定为该资产预期在未来所产生的净现金流量现值总和，并将其作为该项资产的评估价值。 </w:t>
      </w:r>
    </w:p>
    <w:p w14:paraId="2ABDA0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中的折现现金流量法，是将矿业权所对应的矿产资源勘查、开发作为现金流量系统，将评估计算年限内各年的净现金流量，以与净现金流量口径相匹配的折现率，折现到评估基准日的现值之和，作为矿业权评估价值。 </w:t>
      </w:r>
    </w:p>
    <w:p w14:paraId="47B8EF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5.2 计算公式</w:t>
      </w:r>
    </w:p>
    <w:p w14:paraId="1CCD67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0C8D5F1A" wp14:editId="268617BA">
            <wp:extent cx="1633220" cy="534670"/>
            <wp:effectExtent l="0" t="0" r="17780" b="241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1633220" cy="534670"/>
                    </a:xfrm>
                    <a:prstGeom prst="rect">
                      <a:avLst/>
                    </a:prstGeom>
                    <a:noFill/>
                    <a:ln w="9525">
                      <a:noFill/>
                    </a:ln>
                  </pic:spPr>
                </pic:pic>
              </a:graphicData>
            </a:graphic>
          </wp:inline>
        </w:drawing>
      </w:r>
    </w:p>
    <w:p w14:paraId="0F11108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矿业权评估价值； </w:t>
      </w:r>
    </w:p>
    <w:p w14:paraId="1CB4E4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CI —— 年现金流入量； </w:t>
      </w:r>
    </w:p>
    <w:p w14:paraId="629F0B4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CO —— 年现金流出量； </w:t>
      </w:r>
    </w:p>
    <w:p w14:paraId="0A80F3E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(CI－CO)t —— 年净现金流量； </w:t>
      </w:r>
    </w:p>
    <w:p w14:paraId="101A56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 —— 折现率； </w:t>
      </w:r>
    </w:p>
    <w:p w14:paraId="5D7A840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t —— 年序号（t=1，2，…，n）； </w:t>
      </w:r>
    </w:p>
    <w:p w14:paraId="4026FD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评估计算年限。 </w:t>
      </w:r>
    </w:p>
    <w:p w14:paraId="32DA90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折现系数</w:t>
      </w:r>
      <w:r>
        <w:rPr>
          <w:rFonts w:ascii="宋体" w:hAnsi="宋体" w:cs="宋体" w:hint="eastAsia"/>
          <w:noProof/>
          <w:sz w:val="24"/>
          <w:lang w:eastAsia="zh-Hans"/>
        </w:rPr>
        <w:drawing>
          <wp:inline distT="0" distB="0" distL="114300" distR="114300" wp14:anchorId="014905A7" wp14:editId="696A8B4B">
            <wp:extent cx="370205" cy="374015"/>
            <wp:effectExtent l="0" t="0" r="10795" b="6985"/>
            <wp:docPr id="9" name="图片 9" descr="WeChat2dc5c8466004c3bff51db811ae468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2dc5c8466004c3bff51db811ae4686aa"/>
                    <pic:cNvPicPr>
                      <a:picLocks noChangeAspect="1"/>
                    </pic:cNvPicPr>
                  </pic:nvPicPr>
                  <pic:blipFill>
                    <a:blip r:embed="rId36"/>
                    <a:stretch>
                      <a:fillRect/>
                    </a:stretch>
                  </pic:blipFill>
                  <pic:spPr>
                    <a:xfrm>
                      <a:off x="0" y="0"/>
                      <a:ext cx="370205" cy="374015"/>
                    </a:xfrm>
                    <a:prstGeom prst="rect">
                      <a:avLst/>
                    </a:prstGeom>
                  </pic:spPr>
                </pic:pic>
              </a:graphicData>
            </a:graphic>
          </wp:inline>
        </w:drawing>
      </w:r>
      <w:r>
        <w:rPr>
          <w:rFonts w:ascii="宋体" w:hAnsi="宋体" w:cs="宋体" w:hint="eastAsia"/>
          <w:sz w:val="24"/>
          <w:lang w:eastAsia="zh-Hans"/>
        </w:rPr>
        <w:t xml:space="preserve">中 t 的计算：当评估基准日为年末时，下一年净现金流量折现到年初。如2007 年 12 月 31 日为基准日时，2008 年 t=1。当评估基准日不为年末时，当年净现金流量折现到评估基准日。如 2007 年 9 月 30 日为基准日时，2007 年 t=3/12，2008 年t=1+3/12，依此推算。 </w:t>
      </w:r>
    </w:p>
    <w:p w14:paraId="05E262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 评估模型 </w:t>
      </w:r>
    </w:p>
    <w:p w14:paraId="58D7C9F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现金流入量（+） </w:t>
      </w:r>
    </w:p>
    <w:p w14:paraId="696BC2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销售收入 </w:t>
      </w:r>
    </w:p>
    <w:p w14:paraId="6608E47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回收固定资产残（余）值 </w:t>
      </w:r>
    </w:p>
    <w:p w14:paraId="7E30F4A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回收流动资金 </w:t>
      </w:r>
    </w:p>
    <w:p w14:paraId="3725B10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现金流出量（-） </w:t>
      </w:r>
    </w:p>
    <w:p w14:paraId="3C066DE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后续地质勘查投资 </w:t>
      </w:r>
    </w:p>
    <w:p w14:paraId="5DB429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固定资产投资无形资产投资（含土地使用权） </w:t>
      </w:r>
    </w:p>
    <w:p w14:paraId="63A3AF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其他资产投资 </w:t>
      </w:r>
    </w:p>
    <w:p w14:paraId="199CFF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更新改造资金（含固定资产、无形资产及其他资产更新投资） </w:t>
      </w:r>
    </w:p>
    <w:p w14:paraId="370B66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流动资金 </w:t>
      </w:r>
    </w:p>
    <w:p w14:paraId="4B71A7F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经营成本 </w:t>
      </w:r>
    </w:p>
    <w:p w14:paraId="6245B53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销售税金及附加 </w:t>
      </w:r>
    </w:p>
    <w:p w14:paraId="27464DA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企业所得税 </w:t>
      </w:r>
    </w:p>
    <w:p w14:paraId="4F1D18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净现金流量（即现金流入量－现金流出量） </w:t>
      </w:r>
    </w:p>
    <w:p w14:paraId="2A3BAF4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折现系数 </w:t>
      </w:r>
    </w:p>
    <w:p w14:paraId="4EC0F3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净现金流量现值（净现金流量×折现系数） </w:t>
      </w:r>
    </w:p>
    <w:p w14:paraId="5B5660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矿业权评估价值（净现金流量现值之和） </w:t>
      </w:r>
    </w:p>
    <w:p w14:paraId="1BBD5A9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 适用范围 </w:t>
      </w:r>
    </w:p>
    <w:p w14:paraId="4A4805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5.4.1 适用于详查及以上勘查阶段的探矿权评估和赋存稳定的沉积型大中型矿床的普查探矿权评估。 </w:t>
      </w:r>
    </w:p>
    <w:p w14:paraId="4809D7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5.4.2 适用于拟建、在建、改扩建矿山的采矿权评估，以及具备折现现金流量法适用条件的生产矿山的采矿权评估。 </w:t>
      </w:r>
    </w:p>
    <w:p w14:paraId="3CA6BF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 运用中需注意的问题 </w:t>
      </w:r>
    </w:p>
    <w:p w14:paraId="64061C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5.5.1 应根据其适用范围，可获取资料范围及可靠性以及评估目的，分析选用折现现金流量法。 </w:t>
      </w:r>
    </w:p>
    <w:p w14:paraId="597B978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5.5.2 资源储量是基于一定的储量规范的结果，不同的规范资源储量不同。 </w:t>
      </w:r>
    </w:p>
    <w:p w14:paraId="757195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资源储量是动态变化的，变化的原因主要有生产矿山因采出矿石消耗了原地质勘查探明储量；矿山生产勘探增加或减少了资源储量；技术经济条件变化引起的资源储量变化。 </w:t>
      </w:r>
    </w:p>
    <w:p w14:paraId="217A653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5.5.3 现金流出量项目中，不含评估基准日前发生的地质勘查投资、矿业权价款或交易价格及其相关费用等支出项目。 </w:t>
      </w:r>
    </w:p>
    <w:p w14:paraId="6F8A0E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5.5.4 固定资产投资，包括评估基准日已形成的固定资产和未来建设固定资产投资。 </w:t>
      </w:r>
    </w:p>
    <w:p w14:paraId="1E49FA7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评估基准日已形成固定资产，包括生产矿山评估基准日已形成固定资产、在建工程和工程资；再建矿山已形成固定资产、在建工程和工程物资。 </w:t>
      </w:r>
    </w:p>
    <w:p w14:paraId="171A76E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未来建设固定资产投资（不含更新改造资金），是评估确定的矿山生产年限内需要投入的固定资产投资。 </w:t>
      </w:r>
    </w:p>
    <w:p w14:paraId="6D4F72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5.5.5 固定资产投资，可以根据矿产资源开发利用方案、（预）可行性研究报告或矿山设计等资料分析估算确定；也可以根据评估基准日企业资产负债表、固定资产明细表列示的账面值分析确定。 </w:t>
      </w:r>
    </w:p>
    <w:p w14:paraId="1BF3ECE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5.5.5.1 根据矿产资源开发利用方案、（预）可行性研究报告或矿山设计等资料分析估算确定评估用固定资产投资，应充分关注该等资料形成（出具）的时间，并充分考虑有关固定资产价格信息的时效性及口径： </w:t>
      </w:r>
    </w:p>
    <w:p w14:paraId="77D3357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基准日时固定资产市场价格水平与该等资料所载价格水平存在较大差异，使得固定资产投资明显不合理时，不应直接引用。应类比近期建设的相似矿山投资情况，对固定资产投资进行调整或重新估算，确定为评估用固定资产投资额，并在报告中详细说明确定的过程。 </w:t>
      </w:r>
    </w:p>
    <w:p w14:paraId="7CB6621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该等资料所载固定资产投资明显不合理，或者与评估用固定资产投资口径不同时，应根据实际情况做出必要调整，并将调整结果作为评估用固定资产。 </w:t>
      </w:r>
    </w:p>
    <w:p w14:paraId="7BDD894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矿业权价款评估中固定资产投资的确定，国土资源主管部门对其有特殊规定，应从其规定。 </w:t>
      </w:r>
    </w:p>
    <w:p w14:paraId="7CE87E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5.5.5.2 根据评估基准日企业资产负债表、固定资产明细表列示的固定资产和在建工程账面值确定生产矿山评估用固定资产投资时： </w:t>
      </w:r>
    </w:p>
    <w:p w14:paraId="7E412BA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用固定资产投资应与评估所设定产品方案相对应。如评估设定的产品方案为精矿，对于采、选、冶、加工联合企业，当依据公司资产负债表、固定资产明细表确定时，冶炼加工部分固定资产不应计入评估用固定资产投资；当依据矿山资产负债表、固定资产明细表确定时，相关的公司销售、经营管理等固定资产和在建工程应分摊计入评估用固定资产投资。 </w:t>
      </w:r>
    </w:p>
    <w:p w14:paraId="253498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评估用固定资产投资不包含与矿业权价值无关的固定资产、在建工程（如已停建在可预计的未来不可复工的在建工程）和工程物资。以经营租赁方式租出的固定资产不计入评估用固定资产投资。不考虑企业计提的固定资产、在建工程和工程物资减值准备。 </w:t>
      </w:r>
    </w:p>
    <w:p w14:paraId="6DDDC40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已提足折旧仍在使用的固定资产（账面净值为零），以经估算的该固定资产现值计入评估用固定资产投资。以融资租赁方式租入的与矿产资源开发收益相关的固定资产应计入评估用固定资产投资。与矿产资源开发收益相关的账外（盘盈）固定资产，以经估算的该固定资产现值计入评估用固定资产投资。 </w:t>
      </w:r>
    </w:p>
    <w:p w14:paraId="6FB526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以评估基准日企业资产负债表、固定资产明细表列示的固定资产净值确定评估用固定资产时，应注意与企业采用的折旧方法（年限平均法、工作量法、双倍余额递减法和年数总额法）的衔接关系、预计使用寿命（年）与预计总工作量的关系等。 </w:t>
      </w:r>
    </w:p>
    <w:p w14:paraId="1398382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固定资产账面净值近似作为评估用固定资产投资明显不合理时，应根据矿山原设计等资料及企业固定资产原值、净值构成，类比近期建设的相似矿山投资情况或根据设计概况预算定额指标等资料，进行调整或估算，确定为评估用固定资产投资额，并在评估报告中详细说明调整或估算过程。 </w:t>
      </w:r>
    </w:p>
    <w:p w14:paraId="51ADCF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固定资产费用化的后续支出，通过“维修费用”反映在经营成本中。固定资产资本化的后续支出，应计入评估用固定资产投资。 </w:t>
      </w:r>
    </w:p>
    <w:p w14:paraId="13F6DF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5.5.6 更新资金投入，是固定资产更新（换）投资，当预计固定资产市场价格水平不会发生较大变化时，可以采用不变价原则估算。对于固定资产市场价格水平变化较大时，应考虑合理调整，否则，应将其作为评估结论成立的重大假设在评估报告中予以披露，并提示委托方和相关当事方关注评估结论应用于经济行为的参考作用。 </w:t>
      </w:r>
    </w:p>
    <w:p w14:paraId="00EB9D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5.5.7 固定资产净残（余）值为固定资产残（余）值扣除变现费用后的净残值和剩余净值。 </w:t>
      </w:r>
    </w:p>
    <w:p w14:paraId="6A0C2A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净残值是指假定固定资产预计使用寿命已满并处于使用寿命终了时的预期状态，企业从该项资产处置中获得的扣除预计处置费用后的金额。 </w:t>
      </w:r>
    </w:p>
    <w:p w14:paraId="6FB4E28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剩余净值是指固定资产未达到使用寿命，提前退出生产系统，企业从该项资产处置中获得扣除预计处置费用后的金额。 </w:t>
      </w:r>
    </w:p>
    <w:p w14:paraId="09640D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5.5.8 无形资产投资（含土地使用权）及摊销。 </w:t>
      </w:r>
    </w:p>
    <w:p w14:paraId="5E5DE60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5.5.8.1 与矿产资源开发收益相关的无形资产投资，应根据无形资产账面摊余价值或无形资产市场价值确定。 </w:t>
      </w:r>
    </w:p>
    <w:p w14:paraId="534DC1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无形资产摊销年限参考会计摊销方法确定。当无形资产摊销年限长于评估计算年限时，以评估计算年限作为无形资产摊销年限。 </w:t>
      </w:r>
    </w:p>
    <w:p w14:paraId="690BF9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5.5.8.2 土地使用权：通过出让、转让或其他方式方法取得的土地使用权（企业作为固定资产、无形资产科目核算），取得时间短、且土地市场价格变化不大时，可以其账面价值（摊余价值）确定评估用土地使用权投资额。土地市场价格变化较大时，可以参考土地使用权市场交易价格，或参考国务院国土资源主管部门颁布的工业用地最低出让价标准或者当地国土资源主管部门颁布的同用途、同级别土地的基准地价标准估算评估用土地使用权投资额。 </w:t>
      </w:r>
    </w:p>
    <w:p w14:paraId="0B77C2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土地使用权摊销年限，应以土地使用权剩余使用年限确定。当土地使用权剩余使用年限长于评估计算年限时，以评估计算年限作为土地使用权摊销年限。 </w:t>
      </w:r>
    </w:p>
    <w:p w14:paraId="0C70DDE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5.5.8.3 通过租赁方式取得的土地使用权，不计土地使用权投资额，土地租赁费作为经营成本估算。 </w:t>
      </w:r>
    </w:p>
    <w:p w14:paraId="60FE49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5.5.9 产品价格应与产品方案口径一致。预测时，应充分分析市场价格历史变动趋势、规律，分析未来一定时期价格变动趋势，合理预测评估用产品价格。 </w:t>
      </w:r>
    </w:p>
    <w:p w14:paraId="165C57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5.5.10 折现率包含无风险报酬率和风险报酬率，矿产开发投资的合理报酬包含在折现率中。 </w:t>
      </w:r>
    </w:p>
    <w:p w14:paraId="6FA3D56F" w14:textId="77777777" w:rsidR="00A320E6" w:rsidRDefault="00000000" w:rsidP="00D71C66">
      <w:pPr>
        <w:pStyle w:val="1a"/>
        <w:rPr>
          <w:lang w:eastAsia="zh-Hans"/>
        </w:rPr>
      </w:pPr>
      <w:r>
        <w:rPr>
          <w:rFonts w:hint="eastAsia"/>
          <w:lang w:eastAsia="zh-Hans"/>
        </w:rPr>
        <w:t xml:space="preserve">6 折现剩余现金流量法 </w:t>
      </w:r>
    </w:p>
    <w:p w14:paraId="7B3FF1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一般原理 </w:t>
      </w:r>
    </w:p>
    <w:p w14:paraId="5F2DC2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折现剩余现金流量法，即 DRCF 法（discoundted remained cashflow），是将矿业权所对应矿产资源勘查、开发作为现金流量系统，将评估计算年限内各年的净现金流量，逐年扣减与矿产资源开发收益有关的开发投资合理报酬后的剩余净现金流量，以与剩余净现金流量口径相匹配的折现率，折现到评估基准日的现值之和，作为矿业权评估价值。 </w:t>
      </w:r>
    </w:p>
    <w:p w14:paraId="79843E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计算公式 </w:t>
      </w:r>
    </w:p>
    <w:p w14:paraId="61631F2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376E9BDB" wp14:editId="295DFD2C">
            <wp:extent cx="2010410" cy="480695"/>
            <wp:effectExtent l="0" t="0" r="21590" b="1905"/>
            <wp:docPr id="10" name="图片 10" descr="WeChat5a03a848b1372df38721db5bf3278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5a03a848b1372df38721db5bf32781ad"/>
                    <pic:cNvPicPr>
                      <a:picLocks noChangeAspect="1"/>
                    </pic:cNvPicPr>
                  </pic:nvPicPr>
                  <pic:blipFill>
                    <a:blip r:embed="rId37"/>
                    <a:stretch>
                      <a:fillRect/>
                    </a:stretch>
                  </pic:blipFill>
                  <pic:spPr>
                    <a:xfrm>
                      <a:off x="0" y="0"/>
                      <a:ext cx="2010410" cy="480695"/>
                    </a:xfrm>
                    <a:prstGeom prst="rect">
                      <a:avLst/>
                    </a:prstGeom>
                  </pic:spPr>
                </pic:pic>
              </a:graphicData>
            </a:graphic>
          </wp:inline>
        </w:drawing>
      </w:r>
    </w:p>
    <w:p w14:paraId="32AEB0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矿业权评估价值； </w:t>
      </w:r>
    </w:p>
    <w:p w14:paraId="72A596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CI —— 年现金流入量； </w:t>
      </w:r>
    </w:p>
    <w:p w14:paraId="5586DA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CO —— 年现金流出量； </w:t>
      </w:r>
    </w:p>
    <w:p w14:paraId="31675A2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(CI－CO)t —— 年净现金流量； </w:t>
      </w:r>
    </w:p>
    <w:p w14:paraId="64FB07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Ip —— 与矿产资源开发收益有关的开发投资合理报酬； </w:t>
      </w:r>
    </w:p>
    <w:p w14:paraId="0D6437D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 —— 折现率； </w:t>
      </w:r>
    </w:p>
    <w:p w14:paraId="58BE578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t —— 年序号（t=1，2，…，n）； </w:t>
      </w:r>
    </w:p>
    <w:p w14:paraId="19314A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评估计算年限。 </w:t>
      </w:r>
    </w:p>
    <w:p w14:paraId="130AF7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式中折现系数 t 的计算，与折现现金流量法相同。 </w:t>
      </w:r>
    </w:p>
    <w:p w14:paraId="26C9116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6.3 评估模型 </w:t>
      </w:r>
    </w:p>
    <w:p w14:paraId="0AAE7D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现金流入量（+）： </w:t>
      </w:r>
    </w:p>
    <w:p w14:paraId="6321EC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与折现现金流量法模型项目相同； </w:t>
      </w:r>
    </w:p>
    <w:p w14:paraId="277CB5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现金流出量（-）： </w:t>
      </w:r>
    </w:p>
    <w:p w14:paraId="765C946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与折现现金流量法模型项目相同； </w:t>
      </w:r>
    </w:p>
    <w:p w14:paraId="58B6E4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净现金流量（即现金流入量－现金流出量） </w:t>
      </w:r>
    </w:p>
    <w:p w14:paraId="7B589C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投资收益额（-）（当年资产净值×投资收益率） </w:t>
      </w:r>
    </w:p>
    <w:p w14:paraId="116653F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剩余净现金流量（净现金流量-投资收益额） </w:t>
      </w:r>
    </w:p>
    <w:p w14:paraId="1DB017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折现系数 </w:t>
      </w:r>
    </w:p>
    <w:p w14:paraId="077506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剩余净现金流量现值（剩余净现金流量×折现系数） </w:t>
      </w:r>
    </w:p>
    <w:p w14:paraId="2F8C826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矿业权评估价值（剩余净现金流量现值之和） </w:t>
      </w:r>
    </w:p>
    <w:p w14:paraId="3C7314B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6.4 适用范围 </w:t>
      </w:r>
    </w:p>
    <w:p w14:paraId="25EF6B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6.4.1 适用于详查及以上勘查阶段的探矿权评估和赋存稳定的沉积型大中型矿床的普查探矿权评估。 </w:t>
      </w:r>
    </w:p>
    <w:p w14:paraId="6CF838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6.4.2 适用于拟建、在建、改扩建矿山的采矿权评估，以及具备折现剩余现金流量法适用条件的生产矿山的采矿权评估。 </w:t>
      </w:r>
    </w:p>
    <w:p w14:paraId="09AE40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 运用中需注意的问题 </w:t>
      </w:r>
    </w:p>
    <w:p w14:paraId="7CF9206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6.5.1 评估基准日前支出项目、评估用固定资产投资、评估用无形资产投资、产品价格等的确定，与折现现金流量法相同。 </w:t>
      </w:r>
    </w:p>
    <w:p w14:paraId="7C5C51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6.5.2 资产净值是各年固定资产净值、无形资产及其他资产摊余价值之和。投资收益率依据相关指导意见确定。 </w:t>
      </w:r>
    </w:p>
    <w:p w14:paraId="7CC1BFC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6.5.3 折现率应与收益口径一致。折现率中不包括矿产开发投资的合理报酬。 </w:t>
      </w:r>
    </w:p>
    <w:p w14:paraId="2FE64A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6.5.4 折现剩余现金流量法其他问题的处理,参照折现现金流量法相关规定。 </w:t>
      </w:r>
    </w:p>
    <w:p w14:paraId="30C5B073" w14:textId="77777777" w:rsidR="00A320E6" w:rsidRDefault="00000000" w:rsidP="00D71C66">
      <w:pPr>
        <w:pStyle w:val="1a"/>
        <w:rPr>
          <w:lang w:eastAsia="zh-Hans"/>
        </w:rPr>
      </w:pPr>
      <w:r>
        <w:rPr>
          <w:rFonts w:hint="eastAsia"/>
          <w:lang w:eastAsia="zh-Hans"/>
        </w:rPr>
        <w:t xml:space="preserve">7 剩余利润法 </w:t>
      </w:r>
    </w:p>
    <w:p w14:paraId="2B0F07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一般原理 </w:t>
      </w:r>
    </w:p>
    <w:p w14:paraId="7A996D1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剩余利润法是通过估算待估矿业权所对应矿产资源开发各年预期利润，扣除开发投资应得利润之后的剩余净利润，按照与其相匹配的折现率，折现到评估基准日的现值之和，作为矿业权评估价值。 </w:t>
      </w:r>
    </w:p>
    <w:p w14:paraId="6AFB1F6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7.2 计算公式</w:t>
      </w:r>
    </w:p>
    <w:p w14:paraId="3EF0FC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15C647F2" wp14:editId="72C2C2E9">
            <wp:extent cx="1713230" cy="524510"/>
            <wp:effectExtent l="0" t="0" r="1397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8"/>
                    <a:stretch>
                      <a:fillRect/>
                    </a:stretch>
                  </pic:blipFill>
                  <pic:spPr>
                    <a:xfrm>
                      <a:off x="0" y="0"/>
                      <a:ext cx="1713230" cy="524510"/>
                    </a:xfrm>
                    <a:prstGeom prst="rect">
                      <a:avLst/>
                    </a:prstGeom>
                    <a:noFill/>
                    <a:ln w="9525">
                      <a:noFill/>
                    </a:ln>
                  </pic:spPr>
                </pic:pic>
              </a:graphicData>
            </a:graphic>
          </wp:inline>
        </w:drawing>
      </w:r>
    </w:p>
    <w:p w14:paraId="3E0DD0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矿业权评估价值； </w:t>
      </w:r>
    </w:p>
    <w:p w14:paraId="32FB12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 —— 年净利润（净利润＝销售收入－总成本费用－销售税金及附加－企业所得税； </w:t>
      </w:r>
    </w:p>
    <w:p w14:paraId="6514A21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Ei —— 开发投资利润（Ei＝当年资产净值×投资利润率）； </w:t>
      </w:r>
    </w:p>
    <w:p w14:paraId="639C3E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(E－Ei)t —— 第 t 年的剩余利润额； </w:t>
      </w:r>
    </w:p>
    <w:p w14:paraId="7C2219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 —— 折现率； </w:t>
      </w:r>
    </w:p>
    <w:p w14:paraId="433984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t —— 年序号（t=1，2，…，n）； </w:t>
      </w:r>
    </w:p>
    <w:p w14:paraId="10A352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评估计算年限。 </w:t>
      </w:r>
    </w:p>
    <w:p w14:paraId="6490F82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7.3 评估模型 </w:t>
      </w:r>
    </w:p>
    <w:p w14:paraId="288CA1B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销售收入（+） </w:t>
      </w:r>
    </w:p>
    <w:p w14:paraId="362405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总成本费用（-） </w:t>
      </w:r>
    </w:p>
    <w:p w14:paraId="1F06194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销售税金及附加（-） </w:t>
      </w:r>
    </w:p>
    <w:p w14:paraId="480430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企业所得税（-） </w:t>
      </w:r>
    </w:p>
    <w:p w14:paraId="63C76B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净利润开发投资利润（-） </w:t>
      </w:r>
    </w:p>
    <w:p w14:paraId="747FD53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剩余净利润 </w:t>
      </w:r>
    </w:p>
    <w:p w14:paraId="67228F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折现系数 </w:t>
      </w:r>
    </w:p>
    <w:p w14:paraId="33E1F50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剩余净利润现值（剩余净利润×折现系数） </w:t>
      </w:r>
    </w:p>
    <w:p w14:paraId="7E8170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矿业权评估价值（剩余净利润现值之和） </w:t>
      </w:r>
    </w:p>
    <w:p w14:paraId="46BED9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7.4 适用范围 </w:t>
      </w:r>
    </w:p>
    <w:p w14:paraId="22B54EA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主要适用于正常生产的矿山的采矿权评估。对于勘查程度较高的探矿权评估也可以选用。 </w:t>
      </w:r>
    </w:p>
    <w:p w14:paraId="20965E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 应用中需注意的问题 </w:t>
      </w:r>
    </w:p>
    <w:p w14:paraId="43A840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7.5.1 采矿权评估时，应分析、判断企业提供资料的真实性、可靠性及完整性，确保相关预测的合理性。当评估选取的参数与生产企业实际情况存在重大差异时，在评估报告中应予以披露，并对产生差异的原因及其选取合理性进行分析。 </w:t>
      </w:r>
    </w:p>
    <w:p w14:paraId="28B6289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7.5.2 评估模型中不计入固定资产、无形资产等投资，该等投资以折旧和摊销等形式进入总成本费用。该模型，从收益中扣除这部分投资形成资产的折旧和摊销，再考虑投资利润的扣除。 </w:t>
      </w:r>
    </w:p>
    <w:p w14:paraId="6F4062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7.5.3 折现率与折现现金流量法折现率内涵一致。 </w:t>
      </w:r>
    </w:p>
    <w:p w14:paraId="1419528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7.5.4 剩余利润法其它问题的处理，参照折现现金流量法相关规定。 </w:t>
      </w:r>
    </w:p>
    <w:p w14:paraId="2A805C77" w14:textId="77777777" w:rsidR="00A320E6" w:rsidRDefault="00000000" w:rsidP="00D71C66">
      <w:pPr>
        <w:pStyle w:val="1a"/>
        <w:rPr>
          <w:lang w:eastAsia="zh-Hans"/>
        </w:rPr>
      </w:pPr>
      <w:r>
        <w:rPr>
          <w:rFonts w:hint="eastAsia"/>
          <w:lang w:eastAsia="zh-Hans"/>
        </w:rPr>
        <w:t xml:space="preserve">8 收入权益法 </w:t>
      </w:r>
    </w:p>
    <w:p w14:paraId="1967FD0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8.1 一般原理 </w:t>
      </w:r>
    </w:p>
    <w:p w14:paraId="4562A7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收入权益法是基于替代原则的一种间接估算采矿权价值的方法。是通过采矿权权益系数对销售收入现值进行调整，作为采矿权价值。采矿权权益系数反映采矿权评估价值与销售收入现值的比例关系。 </w:t>
      </w:r>
    </w:p>
    <w:p w14:paraId="74B039D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8.2 计算公式</w:t>
      </w:r>
    </w:p>
    <w:p w14:paraId="27A831A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34BC6719" wp14:editId="3ACBE6B3">
            <wp:extent cx="1810385" cy="588010"/>
            <wp:effectExtent l="0" t="0" r="18415" b="215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9"/>
                    <a:stretch>
                      <a:fillRect/>
                    </a:stretch>
                  </pic:blipFill>
                  <pic:spPr>
                    <a:xfrm>
                      <a:off x="0" y="0"/>
                      <a:ext cx="1810385" cy="588010"/>
                    </a:xfrm>
                    <a:prstGeom prst="rect">
                      <a:avLst/>
                    </a:prstGeom>
                    <a:noFill/>
                    <a:ln w="9525">
                      <a:noFill/>
                    </a:ln>
                  </pic:spPr>
                </pic:pic>
              </a:graphicData>
            </a:graphic>
          </wp:inline>
        </w:drawing>
      </w:r>
    </w:p>
    <w:p w14:paraId="7A854B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矿业权评估价值； </w:t>
      </w:r>
    </w:p>
    <w:p w14:paraId="66AE4F0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SIt —— 年销售收入； </w:t>
      </w:r>
    </w:p>
    <w:p w14:paraId="481BB9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K —— 采矿权权益系数； </w:t>
      </w:r>
    </w:p>
    <w:p w14:paraId="6A9925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 —— 折现率； </w:t>
      </w:r>
    </w:p>
    <w:p w14:paraId="1046B0F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t —— 年序号（t=1，2，…，n）； </w:t>
      </w:r>
    </w:p>
    <w:p w14:paraId="02FFD52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评估计算年限。 </w:t>
      </w:r>
    </w:p>
    <w:p w14:paraId="2BA07EA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式中折现系数 t 的计算，与折现现金流量法相同。 </w:t>
      </w:r>
    </w:p>
    <w:p w14:paraId="4727857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8.3 评估模型 </w:t>
      </w:r>
    </w:p>
    <w:p w14:paraId="52380A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销售收入折现系数销售收入现值（销售收入折现系数）销售收入现值之和采矿权权益系数采矿权评估价值（销售收入现值之和采矿权权益系数） </w:t>
      </w:r>
    </w:p>
    <w:p w14:paraId="4B08517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8.4 适用范围 </w:t>
      </w:r>
    </w:p>
    <w:p w14:paraId="1929DF2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8.4.1 适用于矿产资源储量规模和矿山生产规模均为小型的、且不具备采用其他收益途径评估方法的条件的采矿权评估。 </w:t>
      </w:r>
    </w:p>
    <w:p w14:paraId="7662B9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8.4.2 适用于服务年限较短生产矿山的采矿权评估。 </w:t>
      </w:r>
    </w:p>
    <w:p w14:paraId="446D97E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8.4.3 适用于资源接近枯竭的大中型矿山，其剩余服务年限小于 5 年的采矿权评估。 </w:t>
      </w:r>
    </w:p>
    <w:p w14:paraId="3B6923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8.5 运用中需注意的问题 </w:t>
      </w:r>
    </w:p>
    <w:p w14:paraId="4B7480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8.5.1 确定生产能力时，应遵循矿山生产规模、矿山生产服务年限与储量规模相匹配的基本原则。矿山生产规模、矿山服务年限与储量规模不匹配时，应按照确定生产能力的原则和影响因素，对生产能力进行调整。但资源接近枯竭及国家法律法规另有规定的矿山除外。 </w:t>
      </w:r>
    </w:p>
    <w:p w14:paraId="4F6EAE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8.5.2 评估采用的产品价格应与实际的产品方案一致。原矿、精矿和金属产品，对应不同的采矿权权益系数。 </w:t>
      </w:r>
    </w:p>
    <w:p w14:paraId="6432286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8.5.3 采矿权权益系数，是采矿权评估价值与销售收入现值之比，主要反映矿山成本水平。</w:t>
      </w:r>
    </w:p>
    <w:p w14:paraId="7345DE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一般可以通过统计已评估的采矿权价值结果得到取值范围。具体取值应在分析地质构造复杂程度、矿体埋深、开采方式、开采技术条件、矿山选冶（洗选）难易等后确定。 </w:t>
      </w:r>
    </w:p>
    <w:p w14:paraId="5A71D21C" w14:textId="77777777" w:rsidR="00A320E6" w:rsidRDefault="00000000" w:rsidP="00D71C66">
      <w:pPr>
        <w:pStyle w:val="1a"/>
        <w:rPr>
          <w:lang w:eastAsia="zh-Hans"/>
        </w:rPr>
      </w:pPr>
      <w:r>
        <w:rPr>
          <w:rFonts w:hint="eastAsia"/>
          <w:lang w:eastAsia="zh-Hans"/>
        </w:rPr>
        <w:t xml:space="preserve">9 折现现金流量风险系数调整法 </w:t>
      </w:r>
    </w:p>
    <w:p w14:paraId="5B965B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9.1 一般原理 </w:t>
      </w:r>
    </w:p>
    <w:p w14:paraId="3231F9F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折现现金流量风险系数调整法，是针对地质勘查程度较低的稳定分布的大中型沉积矿产的探矿权价值评估而设定的一种评估方法。首先根据毗邻区矿产勘查开发的情况，采用折现现金流量法或折现剩余现金流量法估算出评估对象的基础价值，然后采用矿产开发地质风险系数进行调整得到探矿权评估价值。 </w:t>
      </w:r>
    </w:p>
    <w:p w14:paraId="424F6CC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矿产开发地质风险系数，是针对地质勘查工作程度不足而设定的，反映因地质勘查工作程度不足所存在的地质可靠性低、开发风险高等情形。该系数一般通过对地质、采矿、选矿等因素进行半定量分析确定。 </w:t>
      </w:r>
    </w:p>
    <w:p w14:paraId="7C0D8F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该方法的理论思想为： </w:t>
      </w:r>
    </w:p>
    <w:p w14:paraId="2F44F13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任何矿床未经必要的勘查工作控制，其资源储量的可靠性是很低的。 </w:t>
      </w:r>
    </w:p>
    <w:p w14:paraId="02E78F8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假设评估对象的资源储量是可靠的，并可以预测其未来收益，可以用折现现金流量法或折现剩余现金流量法估算其价值。 </w:t>
      </w:r>
    </w:p>
    <w:p w14:paraId="0878C8E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未经必要的勘查工作控制，资源储量的可靠性低，通过矿产开发地质风险系数调整。 </w:t>
      </w:r>
    </w:p>
    <w:p w14:paraId="1CC081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9.2 计算公式 </w:t>
      </w:r>
    </w:p>
    <w:p w14:paraId="202DD5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P=Pn×（1-R)</w:t>
      </w:r>
    </w:p>
    <w:p w14:paraId="196E60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探矿权评估价值； </w:t>
      </w:r>
    </w:p>
    <w:p w14:paraId="3A6BDD9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Pn —— 采用折现现金流量法或折现剩余现金流量法估算的探矿权基础价值； </w:t>
      </w:r>
    </w:p>
    <w:p w14:paraId="572015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R —— 矿产开发地质风险系数。</w:t>
      </w:r>
    </w:p>
    <w:p w14:paraId="04F7D1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9.3 基本假设 </w:t>
      </w:r>
    </w:p>
    <w:p w14:paraId="32220A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9.3.1 假设根据已有的、较少的矿产地质信息所估算所得资源储量大致可靠。 </w:t>
      </w:r>
    </w:p>
    <w:p w14:paraId="5EE8F4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9.3.2 假定方法中考虑的地质因素已最大程度地代表了可能的来自于地质的开发风险因素。 </w:t>
      </w:r>
    </w:p>
    <w:p w14:paraId="2A0854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9.4 使用的前提条件 </w:t>
      </w:r>
    </w:p>
    <w:p w14:paraId="1C8F51E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9.4.1 评估对象条件 </w:t>
      </w:r>
    </w:p>
    <w:p w14:paraId="41459FF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区域内矿层的层位和厚度基本稳定，赋存状况好； </w:t>
      </w:r>
    </w:p>
    <w:p w14:paraId="2716EED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评估对象是毗邻区矿床的延续部分；或者与毗邻区已开发矿产有相同地质成矿环境； </w:t>
      </w:r>
    </w:p>
    <w:p w14:paraId="35D6AB9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毗邻区有同类型矿产勘查开发背景、评估对象周边已进行过较高程度的勘查或已进行开发，相关地质信息可以收集到； </w:t>
      </w:r>
    </w:p>
    <w:p w14:paraId="0780A9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通过与已进行过较高程度的勘查或已进行开发的毗邻区的类比和推断，可以预测出评估对象的资源储量、矿层赋存情况和开采条件等开发利用所必须的参数。 </w:t>
      </w:r>
    </w:p>
    <w:p w14:paraId="6DE9D25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9.4.2 可获取资料情况 </w:t>
      </w:r>
    </w:p>
    <w:p w14:paraId="3E3748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具备矿产开发利用方案或相似资料； </w:t>
      </w:r>
    </w:p>
    <w:p w14:paraId="69E4F1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通过对本地区生产的矿山企业的类比，评估对象未来矿山建成后的收益可以预测。 </w:t>
      </w:r>
    </w:p>
    <w:p w14:paraId="0F0DB7E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9.4.3 地质信息不确定性的风险处理条件 </w:t>
      </w:r>
    </w:p>
    <w:p w14:paraId="1C55480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区域内勘查程度低、地质信息不确定，可以通过对风险要素的分析和类比能初步预测、量化因矿产开发地质风险因素所不能达到的价值量。 </w:t>
      </w:r>
    </w:p>
    <w:p w14:paraId="0EB8FAF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9.5 适用范围适用于赋存稳定的沉积型矿种的大中型矿床中勘查程度较低的预查及普查区的探矿权评估。 </w:t>
      </w:r>
    </w:p>
    <w:p w14:paraId="698118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9.6 运用中需注意的问题 </w:t>
      </w:r>
    </w:p>
    <w:p w14:paraId="18A0102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9.6.1 勘查工作程度主要考虑其勘查类型、已完成勘查工程的工程间距及对矿体控制程度，并比照现行地质勘查规范综合确定。 </w:t>
      </w:r>
    </w:p>
    <w:p w14:paraId="4F97EE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9.6.2 计算评估利用的可采储量时，对于各种资源量应在项目经济合理性分析后分类处理，属技术经济可行的各种资源量（包括(333)、（334））全部参加评估计算，不使用“可信度系数”进行折算。 </w:t>
      </w:r>
    </w:p>
    <w:p w14:paraId="12B8962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9.6.3 当评估对象范围较小，区内资源储量较少，规划生产能力为小型，难以采用折现现金流量法或折现剩余现金流量法计算探矿权基础价值时，也可采用其他方法估算探矿权基础价值。 </w:t>
      </w:r>
    </w:p>
    <w:p w14:paraId="4E648CF6" w14:textId="77777777" w:rsidR="00A320E6" w:rsidRDefault="00000000" w:rsidP="00D71C66">
      <w:pPr>
        <w:pStyle w:val="1a"/>
        <w:rPr>
          <w:lang w:eastAsia="zh-Hans"/>
        </w:rPr>
      </w:pPr>
      <w:r>
        <w:rPr>
          <w:rFonts w:hint="eastAsia"/>
          <w:lang w:eastAsia="zh-Hans"/>
        </w:rPr>
        <w:t xml:space="preserve">10 附则 </w:t>
      </w:r>
    </w:p>
    <w:p w14:paraId="0280A7D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10.1 本规范由中国矿业权评估师协会负责解释。 </w:t>
      </w:r>
    </w:p>
    <w:p w14:paraId="1CB2A65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10.2 本规范自 2008 年 9 月 1 日起施行。</w:t>
      </w:r>
    </w:p>
    <w:p w14:paraId="0CA5026D"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5" w:name="_Toc112227443"/>
      <w:r>
        <w:rPr>
          <w:rFonts w:ascii="宋体" w:hAnsi="宋体" w:cs="宋体" w:hint="eastAsia"/>
          <w:b/>
          <w:bCs/>
          <w:sz w:val="24"/>
          <w:lang w:eastAsia="zh-Hans"/>
        </w:rPr>
        <w:t>成本途径评估方法规范</w:t>
      </w:r>
      <w:bookmarkEnd w:id="145"/>
    </w:p>
    <w:p w14:paraId="315AC266" w14:textId="77777777" w:rsidR="00A320E6" w:rsidRDefault="00000000" w:rsidP="00D71C66">
      <w:pPr>
        <w:pStyle w:val="1c"/>
        <w:rPr>
          <w:lang w:eastAsia="zh-Hans"/>
        </w:rPr>
      </w:pPr>
      <w:r>
        <w:rPr>
          <w:rFonts w:hint="eastAsia"/>
          <w:lang w:eastAsia="zh-Hans"/>
        </w:rPr>
        <w:t>（CMVS 12200-2008）</w:t>
      </w:r>
    </w:p>
    <w:p w14:paraId="01E0A2BE" w14:textId="77777777" w:rsidR="00A320E6" w:rsidRDefault="00000000" w:rsidP="00D71C66">
      <w:pPr>
        <w:pStyle w:val="1a"/>
        <w:rPr>
          <w:lang w:eastAsia="zh-Hans"/>
        </w:rPr>
      </w:pPr>
      <w:r>
        <w:rPr>
          <w:rFonts w:hint="eastAsia"/>
          <w:lang w:eastAsia="zh-Hans"/>
        </w:rPr>
        <w:t xml:space="preserve">1 目的 </w:t>
      </w:r>
    </w:p>
    <w:p w14:paraId="21D004C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为规范矿业权评估师采用成本途径进行矿业权评估的方法和程序，保证执业质量，根据《矿业权评估技术基本准则》，制定本规范。 </w:t>
      </w:r>
    </w:p>
    <w:p w14:paraId="44541126" w14:textId="77777777" w:rsidR="00A320E6" w:rsidRDefault="00000000" w:rsidP="00D71C66">
      <w:pPr>
        <w:pStyle w:val="1a"/>
        <w:rPr>
          <w:lang w:eastAsia="zh-Hans"/>
        </w:rPr>
      </w:pPr>
      <w:r>
        <w:rPr>
          <w:rFonts w:hint="eastAsia"/>
          <w:lang w:eastAsia="zh-Hans"/>
        </w:rPr>
        <w:t xml:space="preserve">2 适用范围 </w:t>
      </w:r>
    </w:p>
    <w:p w14:paraId="6822BAE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2.1 采用成本途径进行矿业权评估业务，应当遵守本规范。进行与矿业权价值估算相关的其他业务可参考本规范。 </w:t>
      </w:r>
    </w:p>
    <w:p w14:paraId="17689F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2.2 本规范适用于矿产资源预查和普查阶段的探矿权评估，但不适用于赋存稳定的沉积型大中型矿床中勘查程度较低的普查阶段的探矿权评估。 </w:t>
      </w:r>
    </w:p>
    <w:p w14:paraId="23C4C026" w14:textId="77777777" w:rsidR="00A320E6" w:rsidRDefault="00000000" w:rsidP="00D71C66">
      <w:pPr>
        <w:pStyle w:val="1a"/>
        <w:rPr>
          <w:lang w:eastAsia="zh-Hans"/>
        </w:rPr>
      </w:pPr>
      <w:r>
        <w:rPr>
          <w:rFonts w:hint="eastAsia"/>
          <w:lang w:eastAsia="zh-Hans"/>
        </w:rPr>
        <w:t xml:space="preserve">3 定义 </w:t>
      </w:r>
    </w:p>
    <w:p w14:paraId="4E0C24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为本规范需要，使用如下定义： </w:t>
      </w:r>
    </w:p>
    <w:p w14:paraId="42F0AD7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成本途径,是指基于贡献原则和重置成本的原理，即现时成本贡献于价值的原理，以成本反映价值的技术路径。是一类评估方法的总称。 </w:t>
      </w:r>
    </w:p>
    <w:p w14:paraId="263BE8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本规范，定义为对有关、有效的勘查工作重置成本进行修正或调整，估算矿业权价值的一类评估方法。本规范中，成本途径评估方法包括勘查成本效用法和地质要素评序法。 </w:t>
      </w:r>
    </w:p>
    <w:p w14:paraId="6364A4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有关，是指在评估范围内，与目标矿种有关。目标矿种，是指批准或许可的勘查矿种。 </w:t>
      </w:r>
    </w:p>
    <w:p w14:paraId="271A81A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与目标矿种有关，是指能为目标矿种及其共、伴生组分勘查利用的所有实物工作。 </w:t>
      </w:r>
    </w:p>
    <w:p w14:paraId="3EEC0A2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有效，是指主要勘查技术手段符合当时的勘查规范要求。 </w:t>
      </w:r>
    </w:p>
    <w:p w14:paraId="004D6B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重置成本，是按照当时的勘查规范要求，对所确定的有关、有效实物工作量，以现行价格或费用标准估算的现时成本。 </w:t>
      </w:r>
    </w:p>
    <w:p w14:paraId="352213B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现行价格，是指评估基准日适用的各类勘查技术手段实物工作的价格和费用标准。 </w:t>
      </w:r>
    </w:p>
    <w:p w14:paraId="775A79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勘查工作质量系数，是为反映有关、有效各类勘查工作的质量而设定的系数。勘查工作的质量根据现行的地质勘查规范要求评判。各类勘查工作质量系数与各类勘查工作的重置成本的加权平均值，定义为勘查工作加权平均质量系数。 </w:t>
      </w:r>
    </w:p>
    <w:p w14:paraId="64FC58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 勘查工作布置合理性系数，是为反映有关、有效勘查工作布置的合理性、必要性和使用效果而设定的系数。勘查工作布置的合理性、必要性和使用效果，根据现行勘查规范的要求评判。 </w:t>
      </w:r>
    </w:p>
    <w:p w14:paraId="3FE9179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 效用系数，是为了反映成本对价值的贡献程度，设定的对重置成本进行溢价或折价的修正系数，本规范定义为勘查工作加权平均质量系数和勘查工作布置合理性系数的乘积。 </w:t>
      </w:r>
    </w:p>
    <w:p w14:paraId="6C3A830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(9) 基础成本，是指经效用系数修正后的重置成本。 </w:t>
      </w:r>
    </w:p>
    <w:p w14:paraId="1BC24D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(10) 地质要素，是指能显示评估对象找矿潜力和资源开发前景的要素。 </w:t>
      </w:r>
    </w:p>
    <w:p w14:paraId="083682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价值指数，是指利用本规范规定的专家对各地质要素分别进行评判，在一定范围内给出一个显示评估对象的找矿潜力和资源开发前景的溢价或折扣的系数。 </w:t>
      </w:r>
    </w:p>
    <w:p w14:paraId="2E31C84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调整系数，显示出评估对象的找矿潜力和资源的开发前景，反映了成本对价值的贡献，定义为各价值指数的乘积。 </w:t>
      </w:r>
    </w:p>
    <w:p w14:paraId="46DDDCE8" w14:textId="77777777" w:rsidR="00A320E6" w:rsidRDefault="00000000" w:rsidP="00D71C66">
      <w:pPr>
        <w:pStyle w:val="1a"/>
        <w:rPr>
          <w:lang w:eastAsia="zh-Hans"/>
        </w:rPr>
      </w:pPr>
      <w:r>
        <w:rPr>
          <w:rFonts w:hint="eastAsia"/>
          <w:lang w:eastAsia="zh-Hans"/>
        </w:rPr>
        <w:t xml:space="preserve">4 应用程序 </w:t>
      </w:r>
    </w:p>
    <w:p w14:paraId="48708D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注册矿业权评估师采用成本途径进行评估时，除应遵守矿业权评估程序规范外，还应执行确定勘查程度、选择具体评估方法、核实实物工作量、专家评判等程序。 </w:t>
      </w:r>
    </w:p>
    <w:p w14:paraId="20E573A2" w14:textId="77777777" w:rsidR="00A320E6" w:rsidRDefault="00000000" w:rsidP="00D71C66">
      <w:pPr>
        <w:pStyle w:val="1a"/>
        <w:rPr>
          <w:lang w:eastAsia="zh-Hans"/>
        </w:rPr>
      </w:pPr>
      <w:r>
        <w:rPr>
          <w:rFonts w:hint="eastAsia"/>
          <w:lang w:eastAsia="zh-Hans"/>
        </w:rPr>
        <w:t xml:space="preserve">5 勘查成本效用法 </w:t>
      </w:r>
    </w:p>
    <w:p w14:paraId="1D91D7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一般原理 </w:t>
      </w:r>
    </w:p>
    <w:p w14:paraId="7F0DFE8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本规范定义的勘查成本效用法，是指采用效用系数对地质勘查重置成本进行修正，估算探矿权价值的方法。 </w:t>
      </w:r>
    </w:p>
    <w:p w14:paraId="56EA092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计算公式 </w:t>
      </w:r>
    </w:p>
    <w:p w14:paraId="6B6D4ED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公式(1) </w:t>
      </w:r>
    </w:p>
    <w:p w14:paraId="5B777B9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3B5E38D8" wp14:editId="28B78BD0">
            <wp:extent cx="2306955" cy="440690"/>
            <wp:effectExtent l="0" t="0" r="4445" b="165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0"/>
                    <a:stretch>
                      <a:fillRect/>
                    </a:stretch>
                  </pic:blipFill>
                  <pic:spPr>
                    <a:xfrm>
                      <a:off x="0" y="0"/>
                      <a:ext cx="2306955" cy="440690"/>
                    </a:xfrm>
                    <a:prstGeom prst="rect">
                      <a:avLst/>
                    </a:prstGeom>
                    <a:noFill/>
                    <a:ln w="9525">
                      <a:noFill/>
                    </a:ln>
                  </pic:spPr>
                </pic:pic>
              </a:graphicData>
            </a:graphic>
          </wp:inline>
        </w:drawing>
      </w:r>
    </w:p>
    <w:p w14:paraId="11CDC4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探矿权评估价值； </w:t>
      </w:r>
    </w:p>
    <w:p w14:paraId="1E0957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Cr —— 重置成本； </w:t>
      </w:r>
    </w:p>
    <w:p w14:paraId="6769C1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Ui —— 各类地质勘查技术方法完成的实物工作量； </w:t>
      </w:r>
    </w:p>
    <w:p w14:paraId="5F2140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Pi —— 各类地质勘查实物工作对应的现行价格和费用标准； </w:t>
      </w:r>
    </w:p>
    <w:p w14:paraId="19A91B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ε—— 岩矿测试、其他地质工作（含综合研究及编写报告）、工地建筑等间接费用的分摊系数； </w:t>
      </w:r>
    </w:p>
    <w:p w14:paraId="0793CC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 —— 效用系数（F＝f1×f2）； </w:t>
      </w:r>
    </w:p>
    <w:p w14:paraId="4C29FA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f1 —— 勘查工作布置合理性系数； </w:t>
      </w:r>
    </w:p>
    <w:p w14:paraId="01821F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f2 —— 勘查工作加权平均质量系数； </w:t>
      </w:r>
    </w:p>
    <w:p w14:paraId="78061A7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i —— 各实物工作量序号（（i=1，2，…，n）； </w:t>
      </w:r>
    </w:p>
    <w:p w14:paraId="1D3259A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勘查实物工作量项数。 </w:t>
      </w:r>
    </w:p>
    <w:p w14:paraId="2FA5CB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公式(2) </w:t>
      </w:r>
    </w:p>
    <w:p w14:paraId="066DC58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247B8022" wp14:editId="30EF5C76">
            <wp:extent cx="1938655" cy="526415"/>
            <wp:effectExtent l="0" t="0" r="17145"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1"/>
                    <a:stretch>
                      <a:fillRect/>
                    </a:stretch>
                  </pic:blipFill>
                  <pic:spPr>
                    <a:xfrm>
                      <a:off x="0" y="0"/>
                      <a:ext cx="1938655" cy="526415"/>
                    </a:xfrm>
                    <a:prstGeom prst="rect">
                      <a:avLst/>
                    </a:prstGeom>
                    <a:noFill/>
                    <a:ln w="9525">
                      <a:noFill/>
                    </a:ln>
                  </pic:spPr>
                </pic:pic>
              </a:graphicData>
            </a:graphic>
          </wp:inline>
        </w:drawing>
      </w:r>
    </w:p>
    <w:p w14:paraId="3C402D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式中：P、Cr、Ui、Pi、F、i、n 涵义与公式(1)相同。 </w:t>
      </w:r>
    </w:p>
    <w:p w14:paraId="0512F7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 —— 岩矿测试、其他地质工作（含综合研究及编写报告）、工地建筑等间接费用。 </w:t>
      </w:r>
    </w:p>
    <w:p w14:paraId="43A2AB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 适用范围 </w:t>
      </w:r>
    </w:p>
    <w:p w14:paraId="52A7D7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投入少量地表或浅部地质工作的预查阶段的探矿权评估，或者经一定勘查工作后找矿前景仍不明朗的普查探矿权评估。 </w:t>
      </w:r>
    </w:p>
    <w:p w14:paraId="0BF8069E" w14:textId="77777777" w:rsidR="00A320E6" w:rsidRDefault="00000000" w:rsidP="00D71C66">
      <w:pPr>
        <w:pStyle w:val="1a"/>
        <w:rPr>
          <w:lang w:eastAsia="zh-Hans"/>
        </w:rPr>
      </w:pPr>
      <w:r>
        <w:rPr>
          <w:rFonts w:hint="eastAsia"/>
          <w:lang w:eastAsia="zh-Hans"/>
        </w:rPr>
        <w:t xml:space="preserve">5.4 运用中需注意的问题 </w:t>
      </w:r>
    </w:p>
    <w:p w14:paraId="452280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5.4.1 实物工作量的选取必须是有关、有效的勘查工作量，不包含公益性地质工作； </w:t>
      </w:r>
    </w:p>
    <w:p w14:paraId="579F72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5.4.2 依据的评估资料中的主要实物工作量，能够说明其有关、有效和质量状况； </w:t>
      </w:r>
    </w:p>
    <w:p w14:paraId="1AEF721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5.4.3 评估范围应当与勘查许可证中所载明的或登记管理机关划定的地理位置（经纬度坐标）和面积一致； </w:t>
      </w:r>
    </w:p>
    <w:p w14:paraId="6EF7EE6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5.4.4 公式(1)适用于采用占各类勘查技术方法实物工作重置成本的一定比例（分摊系数）的方式估算间接费用的情形，该分摊系数一般取 30%；公式(2)适用于采用分项估算间接费用的情形，一般应根据现行费用水平确定。 </w:t>
      </w:r>
    </w:p>
    <w:p w14:paraId="3883069F" w14:textId="77777777" w:rsidR="00A320E6" w:rsidRDefault="00000000" w:rsidP="00D71C66">
      <w:pPr>
        <w:pStyle w:val="1a"/>
        <w:rPr>
          <w:lang w:eastAsia="zh-Hans"/>
        </w:rPr>
      </w:pPr>
      <w:r>
        <w:rPr>
          <w:rFonts w:hint="eastAsia"/>
          <w:lang w:eastAsia="zh-Hans"/>
        </w:rPr>
        <w:t xml:space="preserve">6 地质要素评序法 </w:t>
      </w:r>
    </w:p>
    <w:p w14:paraId="15A1C3A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一般原理 </w:t>
      </w:r>
    </w:p>
    <w:p w14:paraId="79DA9E0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地质要素评序法是基于贡献原则的一种间接估算探矿权价值的方法。具体是将勘查成本效用法估算所得的价值作为基础成本，对其进行调整，得出探矿权价值。 </w:t>
      </w:r>
    </w:p>
    <w:p w14:paraId="52EC4D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调整的根据是评估对象的找矿潜力和矿产资源的开发前景。 </w:t>
      </w:r>
    </w:p>
    <w:p w14:paraId="4E7094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计算公式 </w:t>
      </w:r>
    </w:p>
    <w:p w14:paraId="500937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公式(1) </w:t>
      </w:r>
    </w:p>
    <w:p w14:paraId="0C9822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69BAF8FA" wp14:editId="44EE6E0E">
            <wp:extent cx="2346325" cy="441960"/>
            <wp:effectExtent l="0" t="0" r="15875" b="152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2"/>
                    <a:stretch>
                      <a:fillRect/>
                    </a:stretch>
                  </pic:blipFill>
                  <pic:spPr>
                    <a:xfrm>
                      <a:off x="0" y="0"/>
                      <a:ext cx="2346325" cy="441960"/>
                    </a:xfrm>
                    <a:prstGeom prst="rect">
                      <a:avLst/>
                    </a:prstGeom>
                    <a:noFill/>
                    <a:ln w="9525">
                      <a:noFill/>
                    </a:ln>
                  </pic:spPr>
                </pic:pic>
              </a:graphicData>
            </a:graphic>
          </wp:inline>
        </w:drawing>
      </w:r>
    </w:p>
    <w:p w14:paraId="436CB91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地质要素评序法探矿权评估价值； </w:t>
      </w:r>
    </w:p>
    <w:p w14:paraId="3D04670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Pc —— 基础成本（勘查成本效用法探矿权评估价值）； </w:t>
      </w:r>
    </w:p>
    <w:p w14:paraId="6CF0D3E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αj —— 第 j 个地质要素的价值指数（j=1，2，…，m）； </w:t>
      </w:r>
    </w:p>
    <w:p w14:paraId="6DFD26E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α —— 调整系数（价值指数的乘积，α=α1×α2×α3×…αm）； </w:t>
      </w:r>
    </w:p>
    <w:p w14:paraId="23C9F60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m —— 地质要素的个数。 </w:t>
      </w:r>
    </w:p>
    <w:p w14:paraId="15F07E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公式(2) </w:t>
      </w:r>
    </w:p>
    <w:p w14:paraId="463E506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0A00E3C2" wp14:editId="5F2E46B1">
            <wp:extent cx="2279015" cy="425450"/>
            <wp:effectExtent l="0" t="0" r="6985"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3"/>
                    <a:stretch>
                      <a:fillRect/>
                    </a:stretch>
                  </pic:blipFill>
                  <pic:spPr>
                    <a:xfrm>
                      <a:off x="0" y="0"/>
                      <a:ext cx="2279015" cy="425450"/>
                    </a:xfrm>
                    <a:prstGeom prst="rect">
                      <a:avLst/>
                    </a:prstGeom>
                    <a:noFill/>
                    <a:ln w="9525">
                      <a:noFill/>
                    </a:ln>
                  </pic:spPr>
                </pic:pic>
              </a:graphicData>
            </a:graphic>
          </wp:inline>
        </w:drawing>
      </w:r>
    </w:p>
    <w:p w14:paraId="5F9F3A8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地质要素评序法探矿权评估价值； </w:t>
      </w:r>
    </w:p>
    <w:p w14:paraId="7A957FA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Pc —— 基础成本（勘查成本效用法探矿权评估价值）； </w:t>
      </w:r>
    </w:p>
    <w:p w14:paraId="544FC48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αj —— 第 j 个地质要素的价值指数（j=1，2，…，m）； </w:t>
      </w:r>
    </w:p>
    <w:p w14:paraId="133316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α —— 调整系数（价值指数的乘积，α=α1×α2×α3×…αm）； </w:t>
      </w:r>
    </w:p>
    <w:p w14:paraId="29FFAE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m —— 地质要素的个数。 </w:t>
      </w:r>
    </w:p>
    <w:p w14:paraId="50C9515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6.3 价值指数（α）的确定 </w:t>
      </w:r>
    </w:p>
    <w:p w14:paraId="5642F09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价值指数一般采用专家协助评判方式进行。专家评判基本要求为： </w:t>
      </w:r>
    </w:p>
    <w:p w14:paraId="6113C2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聘用的专家应具有丰富实践经验和高级以上技术职称。一般以地质矿产专业为主，根据评判需要兼顾物化探、矿业经济等专业。聘用专家人数不少于 5 名。 </w:t>
      </w:r>
    </w:p>
    <w:p w14:paraId="4E21D0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聘用专家与评估机构和矿业权交易双方均不存在直接利害关系和可能关联的利益关系。 </w:t>
      </w:r>
    </w:p>
    <w:p w14:paraId="02515F2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注册矿业权评估师应当将收集的有关地质报告、图件等资料，提供给评判专家，并向其说明价值指数的构成和分级评判标准。 </w:t>
      </w:r>
    </w:p>
    <w:p w14:paraId="06BBAD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聘用专家应按地质要素分类及价值指数表和价值评判的要求，独立、公正、客观地评判并赋值，填写《探矿权地质要素价值指数评判表》。 </w:t>
      </w:r>
    </w:p>
    <w:p w14:paraId="68F4A99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注册矿业权评估师应对评判结果进行审查、汇总，并分析其合理性。 </w:t>
      </w:r>
    </w:p>
    <w:p w14:paraId="0D1BA47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6.4 运用的前提条件 </w:t>
      </w:r>
    </w:p>
    <w:p w14:paraId="788091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勘查区块内已进行较系统的地质勘查工作，有符合勘查规范要求的地质勘查报告或地质资料，并具备比较具体的、可满足评判指数所需的地质、矿产信息，在勘查区块外围有符合要求的区域地质矿产资料。 </w:t>
      </w:r>
    </w:p>
    <w:p w14:paraId="7762ED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 适用范围 </w:t>
      </w:r>
    </w:p>
    <w:p w14:paraId="29376CE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主要用于普查阶段的探矿权评估,也用于能够满足要求的预查阶段的探矿权评估。 </w:t>
      </w:r>
    </w:p>
    <w:p w14:paraId="4E58EA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 运用中需注意的问题 </w:t>
      </w:r>
    </w:p>
    <w:p w14:paraId="443A45B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6.6.1 对于不同的矿种所表现的地质特征和开发利用特征有所差别。注册矿业权评估师应与专家讨论，选取能揭示评估对象的找矿潜力和开发前景特征的要素，并赋以恰当的数值区间范围，供专家选取。 </w:t>
      </w:r>
    </w:p>
    <w:p w14:paraId="0A925F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6.6.2 正确判定评估对象实际已达到的勘查程度，是采用地质要素评序法的前提条件。注册矿业权评估师应当以现行矿产勘查规范判断评估对象实际达到的勘查工作程度。 </w:t>
      </w:r>
    </w:p>
    <w:p w14:paraId="2C5BAE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6.6.3 当成矿地质条件差异较大时，可以根据地质矿产差异情况将评估对象划分为适当的评判单元，分别确定其价值指数和调整系数。 </w:t>
      </w:r>
    </w:p>
    <w:p w14:paraId="5454792C" w14:textId="77777777" w:rsidR="00A320E6" w:rsidRDefault="00000000" w:rsidP="00D71C66">
      <w:pPr>
        <w:pStyle w:val="1a"/>
        <w:rPr>
          <w:lang w:eastAsia="zh-Hans"/>
        </w:rPr>
      </w:pPr>
      <w:r>
        <w:rPr>
          <w:rFonts w:hint="eastAsia"/>
          <w:lang w:eastAsia="zh-Hans"/>
        </w:rPr>
        <w:t xml:space="preserve">7 附则 </w:t>
      </w:r>
    </w:p>
    <w:p w14:paraId="47B96A5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本规范由中国矿业权评估师协会负责解释。 </w:t>
      </w:r>
    </w:p>
    <w:p w14:paraId="2F3198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7.2 本规范自 2008 年 9 月 1 日起施行。</w:t>
      </w:r>
    </w:p>
    <w:p w14:paraId="1CAA8068"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6" w:name="_Toc112227444"/>
      <w:r>
        <w:rPr>
          <w:rFonts w:ascii="宋体" w:hAnsi="宋体" w:cs="宋体" w:hint="eastAsia"/>
          <w:b/>
          <w:bCs/>
          <w:sz w:val="24"/>
          <w:lang w:eastAsia="zh-Hans"/>
        </w:rPr>
        <w:t>市场途径评估方法规范</w:t>
      </w:r>
      <w:bookmarkEnd w:id="146"/>
    </w:p>
    <w:p w14:paraId="540CCF40" w14:textId="77777777" w:rsidR="00A320E6" w:rsidRDefault="00000000" w:rsidP="00D71C66">
      <w:pPr>
        <w:pStyle w:val="1c"/>
        <w:rPr>
          <w:lang w:eastAsia="zh-Hans"/>
        </w:rPr>
      </w:pPr>
      <w:r>
        <w:rPr>
          <w:rFonts w:hint="eastAsia"/>
          <w:lang w:eastAsia="zh-Hans"/>
        </w:rPr>
        <w:t>（CMVS 12300-2008）</w:t>
      </w:r>
    </w:p>
    <w:p w14:paraId="0A77B04E" w14:textId="77777777" w:rsidR="00A320E6" w:rsidRDefault="00000000" w:rsidP="00D71C66">
      <w:pPr>
        <w:pStyle w:val="1a"/>
        <w:rPr>
          <w:lang w:eastAsia="zh-Hans"/>
        </w:rPr>
      </w:pPr>
      <w:r>
        <w:rPr>
          <w:rFonts w:hint="eastAsia"/>
          <w:lang w:eastAsia="zh-Hans"/>
        </w:rPr>
        <w:t xml:space="preserve">1 目的 </w:t>
      </w:r>
    </w:p>
    <w:p w14:paraId="2CB362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为了规范矿业权评估师采用市场途径进行矿业权评估的方法和程序，保证执业质量，根据《矿业权评估技术基本准则》，制定本规范。 </w:t>
      </w:r>
    </w:p>
    <w:p w14:paraId="78E7CA1B" w14:textId="77777777" w:rsidR="00A320E6" w:rsidRDefault="00000000" w:rsidP="00D71C66">
      <w:pPr>
        <w:pStyle w:val="1a"/>
        <w:rPr>
          <w:lang w:eastAsia="zh-Hans"/>
        </w:rPr>
      </w:pPr>
      <w:r>
        <w:rPr>
          <w:rFonts w:hint="eastAsia"/>
          <w:lang w:eastAsia="zh-Hans"/>
        </w:rPr>
        <w:t xml:space="preserve">2 适用范围 </w:t>
      </w:r>
    </w:p>
    <w:p w14:paraId="6F41791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本规范适用于所有矿业权评估业务。 </w:t>
      </w:r>
    </w:p>
    <w:p w14:paraId="3DCFA7B2" w14:textId="77777777" w:rsidR="00A320E6" w:rsidRDefault="00000000" w:rsidP="00D71C66">
      <w:pPr>
        <w:pStyle w:val="1a"/>
        <w:rPr>
          <w:lang w:eastAsia="zh-Hans"/>
        </w:rPr>
      </w:pPr>
      <w:r>
        <w:rPr>
          <w:rFonts w:hint="eastAsia"/>
          <w:lang w:eastAsia="zh-Hans"/>
        </w:rPr>
        <w:t xml:space="preserve">3 定义 </w:t>
      </w:r>
    </w:p>
    <w:p w14:paraId="62613B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为本规范需要，使用如下定义： </w:t>
      </w:r>
    </w:p>
    <w:p w14:paraId="4747616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市场途径：是指根据替代原理，通过分析、比较评估对象与市场上已有矿业权交易案例异同，间接估算评估对象价值的技术路径。是一类评估方法的总称。 </w:t>
      </w:r>
    </w:p>
    <w:p w14:paraId="187190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相似的参照物：是指近期相似交易环境成交的，与被评估对象主矿种相同、勘查程度相同或接近，具有可比条件的矿业权交易案例。 </w:t>
      </w:r>
    </w:p>
    <w:p w14:paraId="57CED78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权重：可比因素对矿业权价值的影响程度。 </w:t>
      </w:r>
    </w:p>
    <w:p w14:paraId="352E67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单位资源品级价值：是指勘查范围内的矿产资源单位品位（质级）资源价值。 </w:t>
      </w:r>
    </w:p>
    <w:p w14:paraId="504C1C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资源毛价值：勘查区内的资源储量与单位资源品级价值的乘积。 </w:t>
      </w:r>
    </w:p>
    <w:p w14:paraId="12E7C378" w14:textId="77777777" w:rsidR="00A320E6" w:rsidRDefault="00000000" w:rsidP="00D71C66">
      <w:pPr>
        <w:pStyle w:val="1a"/>
        <w:rPr>
          <w:lang w:eastAsia="zh-Hans"/>
        </w:rPr>
      </w:pPr>
      <w:r>
        <w:rPr>
          <w:rFonts w:hint="eastAsia"/>
          <w:lang w:eastAsia="zh-Hans"/>
        </w:rPr>
        <w:t xml:space="preserve">4 市场途径评估方法 </w:t>
      </w:r>
    </w:p>
    <w:p w14:paraId="60429D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本规范中，矿业权评估市场途径评估方法包括可比销售法、单位面积探矿权价值评判法、资源品级探矿权价值估算法。 </w:t>
      </w:r>
    </w:p>
    <w:p w14:paraId="76966A3F" w14:textId="77777777" w:rsidR="00A320E6" w:rsidRDefault="00000000" w:rsidP="00D71C66">
      <w:pPr>
        <w:pStyle w:val="1a"/>
        <w:rPr>
          <w:lang w:eastAsia="zh-Hans"/>
        </w:rPr>
      </w:pPr>
      <w:r>
        <w:rPr>
          <w:rFonts w:hint="eastAsia"/>
          <w:lang w:eastAsia="zh-Hans"/>
        </w:rPr>
        <w:t xml:space="preserve">5 可比销售法 </w:t>
      </w:r>
    </w:p>
    <w:p w14:paraId="0376EB3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5.1 一般原理 </w:t>
      </w:r>
    </w:p>
    <w:p w14:paraId="042AB8C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基于替代原则，将评估对象与在近期相似交易环境中成交，满足各项可比条件的矿业权的地、采、选等各项技术、经济参数进行对照比较，分析其差异，对相似参照物的成交价格进行调整估算评估对象的价值。 </w:t>
      </w:r>
    </w:p>
    <w:p w14:paraId="75FEB6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 应用的前提条件 </w:t>
      </w:r>
    </w:p>
    <w:p w14:paraId="479EE18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5.2.1 有一个较发育的、正常的、活跃的矿业权市场。 </w:t>
      </w:r>
    </w:p>
    <w:p w14:paraId="353F50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5.2.2 可以找到相似的参照物。 </w:t>
      </w:r>
    </w:p>
    <w:p w14:paraId="58F502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5.2.3 具有可比量化的指标、技术经济参数等资料。 </w:t>
      </w:r>
    </w:p>
    <w:p w14:paraId="4A7694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 可比因素种类、计算公式及调整系数 </w:t>
      </w:r>
    </w:p>
    <w:p w14:paraId="423E1AE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5.3.1 可比因素通常包括：可采储量、矿石品位（质级）、生产规模、产品价格、矿体赋存开发条件、区位基础设施条件、资源储量、物化探异常、地质环境与矿化类型。 </w:t>
      </w:r>
    </w:p>
    <w:p w14:paraId="6399FE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不同的地质勘查工作阶段，选取不同的可比因素，其计算公式不同。 </w:t>
      </w:r>
    </w:p>
    <w:p w14:paraId="25BEDF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5.3.2 计算公式 </w:t>
      </w:r>
    </w:p>
    <w:p w14:paraId="2690AB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5.3.2.1 详查以上探矿权及采矿权评估（含简单勘查或调查即可达到矿山建设和开采要求的无风险的地表矿产的采矿权评估）计算公式：</w:t>
      </w:r>
    </w:p>
    <w:p w14:paraId="1718FF4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0D5ADD81" wp14:editId="71F0523C">
            <wp:extent cx="1794510" cy="638175"/>
            <wp:effectExtent l="0" t="0" r="8890" b="2222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4"/>
                    <a:stretch>
                      <a:fillRect/>
                    </a:stretch>
                  </pic:blipFill>
                  <pic:spPr>
                    <a:xfrm>
                      <a:off x="0" y="0"/>
                      <a:ext cx="1794510" cy="638175"/>
                    </a:xfrm>
                    <a:prstGeom prst="rect">
                      <a:avLst/>
                    </a:prstGeom>
                    <a:noFill/>
                    <a:ln w="9525">
                      <a:noFill/>
                    </a:ln>
                  </pic:spPr>
                </pic:pic>
              </a:graphicData>
            </a:graphic>
          </wp:inline>
        </w:drawing>
      </w:r>
    </w:p>
    <w:p w14:paraId="3506E2B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评估对象的评估价值； </w:t>
      </w:r>
    </w:p>
    <w:p w14:paraId="6433A99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Pi —— 相似参照物的成交价格； </w:t>
      </w:r>
    </w:p>
    <w:p w14:paraId="2CFD16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μ —— 可采储量调整系数； </w:t>
      </w:r>
    </w:p>
    <w:p w14:paraId="0463DB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ω —— 矿石品位（质级）调整系数； </w:t>
      </w:r>
    </w:p>
    <w:p w14:paraId="05F90EA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t —— 生产规模调整系数； </w:t>
      </w:r>
    </w:p>
    <w:p w14:paraId="3EB40A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θ —— 产品价格调整系数； </w:t>
      </w:r>
    </w:p>
    <w:p w14:paraId="1C09E8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λ —— 矿体赋存开采条件调整系数； </w:t>
      </w:r>
    </w:p>
    <w:p w14:paraId="431A578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δ —— 区位与基础设施条件调整系数； </w:t>
      </w:r>
    </w:p>
    <w:p w14:paraId="649CE2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n —— 相似参照物个数。</w:t>
      </w:r>
    </w:p>
    <w:p w14:paraId="71B12B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5.3.2.2 勘查程度较低阶段的探矿权评估计算公式：</w:t>
      </w:r>
    </w:p>
    <w:p w14:paraId="34CEF13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2B8FC6BA" wp14:editId="45C79C05">
            <wp:extent cx="2225040" cy="745490"/>
            <wp:effectExtent l="0" t="0" r="10160" b="1651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5"/>
                    <a:stretch>
                      <a:fillRect/>
                    </a:stretch>
                  </pic:blipFill>
                  <pic:spPr>
                    <a:xfrm>
                      <a:off x="0" y="0"/>
                      <a:ext cx="2225040" cy="745490"/>
                    </a:xfrm>
                    <a:prstGeom prst="rect">
                      <a:avLst/>
                    </a:prstGeom>
                    <a:noFill/>
                    <a:ln w="9525">
                      <a:noFill/>
                    </a:ln>
                  </pic:spPr>
                </pic:pic>
              </a:graphicData>
            </a:graphic>
          </wp:inline>
        </w:drawing>
      </w:r>
    </w:p>
    <w:p w14:paraId="0207A4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评估对象的评估价值； </w:t>
      </w:r>
    </w:p>
    <w:p w14:paraId="7A4118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Pi —— 相似参照物的成交价格； </w:t>
      </w:r>
    </w:p>
    <w:p w14:paraId="2E4C5DB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Pa —— 勘查投入调整系数； </w:t>
      </w:r>
    </w:p>
    <w:p w14:paraId="42B325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ξ —— 资源储量调整系数； </w:t>
      </w:r>
    </w:p>
    <w:p w14:paraId="6DA8A27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ω —— 矿石品位（品质）调整系数； </w:t>
      </w:r>
    </w:p>
    <w:p w14:paraId="796DEB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ν —— 物化探异常调整系数； </w:t>
      </w:r>
    </w:p>
    <w:p w14:paraId="08FCDE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φ —— 地质环境与矿化类型调整系数； </w:t>
      </w:r>
    </w:p>
    <w:p w14:paraId="67FD81D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δ —— 区位与基础设施条件调整系数； </w:t>
      </w:r>
    </w:p>
    <w:p w14:paraId="036B2D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n —— 相似参照物个数。 </w:t>
      </w:r>
    </w:p>
    <w:p w14:paraId="41CEFED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5.3.3 可比因素调整系数的确定</w:t>
      </w:r>
    </w:p>
    <w:p w14:paraId="3D12B0E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调整系数=1-(1-评估对象的可比因素评判值/相似参照物的可比因素评判值)×该可比因素的权重</w:t>
      </w:r>
    </w:p>
    <w:p w14:paraId="111A70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5.4 适用范围 </w:t>
      </w:r>
    </w:p>
    <w:p w14:paraId="3E6845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通常适用于各勘查阶段的探矿权及采矿权价值评估。 </w:t>
      </w:r>
    </w:p>
    <w:p w14:paraId="4142AF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5.5 应用程序 </w:t>
      </w:r>
    </w:p>
    <w:p w14:paraId="364E3FC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注册矿业权评估师采用可比销售法进行矿业权评估时，除应遵守矿业权评估程序规范外，还应执行下列应用程序： </w:t>
      </w:r>
    </w:p>
    <w:p w14:paraId="72F1899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选择相似参照物。根据已掌握的评估对象的详细情况，收集相同、相类似的矿业权市场交易信息、交易形式、交易背景资料，从中选择可对比的相似参照物； </w:t>
      </w:r>
    </w:p>
    <w:p w14:paraId="373826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确定可比因素。根据不同地质勘查工作阶段选取不同的可比因素的基本要求和计算公式，合理确定可比因素； </w:t>
      </w:r>
    </w:p>
    <w:p w14:paraId="002D6C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确定可比因素的调整系数。在充分对比分析待估矿业权与相似参照物可比因素差异的基础上，按本规返 5.3.3 的要求，确定可比因素调整系数； </w:t>
      </w:r>
    </w:p>
    <w:p w14:paraId="69AE684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估算矿业权评估价值。 </w:t>
      </w:r>
    </w:p>
    <w:p w14:paraId="62E2962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 运用中需注意的问题 </w:t>
      </w:r>
    </w:p>
    <w:p w14:paraId="29A726C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5.6.1 相似参照物与评估对象，其主矿种和矿床成因类型应相同。 </w:t>
      </w:r>
    </w:p>
    <w:p w14:paraId="0C87FE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5.6.2 相似参照物与评估对象必须存在本规范规定的可比因素条件，可比因素相差悬殊，调整系数可能无法调整，应当寻求其他评估途径。 </w:t>
      </w:r>
    </w:p>
    <w:p w14:paraId="5833D7E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5.6.3 评估对象不同，各可比因素对矿业权价值的影响权重不同，操作中应充分考虑每一可比因素对矿业权价值的影响程度，合理确定可比因素的权重，其范围为：0≤可比因素的权重≤1。 </w:t>
      </w:r>
    </w:p>
    <w:p w14:paraId="57EE32B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5.6.4 选取可比因数时，采用的口径应一致。如在很短时间内，产品价格变化幅度较大的，应重新选择相似参照物或寻求其他评估途径。 </w:t>
      </w:r>
    </w:p>
    <w:p w14:paraId="681BD3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5.6.5 矿体赋存开发条件可比因素可分为矿体赋存条件、矿体开采技术条件、矿石采选技术指标三个部分，各部分对开发投资、成本影响程度不同，操作中应根据其对开发投资、成本的影响程度，合理确定其权重。 </w:t>
      </w:r>
    </w:p>
    <w:p w14:paraId="0E9EB95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5.6.6 矿床开采区位与基础设施条件可比因素可分交通运输条件、自然条件、基础设施条件三个部分，各部分对开发投资、成本影响程度不同，操作中应根据不同矿种、不同产品方案对开发投资、成本的影响程度，合理确定其权重。 </w:t>
      </w:r>
    </w:p>
    <w:p w14:paraId="7A3A057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5.6.7 共、伴生组分较多的金属矿，其矿石品位可以采用矿石综合平均品位，即将共、伴生有用组份折算成主要有用组份的矿石品位。 </w:t>
      </w:r>
    </w:p>
    <w:p w14:paraId="1EEFA6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5.6.8 产品方案为原矿时，其矿石品位（品质）调整系数应为 1，其品位（品质）差异由产品价格调整。 </w:t>
      </w:r>
    </w:p>
    <w:p w14:paraId="6AC13C9F" w14:textId="77777777" w:rsidR="00A320E6" w:rsidRDefault="00000000" w:rsidP="00D71C66">
      <w:pPr>
        <w:pStyle w:val="1a"/>
        <w:rPr>
          <w:lang w:eastAsia="zh-Hans"/>
        </w:rPr>
      </w:pPr>
      <w:r>
        <w:rPr>
          <w:rFonts w:hint="eastAsia"/>
          <w:lang w:eastAsia="zh-Hans"/>
        </w:rPr>
        <w:t xml:space="preserve">6 单位面积探矿权价值评判法 </w:t>
      </w:r>
    </w:p>
    <w:p w14:paraId="123F97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一般原理 </w:t>
      </w:r>
    </w:p>
    <w:p w14:paraId="2C9287C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在收集国内地质勘查相关统计资料、矿产资源储量动态信息、上市公司公开披露的地质信息报告、招、拍、挂公开披露的地质资料、公开市场类似矿业权交易情况信息、有关部门和组织发布或矿业权评估师掌握的有关信息的基础上，综合分析评估对象实际情况，分析确定单位面积探矿权价值，从而估算评估对象价值的一种方法。 </w:t>
      </w:r>
    </w:p>
    <w:p w14:paraId="0C7047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应用的前提条件 </w:t>
      </w:r>
    </w:p>
    <w:p w14:paraId="4A800B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6.2.1 勘查区应做过相关的研究工作，并以其成果为基础。 </w:t>
      </w:r>
    </w:p>
    <w:p w14:paraId="2D3E2B7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6.2.2 勘查区地质矿产特征能够得到充分了解。 </w:t>
      </w:r>
    </w:p>
    <w:p w14:paraId="451556C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6.2.3 具备可以分析影响该评估对象价值的资料。 </w:t>
      </w:r>
    </w:p>
    <w:p w14:paraId="5EB004F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6.3 计算公式</w:t>
      </w:r>
    </w:p>
    <w:p w14:paraId="21BC23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noProof/>
          <w:sz w:val="24"/>
          <w:lang w:eastAsia="zh-Hans"/>
        </w:rPr>
        <w:drawing>
          <wp:inline distT="0" distB="0" distL="114300" distR="114300" wp14:anchorId="15B94C7A" wp14:editId="00B7A3F0">
            <wp:extent cx="853440" cy="323850"/>
            <wp:effectExtent l="0" t="0" r="10160" b="635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6"/>
                    <a:stretch>
                      <a:fillRect/>
                    </a:stretch>
                  </pic:blipFill>
                  <pic:spPr>
                    <a:xfrm>
                      <a:off x="0" y="0"/>
                      <a:ext cx="853440" cy="323850"/>
                    </a:xfrm>
                    <a:prstGeom prst="rect">
                      <a:avLst/>
                    </a:prstGeom>
                    <a:noFill/>
                    <a:ln w="9525">
                      <a:noFill/>
                    </a:ln>
                  </pic:spPr>
                </pic:pic>
              </a:graphicData>
            </a:graphic>
          </wp:inline>
        </w:drawing>
      </w:r>
    </w:p>
    <w:p w14:paraId="49B6F4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评估对象的评估价值； </w:t>
      </w:r>
    </w:p>
    <w:p w14:paraId="0ADB0B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S —— 评估对象勘查区面积； </w:t>
      </w:r>
    </w:p>
    <w:p w14:paraId="105CFC6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P1a —— 单位面积探矿权价值；</w:t>
      </w:r>
    </w:p>
    <w:p w14:paraId="5A4C4A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6.4 适用范围 </w:t>
      </w:r>
    </w:p>
    <w:p w14:paraId="3BCB0C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通常适用于勘查程度较低、地质信息较少的探矿权价值评估。 </w:t>
      </w:r>
    </w:p>
    <w:p w14:paraId="77B0D0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6.5 应用程序 </w:t>
      </w:r>
    </w:p>
    <w:p w14:paraId="554B529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注册矿业权评估师采用单位面积探矿权价值评判法进行探矿权评估时，除应遵守矿业权评估程序规范外，还应执行下列应用程序： </w:t>
      </w:r>
    </w:p>
    <w:p w14:paraId="45AD0E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充分了解、分析评估对象的详细情况； </w:t>
      </w:r>
    </w:p>
    <w:p w14:paraId="1B02D6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利用已掌握资料对评估对象做出充分、综合的评判； </w:t>
      </w:r>
    </w:p>
    <w:p w14:paraId="56F3C0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分析确定单位面积探矿权价值； </w:t>
      </w:r>
    </w:p>
    <w:p w14:paraId="6035C4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估算探矿权评估价值。 </w:t>
      </w:r>
    </w:p>
    <w:p w14:paraId="09B161E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 运用中需注意的问题 </w:t>
      </w:r>
    </w:p>
    <w:p w14:paraId="7504CA4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6.6.1 单位面积探矿权价值应为该区域所有矿产资源所反映的综合单位面积探矿权价值。 </w:t>
      </w:r>
    </w:p>
    <w:p w14:paraId="53D1FC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6.6.2 单位面积探矿权价值应按区域成矿地质条件、外部建设条件划分区域。 </w:t>
      </w:r>
    </w:p>
    <w:p w14:paraId="39DC6F63" w14:textId="77777777" w:rsidR="00A320E6" w:rsidRDefault="00000000" w:rsidP="00D71C66">
      <w:pPr>
        <w:pStyle w:val="1a"/>
        <w:rPr>
          <w:lang w:eastAsia="zh-Hans"/>
        </w:rPr>
      </w:pPr>
      <w:r>
        <w:rPr>
          <w:rFonts w:hint="eastAsia"/>
          <w:lang w:eastAsia="zh-Hans"/>
        </w:rPr>
        <w:t xml:space="preserve">7 资源品级探矿权价值估算法 </w:t>
      </w:r>
    </w:p>
    <w:p w14:paraId="58A9E8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一般原理 </w:t>
      </w:r>
    </w:p>
    <w:p w14:paraId="0954F76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在了解勘查区内金属矿产资源的品位和质级数据或有关信息的基础上，与已知矿产地的品位质级价值进行比较，分析确定单位资源品级价值，然后分析并合理确定矿业权价值占资源毛价值的比例，从而估算矿业权价值的一种评估方法。 </w:t>
      </w:r>
    </w:p>
    <w:p w14:paraId="1BA34E8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7.2 应用的前提条件 </w:t>
      </w:r>
    </w:p>
    <w:p w14:paraId="6309834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7.2.1 该区域的地质矿产特征能够得到充分了解。 </w:t>
      </w:r>
    </w:p>
    <w:p w14:paraId="7EFD8D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7.2.2 具备可以分析影响该评估对象价值的资料。 </w:t>
      </w:r>
    </w:p>
    <w:p w14:paraId="6037252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7.3 计算公式</w:t>
      </w:r>
    </w:p>
    <w:p w14:paraId="3E9A38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P=Qd×ε×ω×c</w:t>
      </w:r>
    </w:p>
    <w:p w14:paraId="3D8375D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式中： P —— 评估对象的评估价值； </w:t>
      </w:r>
    </w:p>
    <w:p w14:paraId="774D460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Qd —— 资源储量； </w:t>
      </w:r>
    </w:p>
    <w:p w14:paraId="6A842A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ε —— 单位资源品级价值； </w:t>
      </w:r>
    </w:p>
    <w:p w14:paraId="6B5F2D9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ω —— 资源品级； </w:t>
      </w:r>
    </w:p>
    <w:p w14:paraId="3D63EEF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c —— 矿业权价值占资源毛价值的比例。</w:t>
      </w:r>
    </w:p>
    <w:p w14:paraId="3DD2505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7.4 适用范围 </w:t>
      </w:r>
    </w:p>
    <w:p w14:paraId="4860192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通常适用于勘查程度较低、地质信息较少的金属矿产探矿权价值评估。 </w:t>
      </w:r>
    </w:p>
    <w:p w14:paraId="29B2C6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7.5 应用程序 </w:t>
      </w:r>
    </w:p>
    <w:p w14:paraId="4A81EFE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注册矿业权评估师采用资源品级探矿权价值估算法进行探矿权评估时，除应遵守矿业权评估程序规范外，还应执行下列应用程序： </w:t>
      </w:r>
    </w:p>
    <w:p w14:paraId="75DC6E2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收集勘查区内的资源储量及资源品级资料； </w:t>
      </w:r>
    </w:p>
    <w:p w14:paraId="247B42E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估算资源毛价值； </w:t>
      </w:r>
    </w:p>
    <w:p w14:paraId="27C1BB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分析确定矿业权价值占资源毛价值的比例 </w:t>
      </w:r>
    </w:p>
    <w:p w14:paraId="4E38AC3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估算矿业权评估价值。 </w:t>
      </w:r>
    </w:p>
    <w:p w14:paraId="6F327A8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7.6 运用中需注意的问题 </w:t>
      </w:r>
    </w:p>
    <w:p w14:paraId="7E93D6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资源品级探矿权价值估算法是建立在资源本身丰度基础上的估价方法，原矿产品含有用组分越高，售价越高，获得净收益越高，矿业权价值越高。 </w:t>
      </w:r>
    </w:p>
    <w:p w14:paraId="0896DD36" w14:textId="77777777" w:rsidR="00A320E6" w:rsidRDefault="00000000" w:rsidP="00D71C66">
      <w:pPr>
        <w:pStyle w:val="1a"/>
        <w:rPr>
          <w:lang w:eastAsia="zh-Hans"/>
        </w:rPr>
      </w:pPr>
      <w:r>
        <w:rPr>
          <w:rFonts w:hint="eastAsia"/>
          <w:lang w:eastAsia="zh-Hans"/>
        </w:rPr>
        <w:t xml:space="preserve">8 附则 </w:t>
      </w:r>
    </w:p>
    <w:p w14:paraId="1EB1159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8.1 本规范由中国矿业权评估师协会负责解释。 </w:t>
      </w:r>
    </w:p>
    <w:p w14:paraId="0A962B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8.2 本规范自 2008 年 9 月 1 日起施行。</w:t>
      </w:r>
    </w:p>
    <w:p w14:paraId="3E1B5188"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7" w:name="_Toc112227445"/>
      <w:r>
        <w:rPr>
          <w:rFonts w:ascii="宋体" w:hAnsi="宋体" w:cs="宋体" w:hint="eastAsia"/>
          <w:b/>
          <w:bCs/>
          <w:sz w:val="24"/>
          <w:lang w:eastAsia="zh-Hans"/>
        </w:rPr>
        <w:t>矿业权价款评估应用指南</w:t>
      </w:r>
      <w:bookmarkEnd w:id="147"/>
    </w:p>
    <w:p w14:paraId="3913A420" w14:textId="77777777" w:rsidR="00A320E6" w:rsidRDefault="00000000" w:rsidP="00D71C66">
      <w:pPr>
        <w:pStyle w:val="1c"/>
        <w:rPr>
          <w:lang w:eastAsia="zh-Hans"/>
        </w:rPr>
      </w:pPr>
      <w:r>
        <w:rPr>
          <w:rFonts w:hint="eastAsia"/>
          <w:lang w:eastAsia="zh-Hans"/>
        </w:rPr>
        <w:t>（CMVS 20100-2008）</w:t>
      </w:r>
    </w:p>
    <w:p w14:paraId="418C31AC" w14:textId="77777777" w:rsidR="00A320E6" w:rsidRDefault="00000000" w:rsidP="00D71C66">
      <w:pPr>
        <w:pStyle w:val="1a"/>
        <w:rPr>
          <w:lang w:eastAsia="zh-Hans"/>
        </w:rPr>
      </w:pPr>
      <w:r>
        <w:rPr>
          <w:rFonts w:hint="eastAsia"/>
          <w:lang w:eastAsia="zh-Hans"/>
        </w:rPr>
        <w:t xml:space="preserve">1 适用范围 </w:t>
      </w:r>
    </w:p>
    <w:p w14:paraId="3A5A69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应用指南适用于以处置矿业权价款为目的的评估，包括各种形式的矿业权出让、转让或者企业股权转让以及其他经济行为中需要处置矿业权价款的评估。对涉及部分属国家出资勘查形成矿产地等矿业权价值分割估算矿业权价款的，应按国土资源主管部门的相关规定执行。 </w:t>
      </w:r>
    </w:p>
    <w:p w14:paraId="398881AE" w14:textId="77777777" w:rsidR="00A320E6" w:rsidRDefault="00000000" w:rsidP="00D71C66">
      <w:pPr>
        <w:pStyle w:val="1a"/>
        <w:rPr>
          <w:lang w:eastAsia="zh-Hans"/>
        </w:rPr>
      </w:pPr>
      <w:r>
        <w:rPr>
          <w:rFonts w:hint="eastAsia"/>
          <w:lang w:eastAsia="zh-Hans"/>
        </w:rPr>
        <w:t xml:space="preserve">2 定义 </w:t>
      </w:r>
    </w:p>
    <w:p w14:paraId="44E3BD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为本指南的需要，使用下列定义： </w:t>
      </w:r>
    </w:p>
    <w:p w14:paraId="6FF69B7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矿业权价款，是由矿业权登记管理机关确定使用的特殊概念，现阶段指国家出资勘查投入的权益价值和国家作为矿产资源所有权人所分享的权益价值。一般包括矿业权登记管理机关出让国家出资勘查形成的矿产地、依法收归国有的矿产地、无风险或低风险矿产的矿业权，或者矿业权人转让未进行有偿处置的国家出资勘查形成的矿产地的矿业权，以及根据国家矿业权有偿取得政策规定，向矿业权受让人或矿业权人收取的款项。 </w:t>
      </w:r>
    </w:p>
    <w:p w14:paraId="62B75D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矿业权出让，是指矿业权登记管理机关以批准申请（协议）、招标、拍卖、挂牌等方式向申请矿业权的民事主体授予探矿权、采矿权的行为。 </w:t>
      </w:r>
    </w:p>
    <w:p w14:paraId="2F9A44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矿业权转让，是指矿业权人以出售、作价出资（包括合资、合作经营和矿业股票上市等）等形式依法转移矿业权的行为。 </w:t>
      </w:r>
    </w:p>
    <w:p w14:paraId="4C541C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国家出资，是指中央财政、地方财政或中央财政与地方财政共同以地质勘探费、矿产资源补偿费、矿业权使用费和价款收入、各种基金以及专项经费等安排用于矿产资源勘查投入。以往其他经济类型的勘查投入且目前矿业权已经灭失的，也视同国家出资。 </w:t>
      </w:r>
    </w:p>
    <w:p w14:paraId="51E5C912" w14:textId="77777777" w:rsidR="00A320E6" w:rsidRDefault="00000000" w:rsidP="00D71C66">
      <w:pPr>
        <w:pStyle w:val="1a"/>
        <w:rPr>
          <w:lang w:eastAsia="zh-Hans"/>
        </w:rPr>
      </w:pPr>
      <w:r>
        <w:rPr>
          <w:rFonts w:hint="eastAsia"/>
          <w:lang w:eastAsia="zh-Hans"/>
        </w:rPr>
        <w:t xml:space="preserve">3 应用指南 </w:t>
      </w:r>
    </w:p>
    <w:p w14:paraId="775F9AB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总体要求 </w:t>
      </w:r>
    </w:p>
    <w:p w14:paraId="29C057B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3.1.1 执行矿业权价款评估业务，应遵守有关法律法规、国土资源主管部门有关规章和规范性文件。 </w:t>
      </w:r>
    </w:p>
    <w:p w14:paraId="52F3037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3.1.2 委托方原则上为矿业权登记管理机关，国土资源主管部门另有规定的，从其规定。 </w:t>
      </w:r>
    </w:p>
    <w:p w14:paraId="4FD7E3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3.1.3 根据矿业权登记管理有关规定，评估报告需报送备案后使用。评估结论使用有效期自评估基准日起一年。 </w:t>
      </w:r>
    </w:p>
    <w:p w14:paraId="284798E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52矿业权价款评估应用指南（CMVS 0100-2008） </w:t>
      </w:r>
    </w:p>
    <w:p w14:paraId="5DC1C35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3.1.4 矿业权权属包括有效的勘查许可证、采矿许可证，或者矿业权管理机关划定矿区范围的批复文件、矿业权管理机关委托评估范围文件。 </w:t>
      </w:r>
    </w:p>
    <w:p w14:paraId="6D6EB56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3.1.5 矿业权评估，尤其是采矿权评估及勘查程度较高的探矿权评估，宜将评估对象对应的矿产地（或潜在矿产地）作为整体进行评估；但对评估对象对应的矿产地（或潜在矿产地）面积较大且其勘查工作程度差别较大的探矿权评估项目，可以按勘查工作程度分区，采用不同的评估方法分别估算后加和得出评估对象的评估价值。 </w:t>
      </w:r>
    </w:p>
    <w:p w14:paraId="4B31BBA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3.1.6 探矿权评估，尤其是低勘查程度的探矿权评估，宜将评估范围内当前条件下可勘查开发利用且允许勘查的矿产全部纳入评估范围。 </w:t>
      </w:r>
    </w:p>
    <w:p w14:paraId="4DF8FF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采矿权评估及勘查程度较高的探矿权评估，应根据矿业权管理机关意见、矿产资源储量报告和矿产资源开发利用方案审查意见等，对矿床中共生、伴生有用组分矿产，凡其综合开发利用属技术上可行、经济上合理、环境上允许的，应与主矿种一起纳入评估范围。 </w:t>
      </w:r>
    </w:p>
    <w:p w14:paraId="646D2D2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采用单位面积探矿权价值评判法或资源品级探矿权价值估算法评估低勘查程度探矿权时，可以利用国土资源主管部门发布的或中国矿业权评估师协会建议的单位面积探矿权价值或资源品级探矿权价值标准。 </w:t>
      </w:r>
    </w:p>
    <w:p w14:paraId="4B692DF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采用成本途径或市场途径评估探矿权时 </w:t>
      </w:r>
    </w:p>
    <w:p w14:paraId="1D155AE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各类勘查工作量的取价（费）标准一般应采用国土资源主管部门及相关管理部门颁布实施的国土资源调查预算标准（或类似价格和费用标准），对暂缺的工作手段预算标准或不适用预算标准，可以参考相关行业预算标准（或类似价格和费用标准）。 </w:t>
      </w:r>
    </w:p>
    <w:p w14:paraId="574D71F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岩矿试验、工地建筑和其他地质工作（含综合研究和编写报告）等间接费用，预查、普查等综合性地质工作阶段，可以按直接成本的 30%估算；对专项地质勘查项目等，可以按间接费用的实际构成项目分项估算确定。 </w:t>
      </w:r>
    </w:p>
    <w:p w14:paraId="511ACC7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 采用收益途径评估时 </w:t>
      </w:r>
    </w:p>
    <w:p w14:paraId="0C234E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基本要求 </w:t>
      </w:r>
    </w:p>
    <w:p w14:paraId="41929F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a.收益途径评估采矿权，具备折现现金流量法适用范围和条件的，选用折现现金流量法。不具备折现现金流量法条件的，可以选用其他收益途径方法。 </w:t>
      </w:r>
    </w:p>
    <w:p w14:paraId="310B73C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b.采用收益途径评估方法，应对所引用的专业报告或会计资料等进行充分分析，以社会平均生产力水平原则，确定评估用技术经济参数，并在评估报告中说明参数确定的具体过程。 </w:t>
      </w:r>
    </w:p>
    <w:p w14:paraId="1F66076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c.确定评估用资源储量，应以资源储量核实报告为依据。资源储量核实报告应按国土资源管理部门的相关规定进行评审和备案。 </w:t>
      </w:r>
    </w:p>
    <w:p w14:paraId="2837511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参数确定 </w:t>
      </w:r>
    </w:p>
    <w:p w14:paraId="6D2EA23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①评估利用的资源储量 </w:t>
      </w:r>
    </w:p>
    <w:p w14:paraId="31110C8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对参与评估计算的保有资源储量应结合矿产资源开发利用方案或（预）可行性研究或矿山设计分类处理。 </w:t>
      </w:r>
    </w:p>
    <w:p w14:paraId="761AE2C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a.经济基础储量，属技术经济可行的，全部参与评估计算； </w:t>
      </w:r>
    </w:p>
    <w:p w14:paraId="007A9B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b.内蕴经济资源量，属技术经济可行的，包括已通过（预）可行性研究、矿山设计或矿产资源开发利用方案编制并审查通过、基建和生产矿山，以及经分析对比，有理由认为是经济合理的项目，分类处理如下： </w:t>
      </w:r>
    </w:p>
    <w:p w14:paraId="7AA0C2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探明的或控制的内蕴经济资源量（331）和（332），全部参与评估计算。推断的内蕴经济资源量（333）可参考（预）可行性研究、矿山设计、矿产资源开发利用方案或设计规范的规定等取值。（预）可行性研究、矿山设计或矿产资源开发利用方案等中未予利用的或设计规范未做规定的，采用可信度系数调整，可信度系数在 0.5-0.8 范围取值，具体取值应按矿床（总体）地质工作程度、推断的内蕴经济资源量（333）与其周边探明的或控制的资源储量关系、矿种及矿床勘查类型等确定。矿床地质工作程度高的，或（333）资源量的周边有高级资源储量的，或矿床勘查类型简单的，可信度系数取高值；反之，取低值。 </w:t>
      </w:r>
    </w:p>
    <w:p w14:paraId="0449F3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简单勘查或调查即可达到矿山建设和开采要求的无风险的地表出露矿产（建筑材料类矿产等），估算的内蕴经济资源量均视为（111b）或（122b），全部参与评估计算。 </w:t>
      </w:r>
    </w:p>
    <w:p w14:paraId="242105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c.通过项目经济合理性分析表明，应属边际经济和次边际经济的，不参与评估。 </w:t>
      </w:r>
    </w:p>
    <w:p w14:paraId="21D8FC8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地质勘查报告、资源储量核实报告采用以往资源储量套改等原因出现的边际经济基础储量和次边际经济资源量原则上不参与评估计算。但设计或实际利用的，或虽未设计或实际利用，但评估时进行经济分析认为属经济可利用的，可视为（111b）、（122b）全部参与计算。 </w:t>
      </w:r>
    </w:p>
    <w:p w14:paraId="1C5BFA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e.预测的资源量（334）原则上不参与评估计算。 </w:t>
      </w:r>
    </w:p>
    <w:p w14:paraId="0FB8AE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f.采用折现现金流量风险系数调整法评估时，属技术经济可行的各类资源储量，包括推断的内蕴经济资源量（333）和预测的资源量（334），全部参与评估计算（不做可信度系数调整）。 </w:t>
      </w:r>
    </w:p>
    <w:p w14:paraId="3AFBEE6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②生产能力 </w:t>
      </w:r>
    </w:p>
    <w:p w14:paraId="6DF54F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对探矿权评估以及拟建、在建和改扩建项目的采矿权评估，应依据审批或评审的矿产资源开发利用方案或者管理部门核准生产能力文件等确定生产能力；未编制矿产资源开发利用方案（包括预可行性研究、可行性研究或初步设计等）的，管理部门又未对生产能力进行核定的，可根据矿产赋存和开采技术条件以及市场供求因素、法律法规要求等，按生产能力的确定原则、影响因素及估算方法，合理确定生产能力。 </w:t>
      </w:r>
    </w:p>
    <w:p w14:paraId="76E7FA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b.对延续登记采矿权的生产矿山，应根据采矿许可证载明的生产规模或批准的矿产资源开发利用方案确定生产能力。 </w:t>
      </w:r>
    </w:p>
    <w:p w14:paraId="3C783B7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c.对于国家进行开采总量宏观调控的矿种或者国家保护性开采特定矿种（如钨、稀土等），原则上应按管理部门下达的生产指标进行分析后确定生产能力。 </w:t>
      </w:r>
    </w:p>
    <w:p w14:paraId="6B8D684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③服务年限 </w:t>
      </w:r>
    </w:p>
    <w:p w14:paraId="2AE6E3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基本原则是：国土资源主管部门已确定采矿权出让有效期的，评估计算的服务年限为已确定的有效期。没有确定有效期的，矿山服务年限短于 30 年的，评估计算的服务年限按矿山服务年限计算；矿山服务年限长于 30 年的，评估计算的服务年限按 30 年计算。 </w:t>
      </w:r>
    </w:p>
    <w:p w14:paraId="76C3F8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④产品销售价格 </w:t>
      </w:r>
    </w:p>
    <w:p w14:paraId="5717D6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应根据产品类型、产品质量和销售条件，一般采用当地价格口径确定，可以评估基准日前 3个年度的价格平均值或回归分析后确定评估用的产品价格；对产品价格波动较大、服务年限较长的大中型矿山，可以评估基准日前 5 个年度内价格平均值确定评估用的产品价格；对服务年限短的小型矿山，可以采用评估基准日当年价格的平均值确定评估用的产品价格。 </w:t>
      </w:r>
    </w:p>
    <w:p w14:paraId="487B24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评估报告中应对价格确定的依据和过程做详细说明。 </w:t>
      </w:r>
    </w:p>
    <w:p w14:paraId="372EB86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⑤固定资产、无形资产及其他资产投资 </w:t>
      </w:r>
    </w:p>
    <w:p w14:paraId="166475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a.固定资产投资全部按自有资金处理，不考虑固定资产投资借款。 </w:t>
      </w:r>
    </w:p>
    <w:p w14:paraId="26EC1B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b.除后续地质勘查投资外，其他的无形资产及其他资产投资不计入投资中。 </w:t>
      </w:r>
    </w:p>
    <w:p w14:paraId="4AF4DA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依据矿产资源开发利用方案、（预）可行性研究报告或矿山设计等资料中设计的固定资产投资数据，确定评估用固定资产投资时，合理剔除预备费用、征地费用、基建期贷款利息等，作为评估用固定资产投资。一般包括分部工程费用（如井巷工程、设备、房屋建筑物）和其他费用。 </w:t>
      </w:r>
    </w:p>
    <w:p w14:paraId="2E807F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作为取值依据的资料必须是由具有规定资质的设计单位正式编制的。 </w:t>
      </w:r>
    </w:p>
    <w:p w14:paraId="12B8BDA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d.根据评估基准日企业资产负债表、固定资产明细表列示的固定资产和在建工程账面值确定生产矿山采矿权评估用固定资产投资时，应按照收益途径评估方法规范中关于确定固定资产投资的要求处理。 </w:t>
      </w:r>
    </w:p>
    <w:p w14:paraId="544FA01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e.改扩建矿山的采矿权评估中固定资产投资的确定，参照本指南上述相关规定处理。其固定资产投资一般包括原有固定资产的利用和改扩建新增投资两个部分。 </w:t>
      </w:r>
    </w:p>
    <w:p w14:paraId="0DBE04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f.对直接引用矿产资源开发利用方案、（预）可行性研究报告或矿山设计等资料确定评估用固定资产投资明显不合理的，可以根据矿业权的具体情况重新合理确定评估用固定资产投资。对以评估基准日企业会计报表确定评估用固定资产投资明显不合理的，可以根据矿山原设计等资料及企业固定资产原值、净值构成，类比近期建设的相似矿山投资情况或根据设计该预算定额标准指标，对评估对象矿山的固定资产投资进行调整或重新估算，以确定评估用固定资产投资。 </w:t>
      </w:r>
    </w:p>
    <w:p w14:paraId="4DC9048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⑥更新资金投入 </w:t>
      </w:r>
    </w:p>
    <w:p w14:paraId="33BF93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a.房屋建筑物和设备采用不变价值原则考虑其更新资金投入，即设备、房屋建筑物在其计提完折旧后的下一时点（下一年或下一月）投入等额初始投资（建设期初始投资）。 </w:t>
      </w:r>
    </w:p>
    <w:p w14:paraId="578B456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b.采矿系统（坑采的井巷工程或露采的剥离工程）更新资金以更新性质的维简费及安全费用方式计入经营成本。 </w:t>
      </w:r>
    </w:p>
    <w:p w14:paraId="14F29C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⑦流动资金 </w:t>
      </w:r>
    </w:p>
    <w:p w14:paraId="3A75F4C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设定 70%的流动资金为银行贷款（6 个月至 1 年期短期贷款）、30%为自有资金，并据设定计算财务费用。流动资金在矿山生产期按生产负荷分段投入。 </w:t>
      </w:r>
    </w:p>
    <w:p w14:paraId="5A3D739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⑧成本费用 </w:t>
      </w:r>
    </w:p>
    <w:p w14:paraId="0288C2F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成本费用参数，可以参考矿产资源开发利用方案、（预）可行性研究报告或矿山设计等资料中的相关数据分析确定，但应考虑其实效性；也可以参考评估基准日企业财务会计资料分析确定。 </w:t>
      </w:r>
    </w:p>
    <w:p w14:paraId="53AB9C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参考评估基准日企业财务会计资料分析确定成本费用参数时，应当按社会平均生产力水平考虑。但历史平均值并不等同于社会平均生产力水平。 </w:t>
      </w:r>
    </w:p>
    <w:p w14:paraId="799611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⑨维简费、安全费用（煤矿）和井巷工程基金（井巷费用） </w:t>
      </w:r>
    </w:p>
    <w:p w14:paraId="0D1818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a.采矿系统维简费、安全费用和井项工程基金，按有关部门的规定以原矿产量计提，计入总成本费用。 </w:t>
      </w:r>
    </w:p>
    <w:p w14:paraId="707E3E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b.采矿系统所需的更新资金（维持简单再生产所需的固定资产性支出和费用性支出）以更新费用（更新性质的维简费、安全费用）方式计入经营成本。 </w:t>
      </w:r>
    </w:p>
    <w:p w14:paraId="363D50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煤矿，按财政部门规定维简费（不含井巷工程基金）的 50%（更新性质的维简费）及全部安全费用作为更新费用计入经营成本；对计提维简费的金属矿等，按评估计算的服务年限内采出原矿量和采矿系统固定资产投资计算单位矿石折旧性质的维简费，以按财政部门规定标准计提的维简费扣除单位矿石折旧性质的维简费后全部余额（但余额为负数时不计更新性质的维简费）及全部安全费用作为更新费用计入经营成本。 </w:t>
      </w:r>
    </w:p>
    <w:p w14:paraId="69530B7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c.计提折旧、不计提维简费的盐湖等矿山以及某些基建时一次性投入全部开拓工程费用的小型矿山，可不考虑采矿系统更新资金投入，不计算更新费用。 </w:t>
      </w:r>
    </w:p>
    <w:p w14:paraId="31EBB96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⑩相关税费 </w:t>
      </w:r>
    </w:p>
    <w:p w14:paraId="3B33C6A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a.增值税,统一按一般纳税人适用税率计算。 </w:t>
      </w:r>
    </w:p>
    <w:p w14:paraId="4C59F87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b.销售税金及附宷,根据国家和省（自治区、直辖市）财政、税务主管部门发布的有关标准进行计算。 </w:t>
      </w:r>
    </w:p>
    <w:p w14:paraId="329F009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c.企业所得税,统一以利润总额为基数，按企业所得税税率 25%计算，不考虑亏损弥补及企业所得税减免、抵扣等税收优惠。折现率：按国土资源部的相关规定直接选取。 </w:t>
      </w:r>
    </w:p>
    <w:p w14:paraId="18E5B21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 本应用指南未做规定的事项，均适用于矿业权评估准则的相关要求。国土资源部有特殊规定，从其规定。 </w:t>
      </w:r>
    </w:p>
    <w:p w14:paraId="3EEECA8B" w14:textId="77777777" w:rsidR="00A320E6" w:rsidRDefault="00000000" w:rsidP="00D71C66">
      <w:pPr>
        <w:pStyle w:val="1a"/>
        <w:rPr>
          <w:lang w:eastAsia="zh-Hans"/>
        </w:rPr>
      </w:pPr>
      <w:r>
        <w:rPr>
          <w:rFonts w:hint="eastAsia"/>
          <w:lang w:eastAsia="zh-Hans"/>
        </w:rPr>
        <w:t xml:space="preserve">4 附则 </w:t>
      </w:r>
    </w:p>
    <w:p w14:paraId="69DCFF5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本应用指南由中国矿业权评估师协会负责解释。 </w:t>
      </w:r>
    </w:p>
    <w:p w14:paraId="5E3C024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4.2 本应用指南自 2008 年 9 月 1 日起实行。</w:t>
      </w:r>
    </w:p>
    <w:p w14:paraId="3F2FF938"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48" w:name="_Toc112227446"/>
      <w:r>
        <w:rPr>
          <w:rFonts w:ascii="宋体" w:hAnsi="宋体" w:cs="宋体" w:hint="eastAsia"/>
          <w:b/>
          <w:bCs/>
          <w:sz w:val="24"/>
          <w:lang w:eastAsia="zh-Hans"/>
        </w:rPr>
        <w:t>矿业权转让评估应用指南</w:t>
      </w:r>
      <w:bookmarkEnd w:id="148"/>
    </w:p>
    <w:p w14:paraId="2E789F41" w14:textId="77777777" w:rsidR="00A320E6" w:rsidRDefault="00000000" w:rsidP="00D71C66">
      <w:pPr>
        <w:pStyle w:val="1c"/>
        <w:rPr>
          <w:lang w:eastAsia="zh-Hans"/>
        </w:rPr>
      </w:pPr>
      <w:r>
        <w:rPr>
          <w:rFonts w:hint="eastAsia"/>
          <w:lang w:eastAsia="zh-Hans"/>
        </w:rPr>
        <w:t>（CMVS 20200-2010）</w:t>
      </w:r>
    </w:p>
    <w:p w14:paraId="64824625" w14:textId="77777777" w:rsidR="00A320E6" w:rsidRDefault="00000000" w:rsidP="00D71C66">
      <w:pPr>
        <w:pStyle w:val="1a"/>
        <w:rPr>
          <w:lang w:eastAsia="zh-Hans"/>
        </w:rPr>
      </w:pPr>
      <w:r>
        <w:rPr>
          <w:rFonts w:hint="eastAsia"/>
          <w:lang w:eastAsia="zh-Hans"/>
        </w:rPr>
        <w:t xml:space="preserve">1 适用范围 </w:t>
      </w:r>
    </w:p>
    <w:p w14:paraId="74C9E8D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本应用指南适用于矿业权转让行为所涉及的中华人民共和国境内的矿业权评估，不包括矿业权转让中需要处置矿业权价款的评估。境外矿资产及开发合同权益价值评估，可以参照本应用指南。证券业务、企业改制设立公司等涉及的矿业权评估，应遵循相应的评估应用指南。 </w:t>
      </w:r>
    </w:p>
    <w:p w14:paraId="00F71D96" w14:textId="77777777" w:rsidR="00A320E6" w:rsidRDefault="00000000" w:rsidP="00D71C66">
      <w:pPr>
        <w:pStyle w:val="1a"/>
        <w:rPr>
          <w:lang w:eastAsia="zh-Hans"/>
        </w:rPr>
      </w:pPr>
      <w:r>
        <w:rPr>
          <w:rFonts w:hint="eastAsia"/>
          <w:lang w:eastAsia="zh-Hans"/>
        </w:rPr>
        <w:t xml:space="preserve">2 定义 </w:t>
      </w:r>
    </w:p>
    <w:p w14:paraId="2336B91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为本应用指南的需要，使用下列定义： </w:t>
      </w:r>
    </w:p>
    <w:p w14:paraId="0566962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矿业权转让是指矿业权人依法将其合法拥有的矿业权转移给其他单位或者个人的行为，属矿业权二级市场范筹。包括出售、作价出资、合作以及非货币资产交易和债务重组等形式发生的矿业权转移行为等。 </w:t>
      </w:r>
    </w:p>
    <w:p w14:paraId="4B9AEE0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矿业权出售是指矿业权人依法将其合法拥有的矿业权有偿让渡给其他单位或者个人的行为。 </w:t>
      </w:r>
    </w:p>
    <w:p w14:paraId="11AA90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矿业权作价出资是指矿业权人依法将其合法拥有的矿业权作价后，作为资本投入企业，并按其价值作为出资数额行使相应权利，履行相应义务的行为。 </w:t>
      </w:r>
    </w:p>
    <w:p w14:paraId="576D83A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合作勘查或合作开采经营是指矿业权人依法以其合法拥有的矿业权作为基础，引进他人资金、技术和管理等，通过签订合作合同约定权利义务，共同勘查、开采矿产资源的行为。 </w:t>
      </w:r>
    </w:p>
    <w:p w14:paraId="1F61712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非货币性资产交换是指交易双方主要以存货、固定资产、无形资产和长期股权投资等非货币性资产进行的交换，该交换不涉及或只涉及少量的货币性资产（即补价）。货币性资产，是指企业将以固定或可确定金额的货币收取的资产，包括现金、银行存款、应收账款和应收票据以及准备持有至到期的债券投资等。货币性资产以外的资产为非货币性资产。 </w:t>
      </w:r>
    </w:p>
    <w:p w14:paraId="783F58F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债务重组，是指在债务人发生财务困难的情况下，债权人按照其与债务人达成的协议或者法院的裁定做出让步的事项。债务重组的方式主要有以资产清偿债务、将债务转为资本、修改其他债务条件，（如减少债务本金、减少债务利息等）或以上三种方式的组合等。 </w:t>
      </w:r>
    </w:p>
    <w:p w14:paraId="314597A3" w14:textId="77777777" w:rsidR="00A320E6" w:rsidRDefault="00000000" w:rsidP="00D71C66">
      <w:pPr>
        <w:pStyle w:val="1a"/>
        <w:rPr>
          <w:lang w:eastAsia="zh-Hans"/>
        </w:rPr>
      </w:pPr>
      <w:r>
        <w:rPr>
          <w:rFonts w:hint="eastAsia"/>
          <w:lang w:eastAsia="zh-Hans"/>
        </w:rPr>
        <w:t xml:space="preserve">3 应用指南 </w:t>
      </w:r>
    </w:p>
    <w:p w14:paraId="55D704D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执行矿业权转让评估业务，应当遵守国家法律、法规，国土资源行政主管部门矿业权转让的有关规章和规范性文件。 </w:t>
      </w:r>
    </w:p>
    <w:p w14:paraId="34E1373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评估委托方 </w:t>
      </w:r>
    </w:p>
    <w:p w14:paraId="3F0F4E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委托方可以是合法拥有矿业权的矿业权人，也可以是矿业权拟受让人（合作方）以及相关当事方。 </w:t>
      </w:r>
    </w:p>
    <w:p w14:paraId="4943A6C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企业股权转让或资产组合转让涉及的矿业权评估，委托方可以是股权持有人和资产占有单位，也可以是股权或资产受让人。 </w:t>
      </w:r>
    </w:p>
    <w:p w14:paraId="4362A4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评估目的 </w:t>
      </w:r>
    </w:p>
    <w:p w14:paraId="3A42D67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应当根据矿业转让合同或协议（意向书）约定的转让方式确定评估目的。企业股权转让、资产组合转让涉及的矿业权评估，应当根据相应的合同或协议所明确的矿业权转让方式确定评估目的。不明确的，应当根据取得的类似约定文件确定评估目的。 </w:t>
      </w:r>
    </w:p>
    <w:p w14:paraId="3129FF6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应当根据约定的矿业权转让具体方式和评估报告使用情况表述评估目的。矿业权评估报告中评估目的应清晰、准确表述为为某具体经济行为提供价值参考依据，不得使用保证转让价格实现的任何表述。 </w:t>
      </w:r>
    </w:p>
    <w:p w14:paraId="3336DA8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企业股权转让涉及的矿业权评估结论，不是直接为拟转让股权转让提供价值参考依据，而是为股权转让行为涉及的矿业权提供价值参考意见。 </w:t>
      </w:r>
    </w:p>
    <w:p w14:paraId="5A6AEA1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作价出资矿业权评估结论，不是为确定注册资本（或股本）提供价值参考依据，而是为出资矿业权提供价值参考意见。 </w:t>
      </w:r>
    </w:p>
    <w:p w14:paraId="52A2C4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非货币资产交换涉及的矿业权评估结论，是为非货币资产交换涉及矿业权提供价值参考意见。矿业权评估结论并不涉及补价和税费等。 </w:t>
      </w:r>
    </w:p>
    <w:p w14:paraId="4949F4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债务重组涉及的矿业权评估结论，是为清偿债务涉及矿业权提供价值参考意见。矿业权评估结论不涉及债务账面值与评估价值差异的处理。 </w:t>
      </w:r>
    </w:p>
    <w:p w14:paraId="352987A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招标、拍卖和挂牌等方式出售转让，成交价格是特殊交易环境下形成的，应当表述为为确定招标底价、起拍价、保留价等提供价值参考依据。协议方式出售可表述为为交易提供价格参考依据。 </w:t>
      </w:r>
    </w:p>
    <w:p w14:paraId="15456CE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评估对象与评估范围 </w:t>
      </w:r>
    </w:p>
    <w:p w14:paraId="236EC6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通常情况下，评估对象与评估范围是根据经济行为由委托方式确定的。评估对象和评估范围，可以根据矿业权转让行为所涉及的矿业权权属文件确定，也可以根据转让合同或协议确定，也可以根据转让行为所涉及的其他类似文件确定。 </w:t>
      </w:r>
    </w:p>
    <w:p w14:paraId="6BC064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确定和表述评估对象与评估范围，应当关注如下事项。 </w:t>
      </w:r>
    </w:p>
    <w:p w14:paraId="4EE4EE7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转让行为是否符合矿业权转让规定的条件。如是否已按照国家有关规定缴纳采矿权探矿权使用费、采矿权探矿权价款、矿产资源补偿费和资源税，探矿权是否完成最低投入，矿业权权属是否有争议，是否达到持有期限等。 </w:t>
      </w:r>
    </w:p>
    <w:p w14:paraId="3F9D1C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转让行为涉及的矿业权权属。矿业权权属包括有效的矿产资源勘查许可证、采矿许可证。以合法拥有的探矿权申请采矿权、生产矿山变更矿区范围等过程中取得的划定矿区范围批复文件，可以与原权属文件一并作为矿业权权属文件，并应在评估报告中充分披露划定矿区范围的有效期及其对经济行为实现、评估结论等可能产生的影响。 </w:t>
      </w:r>
    </w:p>
    <w:p w14:paraId="0956843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3）矿业权取得的方式（出让取得、转让取得）、出让合同及价款处置、转让（购买）合同及价格以及相关费用的缴纳情况等。 </w:t>
      </w:r>
    </w:p>
    <w:p w14:paraId="571AF6B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 评估基准日及评估结论使用有效期 </w:t>
      </w:r>
    </w:p>
    <w:p w14:paraId="4076AD6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3.4.1 评估基准日的确定 </w:t>
      </w:r>
    </w:p>
    <w:p w14:paraId="23E839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应当按照《确定评估基准日指导意见》的相关规范，由委托方和相关当事方确定。</w:t>
      </w:r>
    </w:p>
    <w:p w14:paraId="1EF62D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注册矿业权评估师可以对确定评估基准日提供专业建议。通常考虑转让经济行为的实施计划、生产矿山财务会计报表结算日期、国家税费等的变化、同时进行资产评估所确定的评估基准日（涉及企业股权转让、资产组合）等因素确定评估基准日，尽量减少影响评估结论的评估基准日后事项，考虑评估中可能涉及的市场价格信息的时效性。 </w:t>
      </w:r>
    </w:p>
    <w:p w14:paraId="653D35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涉及非货币性资产交换，建议考虑会计核算的要求。 </w:t>
      </w:r>
    </w:p>
    <w:p w14:paraId="782A6A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3.4.2 评估结论使用有效期 </w:t>
      </w:r>
    </w:p>
    <w:p w14:paraId="0E50243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评估结论使用有效期，应考虑国家相关政策规定、市场价格水平的变化，以及矿业权对应的矿产地的变化等因素确定，原则上不超过一年。 </w:t>
      </w:r>
    </w:p>
    <w:p w14:paraId="3389776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非货币资产交换、债务重组涉及的矿业权评估结论使用有效期，根据非货币资产交换、债务重组相关规定或协议确定。 </w:t>
      </w:r>
    </w:p>
    <w:p w14:paraId="3BB6206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企业股权转让、资产组合转让涉及的矿业权评估，可考虑与同时进行的资产评估结论有效期的一致性。 </w:t>
      </w:r>
    </w:p>
    <w:p w14:paraId="5504F6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 评估依据 </w:t>
      </w:r>
    </w:p>
    <w:p w14:paraId="3A5FBE7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矿业权转让评估业务，评估依据通常包括： </w:t>
      </w:r>
    </w:p>
    <w:p w14:paraId="0619C29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3.5.1 经济行为依据。即评估目的对应的交易行为涉及的文件资料。不同的转让方式其经济行为依据不同。如出售行为中的出售合同或者协议（意向书）；出资行为中的公司章程或投资协议、出资人协议书、重组改制方案、增资扩股合同或者协议；合作行为中的合作合同或者协议；非货币性资产交换合同或者协议；债务重组中的债务重组协议或者法院裁定等。 </w:t>
      </w:r>
    </w:p>
    <w:p w14:paraId="254B67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3.5.2 法律、法规依据。不同的转让方式，应遵循相应的法律、法规，同时应当遵循矿业权评估准则。 </w:t>
      </w:r>
    </w:p>
    <w:p w14:paraId="58D67BD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3.5.3 矿业权权属依据。委托人和者相关当事方提供的权属证明文件及矿业权价款有偿处置相关文件。 </w:t>
      </w:r>
    </w:p>
    <w:p w14:paraId="375904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3.5.4 评估取价依据。包括与矿业权评估相关的税费政策性文件、利用的专业报告及评估中收集的有关信息资料等。专业报告通常包括矿山设计文件、地质勘查文件、矿产资源储量报告及企业财务报告等。 </w:t>
      </w:r>
    </w:p>
    <w:p w14:paraId="6D19FA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3.5.5 企业出具的相关说明。矿业权价值咨询性质的评估项目，根据委托咨询的目的，以及矿业权评估报告的使用性质，将部分或全部必要事项或要求事项作为假设前提，需要委托方和相关当事方提供相关说明和承诺，作为评估依据。 </w:t>
      </w:r>
    </w:p>
    <w:p w14:paraId="18A5116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 评估实施过程 </w:t>
      </w:r>
    </w:p>
    <w:p w14:paraId="0F9A63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评估程序实施过程应遵守《矿业权评估程序规范》，并根据选取的评估方法实施具体的评估程序。矿业权评估报告应当充分披露评估实施过程。 </w:t>
      </w:r>
    </w:p>
    <w:p w14:paraId="30E17A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3.6.1 履行尽职调查程序时，应对委托方和相关当事方提供的资料和相关情况进行必要的核查。如果现场勘查是可行的和必要的，应进行现场勘查。 </w:t>
      </w:r>
    </w:p>
    <w:p w14:paraId="5523DEC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3.6.2 因客观条件限制无法进行现场勘查，或者初步判断现场勘查无法满足核查目的，应当采取其他必要的尽职调查手段以达到核查目的，并在评估报告中披露限制原因及其他尽职调查手段。 </w:t>
      </w:r>
    </w:p>
    <w:p w14:paraId="5C255C7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3.6.3 应委托方或者相关当事方特殊要求不进行、不能完全进行现场勘查，应判断其对评估结论的影响程度，根据影响程度决定采取矿业权评估报告中充分披露、出具限制使用性质的矿业权评估报告、拒绝出具矿业权评估报告等措施。 </w:t>
      </w:r>
    </w:p>
    <w:p w14:paraId="20583C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 评估方法 </w:t>
      </w:r>
    </w:p>
    <w:p w14:paraId="7405D41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3.7.1 根据矿业权转让经济行为及其决定的评估目的、评估对象及其对应的勘查区或矿产资源的勘查开发工作程度以及资料收集情况等相关条件，结合矿业权评估方法规范中收益途径、市场途径和成本途径三类评估方法的适用范围和前提条件，分析三类评估途径的适用性，恰当选择具体评估方法。 </w:t>
      </w:r>
    </w:p>
    <w:p w14:paraId="1EA61D6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也可以根据评估目的，评估对象和资料收集情况等相关条件，在不违背矿业权评估准则基本要求的前提下，选择不同于矿业权评估方法规范的具体评估方法，选择评估方法。但都应确信所采用方法的合理性，确保得出的评估结论满足评估目的的需要，并在矿业权评估报告中明确披露。也可以根据评估目的，评估对象和资料收集情况等相关条件，在不违背矿业权评估准则基本要求的前提下，谨慎参照其他评估专业的评估方法或境外矿业权评估准则（或类似规范）中的方法，但应确信所采用方法的合理性，确保得出的评估结论满足评估目的的需要，并在矿业权评估报告中明确说明理由。 </w:t>
      </w:r>
    </w:p>
    <w:p w14:paraId="65C2779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3.7.2 成本途径评估方法，是基于探矿权所对应的矿产勘查工作投入与探矿权价值存在内在联系或依存关系作为前提的。 </w:t>
      </w:r>
    </w:p>
    <w:p w14:paraId="7072DC2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矿业权人投资勘查矿产资源的，矿业权价值以已投入的有效有关的勘查工作成本的现值确定。具体可按照《成本途径评估方法规范》中的具体评估方法进行。 </w:t>
      </w:r>
    </w:p>
    <w:p w14:paraId="0173DC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矿业权人通过市场购买方式取得的矿业权，可以购买成本为基础，并考虑矿业权人取得矿业权后再投入的有关有效的勘查工作成本，确定矿业权价值。 </w:t>
      </w:r>
    </w:p>
    <w:p w14:paraId="54F1D1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矿业权人通过缴纳矿业权价款方式（或类似支付方式）取得的矿业权，可以缴纳价款为基础，并考虑矿业权人取得矿业权后再投入的有关有效的勘查工作成本，确定矿业权价值。 </w:t>
      </w:r>
    </w:p>
    <w:p w14:paraId="5C036FF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结合不同的评估目的，在考虑投入或取得成本的基础上，在适当及切实可行的情况下，可以考虑：①取得或投入成本的资金成本或机会成本。②矿业权对应的矿产资源或潜在矿产资源前景、及其未来开发收益中归属矿业权人的收益现值。 </w:t>
      </w:r>
    </w:p>
    <w:p w14:paraId="0AEB4CA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3.7.3 收益途径评估方法，是基于矿业权所对应的矿产资源未来开发收益中，归属矿业权的收益决定矿业权价值这一前提的。矿业权转让评估业务采用收益途径评估的理由是，矿业权转让价格以矿业权人合法拥有的矿业权对应的矿产资源储量在未来开发中可以获取的收益为基础。 </w:t>
      </w:r>
    </w:p>
    <w:p w14:paraId="7FE912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收益途径评估方法中的预期收益可以现金流量、剩余现金流量、剩余净利润等指标表示。矿业权转让评估应当根据评估项目的具体情况选择恰当的收益指标和具体评估方法。 </w:t>
      </w:r>
    </w:p>
    <w:p w14:paraId="2B6C96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作价出资、企业改制设立公司、非货币资产交换和债务重组涉及的矿业权评估，应谨慎选用折现现金流量风险系数调整法。应当考虑收入权益法是不具备稳定现金流的情形下，利用经验数据的测算方法，谨慎考虑是否适用于上述经济行为。如收益期或剩余可采储量较少，应考虑选用收入权益法是否符合出自目的。 </w:t>
      </w:r>
    </w:p>
    <w:p w14:paraId="7FD6BA7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矿业权转让评估中，应当明确收益指标内涵，并通过确定的评估参数体现矿产资源所有权人和矿业权人的收益划分，合理利用折现现金流量法、折现剩余现金流量法和剩余净利润法。 </w:t>
      </w:r>
    </w:p>
    <w:p w14:paraId="6BBD2F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对于出售、合作等矿业权转让行为，在评估结论既定的前提下，可以利用风险分析方法（如敏感性分析）作为补充或验证，以满足矿业矿业权转让评估的需要。 </w:t>
      </w:r>
    </w:p>
    <w:p w14:paraId="53CB263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企业股权转让涉及的矿业权评估，应当关注股东全部权益或部分权益对应的矿业权（法人财产）所包含的负债或者或有负债。 </w:t>
      </w:r>
    </w:p>
    <w:p w14:paraId="3386A03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3.7.4 市场途径评估方法。 </w:t>
      </w:r>
    </w:p>
    <w:p w14:paraId="4EBE393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作价出资、企业改制设立公司、非货币资产交换和债务重组涉及的矿业权评估，应谨慎选用单位面积探矿权价值评判法、资源品级探矿权价值估算法。 </w:t>
      </w:r>
    </w:p>
    <w:p w14:paraId="72A528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具备近期相似交易环境成交的，与被评估矿业权对应资源储量主矿种相同、勘查程度相同或接近，具有可比条件的一定数量的矿业权交易案例，应当选择可比销售法。 </w:t>
      </w:r>
    </w:p>
    <w:p w14:paraId="4518412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3.8 评估参数 </w:t>
      </w:r>
    </w:p>
    <w:p w14:paraId="4E898B3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方法与评估参数、评估参数内涵与计算口径均存在对应关系，矿业权转让评估业务，应按照《矿业权评估参数确定指导意见》的相关规范，以及其他指导意见确定与评估目的相适应的、评估方法所必需的评估参数。 </w:t>
      </w:r>
    </w:p>
    <w:p w14:paraId="0DAE2FA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3.8.1 成本途径评估参数 </w:t>
      </w:r>
    </w:p>
    <w:p w14:paraId="6E669A0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已投入的有关有效的地形测绘、地质测量、遥感地质、物化探、钻探、山地工程等野外工程的单位价格，通常应以企业实际的地质勘查合同中约定的价格（费用）为基础分析确定。对合同中未约定的价格（费用），可类比市场上同一地区同类勘查技术方法手段价格（费用）或参考国家（行业）预算标准分析确定。 </w:t>
      </w:r>
    </w:p>
    <w:p w14:paraId="71306E5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国土资源调查预算标准，是国土资源调查项目预算编制、审查及管理的依据，与发生的实际成本费用不是同一概念。采用的国土资源调查预算标准（费用）标准与市场价格水平存在较大差异时，应考虑调整确定。 </w:t>
      </w:r>
    </w:p>
    <w:p w14:paraId="6A04D6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国土资源调查预算标准不含生产设备折旧费、职工福利费、利税等费用项目，矿业权转让评估，应结合不同的经济行为参考相关行业预算标准考虑该等费用。 </w:t>
      </w:r>
    </w:p>
    <w:p w14:paraId="56A57B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已投入的有效有关的岩矿分析、化探分析、土壤分析、水质分析、光谱半定量分析、非金属矿物性测试、煤质分析、岩矿鉴定与试验、选冶试验等工作，地质编录、采样、岩矿心保管、设计论证编写、综合研究及编写报告、报告印刷等其他工作的单位价格（费用），通常应以企业实际的、合工作合同中约定的各单项或组合工作价格（费用）为基础分析确定。对合同中未约定的或约定不明确的价格（费用），可类比市场上同类工作价格（费用）或参考国家（行业）预算标准分析确定。缺乏上述工作量或者对于预查、普查等综合性地质工作阶段的评估，也可以按野外工程费用的一定比例估算。 </w:t>
      </w:r>
    </w:p>
    <w:p w14:paraId="2570CB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工地建筑及其维修，按地形地质测量、物化探、钻探、山地工程等野外工程费用之和的一定比例确定，比例可参考国土资源调查预算标准分析确定。 </w:t>
      </w:r>
    </w:p>
    <w:p w14:paraId="732D37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3.8.2 收益途径评估参数 </w:t>
      </w:r>
    </w:p>
    <w:p w14:paraId="28C887B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资源储量 </w:t>
      </w:r>
    </w:p>
    <w:p w14:paraId="300B96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应按照《矿业权评估利用资源储量指导意见》相关规范，以地质勘查文件、矿产资源储量报告为依据确定评估利用的资源储量。矿业权转让评估涉及的地质勘查文件和矿产资源储量报告等，根据相关主管部门规定应进行评审和评审备案的，应当根据评审、评审备案的文件确定矿产资源储量。 </w:t>
      </w:r>
    </w:p>
    <w:p w14:paraId="4790117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对作价出资、企业改制设立公司等经济行为涉及矿业权转让评估，应当根据现行矿业权转让的有关规定，进行矿业权价款评估并处置，以有偿处置后矿业权所对应的（或者批准可动用的）资源储量为基础进行评估，为确定出资非货币资产价值提供参考依据。 </w:t>
      </w:r>
    </w:p>
    <w:p w14:paraId="7CFB7B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按现行法律、法规有关规定，对非国家出资勘查形成的矿产地无需缴纳价款（或类似费用）的，其资源储量可纳入评估利用的资源储量范围。 </w:t>
      </w:r>
    </w:p>
    <w:p w14:paraId="56C41CB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已有偿取得矿业权，其对应的预测的资源量和次边际经济的，通常不作为作价出资的矿业权评估利用的资源储量，推断的内蕴经济资源量，应谨慎判断依其并考虑与经济行为的适应性。 </w:t>
      </w:r>
    </w:p>
    <w:p w14:paraId="3C8FAC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因生产探矿等发生矿产资源储量的变动，应根据有关规定确定评估利用的矿产资源储量。 </w:t>
      </w:r>
    </w:p>
    <w:p w14:paraId="6ECAE7D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对于出售、合作、非货币资产交换、债务重组以及企业股权转让涉及的矿业权评估，如评估利用资源储量存在部分或全部未有偿处置的（或有偿取得矿业权所对应的或者批准可动用的资源储量之外的），进而评估结论中可能含负债性质应交矿业权价款，可以在评估报告中披露该事项，提醒委托方和相关当事方在确定交易价格时考虑。 </w:t>
      </w:r>
    </w:p>
    <w:p w14:paraId="792D275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为上述行为提供咨询性质的矿业权价值估算，应谨慎考虑预测的资源量、推断的内蕴经济资源量、边际和次边际经济资源量是否作为评估利用的资源储量。 </w:t>
      </w:r>
    </w:p>
    <w:p w14:paraId="544B98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4）应关注评估范围与评估利用地质勘查文件、矿产资源储量报告、有偿处置范围的一致性。关注其差异变化以及对评估结论可能产生的影响。 </w:t>
      </w:r>
    </w:p>
    <w:p w14:paraId="7324CEF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5）评估基准日保有储量、评估利用可采储量等按照《矿业权评估利用资源储量指导意见》和《矿业权评估利用矿山设计文件指导意见》的有关规范确定。 </w:t>
      </w:r>
    </w:p>
    <w:p w14:paraId="6623D8D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6）矿业权转让评估报告应说明矿产资源储量的类别、定义及利用理由。 </w:t>
      </w:r>
    </w:p>
    <w:p w14:paraId="08431338"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生产能力和服务年限 </w:t>
      </w:r>
    </w:p>
    <w:p w14:paraId="1044ED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应按照《矿业权评估参数确定指导意见》相关规范确定。 </w:t>
      </w:r>
    </w:p>
    <w:p w14:paraId="3F5E4D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1）对出售、合作、非货币资产交换、债务重组等涉及的矿业权转让评估，以及企业股权转让涉及的矿业权评估，矿山生产规模不受国家有关政策限制时： </w:t>
      </w:r>
    </w:p>
    <w:p w14:paraId="1FD2F0C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生产矿山（包括改扩建项目）采矿权评估，可以矿山实际生产能力为基础确定评估用生产能力，也可按照《矿业权评估参数指导意见》规范的估算方法估算生产能力。拟建、在建矿山采矿权及探矿权评估，可根据矿山设计文件设定的生产能力确定。 </w:t>
      </w:r>
    </w:p>
    <w:p w14:paraId="7A6C87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如估算的生产能力与服务年限得出的评估用资源储量超出已采取缴纳价款方式（或类似方式）有偿取得矿业权所对应的（或者批准可动用的）资源储量，根据国家法律、法规应当有偿处置的，进而评估结论含负债性质应交矿业权价款，可以在评估报告中披露该事项，提醒委托方和相关当事方在确定出售价格、合作权益、非货币资产交换补价、债务重组对价等时考虑。 </w:t>
      </w:r>
    </w:p>
    <w:p w14:paraId="308E2EA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2）对作价出资、企业改制设立公司等经济行为涉及矿业权转让评估，矿山生产规模不受国家有关政策限制时： </w:t>
      </w:r>
    </w:p>
    <w:p w14:paraId="59A03BF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生产矿山（包括改扩建项目）采矿权评估，根据采矿权许可证载明的、经审批或评审的矿产资源开发利用方案明确的或相关管理部门文件核准的等确定生产能力。也可谨慎以矿山实际生产能力或者按照《矿业权评估参数指导意见》规范的估算方法估算的生产能力，但确定的生产能力与服务年限得出的评估利用的资源储量，不应超出已采取缴纳价款等方式（或类似方式）有偿取得矿业权所对应的（或者批准可动用的）矿产资源储量。 </w:t>
      </w:r>
    </w:p>
    <w:p w14:paraId="732A67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生产矿山生产规模的变化已得到相关部门批准，不涉及缴纳价款、或者生产规模变化不涉及超出批准可动用的资源储量的，可以按照相关部门批准文件确定生产能力；涉及缴纳矿业权价款、或者生产规模变化超出批准可动用的资源储量，需要有偿处置的，应当根据现行矿业权转让的有关规定，进行矿业权价款评估并处置，以有偿处置后矿业权所对应的或者经批准可动用的矿产资源储量、以及相关部门批准文件确定生产能力。 </w:t>
      </w:r>
    </w:p>
    <w:p w14:paraId="3CC3070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4）对于国家进行开采总量宏观调控的矿种或者国家保护性开采特定的矿种，确定生产能力不应超过管理部门下达的生产指标折算的生产能力。 </w:t>
      </w:r>
    </w:p>
    <w:p w14:paraId="20F147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对作价出资、企业改制设立公司等经济行为涉及矿业权转让评估，评估确定的评估利用可采储量应充分考虑已确定的服务年限较短是否满足出资设立公司的要求，并在评估报告中提醒委托方和相关当事方注意对经济行为的影响。 </w:t>
      </w:r>
    </w:p>
    <w:p w14:paraId="634816F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产品方案 </w:t>
      </w:r>
    </w:p>
    <w:p w14:paraId="5FA5764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应按照《矿业权评估参数确定指导意见》的相关规范确定。 </w:t>
      </w:r>
    </w:p>
    <w:p w14:paraId="69B6F08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对出售、合作、非货币资产交换、债务重组以及企业股权转让涉及的生产矿山和改扩建矿山采矿权评估时，如技术可行、经济合理、政策允许，且矿山设计或实际情况是非采富矿和高品级矿产、价值低矿种或共生矿，应按矿山设计或矿山实际确定产品方案。 </w:t>
      </w:r>
    </w:p>
    <w:p w14:paraId="2A37805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如确信或有确切证据表明转让完成后，生产规模调整使选（冶）或加工处理矿石量与采矿规模不一致，可以调整产品方案（如采矿规模大于选矿处理矿石量时可确定精矿和原矿方案）。在适当和可行的前提下（如转让完成后，新的产权主体对产品类别和品种构成、产品质量、销售方式以及主要流向进行调整，并编制有各种形式的可行性研究报告），考虑转让完成前后矿产品销售方式和主要流向的变化，确定产品方案。 </w:t>
      </w:r>
    </w:p>
    <w:p w14:paraId="2E43035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对作价出资、企业改制设立公司等经济行为涉及的生产矿山和改扩建矿山采矿权评估时，如涉及资本或股权确定，不涉及企业法人经营规模和方式变化的（或继续保持原有经营规模和方式），以矿山实际产品方案或经审批或评审改扩建设计文件为基础确定产品方案。 </w:t>
      </w:r>
    </w:p>
    <w:p w14:paraId="5BE2E40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3）以矿山实际为基础确定产品方案，应考虑企业对矿石有用组份实际利用情况、矿石质量 </w:t>
      </w:r>
    </w:p>
    <w:p w14:paraId="2A5219A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条件及开采计划合理确定产品方案，并关注企业产品方案与产品价格相关性。 </w:t>
      </w:r>
    </w:p>
    <w:p w14:paraId="2AAF48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4）在建和拟建矿山的采矿权及探矿权评估，应根据矿山设计文件推荐的产品方案确定。评估确定的产品方案考虑利用矿山设计文件中未利用的共生和伴生矿产时，应在评估报告中说明理由。 </w:t>
      </w:r>
    </w:p>
    <w:p w14:paraId="2183FE5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固定资产、无形资产及其他长期资产投资 </w:t>
      </w:r>
    </w:p>
    <w:p w14:paraId="5FC16C9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矿业权转让评估用固定资产、无形资产及其他资产投资，应当按照《矿业权评估参数确定指导意见》、《矿业权评估利用矿山设计文件》和《矿业权评估利用财务报告指导意见》的相关规范确定。 </w:t>
      </w:r>
    </w:p>
    <w:p w14:paraId="1A6F583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涉及企业股权转让，同时进行资产评估、土地使用权评估的矿业权评估，评估基准日一致时，可以利用其评估结果作为相应的矿业权评估用固定资产、土地使用权及无形资产和其他长期资产投资额。但应按照《矿业权评估利用财务报告指导意见》，在确定矿业权评估用投资口径的基础上利用资产评估和土地使用权评估评估结果。 </w:t>
      </w:r>
    </w:p>
    <w:p w14:paraId="3C97DF6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2）企业财务报表无形资产科目中核算的矿业权是评估资产类型之一，不应当作为矿业权评估用无形资产投资。 </w:t>
      </w:r>
    </w:p>
    <w:p w14:paraId="2962D0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3）评估目的不同，特别是抵押、破产等行为的资产评估和土地估价结果，不应直接作为涉及企业股权转让矿业权评估用投资额。 </w:t>
      </w:r>
    </w:p>
    <w:p w14:paraId="4EE5CD6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(5) 采、选（冶）或加工技术指标 </w:t>
      </w:r>
    </w:p>
    <w:p w14:paraId="610537B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应按照《矿业权评估参数确定指导意见》的相关规范确定。 </w:t>
      </w:r>
    </w:p>
    <w:p w14:paraId="20373E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以矿山企业实际为基础确定采、选（冶）或加工技术指标，应充分关注企业历史所开采的资源禀赋（矿体赋存条件、矿石质量等）条件与评估用的资源禀赋条件的差异。若相差较大时，不宜直接利用，应按照《矿业权评估利用矿山设计文件指导意见》的相关规范合理确定。 </w:t>
      </w:r>
    </w:p>
    <w:p w14:paraId="026FFCD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2）对于拟建、在建、改扩建矿山的采矿权评估以及探矿权评估，按照《矿业权评估利用矿山设计文件指导意见》的相关规范合理确定有关指标。 </w:t>
      </w:r>
    </w:p>
    <w:p w14:paraId="1D444FF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 成本费用 </w:t>
      </w:r>
    </w:p>
    <w:p w14:paraId="60BCEB4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应按照《矿业权评估参数确定指导意见》和《矿业权评估利用财务报告指导意见》的相关规范确定。 </w:t>
      </w:r>
    </w:p>
    <w:p w14:paraId="4A9C1D1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1）以矿山企业实际为基础确定评估用成本费用，应考虑与矿山实际生产能力相关性和匹配性。 </w:t>
      </w:r>
    </w:p>
    <w:p w14:paraId="62153B6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以矿山企业实际为基础确定评估用成本费用，应分析矿山企业历史成本费用核算资料，在了解企业会计政策的基础上，对成本费用构成项目及其核算标准进行判断，按《矿业权评估利用企业财务报告指导意见》的有关规范，分析确定评估用成本费用参数。 </w:t>
      </w:r>
    </w:p>
    <w:p w14:paraId="6394806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3）对于拟建、在建、改扩建矿山的采矿权评估以及探矿权评估，按照《矿业权评估利用矿山设计文件指导意见》的相关规范合理确定有关参数。 </w:t>
      </w:r>
    </w:p>
    <w:p w14:paraId="53100DF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 相关税费 </w:t>
      </w:r>
    </w:p>
    <w:p w14:paraId="29F5CA2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应当按照《矿业权评估参数确定指导意见》和《矿业权评估利用财务报告指导意见》的相关规范确定。 </w:t>
      </w:r>
    </w:p>
    <w:p w14:paraId="5558FD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矿业权转让是权属的转移，不涉及矿产地或勘查区块本身的转移，矿业权转让评估确定税费参数时： </w:t>
      </w:r>
    </w:p>
    <w:p w14:paraId="520E88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1）针对矿产资源开发经济活动的相关税收政策，通常不考虑矿业权转让前后的税收优惠或税负差异。 </w:t>
      </w:r>
    </w:p>
    <w:p w14:paraId="129E4C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2）涉及不同地区间的矿业权转让，针对不同纳税主体（转让双方）的税费差异，通常情况下应当按照转让方作为纳税主体的税费政策确定评估用税费参数。 </w:t>
      </w:r>
    </w:p>
    <w:p w14:paraId="5DF5739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矿业权转让而进行的矿业权价值咨询性质的评估项目，根据委托咨询的目的，以及矿业权评估报告的使用性质（仅为委托方了解其假设继续享受优惠和减免、或转让后享受优惠和减免时的矿业权价值），可以将优惠和减免作为假设前提，确定矿业权评估税费参数。 </w:t>
      </w:r>
    </w:p>
    <w:p w14:paraId="2C616D1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(8) 折现率 </w:t>
      </w:r>
    </w:p>
    <w:p w14:paraId="30A396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应当按照《矿业权评估参数确定指导意见》的相关规范确定。 </w:t>
      </w:r>
    </w:p>
    <w:p w14:paraId="0ED36EBA"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1）折现率的确定应与其他评估参数如固定资产及其他长期资产投资、产品价格、成本费用等作为一个整体，综合判断其合理性。 </w:t>
      </w:r>
    </w:p>
    <w:p w14:paraId="604B7E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2）根据评估基准日时有效的长期定期存款利率确定无风险报酬率时，长期定期存款利率在评估报告出具时已经公布调整时，可按调整后的利率计算。但应当在评估报告中披露该事项及评估处理方式。 </w:t>
      </w:r>
    </w:p>
    <w:p w14:paraId="4B3A558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3）不宜采用政府发行的记账式国债的市场收益率，确定无风险报酬率。 </w:t>
      </w:r>
    </w:p>
    <w:p w14:paraId="17EFDCE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4）在利率、汇率、税率和货币购买力等均不稳定的情况下，应当在充分分析其对行业风险影响的基础上，参考同行业其他统计数据、经验数据确定风险报酬率。 </w:t>
      </w:r>
    </w:p>
    <w:p w14:paraId="67FB7BD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3.8.3 市场途径评估参数 </w:t>
      </w:r>
    </w:p>
    <w:p w14:paraId="35CAB7B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相似参照物不应选取以特殊交易方式（招标、拍卖、挂牌等）形成的交易案例，也不应选取以处置矿业权价款为目的的交易案例。 </w:t>
      </w:r>
    </w:p>
    <w:p w14:paraId="3CF7457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在切实和可行的情形下，应选择满足该方法条件的、一定数量的相似参照物。 </w:t>
      </w:r>
    </w:p>
    <w:p w14:paraId="7531D45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应充分分析相似参照物成交价格和市场交易环境，并按照《市场途径评估方法规范》的相关要求对所确定的可比因素进行调整。 </w:t>
      </w:r>
    </w:p>
    <w:p w14:paraId="13AB876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应根据评估对象及相似参照物的特点选择可比因素，可比因素应具有一定的相互独立性。 </w:t>
      </w:r>
    </w:p>
    <w:p w14:paraId="3675B7F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3.9 企业股权转让涉及的矿业权评估的特殊问题 </w:t>
      </w:r>
    </w:p>
    <w:p w14:paraId="5D1F076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3.9.1 矿山企业会计报表反映盈利状况并不是采取收益途径进行矿业权转让评估的必要条件。 </w:t>
      </w:r>
    </w:p>
    <w:p w14:paraId="0A6C96C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对于经营亏损的矿山企业采矿权评估，应谨慎利用企业财务报告信息确定矿业权评估参数，特别应注意分析管理费用中非正常费用、各项营业外支出（非流动资产处置损失、非货币性资产交换损失、债务重组损失、公益性捐赠支出、非常损失、盘亏损失等和以前年度损益调整事项，以及本年度发现的重要前期差错更正涉及调整以前年度损益的事项。矿业权评估应合理扣除调整，确定经营成本。 </w:t>
      </w:r>
    </w:p>
    <w:p w14:paraId="02E0E9E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3.9.2 企业股权转让，同时进行资产评估的矿业权评估，二者评估基准日一致时： </w:t>
      </w:r>
    </w:p>
    <w:p w14:paraId="097ABAD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无论矿业权评估采用何种评估方法，得出的评估结论实际成为企业总资产价值的一部分，但矿业权评估结果可能包含的负债，应当在评估报告中提醒相关当事方在计算企业股权价值时考虑。 </w:t>
      </w:r>
    </w:p>
    <w:p w14:paraId="445F3F4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 应按《矿业权评估报告编制规范》的相关要求编制并出具矿业权转让评估报告，并对以下内容进行充分披露。 </w:t>
      </w:r>
    </w:p>
    <w:p w14:paraId="150B377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3.10.1 应根据不同的矿业权转让行为和评估目的，披露相应的使用限制。 </w:t>
      </w:r>
    </w:p>
    <w:p w14:paraId="6A5C838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评估报告应当披露，本评估报告及评估结论只能用于评估报告载明的评估目的和用途，不应同时用于或另行用于其他矿业权转让行为，也不应同时用于或另行用于矿业权价款处置行为。 </w:t>
      </w:r>
    </w:p>
    <w:p w14:paraId="7A2E0EE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3.10.2 评估报告应披露，评估报告的全部或者部分内容，除法律、法规规定、矿业权转让相关当事方另有规定或约定外，不得被摘抄、引用或者披露于公开媒体。 </w:t>
      </w:r>
    </w:p>
    <w:p w14:paraId="53FEBDB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其他专业机构全部或部分引用矿业权评估报告的内容和矿业权评估结论时，应征得矿业权评估机构的同意。引用时应正确理解、恰当引用并关注矿业权评估报告中披露的重要事项，特别是影响评估结论的瑕疵事项。 </w:t>
      </w:r>
    </w:p>
    <w:p w14:paraId="6EC0CA7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3.10.3 采用收益途径评估探矿权，评估报告应披露，评估结论是在现行法律、法规规定的探矿权可以依法转为采矿权的前提下得出的。以划定矿区范围批复文件作为权属依据时，评估报告应披露，评估结论在现行法律、法规规定的有效期内可以依法取得采矿许可证的前提下得出的。 </w:t>
      </w:r>
    </w:p>
    <w:p w14:paraId="7523AE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3.10.4 评估利用的资源储量存在部分或全部未有偿处置的情形，应在评估报告中披露，并 </w:t>
      </w:r>
    </w:p>
    <w:p w14:paraId="74DA7C33"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提醒委托方和相关当事方在确定交易价格、合作权益时考虑该事项。 </w:t>
      </w:r>
    </w:p>
    <w:p w14:paraId="7CDB944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3.10.5 评估报告中应披露评估对象是否存在抵押情况. </w:t>
      </w:r>
    </w:p>
    <w:p w14:paraId="0ED378D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3.10.6 评估报告中应披露其他对评估结论使用有重大影响的事项。 </w:t>
      </w:r>
    </w:p>
    <w:p w14:paraId="61CF1031" w14:textId="77777777" w:rsidR="00A320E6" w:rsidRDefault="00000000" w:rsidP="00D71C66">
      <w:pPr>
        <w:pStyle w:val="1a"/>
        <w:rPr>
          <w:lang w:eastAsia="zh-Hans"/>
        </w:rPr>
      </w:pPr>
      <w:r>
        <w:rPr>
          <w:rFonts w:hint="eastAsia"/>
          <w:lang w:eastAsia="zh-Hans"/>
        </w:rPr>
        <w:t xml:space="preserve">4 附则 </w:t>
      </w:r>
    </w:p>
    <w:p w14:paraId="5FAD03F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本应用指南由中国矿业权评估师协会负责解释。 </w:t>
      </w:r>
    </w:p>
    <w:p w14:paraId="0B7DDE3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4.2 本应用指南自 2011 年 1 月 1 日起施行。</w:t>
      </w:r>
    </w:p>
    <w:p w14:paraId="76C3BD3F" w14:textId="77777777" w:rsidR="00A320E6" w:rsidRDefault="00000000" w:rsidP="00EC761E">
      <w:pPr>
        <w:pStyle w:val="27"/>
        <w:rPr>
          <w:lang w:eastAsia="zh-Hans"/>
        </w:rPr>
      </w:pPr>
      <w:bookmarkStart w:id="149" w:name="_Toc112227447"/>
      <w:r>
        <w:rPr>
          <w:rFonts w:hint="eastAsia"/>
          <w:lang w:eastAsia="zh-Hans"/>
        </w:rPr>
        <w:t>矿业权评估指导意见</w:t>
      </w:r>
      <w:bookmarkEnd w:id="149"/>
    </w:p>
    <w:p w14:paraId="4E401A17"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50" w:name="_Toc112227448"/>
      <w:r>
        <w:rPr>
          <w:rFonts w:ascii="宋体" w:hAnsi="宋体" w:cs="宋体" w:hint="eastAsia"/>
          <w:b/>
          <w:bCs/>
          <w:sz w:val="24"/>
          <w:lang w:eastAsia="zh-Hans"/>
        </w:rPr>
        <w:t>确定评估基准日指导意见</w:t>
      </w:r>
      <w:bookmarkEnd w:id="150"/>
    </w:p>
    <w:p w14:paraId="0C35B61B" w14:textId="77777777" w:rsidR="00A320E6" w:rsidRDefault="00000000" w:rsidP="00D71C66">
      <w:pPr>
        <w:pStyle w:val="1c"/>
        <w:rPr>
          <w:lang w:eastAsia="zh-Hans"/>
        </w:rPr>
      </w:pPr>
      <w:r>
        <w:rPr>
          <w:rFonts w:hint="eastAsia"/>
          <w:lang w:eastAsia="zh-Hans"/>
        </w:rPr>
        <w:t>（CMVS 30200-2008）</w:t>
      </w:r>
    </w:p>
    <w:p w14:paraId="0397E3CF" w14:textId="77777777" w:rsidR="00A320E6" w:rsidRDefault="00000000" w:rsidP="00D71C66">
      <w:pPr>
        <w:pStyle w:val="1a"/>
        <w:rPr>
          <w:lang w:eastAsia="zh-Hans"/>
        </w:rPr>
      </w:pPr>
      <w:r>
        <w:rPr>
          <w:rFonts w:hint="eastAsia"/>
          <w:lang w:eastAsia="zh-Hans"/>
        </w:rPr>
        <w:t xml:space="preserve">1 总则 </w:t>
      </w:r>
    </w:p>
    <w:p w14:paraId="750B1FF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1.1 为规范评估基准日、评估报告日、评估结论使用有效期的确定与披露，根据《矿业权评估技术基本准则》，制定本指导意见。 </w:t>
      </w:r>
    </w:p>
    <w:p w14:paraId="46D52CA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1.2 从事矿业权评估业务，应当遵守本指导意见。从事与矿业权价值估算相关的其它业务，可以参照本指导意见。 </w:t>
      </w:r>
    </w:p>
    <w:p w14:paraId="7B1FD7AA" w14:textId="77777777" w:rsidR="00A320E6" w:rsidRDefault="00000000" w:rsidP="00D71C66">
      <w:pPr>
        <w:pStyle w:val="1a"/>
        <w:rPr>
          <w:lang w:eastAsia="zh-Hans"/>
        </w:rPr>
      </w:pPr>
      <w:r>
        <w:rPr>
          <w:rFonts w:hint="eastAsia"/>
          <w:lang w:eastAsia="zh-Hans"/>
        </w:rPr>
        <w:t xml:space="preserve">2 定义 </w:t>
      </w:r>
    </w:p>
    <w:p w14:paraId="0FA1876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为本指导意见的需要，使用下列定义： </w:t>
      </w:r>
    </w:p>
    <w:p w14:paraId="42D42A99"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评估基准日，是判断矿业权价值的基准时点，是评估结论生效的特定时日，通常以日历中具体日期来表示。评估结论所表述的是注册矿业权评估师关于评估对象在评估基准日的价值意见。 </w:t>
      </w:r>
    </w:p>
    <w:p w14:paraId="6073018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评估结论使用有效期，指矿业权评估结论运用于经济行为的时限。即矿业市场环境未发生较大变化，也未发生导致评估结果较大改变的事项时，评估结论可以使用的期间。 </w:t>
      </w:r>
    </w:p>
    <w:p w14:paraId="370F737C" w14:textId="77777777" w:rsidR="00A320E6" w:rsidRDefault="00000000" w:rsidP="00D71C66">
      <w:pPr>
        <w:pStyle w:val="1a"/>
        <w:rPr>
          <w:lang w:eastAsia="zh-Hans"/>
        </w:rPr>
      </w:pPr>
      <w:r>
        <w:rPr>
          <w:rFonts w:hint="eastAsia"/>
          <w:lang w:eastAsia="zh-Hans"/>
        </w:rPr>
        <w:t xml:space="preserve">3 确定评估基准日 </w:t>
      </w:r>
    </w:p>
    <w:p w14:paraId="66CE402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3.1 评估基准日一般应是现在时点，特殊业务时可以是过去或者将来的时点。 </w:t>
      </w:r>
    </w:p>
    <w:p w14:paraId="117FE56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3.2 确定评估基准日，一般应考虑下列因素： </w:t>
      </w:r>
    </w:p>
    <w:p w14:paraId="72911E1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(1) 评估目的及对应经济行为其他专业评估的基准日。 </w:t>
      </w:r>
    </w:p>
    <w:p w14:paraId="443D8CD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(2) 法律法规、政府相关主管部门、相关单位的有关规定。 </w:t>
      </w:r>
    </w:p>
    <w:p w14:paraId="084FE3A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 评估基准日尽可能接近经济行为的实现日（或交易结算日）；尽可能减少评估基准日后的调整事项。 </w:t>
      </w:r>
    </w:p>
    <w:p w14:paraId="7BDD3A35"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 评估所需资料的可取得性、使用的方便性以及财务会计的结算制度；同时有利于合理选择评估参数。 </w:t>
      </w:r>
    </w:p>
    <w:p w14:paraId="710EFA7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3.3 评估基准日的表述方式为××××年××月××日。 </w:t>
      </w:r>
    </w:p>
    <w:p w14:paraId="66AB80C5" w14:textId="77777777" w:rsidR="00A320E6" w:rsidRDefault="00000000" w:rsidP="00D71C66">
      <w:pPr>
        <w:pStyle w:val="1a"/>
        <w:rPr>
          <w:lang w:eastAsia="zh-Hans"/>
        </w:rPr>
      </w:pPr>
      <w:r>
        <w:rPr>
          <w:rFonts w:hint="eastAsia"/>
          <w:lang w:eastAsia="zh-Hans"/>
        </w:rPr>
        <w:t xml:space="preserve">4 评估结论使用的有效期 </w:t>
      </w:r>
    </w:p>
    <w:p w14:paraId="5C77E1C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4.1 评估报告应当明确评估结论使用的有效期。 </w:t>
      </w:r>
    </w:p>
    <w:p w14:paraId="7E1E665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4.2 评估基准日为现在时点的，评估结论使用的有效期原则上不应超过一年。法律法规、政府相关主管部门、相关单位另有规定的，从其规定。 </w:t>
      </w:r>
    </w:p>
    <w:p w14:paraId="6F47FA07"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4.3 评估基准日为过去或者将来时点的，评估结论仅针对评估基准日。 </w:t>
      </w:r>
    </w:p>
    <w:p w14:paraId="374FDF32" w14:textId="77777777" w:rsidR="00A320E6" w:rsidRDefault="00000000" w:rsidP="00D71C66">
      <w:pPr>
        <w:pStyle w:val="1a"/>
        <w:rPr>
          <w:lang w:eastAsia="zh-Hans"/>
        </w:rPr>
      </w:pPr>
      <w:r>
        <w:rPr>
          <w:rFonts w:hint="eastAsia"/>
          <w:lang w:eastAsia="zh-Hans"/>
        </w:rPr>
        <w:t xml:space="preserve">5 评估报告日 </w:t>
      </w:r>
    </w:p>
    <w:p w14:paraId="0E32565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指注册矿业权评估师形成评估结论最终专业意见，评估机构出具评估报告的日期。 </w:t>
      </w:r>
    </w:p>
    <w:p w14:paraId="3C27CF0E" w14:textId="77777777" w:rsidR="00A320E6" w:rsidRDefault="00000000" w:rsidP="00D71C66">
      <w:pPr>
        <w:pStyle w:val="1a"/>
        <w:rPr>
          <w:lang w:eastAsia="zh-Hans"/>
        </w:rPr>
      </w:pPr>
      <w:r>
        <w:rPr>
          <w:rFonts w:hint="eastAsia"/>
          <w:lang w:eastAsia="zh-Hans"/>
        </w:rPr>
        <w:t xml:space="preserve">6 披露要求 </w:t>
      </w:r>
    </w:p>
    <w:p w14:paraId="5E3F1870"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6.1 在评估报告中应披露评估基准日的选取所考虑的因素（或理由）。 </w:t>
      </w:r>
    </w:p>
    <w:p w14:paraId="35995E0D"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6.2 在评估报告中应披露评估基准日至评估报告日影响评估结论的重大事项及其对评估结论的影响。 </w:t>
      </w:r>
    </w:p>
    <w:p w14:paraId="57B9D8A3" w14:textId="77777777" w:rsidR="00A320E6" w:rsidRDefault="00000000" w:rsidP="00D71C66">
      <w:pPr>
        <w:pStyle w:val="1a"/>
        <w:rPr>
          <w:lang w:eastAsia="zh-Hans"/>
        </w:rPr>
      </w:pPr>
      <w:r>
        <w:rPr>
          <w:rFonts w:hint="eastAsia"/>
          <w:lang w:eastAsia="zh-Hans"/>
        </w:rPr>
        <w:t xml:space="preserve">7 附则 </w:t>
      </w:r>
    </w:p>
    <w:p w14:paraId="0FB8BCBC"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 xml:space="preserve">7.1 本指导意见由中国矿业权评估师协会负责解释。 </w:t>
      </w:r>
    </w:p>
    <w:p w14:paraId="3D2D31C4"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7.2 本指导意见自 2008 年 9 月 1 日起施行。</w:t>
      </w:r>
    </w:p>
    <w:p w14:paraId="09DB1242" w14:textId="77777777" w:rsidR="00A320E6" w:rsidRDefault="00000000" w:rsidP="00EC761E">
      <w:pPr>
        <w:pStyle w:val="27"/>
        <w:rPr>
          <w:lang w:eastAsia="zh-Hans"/>
        </w:rPr>
      </w:pPr>
      <w:bookmarkStart w:id="151" w:name="_Toc112227449"/>
      <w:r>
        <w:rPr>
          <w:rFonts w:hint="eastAsia"/>
          <w:lang w:eastAsia="zh-Hans"/>
        </w:rPr>
        <w:t>其他</w:t>
      </w:r>
      <w:bookmarkEnd w:id="151"/>
    </w:p>
    <w:p w14:paraId="34583097"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152" w:name="_Toc112227450"/>
      <w:r>
        <w:rPr>
          <w:rFonts w:ascii="宋体" w:hAnsi="宋体" w:cs="宋体" w:hint="eastAsia"/>
          <w:b/>
          <w:bCs/>
          <w:sz w:val="24"/>
          <w:lang w:eastAsia="zh-Hans"/>
        </w:rPr>
        <w:t>矿产资源勘查区块登记管理办法（2014修订）</w:t>
      </w:r>
      <w:bookmarkEnd w:id="152"/>
    </w:p>
    <w:p w14:paraId="364CD6B1"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（1998年2月12日中华人民共和国国务院令第240号发布 根据2014年7月29日《</w:t>
      </w:r>
      <w:hyperlink r:id="rId47" w:history="1">
        <w:r>
          <w:rPr>
            <w:rFonts w:ascii="宋体" w:hAnsi="宋体" w:cs="宋体" w:hint="eastAsia"/>
            <w:sz w:val="24"/>
            <w:lang w:eastAsia="zh-Hans"/>
          </w:rPr>
          <w:t>国务院关于修改部分行政法规的决定</w:t>
        </w:r>
      </w:hyperlink>
      <w:r>
        <w:rPr>
          <w:rFonts w:ascii="宋体" w:hAnsi="宋体" w:cs="宋体" w:hint="eastAsia"/>
          <w:sz w:val="24"/>
          <w:lang w:eastAsia="zh-Hans"/>
        </w:rPr>
        <w:t>》修订）</w:t>
      </w:r>
    </w:p>
    <w:p w14:paraId="3CD502DE" w14:textId="3B55E1BC" w:rsidR="00A320E6" w:rsidRDefault="00A45A13" w:rsidP="00AE0286">
      <w:pPr>
        <w:pStyle w:val="a3"/>
        <w:spacing w:line="360" w:lineRule="auto"/>
        <w:ind w:firstLine="482"/>
        <w:rPr>
          <w:rFonts w:ascii="宋体" w:hAnsi="宋体" w:cs="宋体"/>
          <w:sz w:val="24"/>
          <w:lang w:eastAsia="zh-Hans"/>
        </w:rPr>
      </w:pPr>
      <w:bookmarkStart w:id="153" w:name="No3_T1"/>
      <w:bookmarkEnd w:id="153"/>
      <w:r w:rsidRPr="00A45A13">
        <w:rPr>
          <w:rFonts w:ascii="宋体" w:hAnsi="宋体" w:cs="宋体" w:hint="eastAsia"/>
          <w:b/>
          <w:sz w:val="24"/>
          <w:lang w:eastAsia="zh-Hans"/>
        </w:rPr>
        <w:t>第一条</w:t>
      </w:r>
      <w:r w:rsidR="00C36EF7">
        <w:rPr>
          <w:rFonts w:ascii="宋体" w:hAnsi="宋体" w:cs="宋体" w:hint="eastAsia"/>
          <w:sz w:val="24"/>
          <w:lang w:eastAsia="zh-Hans"/>
        </w:rPr>
        <w:t xml:space="preserve"> </w:t>
      </w:r>
      <w:bookmarkStart w:id="154" w:name="No4_T1K1"/>
      <w:bookmarkEnd w:id="154"/>
      <w:r>
        <w:rPr>
          <w:rFonts w:ascii="宋体" w:hAnsi="宋体" w:cs="宋体" w:hint="eastAsia"/>
          <w:sz w:val="24"/>
          <w:lang w:eastAsia="zh-Hans"/>
        </w:rPr>
        <w:t>为了加强对矿产资源勘查的管理，保护探矿权人的合法权益，维护矿产资源勘查秩序，促进矿业发展，根据《</w:t>
      </w:r>
      <w:hyperlink r:id="rId48" w:history="1">
        <w:r>
          <w:rPr>
            <w:rFonts w:ascii="宋体" w:hAnsi="宋体" w:cs="宋体" w:hint="eastAsia"/>
            <w:sz w:val="24"/>
            <w:lang w:eastAsia="zh-Hans"/>
          </w:rPr>
          <w:t>中华人民共和国矿产资源法</w:t>
        </w:r>
      </w:hyperlink>
      <w:r>
        <w:rPr>
          <w:rFonts w:ascii="宋体" w:hAnsi="宋体" w:cs="宋体" w:hint="eastAsia"/>
          <w:sz w:val="24"/>
          <w:lang w:eastAsia="zh-Hans"/>
        </w:rPr>
        <w:t>》，制定本办法。</w:t>
      </w:r>
    </w:p>
    <w:p w14:paraId="52DBCBD3" w14:textId="6DB27883" w:rsidR="00A320E6" w:rsidRDefault="00A45A13" w:rsidP="00AE0286">
      <w:pPr>
        <w:pStyle w:val="a3"/>
        <w:spacing w:line="360" w:lineRule="auto"/>
        <w:ind w:firstLine="482"/>
        <w:rPr>
          <w:rFonts w:ascii="宋体" w:hAnsi="宋体" w:cs="宋体"/>
          <w:sz w:val="24"/>
          <w:lang w:eastAsia="zh-Hans"/>
        </w:rPr>
      </w:pPr>
      <w:bookmarkStart w:id="155" w:name="No5_T2"/>
      <w:bookmarkEnd w:id="155"/>
      <w:r w:rsidRPr="00A45A13">
        <w:rPr>
          <w:rFonts w:ascii="宋体" w:hAnsi="宋体" w:cs="宋体" w:hint="eastAsia"/>
          <w:b/>
          <w:sz w:val="24"/>
          <w:lang w:eastAsia="zh-Hans"/>
        </w:rPr>
        <w:t>第二条</w:t>
      </w:r>
      <w:r w:rsidR="00C36EF7">
        <w:rPr>
          <w:rFonts w:ascii="宋体" w:hAnsi="宋体" w:cs="宋体" w:hint="eastAsia"/>
          <w:sz w:val="24"/>
          <w:lang w:eastAsia="zh-Hans"/>
        </w:rPr>
        <w:t xml:space="preserve"> </w:t>
      </w:r>
      <w:bookmarkStart w:id="156" w:name="No6_T2K1"/>
      <w:bookmarkEnd w:id="156"/>
      <w:r>
        <w:rPr>
          <w:rFonts w:ascii="宋体" w:hAnsi="宋体" w:cs="宋体" w:hint="eastAsia"/>
          <w:sz w:val="24"/>
          <w:lang w:eastAsia="zh-Hans"/>
        </w:rPr>
        <w:t>在中华人民共和国领域及管辖的其他海域勘查矿产资源，必须遵守本办法。</w:t>
      </w:r>
    </w:p>
    <w:p w14:paraId="55273AF0" w14:textId="378A6A9A" w:rsidR="00A320E6" w:rsidRDefault="00A45A13" w:rsidP="00AE0286">
      <w:pPr>
        <w:pStyle w:val="a3"/>
        <w:spacing w:line="360" w:lineRule="auto"/>
        <w:ind w:firstLine="482"/>
        <w:rPr>
          <w:rFonts w:ascii="宋体" w:hAnsi="宋体" w:cs="宋体"/>
          <w:sz w:val="24"/>
          <w:lang w:eastAsia="zh-Hans"/>
        </w:rPr>
      </w:pPr>
      <w:bookmarkStart w:id="157" w:name="No7_T3"/>
      <w:bookmarkEnd w:id="157"/>
      <w:r w:rsidRPr="00A45A13">
        <w:rPr>
          <w:rFonts w:ascii="宋体" w:hAnsi="宋体" w:cs="宋体" w:hint="eastAsia"/>
          <w:b/>
          <w:sz w:val="24"/>
          <w:lang w:eastAsia="zh-Hans"/>
        </w:rPr>
        <w:t>第三条</w:t>
      </w:r>
      <w:r w:rsidR="00C36EF7">
        <w:rPr>
          <w:rFonts w:ascii="宋体" w:hAnsi="宋体" w:cs="宋体" w:hint="eastAsia"/>
          <w:sz w:val="24"/>
          <w:lang w:eastAsia="zh-Hans"/>
        </w:rPr>
        <w:t xml:space="preserve"> </w:t>
      </w:r>
      <w:bookmarkStart w:id="158" w:name="No8_T3K1"/>
      <w:bookmarkEnd w:id="158"/>
      <w:r>
        <w:rPr>
          <w:rFonts w:ascii="宋体" w:hAnsi="宋体" w:cs="宋体" w:hint="eastAsia"/>
          <w:sz w:val="24"/>
          <w:lang w:eastAsia="zh-Hans"/>
        </w:rPr>
        <w:t>国家对矿产资源勘查实行统一的区块登记管理制度。矿产资源勘查工作区范围以经纬度1′×1′划分的区块为基本单位区块。每个勘查项目允许登记的最大范围：</w:t>
      </w:r>
    </w:p>
    <w:p w14:paraId="5D0CE87F" w14:textId="77777777" w:rsidR="00A320E6" w:rsidRDefault="00000000" w:rsidP="00AE0286">
      <w:pPr>
        <w:pStyle w:val="a3"/>
        <w:spacing w:line="360" w:lineRule="auto"/>
        <w:ind w:firstLine="480"/>
        <w:rPr>
          <w:rFonts w:ascii="宋体" w:hAnsi="宋体" w:cs="宋体"/>
          <w:sz w:val="24"/>
          <w:lang w:eastAsia="zh-Hans"/>
        </w:rPr>
      </w:pPr>
      <w:bookmarkStart w:id="159" w:name="No9_T3K1X1"/>
      <w:bookmarkEnd w:id="159"/>
      <w:r>
        <w:rPr>
          <w:rFonts w:ascii="宋体" w:hAnsi="宋体" w:cs="宋体" w:hint="eastAsia"/>
          <w:sz w:val="24"/>
          <w:lang w:eastAsia="zh-Hans"/>
        </w:rPr>
        <w:t>（一）矿泉水为10个基本单位区块；</w:t>
      </w:r>
    </w:p>
    <w:p w14:paraId="53402BC6" w14:textId="77777777" w:rsidR="00A320E6" w:rsidRDefault="00000000" w:rsidP="00AE0286">
      <w:pPr>
        <w:pStyle w:val="a3"/>
        <w:spacing w:line="360" w:lineRule="auto"/>
        <w:ind w:firstLine="480"/>
        <w:rPr>
          <w:rFonts w:ascii="宋体" w:hAnsi="宋体" w:cs="宋体"/>
          <w:sz w:val="24"/>
          <w:lang w:eastAsia="zh-Hans"/>
        </w:rPr>
      </w:pPr>
      <w:bookmarkStart w:id="160" w:name="No10_T3K1X2"/>
      <w:bookmarkEnd w:id="160"/>
      <w:r>
        <w:rPr>
          <w:rFonts w:ascii="宋体" w:hAnsi="宋体" w:cs="宋体" w:hint="eastAsia"/>
          <w:sz w:val="24"/>
          <w:lang w:eastAsia="zh-Hans"/>
        </w:rPr>
        <w:t>（二）金属矿产、非金属矿产、放射性矿产为40个基本单位区块；</w:t>
      </w:r>
    </w:p>
    <w:p w14:paraId="5FDC2A63" w14:textId="77777777" w:rsidR="00A320E6" w:rsidRDefault="00000000" w:rsidP="00AE0286">
      <w:pPr>
        <w:pStyle w:val="a3"/>
        <w:spacing w:line="360" w:lineRule="auto"/>
        <w:ind w:firstLine="480"/>
        <w:rPr>
          <w:rFonts w:ascii="宋体" w:hAnsi="宋体" w:cs="宋体"/>
          <w:sz w:val="24"/>
          <w:lang w:eastAsia="zh-Hans"/>
        </w:rPr>
      </w:pPr>
      <w:bookmarkStart w:id="161" w:name="No11_T3K1X3"/>
      <w:bookmarkEnd w:id="161"/>
      <w:r>
        <w:rPr>
          <w:rFonts w:ascii="宋体" w:hAnsi="宋体" w:cs="宋体" w:hint="eastAsia"/>
          <w:sz w:val="24"/>
          <w:lang w:eastAsia="zh-Hans"/>
        </w:rPr>
        <w:t>（三）地热、煤、水气矿产为200个基本单位区块；</w:t>
      </w:r>
    </w:p>
    <w:p w14:paraId="1C53018B" w14:textId="77777777" w:rsidR="00A320E6" w:rsidRDefault="00000000" w:rsidP="00AE0286">
      <w:pPr>
        <w:pStyle w:val="a3"/>
        <w:spacing w:line="360" w:lineRule="auto"/>
        <w:ind w:firstLine="480"/>
        <w:rPr>
          <w:rFonts w:ascii="宋体" w:hAnsi="宋体" w:cs="宋体"/>
          <w:sz w:val="24"/>
          <w:lang w:eastAsia="zh-Hans"/>
        </w:rPr>
      </w:pPr>
      <w:bookmarkStart w:id="162" w:name="No12_T3K1X4"/>
      <w:bookmarkEnd w:id="162"/>
      <w:r>
        <w:rPr>
          <w:rFonts w:ascii="宋体" w:hAnsi="宋体" w:cs="宋体" w:hint="eastAsia"/>
          <w:sz w:val="24"/>
          <w:lang w:eastAsia="zh-Hans"/>
        </w:rPr>
        <w:t>（四）石油、天然气矿产为2500个基本单位区块。</w:t>
      </w:r>
    </w:p>
    <w:p w14:paraId="376EE25A" w14:textId="2EC83E85" w:rsidR="00A320E6" w:rsidRDefault="00A45A13" w:rsidP="00AE0286">
      <w:pPr>
        <w:pStyle w:val="a3"/>
        <w:spacing w:line="360" w:lineRule="auto"/>
        <w:ind w:firstLine="482"/>
        <w:rPr>
          <w:rFonts w:ascii="宋体" w:hAnsi="宋体" w:cs="宋体"/>
          <w:sz w:val="24"/>
          <w:lang w:eastAsia="zh-Hans"/>
        </w:rPr>
      </w:pPr>
      <w:bookmarkStart w:id="163" w:name="No13_T4"/>
      <w:bookmarkEnd w:id="163"/>
      <w:r w:rsidRPr="00A45A13">
        <w:rPr>
          <w:rFonts w:ascii="宋体" w:hAnsi="宋体" w:cs="宋体" w:hint="eastAsia"/>
          <w:b/>
          <w:sz w:val="24"/>
          <w:lang w:eastAsia="zh-Hans"/>
        </w:rPr>
        <w:t>第四条</w:t>
      </w:r>
      <w:r>
        <w:rPr>
          <w:rFonts w:ascii="宋体" w:hAnsi="宋体" w:cs="宋体" w:hint="eastAsia"/>
          <w:sz w:val="24"/>
          <w:lang w:eastAsia="zh-Hans"/>
        </w:rPr>
        <w:t xml:space="preserve"> </w:t>
      </w:r>
      <w:bookmarkStart w:id="164" w:name="No14_T4K1"/>
      <w:bookmarkEnd w:id="164"/>
      <w:r>
        <w:rPr>
          <w:rFonts w:ascii="宋体" w:hAnsi="宋体" w:cs="宋体" w:hint="eastAsia"/>
          <w:sz w:val="24"/>
          <w:lang w:eastAsia="zh-Hans"/>
        </w:rPr>
        <w:t>勘查下列矿产资源，由国务院地质矿产主管部门审批登记，颁发勘查许可证：</w:t>
      </w:r>
    </w:p>
    <w:p w14:paraId="33EE5AA8" w14:textId="77777777" w:rsidR="00A320E6" w:rsidRDefault="00000000" w:rsidP="00AE0286">
      <w:pPr>
        <w:pStyle w:val="a3"/>
        <w:spacing w:line="360" w:lineRule="auto"/>
        <w:ind w:firstLine="480"/>
        <w:rPr>
          <w:rFonts w:ascii="宋体" w:hAnsi="宋体" w:cs="宋体"/>
          <w:sz w:val="24"/>
          <w:lang w:eastAsia="zh-Hans"/>
        </w:rPr>
      </w:pPr>
      <w:bookmarkStart w:id="165" w:name="No15_T4K1X1"/>
      <w:bookmarkEnd w:id="165"/>
      <w:r>
        <w:rPr>
          <w:rFonts w:ascii="宋体" w:hAnsi="宋体" w:cs="宋体" w:hint="eastAsia"/>
          <w:sz w:val="24"/>
          <w:lang w:eastAsia="zh-Hans"/>
        </w:rPr>
        <w:t>（一）跨省、自治区、直辖市的矿产资源；</w:t>
      </w:r>
    </w:p>
    <w:p w14:paraId="5A18AF34" w14:textId="77777777" w:rsidR="00A320E6" w:rsidRDefault="00000000" w:rsidP="00AE0286">
      <w:pPr>
        <w:pStyle w:val="a3"/>
        <w:spacing w:line="360" w:lineRule="auto"/>
        <w:ind w:firstLine="480"/>
        <w:rPr>
          <w:rFonts w:ascii="宋体" w:hAnsi="宋体" w:cs="宋体"/>
          <w:sz w:val="24"/>
          <w:lang w:eastAsia="zh-Hans"/>
        </w:rPr>
      </w:pPr>
      <w:bookmarkStart w:id="166" w:name="No16_T4K1X2"/>
      <w:bookmarkEnd w:id="166"/>
      <w:r>
        <w:rPr>
          <w:rFonts w:ascii="宋体" w:hAnsi="宋体" w:cs="宋体" w:hint="eastAsia"/>
          <w:sz w:val="24"/>
          <w:lang w:eastAsia="zh-Hans"/>
        </w:rPr>
        <w:t>（二）领海及中国管辖的其他海域的矿产资源；</w:t>
      </w:r>
    </w:p>
    <w:p w14:paraId="0006455F" w14:textId="77777777" w:rsidR="00A320E6" w:rsidRDefault="00000000" w:rsidP="00AE0286">
      <w:pPr>
        <w:pStyle w:val="a3"/>
        <w:spacing w:line="360" w:lineRule="auto"/>
        <w:ind w:firstLine="480"/>
        <w:rPr>
          <w:rFonts w:ascii="宋体" w:hAnsi="宋体" w:cs="宋体"/>
          <w:sz w:val="24"/>
          <w:lang w:eastAsia="zh-Hans"/>
        </w:rPr>
      </w:pPr>
      <w:bookmarkStart w:id="167" w:name="No17_T4K1X3"/>
      <w:bookmarkEnd w:id="167"/>
      <w:r>
        <w:rPr>
          <w:rFonts w:ascii="宋体" w:hAnsi="宋体" w:cs="宋体" w:hint="eastAsia"/>
          <w:sz w:val="24"/>
          <w:lang w:eastAsia="zh-Hans"/>
        </w:rPr>
        <w:t>（三）外商投资勘查的矿产资源；</w:t>
      </w:r>
    </w:p>
    <w:p w14:paraId="0B9FFB12" w14:textId="77777777" w:rsidR="00A320E6" w:rsidRDefault="00000000" w:rsidP="00AE0286">
      <w:pPr>
        <w:pStyle w:val="a3"/>
        <w:spacing w:line="360" w:lineRule="auto"/>
        <w:ind w:firstLine="480"/>
        <w:rPr>
          <w:rFonts w:ascii="宋体" w:hAnsi="宋体" w:cs="宋体"/>
          <w:sz w:val="24"/>
          <w:lang w:eastAsia="zh-Hans"/>
        </w:rPr>
      </w:pPr>
      <w:bookmarkStart w:id="168" w:name="No18_T4K1X4"/>
      <w:bookmarkEnd w:id="168"/>
      <w:r>
        <w:rPr>
          <w:rFonts w:ascii="宋体" w:hAnsi="宋体" w:cs="宋体" w:hint="eastAsia"/>
          <w:sz w:val="24"/>
          <w:lang w:eastAsia="zh-Hans"/>
        </w:rPr>
        <w:t>（四）本办法附录所列的矿产资源。</w:t>
      </w:r>
    </w:p>
    <w:p w14:paraId="136FA5CE" w14:textId="77777777" w:rsidR="00A320E6" w:rsidRDefault="00000000" w:rsidP="00AE0286">
      <w:pPr>
        <w:pStyle w:val="a3"/>
        <w:spacing w:line="360" w:lineRule="auto"/>
        <w:ind w:firstLine="480"/>
        <w:rPr>
          <w:rFonts w:ascii="宋体" w:hAnsi="宋体" w:cs="宋体"/>
          <w:sz w:val="24"/>
          <w:lang w:eastAsia="zh-Hans"/>
        </w:rPr>
      </w:pPr>
      <w:bookmarkStart w:id="169" w:name="No19_T4K2"/>
      <w:bookmarkEnd w:id="169"/>
      <w:r>
        <w:rPr>
          <w:rFonts w:ascii="宋体" w:hAnsi="宋体" w:cs="宋体" w:hint="eastAsia"/>
          <w:sz w:val="24"/>
          <w:lang w:eastAsia="zh-Hans"/>
        </w:rPr>
        <w:t>勘查石油、天然气矿产的，经国务院指定的机关审查同意后，由国务院地质矿产主管部门登记，颁发勘查许可证。</w:t>
      </w:r>
    </w:p>
    <w:p w14:paraId="3D387CD0" w14:textId="77777777" w:rsidR="00A320E6" w:rsidRDefault="00000000" w:rsidP="00AE0286">
      <w:pPr>
        <w:pStyle w:val="a3"/>
        <w:spacing w:line="360" w:lineRule="auto"/>
        <w:ind w:firstLine="480"/>
        <w:rPr>
          <w:rFonts w:ascii="宋体" w:hAnsi="宋体" w:cs="宋体"/>
          <w:sz w:val="24"/>
          <w:lang w:eastAsia="zh-Hans"/>
        </w:rPr>
      </w:pPr>
      <w:bookmarkStart w:id="170" w:name="No20_T4K3"/>
      <w:bookmarkEnd w:id="170"/>
      <w:r>
        <w:rPr>
          <w:rFonts w:ascii="宋体" w:hAnsi="宋体" w:cs="宋体" w:hint="eastAsia"/>
          <w:sz w:val="24"/>
          <w:lang w:eastAsia="zh-Hans"/>
        </w:rPr>
        <w:t>勘查下列矿产资源，由省、自治区、直辖市人民政府地质矿产主管部门审批登记，颁发勘查许可证，并应当自发证之日起10日内，向国务院地质矿产主管部门备案：</w:t>
      </w:r>
    </w:p>
    <w:p w14:paraId="3B1908F4" w14:textId="77777777" w:rsidR="00A320E6" w:rsidRDefault="00000000" w:rsidP="00AE0286">
      <w:pPr>
        <w:pStyle w:val="a3"/>
        <w:spacing w:line="360" w:lineRule="auto"/>
        <w:ind w:firstLine="480"/>
        <w:rPr>
          <w:rFonts w:ascii="宋体" w:hAnsi="宋体" w:cs="宋体"/>
          <w:sz w:val="24"/>
          <w:lang w:eastAsia="zh-Hans"/>
        </w:rPr>
      </w:pPr>
      <w:bookmarkStart w:id="171" w:name="No21_T4K3X1"/>
      <w:bookmarkEnd w:id="171"/>
      <w:r>
        <w:rPr>
          <w:rFonts w:ascii="宋体" w:hAnsi="宋体" w:cs="宋体" w:hint="eastAsia"/>
          <w:sz w:val="24"/>
          <w:lang w:eastAsia="zh-Hans"/>
        </w:rPr>
        <w:t>（一）本条第一款、第二款规定以外的矿产资源；</w:t>
      </w:r>
    </w:p>
    <w:p w14:paraId="4A7954A7" w14:textId="77777777" w:rsidR="00A320E6" w:rsidRDefault="00000000" w:rsidP="00AE0286">
      <w:pPr>
        <w:pStyle w:val="a3"/>
        <w:spacing w:line="360" w:lineRule="auto"/>
        <w:ind w:firstLine="480"/>
        <w:rPr>
          <w:rFonts w:ascii="宋体" w:hAnsi="宋体" w:cs="宋体"/>
          <w:sz w:val="24"/>
          <w:lang w:eastAsia="zh-Hans"/>
        </w:rPr>
      </w:pPr>
      <w:bookmarkStart w:id="172" w:name="No22_T4K3X2"/>
      <w:bookmarkEnd w:id="172"/>
      <w:r>
        <w:rPr>
          <w:rFonts w:ascii="宋体" w:hAnsi="宋体" w:cs="宋体" w:hint="eastAsia"/>
          <w:sz w:val="24"/>
          <w:lang w:eastAsia="zh-Hans"/>
        </w:rPr>
        <w:t>（二）国务院地质矿产主管部门授权省、自治区、直辖市人民政府地质矿产主管部门审批登记的矿产资源。</w:t>
      </w:r>
    </w:p>
    <w:p w14:paraId="2BB1669B" w14:textId="234D3199" w:rsidR="00A320E6" w:rsidRDefault="00977BD5" w:rsidP="00AE0286">
      <w:pPr>
        <w:pStyle w:val="a3"/>
        <w:spacing w:line="360" w:lineRule="auto"/>
        <w:ind w:firstLine="482"/>
        <w:rPr>
          <w:rFonts w:ascii="宋体" w:hAnsi="宋体" w:cs="宋体"/>
          <w:sz w:val="24"/>
          <w:lang w:eastAsia="zh-Hans"/>
        </w:rPr>
      </w:pPr>
      <w:bookmarkStart w:id="173" w:name="No23_T5"/>
      <w:bookmarkEnd w:id="173"/>
      <w:r w:rsidRPr="00977BD5">
        <w:rPr>
          <w:rFonts w:ascii="宋体" w:hAnsi="宋体" w:cs="宋体" w:hint="eastAsia"/>
          <w:b/>
          <w:sz w:val="24"/>
          <w:lang w:eastAsia="zh-Hans"/>
        </w:rPr>
        <w:t>第五条</w:t>
      </w:r>
      <w:r w:rsidR="00A45A13">
        <w:rPr>
          <w:rFonts w:ascii="宋体" w:hAnsi="宋体" w:cs="宋体" w:hint="eastAsia"/>
          <w:sz w:val="24"/>
          <w:lang w:eastAsia="zh-Hans"/>
        </w:rPr>
        <w:t xml:space="preserve"> </w:t>
      </w:r>
      <w:bookmarkStart w:id="174" w:name="No24_T5K1"/>
      <w:bookmarkEnd w:id="174"/>
      <w:r>
        <w:rPr>
          <w:rFonts w:ascii="宋体" w:hAnsi="宋体" w:cs="宋体" w:hint="eastAsia"/>
          <w:sz w:val="24"/>
          <w:lang w:eastAsia="zh-Hans"/>
        </w:rPr>
        <w:t>勘查出资人为探矿权申请人；但是，国家出资勘查的，国家委托勘查的单位为探矿权申请人。</w:t>
      </w:r>
    </w:p>
    <w:p w14:paraId="4FBA1D47" w14:textId="53FA0657" w:rsidR="00A320E6" w:rsidRDefault="00977BD5" w:rsidP="00AE0286">
      <w:pPr>
        <w:pStyle w:val="a3"/>
        <w:spacing w:line="360" w:lineRule="auto"/>
        <w:ind w:firstLine="482"/>
        <w:rPr>
          <w:rFonts w:ascii="宋体" w:hAnsi="宋体" w:cs="宋体"/>
          <w:sz w:val="24"/>
          <w:lang w:eastAsia="zh-Hans"/>
        </w:rPr>
      </w:pPr>
      <w:bookmarkStart w:id="175" w:name="No25_T6"/>
      <w:bookmarkEnd w:id="175"/>
      <w:r w:rsidRPr="00977BD5">
        <w:rPr>
          <w:rFonts w:ascii="宋体" w:hAnsi="宋体" w:cs="宋体" w:hint="eastAsia"/>
          <w:b/>
          <w:sz w:val="24"/>
          <w:lang w:eastAsia="zh-Hans"/>
        </w:rPr>
        <w:t>第六条</w:t>
      </w:r>
      <w:r w:rsidR="00A45A13">
        <w:rPr>
          <w:rFonts w:ascii="宋体" w:hAnsi="宋体" w:cs="宋体" w:hint="eastAsia"/>
          <w:sz w:val="24"/>
          <w:lang w:eastAsia="zh-Hans"/>
        </w:rPr>
        <w:t xml:space="preserve"> </w:t>
      </w:r>
      <w:bookmarkStart w:id="176" w:name="No26_T6K1"/>
      <w:bookmarkEnd w:id="176"/>
      <w:r>
        <w:rPr>
          <w:rFonts w:ascii="宋体" w:hAnsi="宋体" w:cs="宋体" w:hint="eastAsia"/>
          <w:sz w:val="24"/>
          <w:lang w:eastAsia="zh-Hans"/>
        </w:rPr>
        <w:t>探矿权申请人申请探矿权时，应当向登记管理机关提交下列资料：</w:t>
      </w:r>
    </w:p>
    <w:p w14:paraId="320205E2" w14:textId="77777777" w:rsidR="00A320E6" w:rsidRDefault="00000000" w:rsidP="00AE0286">
      <w:pPr>
        <w:pStyle w:val="a3"/>
        <w:spacing w:line="360" w:lineRule="auto"/>
        <w:ind w:firstLine="480"/>
        <w:rPr>
          <w:rFonts w:ascii="宋体" w:hAnsi="宋体" w:cs="宋体"/>
          <w:sz w:val="24"/>
          <w:lang w:eastAsia="zh-Hans"/>
        </w:rPr>
      </w:pPr>
      <w:bookmarkStart w:id="177" w:name="No27_T6K1X1"/>
      <w:bookmarkEnd w:id="177"/>
      <w:r>
        <w:rPr>
          <w:rFonts w:ascii="宋体" w:hAnsi="宋体" w:cs="宋体" w:hint="eastAsia"/>
          <w:sz w:val="24"/>
          <w:lang w:eastAsia="zh-Hans"/>
        </w:rPr>
        <w:t>（一）申请登记书和申请的区块范围图；</w:t>
      </w:r>
    </w:p>
    <w:p w14:paraId="12A887D2" w14:textId="77777777" w:rsidR="00A320E6" w:rsidRDefault="00000000" w:rsidP="00AE0286">
      <w:pPr>
        <w:pStyle w:val="a3"/>
        <w:spacing w:line="360" w:lineRule="auto"/>
        <w:ind w:firstLine="480"/>
        <w:rPr>
          <w:rFonts w:ascii="宋体" w:hAnsi="宋体" w:cs="宋体"/>
          <w:sz w:val="24"/>
          <w:lang w:eastAsia="zh-Hans"/>
        </w:rPr>
      </w:pPr>
      <w:bookmarkStart w:id="178" w:name="No28_T6K1X2"/>
      <w:bookmarkEnd w:id="178"/>
      <w:r>
        <w:rPr>
          <w:rFonts w:ascii="宋体" w:hAnsi="宋体" w:cs="宋体" w:hint="eastAsia"/>
          <w:sz w:val="24"/>
          <w:lang w:eastAsia="zh-Hans"/>
        </w:rPr>
        <w:t>（二）勘查单位的资格证书复印件；</w:t>
      </w:r>
    </w:p>
    <w:p w14:paraId="666F3929" w14:textId="77777777" w:rsidR="00A320E6" w:rsidRDefault="00000000" w:rsidP="00AE0286">
      <w:pPr>
        <w:pStyle w:val="a3"/>
        <w:spacing w:line="360" w:lineRule="auto"/>
        <w:ind w:firstLine="480"/>
        <w:rPr>
          <w:rFonts w:ascii="宋体" w:hAnsi="宋体" w:cs="宋体"/>
          <w:sz w:val="24"/>
          <w:lang w:eastAsia="zh-Hans"/>
        </w:rPr>
      </w:pPr>
      <w:bookmarkStart w:id="179" w:name="No29_T6K1X3"/>
      <w:bookmarkEnd w:id="179"/>
      <w:r>
        <w:rPr>
          <w:rFonts w:ascii="宋体" w:hAnsi="宋体" w:cs="宋体" w:hint="eastAsia"/>
          <w:sz w:val="24"/>
          <w:lang w:eastAsia="zh-Hans"/>
        </w:rPr>
        <w:t>（三）勘查工作计划、勘查合同或者委托勘查的证明文件；</w:t>
      </w:r>
    </w:p>
    <w:p w14:paraId="53F0CABC" w14:textId="77777777" w:rsidR="00A320E6" w:rsidRDefault="00000000" w:rsidP="00AE0286">
      <w:pPr>
        <w:pStyle w:val="a3"/>
        <w:spacing w:line="360" w:lineRule="auto"/>
        <w:ind w:firstLine="480"/>
        <w:rPr>
          <w:rFonts w:ascii="宋体" w:hAnsi="宋体" w:cs="宋体"/>
          <w:sz w:val="24"/>
          <w:lang w:eastAsia="zh-Hans"/>
        </w:rPr>
      </w:pPr>
      <w:bookmarkStart w:id="180" w:name="No30_T6K1X4"/>
      <w:bookmarkEnd w:id="180"/>
      <w:r>
        <w:rPr>
          <w:rFonts w:ascii="宋体" w:hAnsi="宋体" w:cs="宋体" w:hint="eastAsia"/>
          <w:sz w:val="24"/>
          <w:lang w:eastAsia="zh-Hans"/>
        </w:rPr>
        <w:t>（四）勘查实施方案及附件；</w:t>
      </w:r>
    </w:p>
    <w:p w14:paraId="579E7D44" w14:textId="77777777" w:rsidR="00A320E6" w:rsidRDefault="00000000" w:rsidP="00AE0286">
      <w:pPr>
        <w:pStyle w:val="a3"/>
        <w:spacing w:line="360" w:lineRule="auto"/>
        <w:ind w:firstLine="480"/>
        <w:rPr>
          <w:rFonts w:ascii="宋体" w:hAnsi="宋体" w:cs="宋体"/>
          <w:sz w:val="24"/>
          <w:lang w:eastAsia="zh-Hans"/>
        </w:rPr>
      </w:pPr>
      <w:bookmarkStart w:id="181" w:name="No31_T6K1X5"/>
      <w:bookmarkEnd w:id="181"/>
      <w:r>
        <w:rPr>
          <w:rFonts w:ascii="宋体" w:hAnsi="宋体" w:cs="宋体" w:hint="eastAsia"/>
          <w:sz w:val="24"/>
          <w:lang w:eastAsia="zh-Hans"/>
        </w:rPr>
        <w:t>（五）勘查项目资金来源证明；</w:t>
      </w:r>
    </w:p>
    <w:p w14:paraId="763873EA" w14:textId="77777777" w:rsidR="00A320E6" w:rsidRDefault="00000000" w:rsidP="00AE0286">
      <w:pPr>
        <w:pStyle w:val="a3"/>
        <w:spacing w:line="360" w:lineRule="auto"/>
        <w:ind w:firstLine="480"/>
        <w:rPr>
          <w:rFonts w:ascii="宋体" w:hAnsi="宋体" w:cs="宋体"/>
          <w:sz w:val="24"/>
          <w:lang w:eastAsia="zh-Hans"/>
        </w:rPr>
      </w:pPr>
      <w:bookmarkStart w:id="182" w:name="No32_T6K1X6"/>
      <w:bookmarkEnd w:id="182"/>
      <w:r>
        <w:rPr>
          <w:rFonts w:ascii="宋体" w:hAnsi="宋体" w:cs="宋体" w:hint="eastAsia"/>
          <w:sz w:val="24"/>
          <w:lang w:eastAsia="zh-Hans"/>
        </w:rPr>
        <w:t>（六）国务院地质矿产主管部门规定提交的其他资料。</w:t>
      </w:r>
    </w:p>
    <w:p w14:paraId="6EC3CC85" w14:textId="77777777" w:rsidR="00A320E6" w:rsidRDefault="00000000" w:rsidP="00AE0286">
      <w:pPr>
        <w:pStyle w:val="a3"/>
        <w:spacing w:line="360" w:lineRule="auto"/>
        <w:ind w:firstLine="480"/>
        <w:rPr>
          <w:rFonts w:ascii="宋体" w:hAnsi="宋体" w:cs="宋体"/>
          <w:sz w:val="24"/>
          <w:lang w:eastAsia="zh-Hans"/>
        </w:rPr>
      </w:pPr>
      <w:bookmarkStart w:id="183" w:name="No33_T6K2"/>
      <w:bookmarkEnd w:id="183"/>
      <w:r>
        <w:rPr>
          <w:rFonts w:ascii="宋体" w:hAnsi="宋体" w:cs="宋体" w:hint="eastAsia"/>
          <w:sz w:val="24"/>
          <w:lang w:eastAsia="zh-Hans"/>
        </w:rPr>
        <w:t>申请勘查石油、天然气的，还应当提交国务院批准设立石油公司或者同意进行石油、天然气勘查的批准文件以及勘查单位法人资格证明。</w:t>
      </w:r>
    </w:p>
    <w:p w14:paraId="6889F589" w14:textId="2BD7CD90" w:rsidR="00A320E6" w:rsidRDefault="00977BD5" w:rsidP="00AE0286">
      <w:pPr>
        <w:pStyle w:val="a3"/>
        <w:spacing w:line="360" w:lineRule="auto"/>
        <w:ind w:firstLine="482"/>
        <w:rPr>
          <w:rFonts w:ascii="宋体" w:hAnsi="宋体" w:cs="宋体"/>
          <w:sz w:val="24"/>
          <w:lang w:eastAsia="zh-Hans"/>
        </w:rPr>
      </w:pPr>
      <w:bookmarkStart w:id="184" w:name="No34_T7"/>
      <w:bookmarkEnd w:id="184"/>
      <w:r w:rsidRPr="00977BD5">
        <w:rPr>
          <w:rFonts w:ascii="宋体" w:hAnsi="宋体" w:cs="宋体" w:hint="eastAsia"/>
          <w:b/>
          <w:sz w:val="24"/>
          <w:lang w:eastAsia="zh-Hans"/>
        </w:rPr>
        <w:t>第七条</w:t>
      </w:r>
      <w:r w:rsidR="00A45A13">
        <w:rPr>
          <w:rFonts w:ascii="宋体" w:hAnsi="宋体" w:cs="宋体" w:hint="eastAsia"/>
          <w:sz w:val="24"/>
          <w:lang w:eastAsia="zh-Hans"/>
        </w:rPr>
        <w:t xml:space="preserve"> </w:t>
      </w:r>
      <w:bookmarkStart w:id="185" w:name="No35_T7K1"/>
      <w:bookmarkEnd w:id="185"/>
      <w:r>
        <w:rPr>
          <w:rFonts w:ascii="宋体" w:hAnsi="宋体" w:cs="宋体" w:hint="eastAsia"/>
          <w:sz w:val="24"/>
          <w:lang w:eastAsia="zh-Hans"/>
        </w:rPr>
        <w:t>申请石油、天然气滚动勘探开发的，应当向登记管理机关提交下列资料，经批准，办理登记手续，领取滚动勘探开发的采矿许可证：</w:t>
      </w:r>
    </w:p>
    <w:p w14:paraId="0F9D8647" w14:textId="77777777" w:rsidR="00A320E6" w:rsidRDefault="00000000" w:rsidP="00AE0286">
      <w:pPr>
        <w:pStyle w:val="a3"/>
        <w:spacing w:line="360" w:lineRule="auto"/>
        <w:ind w:firstLine="480"/>
        <w:rPr>
          <w:rFonts w:ascii="宋体" w:hAnsi="宋体" w:cs="宋体"/>
          <w:sz w:val="24"/>
          <w:lang w:eastAsia="zh-Hans"/>
        </w:rPr>
      </w:pPr>
      <w:bookmarkStart w:id="186" w:name="No36_T7K1X1"/>
      <w:bookmarkEnd w:id="186"/>
      <w:r>
        <w:rPr>
          <w:rFonts w:ascii="宋体" w:hAnsi="宋体" w:cs="宋体" w:hint="eastAsia"/>
          <w:sz w:val="24"/>
          <w:lang w:eastAsia="zh-Hans"/>
        </w:rPr>
        <w:t>（一）申请登记书和滚动勘探开发矿区范围图；</w:t>
      </w:r>
    </w:p>
    <w:p w14:paraId="29350EC9" w14:textId="77777777" w:rsidR="00A320E6" w:rsidRDefault="00000000" w:rsidP="00AE0286">
      <w:pPr>
        <w:pStyle w:val="a3"/>
        <w:spacing w:line="360" w:lineRule="auto"/>
        <w:ind w:firstLine="480"/>
        <w:rPr>
          <w:rFonts w:ascii="宋体" w:hAnsi="宋体" w:cs="宋体"/>
          <w:sz w:val="24"/>
          <w:lang w:eastAsia="zh-Hans"/>
        </w:rPr>
      </w:pPr>
      <w:bookmarkStart w:id="187" w:name="No37_T7K1X2"/>
      <w:bookmarkEnd w:id="187"/>
      <w:r>
        <w:rPr>
          <w:rFonts w:ascii="宋体" w:hAnsi="宋体" w:cs="宋体" w:hint="eastAsia"/>
          <w:sz w:val="24"/>
          <w:lang w:eastAsia="zh-Hans"/>
        </w:rPr>
        <w:t>（二）国务院计划主管部门批准的项目建议书；</w:t>
      </w:r>
    </w:p>
    <w:p w14:paraId="73850950" w14:textId="77777777" w:rsidR="00A320E6" w:rsidRDefault="00000000" w:rsidP="00AE0286">
      <w:pPr>
        <w:pStyle w:val="a3"/>
        <w:spacing w:line="360" w:lineRule="auto"/>
        <w:ind w:firstLine="480"/>
        <w:rPr>
          <w:rFonts w:ascii="宋体" w:hAnsi="宋体" w:cs="宋体"/>
          <w:sz w:val="24"/>
          <w:lang w:eastAsia="zh-Hans"/>
        </w:rPr>
      </w:pPr>
      <w:bookmarkStart w:id="188" w:name="No38_T7K1X3"/>
      <w:bookmarkEnd w:id="188"/>
      <w:r>
        <w:rPr>
          <w:rFonts w:ascii="宋体" w:hAnsi="宋体" w:cs="宋体" w:hint="eastAsia"/>
          <w:sz w:val="24"/>
          <w:lang w:eastAsia="zh-Hans"/>
        </w:rPr>
        <w:t>（三）需要进行滚动勘探开发的论证材料；</w:t>
      </w:r>
    </w:p>
    <w:p w14:paraId="51C3292A" w14:textId="77777777" w:rsidR="00A320E6" w:rsidRDefault="00000000" w:rsidP="00AE0286">
      <w:pPr>
        <w:pStyle w:val="a3"/>
        <w:spacing w:line="360" w:lineRule="auto"/>
        <w:ind w:firstLine="480"/>
        <w:rPr>
          <w:rFonts w:ascii="宋体" w:hAnsi="宋体" w:cs="宋体"/>
          <w:sz w:val="24"/>
          <w:lang w:eastAsia="zh-Hans"/>
        </w:rPr>
      </w:pPr>
      <w:bookmarkStart w:id="189" w:name="No39_T7K1X4"/>
      <w:bookmarkEnd w:id="189"/>
      <w:r>
        <w:rPr>
          <w:rFonts w:ascii="宋体" w:hAnsi="宋体" w:cs="宋体" w:hint="eastAsia"/>
          <w:sz w:val="24"/>
          <w:lang w:eastAsia="zh-Hans"/>
        </w:rPr>
        <w:t>（四）经国务院矿产储量审批机构批准进行石油、天然气滚动勘探开发的储量报告；</w:t>
      </w:r>
    </w:p>
    <w:p w14:paraId="470F07B3" w14:textId="77777777" w:rsidR="00A320E6" w:rsidRDefault="00000000" w:rsidP="00AE0286">
      <w:pPr>
        <w:pStyle w:val="a3"/>
        <w:spacing w:line="360" w:lineRule="auto"/>
        <w:ind w:firstLine="480"/>
        <w:rPr>
          <w:rFonts w:ascii="宋体" w:hAnsi="宋体" w:cs="宋体"/>
          <w:sz w:val="24"/>
          <w:lang w:eastAsia="zh-Hans"/>
        </w:rPr>
      </w:pPr>
      <w:bookmarkStart w:id="190" w:name="No40_T7K1X5"/>
      <w:bookmarkEnd w:id="190"/>
      <w:r>
        <w:rPr>
          <w:rFonts w:ascii="宋体" w:hAnsi="宋体" w:cs="宋体" w:hint="eastAsia"/>
          <w:sz w:val="24"/>
          <w:lang w:eastAsia="zh-Hans"/>
        </w:rPr>
        <w:t>（五）滚动勘探开发利用方案。</w:t>
      </w:r>
    </w:p>
    <w:p w14:paraId="26A736E5" w14:textId="1352C982" w:rsidR="00A320E6" w:rsidRDefault="00977BD5" w:rsidP="00AE0286">
      <w:pPr>
        <w:pStyle w:val="a3"/>
        <w:spacing w:line="360" w:lineRule="auto"/>
        <w:ind w:firstLine="482"/>
        <w:rPr>
          <w:rFonts w:ascii="宋体" w:hAnsi="宋体" w:cs="宋体"/>
          <w:sz w:val="24"/>
          <w:lang w:eastAsia="zh-Hans"/>
        </w:rPr>
      </w:pPr>
      <w:bookmarkStart w:id="191" w:name="No41_T8"/>
      <w:bookmarkEnd w:id="191"/>
      <w:r w:rsidRPr="00977BD5">
        <w:rPr>
          <w:rFonts w:ascii="宋体" w:hAnsi="宋体" w:cs="宋体" w:hint="eastAsia"/>
          <w:b/>
          <w:sz w:val="24"/>
          <w:lang w:eastAsia="zh-Hans"/>
        </w:rPr>
        <w:t>第八条</w:t>
      </w:r>
      <w:r w:rsidR="00A45A13">
        <w:rPr>
          <w:rFonts w:ascii="宋体" w:hAnsi="宋体" w:cs="宋体" w:hint="eastAsia"/>
          <w:sz w:val="24"/>
          <w:lang w:eastAsia="zh-Hans"/>
        </w:rPr>
        <w:t xml:space="preserve"> </w:t>
      </w:r>
      <w:bookmarkStart w:id="192" w:name="No42_T8K1"/>
      <w:bookmarkEnd w:id="192"/>
      <w:r>
        <w:rPr>
          <w:rFonts w:ascii="宋体" w:hAnsi="宋体" w:cs="宋体" w:hint="eastAsia"/>
          <w:sz w:val="24"/>
          <w:lang w:eastAsia="zh-Hans"/>
        </w:rPr>
        <w:t>登记管理机关应当自收到申请之日起40日内，按照申请在先的原则作出准予登记或者不予登记的决定，并通知探矿权申请人。对申请勘查石油、天然气的，登记管理机关还应当在收到申请后及时予以公告或者提供查询。</w:t>
      </w:r>
    </w:p>
    <w:p w14:paraId="77F1B300" w14:textId="77777777" w:rsidR="00A320E6" w:rsidRDefault="00000000" w:rsidP="00AE0286">
      <w:pPr>
        <w:pStyle w:val="a3"/>
        <w:spacing w:line="360" w:lineRule="auto"/>
        <w:ind w:firstLine="480"/>
        <w:rPr>
          <w:rFonts w:ascii="宋体" w:hAnsi="宋体" w:cs="宋体"/>
          <w:sz w:val="24"/>
          <w:lang w:eastAsia="zh-Hans"/>
        </w:rPr>
      </w:pPr>
      <w:bookmarkStart w:id="193" w:name="No43_T8K2"/>
      <w:bookmarkEnd w:id="193"/>
      <w:r>
        <w:rPr>
          <w:rFonts w:ascii="宋体" w:hAnsi="宋体" w:cs="宋体" w:hint="eastAsia"/>
          <w:sz w:val="24"/>
          <w:lang w:eastAsia="zh-Hans"/>
        </w:rPr>
        <w:t>登记管理机关应当保证国家地质勘查计划一类项目的登记，具体办法由国务院地质矿产主管部门会同国务院计划主管部门制定。</w:t>
      </w:r>
    </w:p>
    <w:p w14:paraId="0E6CEF9A" w14:textId="33CE425B" w:rsidR="00A320E6" w:rsidRDefault="00000000" w:rsidP="00AE0286">
      <w:pPr>
        <w:pStyle w:val="a3"/>
        <w:spacing w:line="360" w:lineRule="auto"/>
        <w:ind w:firstLine="480"/>
        <w:rPr>
          <w:rFonts w:ascii="宋体" w:hAnsi="宋体" w:cs="宋体"/>
          <w:sz w:val="24"/>
          <w:lang w:eastAsia="zh-Hans"/>
        </w:rPr>
      </w:pPr>
      <w:bookmarkStart w:id="194" w:name="No44_T8K3"/>
      <w:bookmarkEnd w:id="194"/>
      <w:r>
        <w:rPr>
          <w:rFonts w:ascii="宋体" w:hAnsi="宋体" w:cs="宋体" w:hint="eastAsia"/>
          <w:sz w:val="24"/>
          <w:lang w:eastAsia="zh-Hans"/>
        </w:rPr>
        <w:t>需要探矿权申请人修改或者补充本办法</w:t>
      </w:r>
      <w:r w:rsidR="00977BD5" w:rsidRPr="00D71C66">
        <w:rPr>
          <w:rFonts w:ascii="宋体" w:hAnsi="宋体" w:cs="宋体" w:hint="eastAsia"/>
          <w:bCs/>
          <w:sz w:val="24"/>
          <w:lang w:eastAsia="zh-Hans"/>
        </w:rPr>
        <w:t>第六条</w:t>
      </w:r>
      <w:r>
        <w:rPr>
          <w:rFonts w:ascii="宋体" w:hAnsi="宋体" w:cs="宋体" w:hint="eastAsia"/>
          <w:sz w:val="24"/>
          <w:lang w:eastAsia="zh-Hans"/>
        </w:rPr>
        <w:t>规定的资料的，登记管理机关应当通知探矿权申请人限期修改或者补充。</w:t>
      </w:r>
    </w:p>
    <w:p w14:paraId="0430B04E" w14:textId="1235DA80" w:rsidR="00A320E6" w:rsidRDefault="00000000" w:rsidP="00AE0286">
      <w:pPr>
        <w:pStyle w:val="a3"/>
        <w:spacing w:line="360" w:lineRule="auto"/>
        <w:ind w:firstLine="480"/>
        <w:rPr>
          <w:rFonts w:ascii="宋体" w:hAnsi="宋体" w:cs="宋体"/>
          <w:sz w:val="24"/>
          <w:lang w:eastAsia="zh-Hans"/>
        </w:rPr>
      </w:pPr>
      <w:bookmarkStart w:id="195" w:name="No45_T8K4"/>
      <w:bookmarkEnd w:id="195"/>
      <w:r>
        <w:rPr>
          <w:rFonts w:ascii="宋体" w:hAnsi="宋体" w:cs="宋体" w:hint="eastAsia"/>
          <w:sz w:val="24"/>
          <w:lang w:eastAsia="zh-Hans"/>
        </w:rPr>
        <w:t>准予登记的，探矿权申请人应当自收到通知之日起30日内，依照本办法</w:t>
      </w:r>
      <w:r w:rsidR="00977BD5" w:rsidRPr="00D71C66">
        <w:rPr>
          <w:rFonts w:ascii="宋体" w:hAnsi="宋体" w:cs="宋体" w:hint="eastAsia"/>
          <w:bCs/>
          <w:sz w:val="24"/>
          <w:lang w:eastAsia="zh-Hans"/>
        </w:rPr>
        <w:t>第十二条</w:t>
      </w:r>
      <w:r>
        <w:rPr>
          <w:rFonts w:ascii="宋体" w:hAnsi="宋体" w:cs="宋体" w:hint="eastAsia"/>
          <w:sz w:val="24"/>
          <w:lang w:eastAsia="zh-Hans"/>
        </w:rPr>
        <w:t>的规定缴纳探矿权使用费，并依照本办法</w:t>
      </w:r>
      <w:r w:rsidR="00EC0B72" w:rsidRPr="00D71C66">
        <w:rPr>
          <w:rFonts w:ascii="宋体" w:hAnsi="宋体" w:cs="宋体" w:hint="eastAsia"/>
          <w:bCs/>
          <w:sz w:val="24"/>
          <w:lang w:eastAsia="zh-Hans"/>
        </w:rPr>
        <w:t>第十三条</w:t>
      </w:r>
      <w:r>
        <w:rPr>
          <w:rFonts w:ascii="宋体" w:hAnsi="宋体" w:cs="宋体" w:hint="eastAsia"/>
          <w:sz w:val="24"/>
          <w:lang w:eastAsia="zh-Hans"/>
        </w:rPr>
        <w:t>的规定缴纳国家出资勘查形成的探矿权价款，办理登记手续，领取勘查许可证，成为探矿权人。</w:t>
      </w:r>
    </w:p>
    <w:p w14:paraId="5AE84D24" w14:textId="77777777" w:rsidR="00A320E6" w:rsidRDefault="00000000" w:rsidP="00AE0286">
      <w:pPr>
        <w:pStyle w:val="a3"/>
        <w:spacing w:line="360" w:lineRule="auto"/>
        <w:ind w:firstLine="480"/>
        <w:rPr>
          <w:rFonts w:ascii="宋体" w:hAnsi="宋体" w:cs="宋体"/>
          <w:sz w:val="24"/>
          <w:lang w:eastAsia="zh-Hans"/>
        </w:rPr>
      </w:pPr>
      <w:bookmarkStart w:id="196" w:name="No46_T8K5"/>
      <w:bookmarkEnd w:id="196"/>
      <w:r>
        <w:rPr>
          <w:rFonts w:ascii="宋体" w:hAnsi="宋体" w:cs="宋体" w:hint="eastAsia"/>
          <w:sz w:val="24"/>
          <w:lang w:eastAsia="zh-Hans"/>
        </w:rPr>
        <w:t>不予登记的，登记管理机关应当向探矿权申请人说明理由。</w:t>
      </w:r>
    </w:p>
    <w:p w14:paraId="1CE44FBF" w14:textId="5B5C6C68" w:rsidR="00A320E6" w:rsidRDefault="00977BD5" w:rsidP="00AE0286">
      <w:pPr>
        <w:pStyle w:val="a3"/>
        <w:spacing w:line="360" w:lineRule="auto"/>
        <w:ind w:firstLine="482"/>
        <w:rPr>
          <w:rFonts w:ascii="宋体" w:hAnsi="宋体" w:cs="宋体"/>
          <w:sz w:val="24"/>
          <w:lang w:eastAsia="zh-Hans"/>
        </w:rPr>
      </w:pPr>
      <w:bookmarkStart w:id="197" w:name="No47_T9"/>
      <w:bookmarkEnd w:id="197"/>
      <w:r w:rsidRPr="00977BD5">
        <w:rPr>
          <w:rFonts w:ascii="宋体" w:hAnsi="宋体" w:cs="宋体" w:hint="eastAsia"/>
          <w:b/>
          <w:sz w:val="24"/>
          <w:lang w:eastAsia="zh-Hans"/>
        </w:rPr>
        <w:t>第九条</w:t>
      </w:r>
      <w:r w:rsidR="00A45A13">
        <w:rPr>
          <w:rFonts w:ascii="宋体" w:hAnsi="宋体" w:cs="宋体" w:hint="eastAsia"/>
          <w:sz w:val="24"/>
          <w:lang w:eastAsia="zh-Hans"/>
        </w:rPr>
        <w:t xml:space="preserve"> </w:t>
      </w:r>
      <w:bookmarkStart w:id="198" w:name="No48_T9K1"/>
      <w:bookmarkEnd w:id="198"/>
      <w:r>
        <w:rPr>
          <w:rFonts w:ascii="宋体" w:hAnsi="宋体" w:cs="宋体" w:hint="eastAsia"/>
          <w:sz w:val="24"/>
          <w:lang w:eastAsia="zh-Hans"/>
        </w:rPr>
        <w:t>禁止任何单位和个人进入他人依法取得探矿权的勘查作业区内进行勘查或者采矿活动。</w:t>
      </w:r>
    </w:p>
    <w:p w14:paraId="7DD41AEA" w14:textId="77777777" w:rsidR="00A320E6" w:rsidRDefault="00000000" w:rsidP="00AE0286">
      <w:pPr>
        <w:pStyle w:val="a3"/>
        <w:spacing w:line="360" w:lineRule="auto"/>
        <w:ind w:firstLine="480"/>
        <w:rPr>
          <w:rFonts w:ascii="宋体" w:hAnsi="宋体" w:cs="宋体"/>
          <w:sz w:val="24"/>
          <w:lang w:eastAsia="zh-Hans"/>
        </w:rPr>
      </w:pPr>
      <w:bookmarkStart w:id="199" w:name="No49_T9K2"/>
      <w:bookmarkEnd w:id="199"/>
      <w:r>
        <w:rPr>
          <w:rFonts w:ascii="宋体" w:hAnsi="宋体" w:cs="宋体" w:hint="eastAsia"/>
          <w:sz w:val="24"/>
          <w:lang w:eastAsia="zh-Hans"/>
        </w:rPr>
        <w:t>探矿权人与采矿权人对勘查作业区范围和矿区范围发生争议的，由当事人协商解决；协商不成的，由发证的登记管理机关中级别高的登记管理机关裁决。</w:t>
      </w:r>
    </w:p>
    <w:p w14:paraId="4D197C9E" w14:textId="4B428F14" w:rsidR="00A320E6" w:rsidRDefault="00977BD5" w:rsidP="00AE0286">
      <w:pPr>
        <w:pStyle w:val="a3"/>
        <w:spacing w:line="360" w:lineRule="auto"/>
        <w:ind w:firstLine="482"/>
        <w:rPr>
          <w:rFonts w:ascii="宋体" w:hAnsi="宋体" w:cs="宋体"/>
          <w:sz w:val="24"/>
          <w:lang w:eastAsia="zh-Hans"/>
        </w:rPr>
      </w:pPr>
      <w:bookmarkStart w:id="200" w:name="No50_T10"/>
      <w:bookmarkEnd w:id="200"/>
      <w:r w:rsidRPr="00977BD5">
        <w:rPr>
          <w:rFonts w:ascii="宋体" w:hAnsi="宋体" w:cs="宋体" w:hint="eastAsia"/>
          <w:b/>
          <w:sz w:val="24"/>
          <w:lang w:eastAsia="zh-Hans"/>
        </w:rPr>
        <w:t>第十条</w:t>
      </w:r>
      <w:r w:rsidR="00A45A13">
        <w:rPr>
          <w:rFonts w:ascii="宋体" w:hAnsi="宋体" w:cs="宋体" w:hint="eastAsia"/>
          <w:sz w:val="24"/>
          <w:lang w:eastAsia="zh-Hans"/>
        </w:rPr>
        <w:t xml:space="preserve"> </w:t>
      </w:r>
      <w:bookmarkStart w:id="201" w:name="No51_T10K1"/>
      <w:bookmarkEnd w:id="201"/>
      <w:r>
        <w:rPr>
          <w:rFonts w:ascii="宋体" w:hAnsi="宋体" w:cs="宋体" w:hint="eastAsia"/>
          <w:sz w:val="24"/>
          <w:lang w:eastAsia="zh-Hans"/>
        </w:rPr>
        <w:t>勘查许可证有效期最长为3年；但是，石油、天然气勘查许可证有效期最长为7年。需要延长勘查工作时间的，探矿权人应当在勘查许可证有效期届满的30日前，到登记管理机关办理延续登记手续，每次延续时间不得超过2年。</w:t>
      </w:r>
    </w:p>
    <w:p w14:paraId="65CE8BBE" w14:textId="77777777" w:rsidR="00A320E6" w:rsidRDefault="00000000" w:rsidP="00AE0286">
      <w:pPr>
        <w:pStyle w:val="a3"/>
        <w:spacing w:line="360" w:lineRule="auto"/>
        <w:ind w:firstLine="480"/>
        <w:rPr>
          <w:rFonts w:ascii="宋体" w:hAnsi="宋体" w:cs="宋体"/>
          <w:sz w:val="24"/>
          <w:lang w:eastAsia="zh-Hans"/>
        </w:rPr>
      </w:pPr>
      <w:bookmarkStart w:id="202" w:name="No52_T10K2"/>
      <w:bookmarkEnd w:id="202"/>
      <w:r>
        <w:rPr>
          <w:rFonts w:ascii="宋体" w:hAnsi="宋体" w:cs="宋体" w:hint="eastAsia"/>
          <w:sz w:val="24"/>
          <w:lang w:eastAsia="zh-Hans"/>
        </w:rPr>
        <w:t>探矿权人逾期不办理延续登记手续的，勘查许可证自行废止。</w:t>
      </w:r>
    </w:p>
    <w:p w14:paraId="3FD3E9C4" w14:textId="77777777" w:rsidR="00A320E6" w:rsidRDefault="00000000" w:rsidP="00AE0286">
      <w:pPr>
        <w:pStyle w:val="a3"/>
        <w:spacing w:line="360" w:lineRule="auto"/>
        <w:ind w:firstLine="480"/>
        <w:rPr>
          <w:rFonts w:ascii="宋体" w:hAnsi="宋体" w:cs="宋体"/>
          <w:sz w:val="24"/>
          <w:lang w:eastAsia="zh-Hans"/>
        </w:rPr>
      </w:pPr>
      <w:bookmarkStart w:id="203" w:name="No53_T10K3"/>
      <w:bookmarkEnd w:id="203"/>
      <w:r>
        <w:rPr>
          <w:rFonts w:ascii="宋体" w:hAnsi="宋体" w:cs="宋体" w:hint="eastAsia"/>
          <w:sz w:val="24"/>
          <w:lang w:eastAsia="zh-Hans"/>
        </w:rPr>
        <w:t>石油、天然气滚动勘探开发的采矿许可证有效期最长为15年；但是，探明储量的区块，应当申请办理采矿许可证。</w:t>
      </w:r>
    </w:p>
    <w:p w14:paraId="3FBBD3B4" w14:textId="3A71D4E2" w:rsidR="00A320E6" w:rsidRDefault="00977BD5" w:rsidP="00AE0286">
      <w:pPr>
        <w:pStyle w:val="a3"/>
        <w:spacing w:line="360" w:lineRule="auto"/>
        <w:ind w:firstLine="482"/>
        <w:rPr>
          <w:rFonts w:ascii="宋体" w:hAnsi="宋体" w:cs="宋体"/>
          <w:sz w:val="24"/>
          <w:lang w:eastAsia="zh-Hans"/>
        </w:rPr>
      </w:pPr>
      <w:bookmarkStart w:id="204" w:name="No54_T11"/>
      <w:bookmarkEnd w:id="204"/>
      <w:r w:rsidRPr="00977BD5">
        <w:rPr>
          <w:rFonts w:ascii="宋体" w:hAnsi="宋体" w:cs="宋体" w:hint="eastAsia"/>
          <w:b/>
          <w:sz w:val="24"/>
          <w:lang w:eastAsia="zh-Hans"/>
        </w:rPr>
        <w:t>第十一条</w:t>
      </w:r>
      <w:r>
        <w:rPr>
          <w:rFonts w:ascii="宋体" w:hAnsi="宋体" w:cs="宋体" w:hint="eastAsia"/>
          <w:sz w:val="24"/>
          <w:lang w:eastAsia="zh-Hans"/>
        </w:rPr>
        <w:t xml:space="preserve"> </w:t>
      </w:r>
      <w:bookmarkStart w:id="205" w:name="No55_T11K1"/>
      <w:bookmarkEnd w:id="205"/>
      <w:r>
        <w:rPr>
          <w:rFonts w:ascii="宋体" w:hAnsi="宋体" w:cs="宋体" w:hint="eastAsia"/>
          <w:sz w:val="24"/>
          <w:lang w:eastAsia="zh-Hans"/>
        </w:rPr>
        <w:t>登记管理机关应当自颁发勘查许可证之日起10日内，将登记发证项目的名称、探矿权人、区块范围和勘查许可证期限等事项，通知勘查项目所在地的县级人民政府负责地质矿产管理工作的部门。</w:t>
      </w:r>
    </w:p>
    <w:p w14:paraId="23B56F84" w14:textId="77777777" w:rsidR="00A320E6" w:rsidRDefault="00000000" w:rsidP="00AE0286">
      <w:pPr>
        <w:pStyle w:val="a3"/>
        <w:spacing w:line="360" w:lineRule="auto"/>
        <w:ind w:firstLine="480"/>
        <w:rPr>
          <w:rFonts w:ascii="宋体" w:hAnsi="宋体" w:cs="宋体"/>
          <w:sz w:val="24"/>
          <w:lang w:eastAsia="zh-Hans"/>
        </w:rPr>
      </w:pPr>
      <w:bookmarkStart w:id="206" w:name="No56_T11K2"/>
      <w:bookmarkEnd w:id="206"/>
      <w:r>
        <w:rPr>
          <w:rFonts w:ascii="宋体" w:hAnsi="宋体" w:cs="宋体" w:hint="eastAsia"/>
          <w:sz w:val="24"/>
          <w:lang w:eastAsia="zh-Hans"/>
        </w:rPr>
        <w:t>登记管理机关对勘查区块登记发证情况，应当定期予以公告。</w:t>
      </w:r>
    </w:p>
    <w:p w14:paraId="0283ED9A" w14:textId="3CE5814D" w:rsidR="00A320E6" w:rsidRDefault="00977BD5" w:rsidP="00AE0286">
      <w:pPr>
        <w:pStyle w:val="a3"/>
        <w:spacing w:line="360" w:lineRule="auto"/>
        <w:ind w:firstLine="482"/>
        <w:rPr>
          <w:rFonts w:ascii="宋体" w:hAnsi="宋体" w:cs="宋体"/>
          <w:sz w:val="24"/>
          <w:lang w:eastAsia="zh-Hans"/>
        </w:rPr>
      </w:pPr>
      <w:bookmarkStart w:id="207" w:name="No57_T12"/>
      <w:bookmarkEnd w:id="207"/>
      <w:r w:rsidRPr="00977BD5">
        <w:rPr>
          <w:rFonts w:ascii="宋体" w:hAnsi="宋体" w:cs="宋体" w:hint="eastAsia"/>
          <w:b/>
          <w:sz w:val="24"/>
          <w:lang w:eastAsia="zh-Hans"/>
        </w:rPr>
        <w:t>第十二条</w:t>
      </w:r>
      <w:r>
        <w:rPr>
          <w:rFonts w:ascii="宋体" w:hAnsi="宋体" w:cs="宋体" w:hint="eastAsia"/>
          <w:sz w:val="24"/>
          <w:lang w:eastAsia="zh-Hans"/>
        </w:rPr>
        <w:t xml:space="preserve"> </w:t>
      </w:r>
      <w:bookmarkStart w:id="208" w:name="No58_T12K1"/>
      <w:bookmarkEnd w:id="208"/>
      <w:r>
        <w:rPr>
          <w:rFonts w:ascii="宋体" w:hAnsi="宋体" w:cs="宋体" w:hint="eastAsia"/>
          <w:sz w:val="24"/>
          <w:lang w:eastAsia="zh-Hans"/>
        </w:rPr>
        <w:t>国家实行探矿权有偿取得的制度。探矿权使用费以勘查年度计算，逐年缴纳。</w:t>
      </w:r>
    </w:p>
    <w:p w14:paraId="1A3EEDD6" w14:textId="77777777" w:rsidR="00A320E6" w:rsidRDefault="00000000" w:rsidP="00AE0286">
      <w:pPr>
        <w:pStyle w:val="a3"/>
        <w:spacing w:line="360" w:lineRule="auto"/>
        <w:ind w:firstLine="480"/>
        <w:rPr>
          <w:rFonts w:ascii="宋体" w:hAnsi="宋体" w:cs="宋体"/>
          <w:sz w:val="24"/>
          <w:lang w:eastAsia="zh-Hans"/>
        </w:rPr>
      </w:pPr>
      <w:bookmarkStart w:id="209" w:name="No59_T12K2"/>
      <w:bookmarkEnd w:id="209"/>
      <w:r>
        <w:rPr>
          <w:rFonts w:ascii="宋体" w:hAnsi="宋体" w:cs="宋体" w:hint="eastAsia"/>
          <w:sz w:val="24"/>
          <w:lang w:eastAsia="zh-Hans"/>
        </w:rPr>
        <w:t>探矿权使用费标准：第一个勘查年度至第三个勘查年度，每平方公里每年缴纳100元；从第四个勘查年度起，每平方公里每年增加100元，但是最高不得超过每平方公里每年500元。</w:t>
      </w:r>
    </w:p>
    <w:p w14:paraId="7B36E9C2" w14:textId="370C13C0" w:rsidR="00A320E6" w:rsidRDefault="00EC0B72" w:rsidP="00AE0286">
      <w:pPr>
        <w:pStyle w:val="a3"/>
        <w:spacing w:line="360" w:lineRule="auto"/>
        <w:ind w:firstLine="482"/>
        <w:rPr>
          <w:rFonts w:ascii="宋体" w:hAnsi="宋体" w:cs="宋体"/>
          <w:sz w:val="24"/>
          <w:lang w:eastAsia="zh-Hans"/>
        </w:rPr>
      </w:pPr>
      <w:bookmarkStart w:id="210" w:name="No60_T13"/>
      <w:bookmarkEnd w:id="210"/>
      <w:r w:rsidRPr="00EC0B72">
        <w:rPr>
          <w:rFonts w:ascii="宋体" w:hAnsi="宋体" w:cs="宋体" w:hint="eastAsia"/>
          <w:b/>
          <w:sz w:val="24"/>
          <w:lang w:eastAsia="zh-Hans"/>
        </w:rPr>
        <w:t>第十三条</w:t>
      </w:r>
      <w:r w:rsidR="00977BD5">
        <w:rPr>
          <w:rFonts w:ascii="宋体" w:hAnsi="宋体" w:cs="宋体" w:hint="eastAsia"/>
          <w:sz w:val="24"/>
          <w:lang w:eastAsia="zh-Hans"/>
        </w:rPr>
        <w:t xml:space="preserve"> </w:t>
      </w:r>
      <w:bookmarkStart w:id="211" w:name="No61_T13K1"/>
      <w:bookmarkEnd w:id="211"/>
      <w:r>
        <w:rPr>
          <w:rFonts w:ascii="宋体" w:hAnsi="宋体" w:cs="宋体" w:hint="eastAsia"/>
          <w:sz w:val="24"/>
          <w:lang w:eastAsia="zh-Hans"/>
        </w:rPr>
        <w:t>申请国家出资勘查并已经探明矿产地的区块的探矿权的，探矿权申请人除依照本办法</w:t>
      </w:r>
      <w:r w:rsidR="00977BD5" w:rsidRPr="00D71C66">
        <w:rPr>
          <w:rFonts w:ascii="宋体" w:hAnsi="宋体" w:cs="宋体" w:hint="eastAsia"/>
          <w:bCs/>
          <w:sz w:val="24"/>
          <w:lang w:eastAsia="zh-Hans"/>
        </w:rPr>
        <w:t>第十二条</w:t>
      </w:r>
      <w:r>
        <w:rPr>
          <w:rFonts w:ascii="宋体" w:hAnsi="宋体" w:cs="宋体" w:hint="eastAsia"/>
          <w:sz w:val="24"/>
          <w:lang w:eastAsia="zh-Hans"/>
        </w:rPr>
        <w:t>的规定缴纳探矿权使用费外，还应当缴纳国家出资勘查形成的探矿权价款；探矿权价款按照国家有关规定，可以一次缴纳，也可以分期缴纳。</w:t>
      </w:r>
    </w:p>
    <w:p w14:paraId="04B29F1B" w14:textId="77777777" w:rsidR="00A320E6" w:rsidRDefault="00000000" w:rsidP="00AE0286">
      <w:pPr>
        <w:pStyle w:val="a3"/>
        <w:spacing w:line="360" w:lineRule="auto"/>
        <w:ind w:firstLine="480"/>
        <w:rPr>
          <w:rFonts w:ascii="宋体" w:hAnsi="宋体" w:cs="宋体"/>
          <w:sz w:val="24"/>
          <w:lang w:eastAsia="zh-Hans"/>
        </w:rPr>
      </w:pPr>
      <w:bookmarkStart w:id="212" w:name="No62_T13K2"/>
      <w:bookmarkEnd w:id="212"/>
      <w:r>
        <w:rPr>
          <w:rFonts w:ascii="宋体" w:hAnsi="宋体" w:cs="宋体" w:hint="eastAsia"/>
          <w:sz w:val="24"/>
          <w:lang w:eastAsia="zh-Hans"/>
        </w:rPr>
        <w:t>国家出资勘查形成的探矿权价款，由具有矿业权评估资质的评估机构进行评估；评估报告报登记管理机关备案。</w:t>
      </w:r>
    </w:p>
    <w:p w14:paraId="538E8A60" w14:textId="6D26D6BE" w:rsidR="00A320E6" w:rsidRDefault="00EC0B72" w:rsidP="00AE0286">
      <w:pPr>
        <w:pStyle w:val="a3"/>
        <w:spacing w:line="360" w:lineRule="auto"/>
        <w:ind w:firstLine="482"/>
        <w:rPr>
          <w:rFonts w:ascii="宋体" w:hAnsi="宋体" w:cs="宋体"/>
          <w:sz w:val="24"/>
          <w:lang w:eastAsia="zh-Hans"/>
        </w:rPr>
      </w:pPr>
      <w:bookmarkStart w:id="213" w:name="No63_T14"/>
      <w:bookmarkEnd w:id="213"/>
      <w:r w:rsidRPr="00EC0B72">
        <w:rPr>
          <w:rFonts w:ascii="宋体" w:hAnsi="宋体" w:cs="宋体" w:hint="eastAsia"/>
          <w:b/>
          <w:sz w:val="24"/>
          <w:lang w:eastAsia="zh-Hans"/>
        </w:rPr>
        <w:t>第十四条</w:t>
      </w:r>
      <w:r w:rsidR="00977BD5">
        <w:rPr>
          <w:rFonts w:ascii="宋体" w:hAnsi="宋体" w:cs="宋体" w:hint="eastAsia"/>
          <w:sz w:val="24"/>
          <w:lang w:eastAsia="zh-Hans"/>
        </w:rPr>
        <w:t xml:space="preserve"> </w:t>
      </w:r>
      <w:bookmarkStart w:id="214" w:name="No64_T14K1"/>
      <w:bookmarkEnd w:id="214"/>
      <w:r>
        <w:rPr>
          <w:rFonts w:ascii="宋体" w:hAnsi="宋体" w:cs="宋体" w:hint="eastAsia"/>
          <w:sz w:val="24"/>
          <w:lang w:eastAsia="zh-Hans"/>
        </w:rPr>
        <w:t>探矿权使用费和国家出资勘查形成的探矿权价款，由登记管理机关收取，全部纳入国家预算管理。具体管理、使用办法，由国务院地质矿产主管部门会同国务院财政部门、计划主管部门制定。</w:t>
      </w:r>
    </w:p>
    <w:p w14:paraId="1E5F6E3A" w14:textId="4A56422C" w:rsidR="00A320E6" w:rsidRDefault="00EC0B72" w:rsidP="00AE0286">
      <w:pPr>
        <w:pStyle w:val="a3"/>
        <w:spacing w:line="360" w:lineRule="auto"/>
        <w:ind w:firstLine="482"/>
        <w:rPr>
          <w:rFonts w:ascii="宋体" w:hAnsi="宋体" w:cs="宋体"/>
          <w:sz w:val="24"/>
          <w:lang w:eastAsia="zh-Hans"/>
        </w:rPr>
      </w:pPr>
      <w:bookmarkStart w:id="215" w:name="No65_T15"/>
      <w:bookmarkEnd w:id="215"/>
      <w:r w:rsidRPr="00EC0B72">
        <w:rPr>
          <w:rFonts w:ascii="宋体" w:hAnsi="宋体" w:cs="宋体" w:hint="eastAsia"/>
          <w:b/>
          <w:sz w:val="24"/>
          <w:lang w:eastAsia="zh-Hans"/>
        </w:rPr>
        <w:t>第十五条</w:t>
      </w:r>
      <w:r w:rsidR="00977BD5">
        <w:rPr>
          <w:rFonts w:ascii="宋体" w:hAnsi="宋体" w:cs="宋体" w:hint="eastAsia"/>
          <w:sz w:val="24"/>
          <w:lang w:eastAsia="zh-Hans"/>
        </w:rPr>
        <w:t xml:space="preserve"> </w:t>
      </w:r>
      <w:bookmarkStart w:id="216" w:name="No66_T15K1"/>
      <w:bookmarkEnd w:id="216"/>
      <w:r>
        <w:rPr>
          <w:rFonts w:ascii="宋体" w:hAnsi="宋体" w:cs="宋体" w:hint="eastAsia"/>
          <w:sz w:val="24"/>
          <w:lang w:eastAsia="zh-Hans"/>
        </w:rPr>
        <w:t>有下列情形之一的，由探矿权人提出申请，经登记管理机关按照国务院地质矿产主管部门会同国务院财政部门制定的探矿权使用费和探矿权价款的减免办法审查批准，可以减缴、免缴探矿权使用费和探矿权价款：</w:t>
      </w:r>
    </w:p>
    <w:p w14:paraId="4E146962" w14:textId="77777777" w:rsidR="00A320E6" w:rsidRDefault="00000000" w:rsidP="00AE0286">
      <w:pPr>
        <w:pStyle w:val="a3"/>
        <w:spacing w:line="360" w:lineRule="auto"/>
        <w:ind w:firstLine="480"/>
        <w:rPr>
          <w:rFonts w:ascii="宋体" w:hAnsi="宋体" w:cs="宋体"/>
          <w:sz w:val="24"/>
          <w:lang w:eastAsia="zh-Hans"/>
        </w:rPr>
      </w:pPr>
      <w:bookmarkStart w:id="217" w:name="No67_T15K1X1"/>
      <w:bookmarkEnd w:id="217"/>
      <w:r>
        <w:rPr>
          <w:rFonts w:ascii="宋体" w:hAnsi="宋体" w:cs="宋体" w:hint="eastAsia"/>
          <w:sz w:val="24"/>
          <w:lang w:eastAsia="zh-Hans"/>
        </w:rPr>
        <w:t>（一）国家鼓励勘查的矿种；</w:t>
      </w:r>
    </w:p>
    <w:p w14:paraId="001BA4EE" w14:textId="77777777" w:rsidR="00A320E6" w:rsidRDefault="00000000" w:rsidP="00AE0286">
      <w:pPr>
        <w:pStyle w:val="a3"/>
        <w:spacing w:line="360" w:lineRule="auto"/>
        <w:ind w:firstLine="480"/>
        <w:rPr>
          <w:rFonts w:ascii="宋体" w:hAnsi="宋体" w:cs="宋体"/>
          <w:sz w:val="24"/>
          <w:lang w:eastAsia="zh-Hans"/>
        </w:rPr>
      </w:pPr>
      <w:bookmarkStart w:id="218" w:name="No68_T15K1X2"/>
      <w:bookmarkEnd w:id="218"/>
      <w:r>
        <w:rPr>
          <w:rFonts w:ascii="宋体" w:hAnsi="宋体" w:cs="宋体" w:hint="eastAsia"/>
          <w:sz w:val="24"/>
          <w:lang w:eastAsia="zh-Hans"/>
        </w:rPr>
        <w:t>（二）国家鼓励勘查的区域；</w:t>
      </w:r>
    </w:p>
    <w:p w14:paraId="3F92E726" w14:textId="77777777" w:rsidR="00A320E6" w:rsidRDefault="00000000" w:rsidP="00AE0286">
      <w:pPr>
        <w:pStyle w:val="a3"/>
        <w:spacing w:line="360" w:lineRule="auto"/>
        <w:ind w:firstLine="480"/>
        <w:rPr>
          <w:rFonts w:ascii="宋体" w:hAnsi="宋体" w:cs="宋体"/>
          <w:sz w:val="24"/>
          <w:lang w:eastAsia="zh-Hans"/>
        </w:rPr>
      </w:pPr>
      <w:bookmarkStart w:id="219" w:name="No69_T15K1X3"/>
      <w:bookmarkEnd w:id="219"/>
      <w:r>
        <w:rPr>
          <w:rFonts w:ascii="宋体" w:hAnsi="宋体" w:cs="宋体" w:hint="eastAsia"/>
          <w:sz w:val="24"/>
          <w:lang w:eastAsia="zh-Hans"/>
        </w:rPr>
        <w:t>（三）国务院地质矿产主管部门会同国务院财政部门规定的其他情形。</w:t>
      </w:r>
    </w:p>
    <w:p w14:paraId="01BA687D" w14:textId="6D616399" w:rsidR="00A320E6" w:rsidRDefault="00EC0B72" w:rsidP="00AE0286">
      <w:pPr>
        <w:pStyle w:val="a3"/>
        <w:spacing w:line="360" w:lineRule="auto"/>
        <w:ind w:firstLine="482"/>
        <w:rPr>
          <w:rFonts w:ascii="宋体" w:hAnsi="宋体" w:cs="宋体"/>
          <w:sz w:val="24"/>
          <w:lang w:eastAsia="zh-Hans"/>
        </w:rPr>
      </w:pPr>
      <w:bookmarkStart w:id="220" w:name="No70_T16"/>
      <w:bookmarkEnd w:id="220"/>
      <w:r w:rsidRPr="00EC0B72">
        <w:rPr>
          <w:rFonts w:ascii="宋体" w:hAnsi="宋体" w:cs="宋体" w:hint="eastAsia"/>
          <w:b/>
          <w:sz w:val="24"/>
          <w:lang w:eastAsia="zh-Hans"/>
        </w:rPr>
        <w:t>第十六条</w:t>
      </w:r>
      <w:r w:rsidR="00977BD5">
        <w:rPr>
          <w:rFonts w:ascii="宋体" w:hAnsi="宋体" w:cs="宋体" w:hint="eastAsia"/>
          <w:sz w:val="24"/>
          <w:lang w:eastAsia="zh-Hans"/>
        </w:rPr>
        <w:t xml:space="preserve"> </w:t>
      </w:r>
      <w:bookmarkStart w:id="221" w:name="No71_T16K1"/>
      <w:bookmarkEnd w:id="221"/>
      <w:r>
        <w:rPr>
          <w:rFonts w:ascii="宋体" w:hAnsi="宋体" w:cs="宋体" w:hint="eastAsia"/>
          <w:sz w:val="24"/>
          <w:lang w:eastAsia="zh-Hans"/>
        </w:rPr>
        <w:t>探矿权可以通过招标投标的方式有偿取得。</w:t>
      </w:r>
    </w:p>
    <w:p w14:paraId="67473071" w14:textId="666503B5" w:rsidR="00A320E6" w:rsidRDefault="00000000" w:rsidP="00AE0286">
      <w:pPr>
        <w:pStyle w:val="a3"/>
        <w:spacing w:line="360" w:lineRule="auto"/>
        <w:ind w:firstLine="480"/>
        <w:rPr>
          <w:rFonts w:ascii="宋体" w:hAnsi="宋体" w:cs="宋体"/>
          <w:sz w:val="24"/>
          <w:lang w:eastAsia="zh-Hans"/>
        </w:rPr>
      </w:pPr>
      <w:bookmarkStart w:id="222" w:name="No72_T16K2"/>
      <w:bookmarkEnd w:id="222"/>
      <w:r>
        <w:rPr>
          <w:rFonts w:ascii="宋体" w:hAnsi="宋体" w:cs="宋体" w:hint="eastAsia"/>
          <w:sz w:val="24"/>
          <w:lang w:eastAsia="zh-Hans"/>
        </w:rPr>
        <w:t>登记管理机关依照本办法</w:t>
      </w:r>
      <w:r w:rsidR="00A45A13" w:rsidRPr="00977BD5">
        <w:rPr>
          <w:rFonts w:ascii="宋体" w:hAnsi="宋体" w:cs="宋体" w:hint="eastAsia"/>
          <w:bCs/>
          <w:sz w:val="24"/>
          <w:lang w:eastAsia="zh-Hans"/>
        </w:rPr>
        <w:t xml:space="preserve">第四条 </w:t>
      </w:r>
      <w:r>
        <w:rPr>
          <w:rFonts w:ascii="宋体" w:hAnsi="宋体" w:cs="宋体" w:hint="eastAsia"/>
          <w:sz w:val="24"/>
          <w:lang w:eastAsia="zh-Hans"/>
        </w:rPr>
        <w:t>规定的权限确定招标区块，发布招标公告，提出投标要求和截止日期；但是，对境外招标的区块由国务院地质矿产主管部门确定。</w:t>
      </w:r>
    </w:p>
    <w:p w14:paraId="311A3F43" w14:textId="77C2907D" w:rsidR="00A320E6" w:rsidRDefault="00000000" w:rsidP="00AE0286">
      <w:pPr>
        <w:pStyle w:val="a3"/>
        <w:spacing w:line="360" w:lineRule="auto"/>
        <w:ind w:firstLine="480"/>
        <w:rPr>
          <w:rFonts w:ascii="宋体" w:hAnsi="宋体" w:cs="宋体"/>
          <w:sz w:val="24"/>
          <w:lang w:eastAsia="zh-Hans"/>
        </w:rPr>
      </w:pPr>
      <w:bookmarkStart w:id="223" w:name="No73_T16K3"/>
      <w:bookmarkEnd w:id="223"/>
      <w:r>
        <w:rPr>
          <w:rFonts w:ascii="宋体" w:hAnsi="宋体" w:cs="宋体" w:hint="eastAsia"/>
          <w:sz w:val="24"/>
          <w:lang w:eastAsia="zh-Hans"/>
        </w:rPr>
        <w:t>登记管理机关组织评标，采取择优原则确定中标人。中标人缴纳本办法</w:t>
      </w:r>
      <w:r w:rsidR="00977BD5" w:rsidRPr="00D71C66">
        <w:rPr>
          <w:rFonts w:ascii="宋体" w:hAnsi="宋体" w:cs="宋体" w:hint="eastAsia"/>
          <w:bCs/>
          <w:sz w:val="24"/>
          <w:lang w:eastAsia="zh-Hans"/>
        </w:rPr>
        <w:t>第十二条</w:t>
      </w:r>
      <w:r w:rsidRPr="00D71C66">
        <w:rPr>
          <w:rFonts w:ascii="宋体" w:hAnsi="宋体" w:cs="宋体" w:hint="eastAsia"/>
          <w:bCs/>
          <w:sz w:val="24"/>
          <w:lang w:eastAsia="zh-Hans"/>
        </w:rPr>
        <w:t>、</w:t>
      </w:r>
      <w:r w:rsidR="00EC0B72" w:rsidRPr="00D71C66">
        <w:rPr>
          <w:rFonts w:ascii="宋体" w:hAnsi="宋体" w:cs="宋体" w:hint="eastAsia"/>
          <w:bCs/>
          <w:sz w:val="24"/>
          <w:lang w:eastAsia="zh-Hans"/>
        </w:rPr>
        <w:t>第十三条</w:t>
      </w:r>
      <w:r>
        <w:rPr>
          <w:rFonts w:ascii="宋体" w:hAnsi="宋体" w:cs="宋体" w:hint="eastAsia"/>
          <w:sz w:val="24"/>
          <w:lang w:eastAsia="zh-Hans"/>
        </w:rPr>
        <w:t>规定的费用后，办理登记手续，领取勘查许可证，成为探矿权人，并履行标书中承诺的义务。</w:t>
      </w:r>
    </w:p>
    <w:p w14:paraId="56F9C082" w14:textId="69DE21EC" w:rsidR="00A320E6" w:rsidRDefault="00EC0B72" w:rsidP="00AE0286">
      <w:pPr>
        <w:pStyle w:val="a3"/>
        <w:spacing w:line="360" w:lineRule="auto"/>
        <w:ind w:firstLine="482"/>
        <w:rPr>
          <w:rFonts w:ascii="宋体" w:hAnsi="宋体" w:cs="宋体"/>
          <w:sz w:val="24"/>
          <w:lang w:eastAsia="zh-Hans"/>
        </w:rPr>
      </w:pPr>
      <w:bookmarkStart w:id="224" w:name="No74_T17"/>
      <w:bookmarkEnd w:id="224"/>
      <w:r w:rsidRPr="00EC0B72">
        <w:rPr>
          <w:rFonts w:ascii="宋体" w:hAnsi="宋体" w:cs="宋体" w:hint="eastAsia"/>
          <w:b/>
          <w:sz w:val="24"/>
          <w:lang w:eastAsia="zh-Hans"/>
        </w:rPr>
        <w:t>第十七条</w:t>
      </w:r>
      <w:r w:rsidR="00977BD5">
        <w:rPr>
          <w:rFonts w:ascii="宋体" w:hAnsi="宋体" w:cs="宋体" w:hint="eastAsia"/>
          <w:sz w:val="24"/>
          <w:lang w:eastAsia="zh-Hans"/>
        </w:rPr>
        <w:t xml:space="preserve"> </w:t>
      </w:r>
      <w:bookmarkStart w:id="225" w:name="No75_T17K1"/>
      <w:bookmarkEnd w:id="225"/>
      <w:r>
        <w:rPr>
          <w:rFonts w:ascii="宋体" w:hAnsi="宋体" w:cs="宋体" w:hint="eastAsia"/>
          <w:sz w:val="24"/>
          <w:lang w:eastAsia="zh-Hans"/>
        </w:rPr>
        <w:t>探矿权人应当自领取勘查许可证之日起，按照下列规定完成最低勘查投入：</w:t>
      </w:r>
    </w:p>
    <w:p w14:paraId="465B2CE5" w14:textId="77777777" w:rsidR="00A320E6" w:rsidRDefault="00000000" w:rsidP="00AE0286">
      <w:pPr>
        <w:pStyle w:val="a3"/>
        <w:spacing w:line="360" w:lineRule="auto"/>
        <w:ind w:firstLine="480"/>
        <w:rPr>
          <w:rFonts w:ascii="宋体" w:hAnsi="宋体" w:cs="宋体"/>
          <w:sz w:val="24"/>
          <w:lang w:eastAsia="zh-Hans"/>
        </w:rPr>
      </w:pPr>
      <w:bookmarkStart w:id="226" w:name="No76_T17K1X1"/>
      <w:bookmarkEnd w:id="226"/>
      <w:r>
        <w:rPr>
          <w:rFonts w:ascii="宋体" w:hAnsi="宋体" w:cs="宋体" w:hint="eastAsia"/>
          <w:sz w:val="24"/>
          <w:lang w:eastAsia="zh-Hans"/>
        </w:rPr>
        <w:t>（一）第一个勘查年度，每平方公里2000元；</w:t>
      </w:r>
    </w:p>
    <w:p w14:paraId="32D615B9" w14:textId="77777777" w:rsidR="00A320E6" w:rsidRDefault="00000000" w:rsidP="00AE0286">
      <w:pPr>
        <w:pStyle w:val="a3"/>
        <w:spacing w:line="360" w:lineRule="auto"/>
        <w:ind w:firstLine="480"/>
        <w:rPr>
          <w:rFonts w:ascii="宋体" w:hAnsi="宋体" w:cs="宋体"/>
          <w:sz w:val="24"/>
          <w:lang w:eastAsia="zh-Hans"/>
        </w:rPr>
      </w:pPr>
      <w:bookmarkStart w:id="227" w:name="No77_T17K1X2"/>
      <w:bookmarkEnd w:id="227"/>
      <w:r>
        <w:rPr>
          <w:rFonts w:ascii="宋体" w:hAnsi="宋体" w:cs="宋体" w:hint="eastAsia"/>
          <w:sz w:val="24"/>
          <w:lang w:eastAsia="zh-Hans"/>
        </w:rPr>
        <w:t>（二）第二个勘查年度，每平方公里5000元；</w:t>
      </w:r>
    </w:p>
    <w:p w14:paraId="5A0C2D73" w14:textId="77777777" w:rsidR="00A320E6" w:rsidRDefault="00000000" w:rsidP="00AE0286">
      <w:pPr>
        <w:pStyle w:val="a3"/>
        <w:spacing w:line="360" w:lineRule="auto"/>
        <w:ind w:firstLine="480"/>
        <w:rPr>
          <w:rFonts w:ascii="宋体" w:hAnsi="宋体" w:cs="宋体"/>
          <w:sz w:val="24"/>
          <w:lang w:eastAsia="zh-Hans"/>
        </w:rPr>
      </w:pPr>
      <w:bookmarkStart w:id="228" w:name="No78_T17K1X3"/>
      <w:bookmarkEnd w:id="228"/>
      <w:r>
        <w:rPr>
          <w:rFonts w:ascii="宋体" w:hAnsi="宋体" w:cs="宋体" w:hint="eastAsia"/>
          <w:sz w:val="24"/>
          <w:lang w:eastAsia="zh-Hans"/>
        </w:rPr>
        <w:t>（三）从第三个勘查年度起，每个勘查年度每平方公里10000元。</w:t>
      </w:r>
    </w:p>
    <w:p w14:paraId="20388D6A" w14:textId="77777777" w:rsidR="00A320E6" w:rsidRDefault="00000000" w:rsidP="00AE0286">
      <w:pPr>
        <w:pStyle w:val="a3"/>
        <w:spacing w:line="360" w:lineRule="auto"/>
        <w:ind w:firstLine="480"/>
        <w:rPr>
          <w:rFonts w:ascii="宋体" w:hAnsi="宋体" w:cs="宋体"/>
          <w:sz w:val="24"/>
          <w:lang w:eastAsia="zh-Hans"/>
        </w:rPr>
      </w:pPr>
      <w:bookmarkStart w:id="229" w:name="No79_T17K2"/>
      <w:bookmarkEnd w:id="229"/>
      <w:r>
        <w:rPr>
          <w:rFonts w:ascii="宋体" w:hAnsi="宋体" w:cs="宋体" w:hint="eastAsia"/>
          <w:sz w:val="24"/>
          <w:lang w:eastAsia="zh-Hans"/>
        </w:rPr>
        <w:t>探矿权人当年度的勘查投入高于最低勘查投入标准的，高于的部分可以计入下一个勘查年度的勘查投入。</w:t>
      </w:r>
    </w:p>
    <w:p w14:paraId="3495DFEB" w14:textId="77777777" w:rsidR="00A320E6" w:rsidRDefault="00000000" w:rsidP="00AE0286">
      <w:pPr>
        <w:pStyle w:val="a3"/>
        <w:spacing w:line="360" w:lineRule="auto"/>
        <w:ind w:firstLine="480"/>
        <w:rPr>
          <w:rFonts w:ascii="宋体" w:hAnsi="宋体" w:cs="宋体"/>
          <w:sz w:val="24"/>
          <w:lang w:eastAsia="zh-Hans"/>
        </w:rPr>
      </w:pPr>
      <w:bookmarkStart w:id="230" w:name="No80_T17K3"/>
      <w:bookmarkEnd w:id="230"/>
      <w:r>
        <w:rPr>
          <w:rFonts w:ascii="宋体" w:hAnsi="宋体" w:cs="宋体" w:hint="eastAsia"/>
          <w:sz w:val="24"/>
          <w:lang w:eastAsia="zh-Hans"/>
        </w:rPr>
        <w:t>因自然灾害等不可抗力的原因，致使勘查工作不能正常进行的，探矿权人应当自恢复正常勘查工作之日起30日内，向登记管理机关提交申请核减相应的最低勘查投入的报告；登记管理机关应当自收到报告之日起30日内予以批复。</w:t>
      </w:r>
    </w:p>
    <w:p w14:paraId="74BC0DFD" w14:textId="40669F01" w:rsidR="00A320E6" w:rsidRDefault="00EC0B72" w:rsidP="00AE0286">
      <w:pPr>
        <w:pStyle w:val="a3"/>
        <w:spacing w:line="360" w:lineRule="auto"/>
        <w:ind w:firstLine="482"/>
        <w:rPr>
          <w:rFonts w:ascii="宋体" w:hAnsi="宋体" w:cs="宋体"/>
          <w:sz w:val="24"/>
          <w:lang w:eastAsia="zh-Hans"/>
        </w:rPr>
      </w:pPr>
      <w:bookmarkStart w:id="231" w:name="No81_T18"/>
      <w:bookmarkEnd w:id="231"/>
      <w:r w:rsidRPr="00EC0B72">
        <w:rPr>
          <w:rFonts w:ascii="宋体" w:hAnsi="宋体" w:cs="宋体" w:hint="eastAsia"/>
          <w:b/>
          <w:sz w:val="24"/>
          <w:lang w:eastAsia="zh-Hans"/>
        </w:rPr>
        <w:t>第十八条</w:t>
      </w:r>
      <w:r w:rsidR="00977BD5">
        <w:rPr>
          <w:rFonts w:ascii="宋体" w:hAnsi="宋体" w:cs="宋体" w:hint="eastAsia"/>
          <w:sz w:val="24"/>
          <w:lang w:eastAsia="zh-Hans"/>
        </w:rPr>
        <w:t xml:space="preserve"> </w:t>
      </w:r>
      <w:bookmarkStart w:id="232" w:name="No82_T18K1"/>
      <w:bookmarkEnd w:id="232"/>
      <w:r>
        <w:rPr>
          <w:rFonts w:ascii="宋体" w:hAnsi="宋体" w:cs="宋体" w:hint="eastAsia"/>
          <w:sz w:val="24"/>
          <w:lang w:eastAsia="zh-Hans"/>
        </w:rPr>
        <w:t>探矿权人应当自领取勘查许可证之日起6个月内开始施工；在开始勘查工作时，应当向勘查项目所在地的县级人民政府负责地质矿产管理工作的部门报告，并向登记管理机关报告开工情况。</w:t>
      </w:r>
    </w:p>
    <w:p w14:paraId="6D719805" w14:textId="01B0D37C" w:rsidR="00A320E6" w:rsidRDefault="00EC0B72" w:rsidP="00AE0286">
      <w:pPr>
        <w:pStyle w:val="a3"/>
        <w:spacing w:line="360" w:lineRule="auto"/>
        <w:ind w:firstLine="482"/>
        <w:rPr>
          <w:rFonts w:ascii="宋体" w:hAnsi="宋体" w:cs="宋体"/>
          <w:sz w:val="24"/>
          <w:lang w:eastAsia="zh-Hans"/>
        </w:rPr>
      </w:pPr>
      <w:bookmarkStart w:id="233" w:name="No83_T19"/>
      <w:bookmarkEnd w:id="233"/>
      <w:r w:rsidRPr="00EC0B72">
        <w:rPr>
          <w:rFonts w:ascii="宋体" w:hAnsi="宋体" w:cs="宋体" w:hint="eastAsia"/>
          <w:b/>
          <w:sz w:val="24"/>
          <w:lang w:eastAsia="zh-Hans"/>
        </w:rPr>
        <w:t>第十九条</w:t>
      </w:r>
      <w:r w:rsidR="00977BD5">
        <w:rPr>
          <w:rFonts w:ascii="宋体" w:hAnsi="宋体" w:cs="宋体" w:hint="eastAsia"/>
          <w:sz w:val="24"/>
          <w:lang w:eastAsia="zh-Hans"/>
        </w:rPr>
        <w:t xml:space="preserve"> </w:t>
      </w:r>
      <w:bookmarkStart w:id="234" w:name="No84_T19K1"/>
      <w:bookmarkEnd w:id="234"/>
      <w:r>
        <w:rPr>
          <w:rFonts w:ascii="宋体" w:hAnsi="宋体" w:cs="宋体" w:hint="eastAsia"/>
          <w:sz w:val="24"/>
          <w:lang w:eastAsia="zh-Hans"/>
        </w:rPr>
        <w:t>探矿权人在勘查许可证有效期内进行勘查时，发现符合国家边探边采规定要求的复杂类型矿床的，可以申请开采，经登记管理机关批准，办理采矿登记手续。</w:t>
      </w:r>
    </w:p>
    <w:p w14:paraId="39E1F46C" w14:textId="621517C4" w:rsidR="00A320E6" w:rsidRDefault="00EC0B72" w:rsidP="00AE0286">
      <w:pPr>
        <w:pStyle w:val="a3"/>
        <w:spacing w:line="360" w:lineRule="auto"/>
        <w:ind w:firstLine="482"/>
        <w:rPr>
          <w:rFonts w:ascii="宋体" w:hAnsi="宋体" w:cs="宋体"/>
          <w:sz w:val="24"/>
          <w:lang w:eastAsia="zh-Hans"/>
        </w:rPr>
      </w:pPr>
      <w:bookmarkStart w:id="235" w:name="No85_T20"/>
      <w:bookmarkEnd w:id="235"/>
      <w:r w:rsidRPr="00EC0B72">
        <w:rPr>
          <w:rFonts w:ascii="宋体" w:hAnsi="宋体" w:cs="宋体" w:hint="eastAsia"/>
          <w:b/>
          <w:sz w:val="24"/>
          <w:lang w:eastAsia="zh-Hans"/>
        </w:rPr>
        <w:t>第二十条</w:t>
      </w:r>
      <w:r w:rsidR="00977BD5">
        <w:rPr>
          <w:rFonts w:ascii="宋体" w:hAnsi="宋体" w:cs="宋体" w:hint="eastAsia"/>
          <w:sz w:val="24"/>
          <w:lang w:eastAsia="zh-Hans"/>
        </w:rPr>
        <w:t xml:space="preserve"> </w:t>
      </w:r>
      <w:bookmarkStart w:id="236" w:name="No86_T20K1"/>
      <w:bookmarkEnd w:id="236"/>
      <w:r>
        <w:rPr>
          <w:rFonts w:ascii="宋体" w:hAnsi="宋体" w:cs="宋体" w:hint="eastAsia"/>
          <w:sz w:val="24"/>
          <w:lang w:eastAsia="zh-Hans"/>
        </w:rPr>
        <w:t>探矿权人在勘查石油、天然气等流体矿产期间，需要试采的，应当向登记管理机关提交试采申请，经批准后可以试采1年；需要延长试采时间的，必须办理登记手续。</w:t>
      </w:r>
    </w:p>
    <w:p w14:paraId="2C6AAFC6" w14:textId="350B2B9D" w:rsidR="00A320E6" w:rsidRDefault="00EC0B72" w:rsidP="00AE0286">
      <w:pPr>
        <w:pStyle w:val="a3"/>
        <w:spacing w:line="360" w:lineRule="auto"/>
        <w:ind w:firstLine="482"/>
        <w:rPr>
          <w:rFonts w:ascii="宋体" w:hAnsi="宋体" w:cs="宋体"/>
          <w:sz w:val="24"/>
          <w:lang w:eastAsia="zh-Hans"/>
        </w:rPr>
      </w:pPr>
      <w:bookmarkStart w:id="237" w:name="No87_T21"/>
      <w:bookmarkEnd w:id="237"/>
      <w:r w:rsidRPr="00EC0B72">
        <w:rPr>
          <w:rFonts w:ascii="宋体" w:hAnsi="宋体" w:cs="宋体" w:hint="eastAsia"/>
          <w:b/>
          <w:sz w:val="24"/>
          <w:lang w:eastAsia="zh-Hans"/>
        </w:rPr>
        <w:t>第二十一条</w:t>
      </w:r>
      <w:r w:rsidR="00977BD5">
        <w:rPr>
          <w:rFonts w:ascii="宋体" w:hAnsi="宋体" w:cs="宋体" w:hint="eastAsia"/>
          <w:sz w:val="24"/>
          <w:lang w:eastAsia="zh-Hans"/>
        </w:rPr>
        <w:t xml:space="preserve"> </w:t>
      </w:r>
      <w:bookmarkStart w:id="238" w:name="No88_T21K1"/>
      <w:bookmarkEnd w:id="238"/>
      <w:r>
        <w:rPr>
          <w:rFonts w:ascii="宋体" w:hAnsi="宋体" w:cs="宋体" w:hint="eastAsia"/>
          <w:sz w:val="24"/>
          <w:lang w:eastAsia="zh-Hans"/>
        </w:rPr>
        <w:t>探矿权人在勘查许可证有效期内探明可供开采的矿体后，经登记管理机关批准，可以停止相应区块的最低勘查投入，并可以在勘查许可证有效期届满的30日前，申请保留探矿权。但是，国家为了公共利益或者因技术条件暂时难以利用等情况，需要延期开采的除外。</w:t>
      </w:r>
    </w:p>
    <w:p w14:paraId="13E5FEEC" w14:textId="77777777" w:rsidR="00A320E6" w:rsidRDefault="00000000" w:rsidP="00AE0286">
      <w:pPr>
        <w:pStyle w:val="a3"/>
        <w:spacing w:line="360" w:lineRule="auto"/>
        <w:ind w:firstLine="480"/>
        <w:rPr>
          <w:rFonts w:ascii="宋体" w:hAnsi="宋体" w:cs="宋体"/>
          <w:sz w:val="24"/>
          <w:lang w:eastAsia="zh-Hans"/>
        </w:rPr>
      </w:pPr>
      <w:bookmarkStart w:id="239" w:name="No89_T21K2"/>
      <w:bookmarkEnd w:id="239"/>
      <w:r>
        <w:rPr>
          <w:rFonts w:ascii="宋体" w:hAnsi="宋体" w:cs="宋体" w:hint="eastAsia"/>
          <w:sz w:val="24"/>
          <w:lang w:eastAsia="zh-Hans"/>
        </w:rPr>
        <w:t>保留探矿权的期限，最长不得超过2年，需要延长保留期的，可以申请延长2次，每次不得超过2年；保留探矿权的范围为可供开采的矿体范围。</w:t>
      </w:r>
    </w:p>
    <w:p w14:paraId="79715BDA" w14:textId="77777777" w:rsidR="00A320E6" w:rsidRDefault="00000000" w:rsidP="00AE0286">
      <w:pPr>
        <w:pStyle w:val="a3"/>
        <w:spacing w:line="360" w:lineRule="auto"/>
        <w:ind w:firstLine="480"/>
        <w:rPr>
          <w:rFonts w:ascii="宋体" w:hAnsi="宋体" w:cs="宋体"/>
          <w:sz w:val="24"/>
          <w:lang w:eastAsia="zh-Hans"/>
        </w:rPr>
      </w:pPr>
      <w:bookmarkStart w:id="240" w:name="No90_T21K3"/>
      <w:bookmarkEnd w:id="240"/>
      <w:r>
        <w:rPr>
          <w:rFonts w:ascii="宋体" w:hAnsi="宋体" w:cs="宋体" w:hint="eastAsia"/>
          <w:sz w:val="24"/>
          <w:lang w:eastAsia="zh-Hans"/>
        </w:rPr>
        <w:t>在停止最低勘查投入期间或者探矿权保留期间，探矿权人应当依照本办法的规定，缴纳探矿权使用费。</w:t>
      </w:r>
    </w:p>
    <w:p w14:paraId="0CDDBC46" w14:textId="77777777" w:rsidR="00A320E6" w:rsidRDefault="00000000" w:rsidP="00AE0286">
      <w:pPr>
        <w:pStyle w:val="a3"/>
        <w:spacing w:line="360" w:lineRule="auto"/>
        <w:ind w:firstLine="480"/>
        <w:rPr>
          <w:rFonts w:ascii="宋体" w:hAnsi="宋体" w:cs="宋体"/>
          <w:sz w:val="24"/>
          <w:lang w:eastAsia="zh-Hans"/>
        </w:rPr>
      </w:pPr>
      <w:bookmarkStart w:id="241" w:name="No91_T21K4"/>
      <w:bookmarkEnd w:id="241"/>
      <w:r>
        <w:rPr>
          <w:rFonts w:ascii="宋体" w:hAnsi="宋体" w:cs="宋体" w:hint="eastAsia"/>
          <w:sz w:val="24"/>
          <w:lang w:eastAsia="zh-Hans"/>
        </w:rPr>
        <w:t>探矿权保留期届满，勘查许可证应当予以注销。</w:t>
      </w:r>
    </w:p>
    <w:p w14:paraId="318C897F" w14:textId="4E006D58" w:rsidR="00A320E6" w:rsidRDefault="00EC0B72" w:rsidP="00AE0286">
      <w:pPr>
        <w:pStyle w:val="a3"/>
        <w:spacing w:line="360" w:lineRule="auto"/>
        <w:ind w:firstLine="482"/>
        <w:rPr>
          <w:rFonts w:ascii="宋体" w:hAnsi="宋体" w:cs="宋体"/>
          <w:sz w:val="24"/>
          <w:lang w:eastAsia="zh-Hans"/>
        </w:rPr>
      </w:pPr>
      <w:bookmarkStart w:id="242" w:name="No92_T22"/>
      <w:bookmarkEnd w:id="242"/>
      <w:r w:rsidRPr="00EC0B72">
        <w:rPr>
          <w:rFonts w:ascii="宋体" w:hAnsi="宋体" w:cs="宋体" w:hint="eastAsia"/>
          <w:b/>
          <w:sz w:val="24"/>
          <w:lang w:eastAsia="zh-Hans"/>
        </w:rPr>
        <w:t>第二十二条</w:t>
      </w:r>
      <w:r w:rsidR="00977BD5">
        <w:rPr>
          <w:rFonts w:ascii="宋体" w:hAnsi="宋体" w:cs="宋体" w:hint="eastAsia"/>
          <w:sz w:val="24"/>
          <w:lang w:eastAsia="zh-Hans"/>
        </w:rPr>
        <w:t xml:space="preserve"> </w:t>
      </w:r>
      <w:bookmarkStart w:id="243" w:name="No93_T22K1"/>
      <w:bookmarkEnd w:id="243"/>
      <w:r>
        <w:rPr>
          <w:rFonts w:ascii="宋体" w:hAnsi="宋体" w:cs="宋体" w:hint="eastAsia"/>
          <w:sz w:val="24"/>
          <w:lang w:eastAsia="zh-Hans"/>
        </w:rPr>
        <w:t>有下列情形之一的，探矿权人应当在勘查许可证有效期内，向登记管理机关申请变更登记：</w:t>
      </w:r>
    </w:p>
    <w:p w14:paraId="77838C39" w14:textId="77777777" w:rsidR="00A320E6" w:rsidRDefault="00000000" w:rsidP="00AE0286">
      <w:pPr>
        <w:pStyle w:val="a3"/>
        <w:spacing w:line="360" w:lineRule="auto"/>
        <w:ind w:firstLine="480"/>
        <w:rPr>
          <w:rFonts w:ascii="宋体" w:hAnsi="宋体" w:cs="宋体"/>
          <w:sz w:val="24"/>
          <w:lang w:eastAsia="zh-Hans"/>
        </w:rPr>
      </w:pPr>
      <w:bookmarkStart w:id="244" w:name="No94_T22K1X1"/>
      <w:bookmarkEnd w:id="244"/>
      <w:r>
        <w:rPr>
          <w:rFonts w:ascii="宋体" w:hAnsi="宋体" w:cs="宋体" w:hint="eastAsia"/>
          <w:sz w:val="24"/>
          <w:lang w:eastAsia="zh-Hans"/>
        </w:rPr>
        <w:t>（一）扩大或者缩小勘查区块范围的；</w:t>
      </w:r>
    </w:p>
    <w:p w14:paraId="0CA764AA" w14:textId="77777777" w:rsidR="00A320E6" w:rsidRDefault="00000000" w:rsidP="00AE0286">
      <w:pPr>
        <w:pStyle w:val="a3"/>
        <w:spacing w:line="360" w:lineRule="auto"/>
        <w:ind w:firstLine="480"/>
        <w:rPr>
          <w:rFonts w:ascii="宋体" w:hAnsi="宋体" w:cs="宋体"/>
          <w:sz w:val="24"/>
          <w:lang w:eastAsia="zh-Hans"/>
        </w:rPr>
      </w:pPr>
      <w:bookmarkStart w:id="245" w:name="No95_T22K1X2"/>
      <w:bookmarkEnd w:id="245"/>
      <w:r>
        <w:rPr>
          <w:rFonts w:ascii="宋体" w:hAnsi="宋体" w:cs="宋体" w:hint="eastAsia"/>
          <w:sz w:val="24"/>
          <w:lang w:eastAsia="zh-Hans"/>
        </w:rPr>
        <w:t>（二）改变勘查工作对象的；</w:t>
      </w:r>
    </w:p>
    <w:p w14:paraId="0CCD8E46" w14:textId="77777777" w:rsidR="00A320E6" w:rsidRDefault="00000000" w:rsidP="00AE0286">
      <w:pPr>
        <w:pStyle w:val="a3"/>
        <w:spacing w:line="360" w:lineRule="auto"/>
        <w:ind w:firstLine="480"/>
        <w:rPr>
          <w:rFonts w:ascii="宋体" w:hAnsi="宋体" w:cs="宋体"/>
          <w:sz w:val="24"/>
          <w:lang w:eastAsia="zh-Hans"/>
        </w:rPr>
      </w:pPr>
      <w:bookmarkStart w:id="246" w:name="No96_T22K1X3"/>
      <w:bookmarkEnd w:id="246"/>
      <w:r>
        <w:rPr>
          <w:rFonts w:ascii="宋体" w:hAnsi="宋体" w:cs="宋体" w:hint="eastAsia"/>
          <w:sz w:val="24"/>
          <w:lang w:eastAsia="zh-Hans"/>
        </w:rPr>
        <w:t>（三）经依法批准转让探矿权的；</w:t>
      </w:r>
    </w:p>
    <w:p w14:paraId="44D7D5F7" w14:textId="77777777" w:rsidR="00A320E6" w:rsidRDefault="00000000" w:rsidP="00AE0286">
      <w:pPr>
        <w:pStyle w:val="a3"/>
        <w:spacing w:line="360" w:lineRule="auto"/>
        <w:ind w:firstLine="480"/>
        <w:rPr>
          <w:rFonts w:ascii="宋体" w:hAnsi="宋体" w:cs="宋体"/>
          <w:sz w:val="24"/>
          <w:lang w:eastAsia="zh-Hans"/>
        </w:rPr>
      </w:pPr>
      <w:bookmarkStart w:id="247" w:name="No97_T22K1X4"/>
      <w:bookmarkEnd w:id="247"/>
      <w:r>
        <w:rPr>
          <w:rFonts w:ascii="宋体" w:hAnsi="宋体" w:cs="宋体" w:hint="eastAsia"/>
          <w:sz w:val="24"/>
          <w:lang w:eastAsia="zh-Hans"/>
        </w:rPr>
        <w:t>（四）探矿权人改变名称或者地址的。</w:t>
      </w:r>
    </w:p>
    <w:p w14:paraId="273849F6" w14:textId="2C513305" w:rsidR="00A320E6" w:rsidRDefault="00EC0B72" w:rsidP="00AE0286">
      <w:pPr>
        <w:pStyle w:val="a3"/>
        <w:spacing w:line="360" w:lineRule="auto"/>
        <w:ind w:firstLine="482"/>
        <w:rPr>
          <w:rFonts w:ascii="宋体" w:hAnsi="宋体" w:cs="宋体"/>
          <w:sz w:val="24"/>
          <w:lang w:eastAsia="zh-Hans"/>
        </w:rPr>
      </w:pPr>
      <w:bookmarkStart w:id="248" w:name="No98_T23"/>
      <w:bookmarkEnd w:id="248"/>
      <w:r w:rsidRPr="00EC0B72">
        <w:rPr>
          <w:rFonts w:ascii="宋体" w:hAnsi="宋体" w:cs="宋体" w:hint="eastAsia"/>
          <w:b/>
          <w:sz w:val="24"/>
          <w:lang w:eastAsia="zh-Hans"/>
        </w:rPr>
        <w:t>第二十三条</w:t>
      </w:r>
      <w:r w:rsidR="00977BD5">
        <w:rPr>
          <w:rFonts w:ascii="宋体" w:hAnsi="宋体" w:cs="宋体" w:hint="eastAsia"/>
          <w:sz w:val="24"/>
          <w:lang w:eastAsia="zh-Hans"/>
        </w:rPr>
        <w:t xml:space="preserve"> </w:t>
      </w:r>
      <w:bookmarkStart w:id="249" w:name="No99_T23K1"/>
      <w:bookmarkEnd w:id="249"/>
      <w:r>
        <w:rPr>
          <w:rFonts w:ascii="宋体" w:hAnsi="宋体" w:cs="宋体" w:hint="eastAsia"/>
          <w:sz w:val="24"/>
          <w:lang w:eastAsia="zh-Hans"/>
        </w:rPr>
        <w:t>探矿权延续登记和变更登记，其勘查年度、探矿权使用费和最低勘查投入连续计算。</w:t>
      </w:r>
    </w:p>
    <w:p w14:paraId="357A250E" w14:textId="4CE462BE" w:rsidR="00A320E6" w:rsidRDefault="00EC0B72" w:rsidP="00AE0286">
      <w:pPr>
        <w:pStyle w:val="a3"/>
        <w:spacing w:line="360" w:lineRule="auto"/>
        <w:ind w:firstLine="482"/>
        <w:rPr>
          <w:rFonts w:ascii="宋体" w:hAnsi="宋体" w:cs="宋体"/>
          <w:sz w:val="24"/>
          <w:lang w:eastAsia="zh-Hans"/>
        </w:rPr>
      </w:pPr>
      <w:bookmarkStart w:id="250" w:name="No100_T24"/>
      <w:bookmarkEnd w:id="250"/>
      <w:r w:rsidRPr="00EC0B72">
        <w:rPr>
          <w:rFonts w:ascii="宋体" w:hAnsi="宋体" w:cs="宋体" w:hint="eastAsia"/>
          <w:b/>
          <w:sz w:val="24"/>
          <w:lang w:eastAsia="zh-Hans"/>
        </w:rPr>
        <w:t>第二十四条</w:t>
      </w:r>
      <w:r w:rsidR="00977BD5">
        <w:rPr>
          <w:rFonts w:ascii="宋体" w:hAnsi="宋体" w:cs="宋体" w:hint="eastAsia"/>
          <w:sz w:val="24"/>
          <w:lang w:eastAsia="zh-Hans"/>
        </w:rPr>
        <w:t xml:space="preserve"> </w:t>
      </w:r>
      <w:bookmarkStart w:id="251" w:name="No101_T24K1"/>
      <w:bookmarkEnd w:id="251"/>
      <w:r>
        <w:rPr>
          <w:rFonts w:ascii="宋体" w:hAnsi="宋体" w:cs="宋体" w:hint="eastAsia"/>
          <w:sz w:val="24"/>
          <w:lang w:eastAsia="zh-Hans"/>
        </w:rPr>
        <w:t>有下列情形之一的，探矿权人应当在勘查许可证有效期内，向登记管理机关递交勘查项目完成报告或者勘查项目终止报告，报送资金投入情况报表和有关证明文件，由登记管理机关核定其实际勘查投入后，办理勘查许可证注销登记手续：</w:t>
      </w:r>
    </w:p>
    <w:p w14:paraId="29EC56E4" w14:textId="77777777" w:rsidR="00A320E6" w:rsidRDefault="00000000" w:rsidP="00AE0286">
      <w:pPr>
        <w:pStyle w:val="a3"/>
        <w:spacing w:line="360" w:lineRule="auto"/>
        <w:ind w:firstLine="480"/>
        <w:rPr>
          <w:rFonts w:ascii="宋体" w:hAnsi="宋体" w:cs="宋体"/>
          <w:sz w:val="24"/>
          <w:lang w:eastAsia="zh-Hans"/>
        </w:rPr>
      </w:pPr>
      <w:bookmarkStart w:id="252" w:name="No102_T24K1X1"/>
      <w:bookmarkEnd w:id="252"/>
      <w:r>
        <w:rPr>
          <w:rFonts w:ascii="宋体" w:hAnsi="宋体" w:cs="宋体" w:hint="eastAsia"/>
          <w:sz w:val="24"/>
          <w:lang w:eastAsia="zh-Hans"/>
        </w:rPr>
        <w:t>（一）勘查许可证有效期届满，不办理延续登记或者不申请保留探矿权的；</w:t>
      </w:r>
    </w:p>
    <w:p w14:paraId="6ACE2345" w14:textId="77777777" w:rsidR="00A320E6" w:rsidRDefault="00000000" w:rsidP="00AE0286">
      <w:pPr>
        <w:pStyle w:val="a3"/>
        <w:spacing w:line="360" w:lineRule="auto"/>
        <w:ind w:firstLine="480"/>
        <w:rPr>
          <w:rFonts w:ascii="宋体" w:hAnsi="宋体" w:cs="宋体"/>
          <w:sz w:val="24"/>
          <w:lang w:eastAsia="zh-Hans"/>
        </w:rPr>
      </w:pPr>
      <w:bookmarkStart w:id="253" w:name="No103_T24K1X2"/>
      <w:bookmarkEnd w:id="253"/>
      <w:r>
        <w:rPr>
          <w:rFonts w:ascii="宋体" w:hAnsi="宋体" w:cs="宋体" w:hint="eastAsia"/>
          <w:sz w:val="24"/>
          <w:lang w:eastAsia="zh-Hans"/>
        </w:rPr>
        <w:t>（二）申请采矿权的；</w:t>
      </w:r>
    </w:p>
    <w:p w14:paraId="012C01FC" w14:textId="77777777" w:rsidR="00A320E6" w:rsidRDefault="00000000" w:rsidP="00AE0286">
      <w:pPr>
        <w:pStyle w:val="a3"/>
        <w:spacing w:line="360" w:lineRule="auto"/>
        <w:ind w:firstLine="480"/>
        <w:rPr>
          <w:rFonts w:ascii="宋体" w:hAnsi="宋体" w:cs="宋体"/>
          <w:sz w:val="24"/>
          <w:lang w:eastAsia="zh-Hans"/>
        </w:rPr>
      </w:pPr>
      <w:bookmarkStart w:id="254" w:name="No104_T24K1X3"/>
      <w:bookmarkEnd w:id="254"/>
      <w:r>
        <w:rPr>
          <w:rFonts w:ascii="宋体" w:hAnsi="宋体" w:cs="宋体" w:hint="eastAsia"/>
          <w:sz w:val="24"/>
          <w:lang w:eastAsia="zh-Hans"/>
        </w:rPr>
        <w:t>（三）因故需要撤销勘查项目的。</w:t>
      </w:r>
    </w:p>
    <w:p w14:paraId="1054D407" w14:textId="77777777" w:rsidR="00A320E6" w:rsidRDefault="00000000" w:rsidP="00AE0286">
      <w:pPr>
        <w:pStyle w:val="a3"/>
        <w:spacing w:line="360" w:lineRule="auto"/>
        <w:ind w:firstLine="480"/>
        <w:rPr>
          <w:rFonts w:ascii="宋体" w:hAnsi="宋体" w:cs="宋体"/>
          <w:sz w:val="24"/>
          <w:lang w:eastAsia="zh-Hans"/>
        </w:rPr>
      </w:pPr>
      <w:bookmarkStart w:id="255" w:name="No105_T24K2"/>
      <w:bookmarkEnd w:id="255"/>
      <w:r>
        <w:rPr>
          <w:rFonts w:ascii="宋体" w:hAnsi="宋体" w:cs="宋体" w:hint="eastAsia"/>
          <w:sz w:val="24"/>
          <w:lang w:eastAsia="zh-Hans"/>
        </w:rPr>
        <w:t>自勘查许可证注销之日起90日内，原探矿权人不得申请已经注销的区块范围内的探矿权。</w:t>
      </w:r>
    </w:p>
    <w:p w14:paraId="2156BBDB" w14:textId="1F1B856F" w:rsidR="00A320E6" w:rsidRDefault="00EC0B72" w:rsidP="00AE0286">
      <w:pPr>
        <w:pStyle w:val="a3"/>
        <w:spacing w:line="360" w:lineRule="auto"/>
        <w:ind w:firstLine="482"/>
        <w:rPr>
          <w:rFonts w:ascii="宋体" w:hAnsi="宋体" w:cs="宋体"/>
          <w:sz w:val="24"/>
          <w:lang w:eastAsia="zh-Hans"/>
        </w:rPr>
      </w:pPr>
      <w:bookmarkStart w:id="256" w:name="No106_T25"/>
      <w:bookmarkEnd w:id="256"/>
      <w:r w:rsidRPr="00EC0B72">
        <w:rPr>
          <w:rFonts w:ascii="宋体" w:hAnsi="宋体" w:cs="宋体" w:hint="eastAsia"/>
          <w:b/>
          <w:sz w:val="24"/>
          <w:lang w:eastAsia="zh-Hans"/>
        </w:rPr>
        <w:t>第二十五条</w:t>
      </w:r>
      <w:r w:rsidR="00977BD5">
        <w:rPr>
          <w:rFonts w:ascii="宋体" w:hAnsi="宋体" w:cs="宋体" w:hint="eastAsia"/>
          <w:sz w:val="24"/>
          <w:lang w:eastAsia="zh-Hans"/>
        </w:rPr>
        <w:t xml:space="preserve"> </w:t>
      </w:r>
      <w:bookmarkStart w:id="257" w:name="No107_T25K1"/>
      <w:bookmarkEnd w:id="257"/>
      <w:r>
        <w:rPr>
          <w:rFonts w:ascii="宋体" w:hAnsi="宋体" w:cs="宋体" w:hint="eastAsia"/>
          <w:sz w:val="24"/>
          <w:lang w:eastAsia="zh-Hans"/>
        </w:rPr>
        <w:t>登记管理机关需要调查勘查投入、勘查工作进展情况，探矿权人应当如实报告并提供有关资料，不得虚报、瞒报，不得拒绝检查。</w:t>
      </w:r>
    </w:p>
    <w:p w14:paraId="17717F17" w14:textId="77777777" w:rsidR="00A320E6" w:rsidRDefault="00000000" w:rsidP="00AE0286">
      <w:pPr>
        <w:pStyle w:val="a3"/>
        <w:spacing w:line="360" w:lineRule="auto"/>
        <w:ind w:firstLine="480"/>
        <w:rPr>
          <w:rFonts w:ascii="宋体" w:hAnsi="宋体" w:cs="宋体"/>
          <w:sz w:val="24"/>
          <w:lang w:eastAsia="zh-Hans"/>
        </w:rPr>
      </w:pPr>
      <w:bookmarkStart w:id="258" w:name="No108_T25K2"/>
      <w:bookmarkEnd w:id="258"/>
      <w:r>
        <w:rPr>
          <w:rFonts w:ascii="宋体" w:hAnsi="宋体" w:cs="宋体" w:hint="eastAsia"/>
          <w:sz w:val="24"/>
          <w:lang w:eastAsia="zh-Hans"/>
        </w:rPr>
        <w:t>对探矿权人要求保密的申请登记资料、勘查工作成果资料和财务报表，登记管理机关应当予以保密。</w:t>
      </w:r>
    </w:p>
    <w:p w14:paraId="78254BDD" w14:textId="2E8F7632" w:rsidR="00A320E6" w:rsidRDefault="00EC0B72" w:rsidP="00AE0286">
      <w:pPr>
        <w:pStyle w:val="a3"/>
        <w:spacing w:line="360" w:lineRule="auto"/>
        <w:ind w:firstLine="482"/>
        <w:rPr>
          <w:rFonts w:ascii="宋体" w:hAnsi="宋体" w:cs="宋体"/>
          <w:sz w:val="24"/>
          <w:lang w:eastAsia="zh-Hans"/>
        </w:rPr>
      </w:pPr>
      <w:bookmarkStart w:id="259" w:name="No109_T26"/>
      <w:bookmarkEnd w:id="259"/>
      <w:r w:rsidRPr="00EC0B72">
        <w:rPr>
          <w:rFonts w:ascii="宋体" w:hAnsi="宋体" w:cs="宋体" w:hint="eastAsia"/>
          <w:b/>
          <w:sz w:val="24"/>
          <w:lang w:eastAsia="zh-Hans"/>
        </w:rPr>
        <w:t>第二十六条</w:t>
      </w:r>
      <w:r w:rsidR="00977BD5">
        <w:rPr>
          <w:rFonts w:ascii="宋体" w:hAnsi="宋体" w:cs="宋体" w:hint="eastAsia"/>
          <w:sz w:val="24"/>
          <w:lang w:eastAsia="zh-Hans"/>
        </w:rPr>
        <w:t xml:space="preserve"> </w:t>
      </w:r>
      <w:bookmarkStart w:id="260" w:name="No110_T26K1"/>
      <w:bookmarkEnd w:id="260"/>
      <w:r>
        <w:rPr>
          <w:rFonts w:ascii="宋体" w:hAnsi="宋体" w:cs="宋体" w:hint="eastAsia"/>
          <w:sz w:val="24"/>
          <w:lang w:eastAsia="zh-Hans"/>
        </w:rPr>
        <w:t>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p w14:paraId="49DC4FD0" w14:textId="037DC76F" w:rsidR="00A320E6" w:rsidRDefault="00EC0B72" w:rsidP="00AE0286">
      <w:pPr>
        <w:pStyle w:val="a3"/>
        <w:spacing w:line="360" w:lineRule="auto"/>
        <w:ind w:firstLine="482"/>
        <w:rPr>
          <w:rFonts w:ascii="宋体" w:hAnsi="宋体" w:cs="宋体"/>
          <w:sz w:val="24"/>
          <w:lang w:eastAsia="zh-Hans"/>
        </w:rPr>
      </w:pPr>
      <w:bookmarkStart w:id="261" w:name="No111_T27"/>
      <w:bookmarkEnd w:id="261"/>
      <w:r w:rsidRPr="00EC0B72">
        <w:rPr>
          <w:rFonts w:ascii="宋体" w:hAnsi="宋体" w:cs="宋体" w:hint="eastAsia"/>
          <w:b/>
          <w:sz w:val="24"/>
          <w:lang w:eastAsia="zh-Hans"/>
        </w:rPr>
        <w:t>第二十七条</w:t>
      </w:r>
      <w:r w:rsidR="00977BD5">
        <w:rPr>
          <w:rFonts w:ascii="宋体" w:hAnsi="宋体" w:cs="宋体" w:hint="eastAsia"/>
          <w:sz w:val="24"/>
          <w:lang w:eastAsia="zh-Hans"/>
        </w:rPr>
        <w:t xml:space="preserve"> </w:t>
      </w:r>
      <w:bookmarkStart w:id="262" w:name="No112_T27K1"/>
      <w:bookmarkEnd w:id="262"/>
      <w:r>
        <w:rPr>
          <w:rFonts w:ascii="宋体" w:hAnsi="宋体" w:cs="宋体" w:hint="eastAsia"/>
          <w:sz w:val="24"/>
          <w:lang w:eastAsia="zh-Hans"/>
        </w:rPr>
        <w:t>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p w14:paraId="23EEBDCC" w14:textId="52A2C144" w:rsidR="00A320E6" w:rsidRDefault="00EC0B72" w:rsidP="00AE0286">
      <w:pPr>
        <w:pStyle w:val="a3"/>
        <w:spacing w:line="360" w:lineRule="auto"/>
        <w:ind w:firstLine="482"/>
        <w:rPr>
          <w:rFonts w:ascii="宋体" w:hAnsi="宋体" w:cs="宋体"/>
          <w:sz w:val="24"/>
          <w:lang w:eastAsia="zh-Hans"/>
        </w:rPr>
      </w:pPr>
      <w:bookmarkStart w:id="263" w:name="No113_T28"/>
      <w:bookmarkEnd w:id="263"/>
      <w:r w:rsidRPr="00EC0B72">
        <w:rPr>
          <w:rFonts w:ascii="宋体" w:hAnsi="宋体" w:cs="宋体" w:hint="eastAsia"/>
          <w:b/>
          <w:sz w:val="24"/>
          <w:lang w:eastAsia="zh-Hans"/>
        </w:rPr>
        <w:t>第二十八条</w:t>
      </w:r>
      <w:r w:rsidR="00977BD5">
        <w:rPr>
          <w:rFonts w:ascii="宋体" w:hAnsi="宋体" w:cs="宋体" w:hint="eastAsia"/>
          <w:sz w:val="24"/>
          <w:lang w:eastAsia="zh-Hans"/>
        </w:rPr>
        <w:t xml:space="preserve"> </w:t>
      </w:r>
      <w:bookmarkStart w:id="264" w:name="No114_T28K1"/>
      <w:bookmarkEnd w:id="264"/>
      <w:r>
        <w:rPr>
          <w:rFonts w:ascii="宋体" w:hAnsi="宋体" w:cs="宋体" w:hint="eastAsia"/>
          <w:sz w:val="24"/>
          <w:lang w:eastAsia="zh-Hans"/>
        </w:rPr>
        <w:t>违反本办法规定，擅自印制或者伪造、冒用勘查许可证的，由县级以上人民政府负责地质矿产管理工作的部门按照国务院地质矿产主管部门规定的权限，没收违法所得，可以并处10万元以下的罚款；构成犯罪的，依法追究刑事责任。</w:t>
      </w:r>
    </w:p>
    <w:p w14:paraId="18F40FC8" w14:textId="1D01264E" w:rsidR="00A320E6" w:rsidRDefault="00EC0B72" w:rsidP="00AE0286">
      <w:pPr>
        <w:pStyle w:val="a3"/>
        <w:spacing w:line="360" w:lineRule="auto"/>
        <w:ind w:firstLine="482"/>
        <w:rPr>
          <w:rFonts w:ascii="宋体" w:hAnsi="宋体" w:cs="宋体"/>
          <w:sz w:val="24"/>
          <w:lang w:eastAsia="zh-Hans"/>
        </w:rPr>
      </w:pPr>
      <w:bookmarkStart w:id="265" w:name="No115_T29"/>
      <w:bookmarkEnd w:id="265"/>
      <w:r w:rsidRPr="00EC0B72">
        <w:rPr>
          <w:rFonts w:ascii="宋体" w:hAnsi="宋体" w:cs="宋体" w:hint="eastAsia"/>
          <w:b/>
          <w:sz w:val="24"/>
          <w:lang w:eastAsia="zh-Hans"/>
        </w:rPr>
        <w:t>第二十九条</w:t>
      </w:r>
      <w:r w:rsidR="00977BD5">
        <w:rPr>
          <w:rFonts w:ascii="宋体" w:hAnsi="宋体" w:cs="宋体" w:hint="eastAsia"/>
          <w:sz w:val="24"/>
          <w:lang w:eastAsia="zh-Hans"/>
        </w:rPr>
        <w:t xml:space="preserve"> </w:t>
      </w:r>
      <w:bookmarkStart w:id="266" w:name="No116_T29K1"/>
      <w:bookmarkEnd w:id="266"/>
      <w:r>
        <w:rPr>
          <w:rFonts w:ascii="宋体" w:hAnsi="宋体" w:cs="宋体" w:hint="eastAsia"/>
          <w:sz w:val="24"/>
          <w:lang w:eastAsia="zh-Hans"/>
        </w:rPr>
        <w:t>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660E28DF" w14:textId="77777777" w:rsidR="00A320E6" w:rsidRDefault="00000000" w:rsidP="00AE0286">
      <w:pPr>
        <w:pStyle w:val="a3"/>
        <w:spacing w:line="360" w:lineRule="auto"/>
        <w:ind w:firstLine="480"/>
        <w:rPr>
          <w:rFonts w:ascii="宋体" w:hAnsi="宋体" w:cs="宋体"/>
          <w:sz w:val="24"/>
          <w:lang w:eastAsia="zh-Hans"/>
        </w:rPr>
      </w:pPr>
      <w:bookmarkStart w:id="267" w:name="No117_T29K1X1"/>
      <w:bookmarkEnd w:id="267"/>
      <w:r>
        <w:rPr>
          <w:rFonts w:ascii="宋体" w:hAnsi="宋体" w:cs="宋体" w:hint="eastAsia"/>
          <w:sz w:val="24"/>
          <w:lang w:eastAsia="zh-Hans"/>
        </w:rPr>
        <w:t>（一）不按照本办法的规定备案、报告有关情况、拒绝接受监督检查或者弄虚作假的；</w:t>
      </w:r>
    </w:p>
    <w:p w14:paraId="4842DC36" w14:textId="77777777" w:rsidR="00A320E6" w:rsidRDefault="00000000" w:rsidP="00AE0286">
      <w:pPr>
        <w:pStyle w:val="a3"/>
        <w:spacing w:line="360" w:lineRule="auto"/>
        <w:ind w:firstLine="480"/>
        <w:rPr>
          <w:rFonts w:ascii="宋体" w:hAnsi="宋体" w:cs="宋体"/>
          <w:sz w:val="24"/>
          <w:lang w:eastAsia="zh-Hans"/>
        </w:rPr>
      </w:pPr>
      <w:bookmarkStart w:id="268" w:name="No118_T29K1X2"/>
      <w:bookmarkEnd w:id="268"/>
      <w:r>
        <w:rPr>
          <w:rFonts w:ascii="宋体" w:hAnsi="宋体" w:cs="宋体" w:hint="eastAsia"/>
          <w:sz w:val="24"/>
          <w:lang w:eastAsia="zh-Hans"/>
        </w:rPr>
        <w:t>（二）未完成最低勘查投入的；</w:t>
      </w:r>
    </w:p>
    <w:p w14:paraId="4806DE5B" w14:textId="77777777" w:rsidR="00A320E6" w:rsidRDefault="00000000" w:rsidP="00AE0286">
      <w:pPr>
        <w:pStyle w:val="a3"/>
        <w:spacing w:line="360" w:lineRule="auto"/>
        <w:ind w:firstLine="480"/>
        <w:rPr>
          <w:rFonts w:ascii="宋体" w:hAnsi="宋体" w:cs="宋体"/>
          <w:sz w:val="24"/>
          <w:lang w:eastAsia="zh-Hans"/>
        </w:rPr>
      </w:pPr>
      <w:bookmarkStart w:id="269" w:name="No119_T29K1X3"/>
      <w:bookmarkEnd w:id="269"/>
      <w:r>
        <w:rPr>
          <w:rFonts w:ascii="宋体" w:hAnsi="宋体" w:cs="宋体" w:hint="eastAsia"/>
          <w:sz w:val="24"/>
          <w:lang w:eastAsia="zh-Hans"/>
        </w:rPr>
        <w:t>（三）已经领取勘查许可证的勘查项目，满6个月未开始施工，或者施工后无故停止勘查工作满6个月的。</w:t>
      </w:r>
    </w:p>
    <w:p w14:paraId="4A8D21A0" w14:textId="4871C185" w:rsidR="00A320E6" w:rsidRDefault="00EC0B72" w:rsidP="00AE0286">
      <w:pPr>
        <w:pStyle w:val="a3"/>
        <w:spacing w:line="360" w:lineRule="auto"/>
        <w:ind w:firstLine="482"/>
        <w:rPr>
          <w:rFonts w:ascii="宋体" w:hAnsi="宋体" w:cs="宋体"/>
          <w:sz w:val="24"/>
          <w:lang w:eastAsia="zh-Hans"/>
        </w:rPr>
      </w:pPr>
      <w:bookmarkStart w:id="270" w:name="No120_T30"/>
      <w:bookmarkEnd w:id="270"/>
      <w:r w:rsidRPr="00EC0B72">
        <w:rPr>
          <w:rFonts w:ascii="宋体" w:hAnsi="宋体" w:cs="宋体" w:hint="eastAsia"/>
          <w:b/>
          <w:sz w:val="24"/>
          <w:lang w:eastAsia="zh-Hans"/>
        </w:rPr>
        <w:t>第三十条</w:t>
      </w:r>
      <w:r w:rsidR="00977BD5">
        <w:rPr>
          <w:rFonts w:ascii="宋体" w:hAnsi="宋体" w:cs="宋体" w:hint="eastAsia"/>
          <w:sz w:val="24"/>
          <w:lang w:eastAsia="zh-Hans"/>
        </w:rPr>
        <w:t xml:space="preserve"> </w:t>
      </w:r>
      <w:bookmarkStart w:id="271" w:name="No121_T30K1"/>
      <w:bookmarkEnd w:id="271"/>
      <w:r>
        <w:rPr>
          <w:rFonts w:ascii="宋体" w:hAnsi="宋体" w:cs="宋体" w:hint="eastAsia"/>
          <w:sz w:val="24"/>
          <w:lang w:eastAsia="zh-Hans"/>
        </w:rPr>
        <w:t>违反本办法规定，不办理勘查许可证变更登记或者注销登记手续的，由登记管理机关责令限期改正；逾期不改正的，由原发证机关吊销勘查许可证。</w:t>
      </w:r>
    </w:p>
    <w:p w14:paraId="234FC56D" w14:textId="7BB0DAC5" w:rsidR="00A320E6" w:rsidRDefault="00EC0B72" w:rsidP="00AE0286">
      <w:pPr>
        <w:pStyle w:val="a3"/>
        <w:spacing w:line="360" w:lineRule="auto"/>
        <w:ind w:firstLine="482"/>
        <w:rPr>
          <w:rFonts w:ascii="宋体" w:hAnsi="宋体" w:cs="宋体"/>
          <w:sz w:val="24"/>
          <w:lang w:eastAsia="zh-Hans"/>
        </w:rPr>
      </w:pPr>
      <w:bookmarkStart w:id="272" w:name="No122_T31"/>
      <w:bookmarkEnd w:id="272"/>
      <w:r w:rsidRPr="00EC0B72">
        <w:rPr>
          <w:rFonts w:ascii="宋体" w:hAnsi="宋体" w:cs="宋体" w:hint="eastAsia"/>
          <w:b/>
          <w:sz w:val="24"/>
          <w:lang w:eastAsia="zh-Hans"/>
        </w:rPr>
        <w:t>第三十一条</w:t>
      </w:r>
      <w:r w:rsidR="00977BD5">
        <w:rPr>
          <w:rFonts w:ascii="宋体" w:hAnsi="宋体" w:cs="宋体" w:hint="eastAsia"/>
          <w:sz w:val="24"/>
          <w:lang w:eastAsia="zh-Hans"/>
        </w:rPr>
        <w:t xml:space="preserve"> </w:t>
      </w:r>
      <w:bookmarkStart w:id="273" w:name="No123_T31K1"/>
      <w:bookmarkEnd w:id="273"/>
      <w:r>
        <w:rPr>
          <w:rFonts w:ascii="宋体" w:hAnsi="宋体" w:cs="宋体" w:hint="eastAsia"/>
          <w:sz w:val="24"/>
          <w:lang w:eastAsia="zh-Hans"/>
        </w:rPr>
        <w:t>违反本办法规定，不按期缴纳本办法规定应当缴纳的费用的，由登记管理机关责令限期缴纳，并从滞纳之日起每日加收2‰的滞纳金；逾期仍不缴纳的，由原发证机关吊销勘查许可证。</w:t>
      </w:r>
    </w:p>
    <w:p w14:paraId="4655B952" w14:textId="69A89CC3" w:rsidR="00A320E6" w:rsidRDefault="00EC0B72" w:rsidP="00AE0286">
      <w:pPr>
        <w:pStyle w:val="a3"/>
        <w:spacing w:line="360" w:lineRule="auto"/>
        <w:ind w:firstLine="482"/>
        <w:rPr>
          <w:rFonts w:ascii="宋体" w:hAnsi="宋体" w:cs="宋体"/>
          <w:sz w:val="24"/>
          <w:lang w:eastAsia="zh-Hans"/>
        </w:rPr>
      </w:pPr>
      <w:bookmarkStart w:id="274" w:name="No124_T32"/>
      <w:bookmarkEnd w:id="274"/>
      <w:r w:rsidRPr="00EC0B72">
        <w:rPr>
          <w:rFonts w:ascii="宋体" w:hAnsi="宋体" w:cs="宋体" w:hint="eastAsia"/>
          <w:b/>
          <w:sz w:val="24"/>
          <w:lang w:eastAsia="zh-Hans"/>
        </w:rPr>
        <w:t>第三十二条</w:t>
      </w:r>
      <w:r w:rsidR="00977BD5">
        <w:rPr>
          <w:rFonts w:ascii="宋体" w:hAnsi="宋体" w:cs="宋体" w:hint="eastAsia"/>
          <w:sz w:val="24"/>
          <w:lang w:eastAsia="zh-Hans"/>
        </w:rPr>
        <w:t xml:space="preserve"> </w:t>
      </w:r>
      <w:bookmarkStart w:id="275" w:name="No125_T32K1"/>
      <w:bookmarkEnd w:id="275"/>
      <w:r>
        <w:rPr>
          <w:rFonts w:ascii="宋体" w:hAnsi="宋体" w:cs="宋体" w:hint="eastAsia"/>
          <w:sz w:val="24"/>
          <w:lang w:eastAsia="zh-Hans"/>
        </w:rPr>
        <w:t>违反本办法规定勘查石油、天然气矿产的，由国务院地质矿产主管部门按照本办法的有关规定给予行政处罚。</w:t>
      </w:r>
    </w:p>
    <w:p w14:paraId="61B346A5" w14:textId="6F63539E" w:rsidR="00A320E6" w:rsidRDefault="00EC0B72" w:rsidP="00AE0286">
      <w:pPr>
        <w:pStyle w:val="a3"/>
        <w:spacing w:line="360" w:lineRule="auto"/>
        <w:ind w:firstLine="482"/>
        <w:rPr>
          <w:rFonts w:ascii="宋体" w:hAnsi="宋体" w:cs="宋体"/>
          <w:sz w:val="24"/>
          <w:lang w:eastAsia="zh-Hans"/>
        </w:rPr>
      </w:pPr>
      <w:bookmarkStart w:id="276" w:name="No126_T33"/>
      <w:bookmarkEnd w:id="276"/>
      <w:r w:rsidRPr="00EC0B72">
        <w:rPr>
          <w:rFonts w:ascii="宋体" w:hAnsi="宋体" w:cs="宋体" w:hint="eastAsia"/>
          <w:b/>
          <w:sz w:val="24"/>
          <w:lang w:eastAsia="zh-Hans"/>
        </w:rPr>
        <w:t>第三十三条</w:t>
      </w:r>
      <w:r w:rsidR="00977BD5">
        <w:rPr>
          <w:rFonts w:ascii="宋体" w:hAnsi="宋体" w:cs="宋体" w:hint="eastAsia"/>
          <w:sz w:val="24"/>
          <w:lang w:eastAsia="zh-Hans"/>
        </w:rPr>
        <w:t xml:space="preserve"> </w:t>
      </w:r>
      <w:bookmarkStart w:id="277" w:name="No127_T33K1"/>
      <w:bookmarkEnd w:id="277"/>
      <w:r>
        <w:rPr>
          <w:rFonts w:ascii="宋体" w:hAnsi="宋体" w:cs="宋体" w:hint="eastAsia"/>
          <w:sz w:val="24"/>
          <w:lang w:eastAsia="zh-Hans"/>
        </w:rPr>
        <w:t>探矿权人被吊销勘查许可证的，自勘查许可证被吊销之日起6个月内，不得再申请探矿权。</w:t>
      </w:r>
    </w:p>
    <w:p w14:paraId="35AA0933" w14:textId="4869CA74" w:rsidR="00A320E6" w:rsidRDefault="00EC0B72" w:rsidP="00AE0286">
      <w:pPr>
        <w:pStyle w:val="a3"/>
        <w:spacing w:line="360" w:lineRule="auto"/>
        <w:ind w:firstLine="482"/>
        <w:rPr>
          <w:rFonts w:ascii="宋体" w:hAnsi="宋体" w:cs="宋体"/>
          <w:sz w:val="24"/>
          <w:lang w:eastAsia="zh-Hans"/>
        </w:rPr>
      </w:pPr>
      <w:bookmarkStart w:id="278" w:name="No128_T34"/>
      <w:bookmarkEnd w:id="278"/>
      <w:r w:rsidRPr="00EC0B72">
        <w:rPr>
          <w:rFonts w:ascii="宋体" w:hAnsi="宋体" w:cs="宋体" w:hint="eastAsia"/>
          <w:b/>
          <w:sz w:val="24"/>
          <w:lang w:eastAsia="zh-Hans"/>
        </w:rPr>
        <w:t>第三十四条</w:t>
      </w:r>
      <w:r w:rsidR="00977BD5">
        <w:rPr>
          <w:rFonts w:ascii="宋体" w:hAnsi="宋体" w:cs="宋体" w:hint="eastAsia"/>
          <w:sz w:val="24"/>
          <w:lang w:eastAsia="zh-Hans"/>
        </w:rPr>
        <w:t xml:space="preserve"> </w:t>
      </w:r>
      <w:bookmarkStart w:id="279" w:name="No129_T34K1"/>
      <w:bookmarkEnd w:id="279"/>
      <w:r>
        <w:rPr>
          <w:rFonts w:ascii="宋体" w:hAnsi="宋体" w:cs="宋体" w:hint="eastAsia"/>
          <w:sz w:val="24"/>
          <w:lang w:eastAsia="zh-Hans"/>
        </w:rPr>
        <w:t>登记管理机关工作人员徇私舞弊、滥用职权、玩忽职守，构成犯罪的，依法追究刑事责任；尚不构成犯罪的，依法给予行政处分。</w:t>
      </w:r>
    </w:p>
    <w:p w14:paraId="572FBA86" w14:textId="2AA1D5B7" w:rsidR="00A320E6" w:rsidRDefault="00EC0B72" w:rsidP="00AE0286">
      <w:pPr>
        <w:pStyle w:val="a3"/>
        <w:spacing w:line="360" w:lineRule="auto"/>
        <w:ind w:firstLine="482"/>
        <w:rPr>
          <w:rFonts w:ascii="宋体" w:hAnsi="宋体" w:cs="宋体"/>
          <w:sz w:val="24"/>
          <w:lang w:eastAsia="zh-Hans"/>
        </w:rPr>
      </w:pPr>
      <w:bookmarkStart w:id="280" w:name="No130_T35"/>
      <w:bookmarkEnd w:id="280"/>
      <w:r w:rsidRPr="00EC0B72">
        <w:rPr>
          <w:rFonts w:ascii="宋体" w:hAnsi="宋体" w:cs="宋体" w:hint="eastAsia"/>
          <w:b/>
          <w:sz w:val="24"/>
          <w:lang w:eastAsia="zh-Hans"/>
        </w:rPr>
        <w:t>第三十五条</w:t>
      </w:r>
      <w:r w:rsidR="00977BD5">
        <w:rPr>
          <w:rFonts w:ascii="宋体" w:hAnsi="宋体" w:cs="宋体" w:hint="eastAsia"/>
          <w:sz w:val="24"/>
          <w:lang w:eastAsia="zh-Hans"/>
        </w:rPr>
        <w:t xml:space="preserve"> </w:t>
      </w:r>
      <w:bookmarkStart w:id="281" w:name="No131_T35K1"/>
      <w:bookmarkEnd w:id="281"/>
      <w:r>
        <w:rPr>
          <w:rFonts w:ascii="宋体" w:hAnsi="宋体" w:cs="宋体" w:hint="eastAsia"/>
          <w:sz w:val="24"/>
          <w:lang w:eastAsia="zh-Hans"/>
        </w:rPr>
        <w:t>勘查许可证由国务院地质矿产主管部门统一印制。申请登记书、变更申请登记书、探矿权保留申请登记书和注销申请登记书的格式，由国务院地质矿产主管部门统一制定。</w:t>
      </w:r>
    </w:p>
    <w:p w14:paraId="5D138E14" w14:textId="78AEC117" w:rsidR="00A320E6" w:rsidRDefault="00EC0B72" w:rsidP="00AE0286">
      <w:pPr>
        <w:pStyle w:val="a3"/>
        <w:spacing w:line="360" w:lineRule="auto"/>
        <w:ind w:firstLine="482"/>
        <w:rPr>
          <w:rFonts w:ascii="宋体" w:hAnsi="宋体" w:cs="宋体"/>
          <w:sz w:val="24"/>
          <w:lang w:eastAsia="zh-Hans"/>
        </w:rPr>
      </w:pPr>
      <w:bookmarkStart w:id="282" w:name="No132_T36"/>
      <w:bookmarkEnd w:id="282"/>
      <w:r w:rsidRPr="00EC0B72">
        <w:rPr>
          <w:rFonts w:ascii="宋体" w:hAnsi="宋体" w:cs="宋体" w:hint="eastAsia"/>
          <w:b/>
          <w:sz w:val="24"/>
          <w:lang w:eastAsia="zh-Hans"/>
        </w:rPr>
        <w:t>第三十六条</w:t>
      </w:r>
      <w:r w:rsidR="00977BD5">
        <w:rPr>
          <w:rFonts w:ascii="宋体" w:hAnsi="宋体" w:cs="宋体" w:hint="eastAsia"/>
          <w:sz w:val="24"/>
          <w:lang w:eastAsia="zh-Hans"/>
        </w:rPr>
        <w:t xml:space="preserve"> </w:t>
      </w:r>
      <w:bookmarkStart w:id="283" w:name="No133_T36K1"/>
      <w:bookmarkEnd w:id="283"/>
      <w:r>
        <w:rPr>
          <w:rFonts w:ascii="宋体" w:hAnsi="宋体" w:cs="宋体" w:hint="eastAsia"/>
          <w:sz w:val="24"/>
          <w:lang w:eastAsia="zh-Hans"/>
        </w:rPr>
        <w:t>办理勘查登记手续，应当按照规定缴纳登记费。收费标准和管理、使用办法，由国务院物价主管部门会同国务院地质矿产主管部门、财政部门规定。</w:t>
      </w:r>
    </w:p>
    <w:p w14:paraId="523E8894" w14:textId="5E3A1599" w:rsidR="00A320E6" w:rsidRDefault="00EC0B72" w:rsidP="00AE0286">
      <w:pPr>
        <w:pStyle w:val="a3"/>
        <w:spacing w:line="360" w:lineRule="auto"/>
        <w:ind w:firstLine="482"/>
        <w:rPr>
          <w:rFonts w:ascii="宋体" w:hAnsi="宋体" w:cs="宋体"/>
          <w:sz w:val="24"/>
          <w:lang w:eastAsia="zh-Hans"/>
        </w:rPr>
      </w:pPr>
      <w:bookmarkStart w:id="284" w:name="No134_T37"/>
      <w:bookmarkEnd w:id="284"/>
      <w:r w:rsidRPr="00EC0B72">
        <w:rPr>
          <w:rFonts w:ascii="宋体" w:hAnsi="宋体" w:cs="宋体" w:hint="eastAsia"/>
          <w:b/>
          <w:sz w:val="24"/>
          <w:lang w:eastAsia="zh-Hans"/>
        </w:rPr>
        <w:t>第三十七条</w:t>
      </w:r>
      <w:r w:rsidR="00977BD5">
        <w:rPr>
          <w:rFonts w:ascii="宋体" w:hAnsi="宋体" w:cs="宋体" w:hint="eastAsia"/>
          <w:sz w:val="24"/>
          <w:lang w:eastAsia="zh-Hans"/>
        </w:rPr>
        <w:t xml:space="preserve"> </w:t>
      </w:r>
      <w:bookmarkStart w:id="285" w:name="No135_T37K1"/>
      <w:bookmarkEnd w:id="285"/>
      <w:r>
        <w:rPr>
          <w:rFonts w:ascii="宋体" w:hAnsi="宋体" w:cs="宋体" w:hint="eastAsia"/>
          <w:sz w:val="24"/>
          <w:lang w:eastAsia="zh-Hans"/>
        </w:rPr>
        <w:t>外商投资勘查矿产资源的，依照本办法的规定办理；法律、行政法规另有特别规定的，从其规定。</w:t>
      </w:r>
    </w:p>
    <w:p w14:paraId="440A8482" w14:textId="631DF0EA" w:rsidR="00A320E6" w:rsidRDefault="00EC0B72" w:rsidP="00AE0286">
      <w:pPr>
        <w:pStyle w:val="a3"/>
        <w:spacing w:line="360" w:lineRule="auto"/>
        <w:ind w:firstLine="482"/>
        <w:rPr>
          <w:rFonts w:ascii="宋体" w:hAnsi="宋体" w:cs="宋体"/>
          <w:sz w:val="24"/>
          <w:lang w:eastAsia="zh-Hans"/>
        </w:rPr>
      </w:pPr>
      <w:bookmarkStart w:id="286" w:name="No136_T38"/>
      <w:bookmarkEnd w:id="286"/>
      <w:r w:rsidRPr="00EC0B72">
        <w:rPr>
          <w:rFonts w:ascii="宋体" w:hAnsi="宋体" w:cs="宋体" w:hint="eastAsia"/>
          <w:b/>
          <w:sz w:val="24"/>
          <w:lang w:eastAsia="zh-Hans"/>
        </w:rPr>
        <w:t>第三十八条</w:t>
      </w:r>
      <w:r w:rsidR="00977BD5">
        <w:rPr>
          <w:rFonts w:ascii="宋体" w:hAnsi="宋体" w:cs="宋体" w:hint="eastAsia"/>
          <w:sz w:val="24"/>
          <w:lang w:eastAsia="zh-Hans"/>
        </w:rPr>
        <w:t xml:space="preserve"> </w:t>
      </w:r>
      <w:bookmarkStart w:id="287" w:name="No137_T38K1"/>
      <w:bookmarkEnd w:id="287"/>
      <w:r>
        <w:rPr>
          <w:rFonts w:ascii="宋体" w:hAnsi="宋体" w:cs="宋体" w:hint="eastAsia"/>
          <w:sz w:val="24"/>
          <w:lang w:eastAsia="zh-Hans"/>
        </w:rPr>
        <w:t>中外合作勘查矿产资源的，中方合作者应当在签订合同后，将合同向原发证机关备案。</w:t>
      </w:r>
    </w:p>
    <w:p w14:paraId="628A5AE6" w14:textId="1D2FA2E8" w:rsidR="00A320E6" w:rsidRDefault="00EC0B72" w:rsidP="00AE0286">
      <w:pPr>
        <w:pStyle w:val="a3"/>
        <w:spacing w:line="360" w:lineRule="auto"/>
        <w:ind w:firstLine="482"/>
        <w:rPr>
          <w:rFonts w:ascii="宋体" w:hAnsi="宋体" w:cs="宋体"/>
          <w:sz w:val="24"/>
          <w:lang w:eastAsia="zh-Hans"/>
        </w:rPr>
      </w:pPr>
      <w:bookmarkStart w:id="288" w:name="No138_T39"/>
      <w:bookmarkEnd w:id="288"/>
      <w:r w:rsidRPr="00EC0B72">
        <w:rPr>
          <w:rFonts w:ascii="宋体" w:hAnsi="宋体" w:cs="宋体" w:hint="eastAsia"/>
          <w:b/>
          <w:sz w:val="24"/>
          <w:lang w:eastAsia="zh-Hans"/>
        </w:rPr>
        <w:t>第三十九条</w:t>
      </w:r>
      <w:r w:rsidR="00977BD5">
        <w:rPr>
          <w:rFonts w:ascii="宋体" w:hAnsi="宋体" w:cs="宋体" w:hint="eastAsia"/>
          <w:sz w:val="24"/>
          <w:lang w:eastAsia="zh-Hans"/>
        </w:rPr>
        <w:t xml:space="preserve"> </w:t>
      </w:r>
      <w:bookmarkStart w:id="289" w:name="No139_T39K1"/>
      <w:bookmarkEnd w:id="289"/>
      <w:r>
        <w:rPr>
          <w:rFonts w:ascii="宋体" w:hAnsi="宋体" w:cs="宋体" w:hint="eastAsia"/>
          <w:sz w:val="24"/>
          <w:lang w:eastAsia="zh-Hans"/>
        </w:rPr>
        <w:t>本办法施行前已经取得勘查许可证的，由国务院地质矿产主管部门统一组织换领新的勘查许可证。探矿权使用费、最低勘查投入按照重新登记后的第一个勘查年度计算，并可以依照本办法的规定申请减缴、免缴。</w:t>
      </w:r>
    </w:p>
    <w:p w14:paraId="70CE0411" w14:textId="4E7D99B5" w:rsidR="00A320E6" w:rsidRDefault="00EC0B72" w:rsidP="00AE0286">
      <w:pPr>
        <w:pStyle w:val="a3"/>
        <w:spacing w:line="360" w:lineRule="auto"/>
        <w:ind w:firstLine="482"/>
        <w:rPr>
          <w:rFonts w:ascii="宋体" w:hAnsi="宋体" w:cs="宋体"/>
          <w:sz w:val="24"/>
          <w:lang w:eastAsia="zh-Hans"/>
        </w:rPr>
      </w:pPr>
      <w:bookmarkStart w:id="290" w:name="No140_T40"/>
      <w:bookmarkEnd w:id="290"/>
      <w:r w:rsidRPr="00EC0B72">
        <w:rPr>
          <w:rFonts w:ascii="宋体" w:hAnsi="宋体" w:cs="宋体" w:hint="eastAsia"/>
          <w:b/>
          <w:sz w:val="24"/>
          <w:lang w:eastAsia="zh-Hans"/>
        </w:rPr>
        <w:t>第四十条</w:t>
      </w:r>
      <w:r w:rsidR="00977BD5">
        <w:rPr>
          <w:rFonts w:ascii="宋体" w:hAnsi="宋体" w:cs="宋体" w:hint="eastAsia"/>
          <w:sz w:val="24"/>
          <w:lang w:eastAsia="zh-Hans"/>
        </w:rPr>
        <w:t xml:space="preserve"> </w:t>
      </w:r>
      <w:bookmarkStart w:id="291" w:name="No141_T40K1"/>
      <w:bookmarkEnd w:id="291"/>
      <w:r>
        <w:rPr>
          <w:rFonts w:ascii="宋体" w:hAnsi="宋体" w:cs="宋体" w:hint="eastAsia"/>
          <w:sz w:val="24"/>
          <w:lang w:eastAsia="zh-Hans"/>
        </w:rPr>
        <w:t>本办法附录的修改，由国务院地质矿产主管部门报国务院批准后公布。</w:t>
      </w:r>
    </w:p>
    <w:p w14:paraId="2A7EEA33" w14:textId="7E5F94DD" w:rsidR="00A320E6" w:rsidRDefault="00EC0B72" w:rsidP="00AE0286">
      <w:pPr>
        <w:pStyle w:val="a3"/>
        <w:spacing w:line="360" w:lineRule="auto"/>
        <w:ind w:firstLine="482"/>
        <w:rPr>
          <w:rFonts w:ascii="宋体" w:hAnsi="宋体" w:cs="宋体"/>
          <w:sz w:val="24"/>
          <w:lang w:eastAsia="zh-Hans"/>
        </w:rPr>
      </w:pPr>
      <w:bookmarkStart w:id="292" w:name="No142_T41"/>
      <w:bookmarkEnd w:id="292"/>
      <w:r w:rsidRPr="00EC0B72">
        <w:rPr>
          <w:rFonts w:ascii="宋体" w:hAnsi="宋体" w:cs="宋体" w:hint="eastAsia"/>
          <w:b/>
          <w:sz w:val="24"/>
          <w:lang w:eastAsia="zh-Hans"/>
        </w:rPr>
        <w:t>第四十一条</w:t>
      </w:r>
      <w:r w:rsidR="00977BD5">
        <w:rPr>
          <w:rFonts w:ascii="宋体" w:hAnsi="宋体" w:cs="宋体" w:hint="eastAsia"/>
          <w:sz w:val="24"/>
          <w:lang w:eastAsia="zh-Hans"/>
        </w:rPr>
        <w:t xml:space="preserve"> </w:t>
      </w:r>
      <w:bookmarkStart w:id="293" w:name="No143_T41K1"/>
      <w:bookmarkEnd w:id="293"/>
      <w:r>
        <w:rPr>
          <w:rFonts w:ascii="宋体" w:hAnsi="宋体" w:cs="宋体" w:hint="eastAsia"/>
          <w:sz w:val="24"/>
          <w:lang w:eastAsia="zh-Hans"/>
        </w:rPr>
        <w:t>本办法自发布之日起施行。1987年4月29日国务院发布的《</w:t>
      </w:r>
      <w:hyperlink r:id="rId49" w:history="1">
        <w:r>
          <w:rPr>
            <w:rFonts w:ascii="宋体" w:hAnsi="宋体" w:cs="宋体" w:hint="eastAsia"/>
            <w:sz w:val="24"/>
            <w:lang w:eastAsia="zh-Hans"/>
          </w:rPr>
          <w:t>矿产资源勘查登记管理暂行办法</w:t>
        </w:r>
      </w:hyperlink>
      <w:r>
        <w:rPr>
          <w:rFonts w:ascii="宋体" w:hAnsi="宋体" w:cs="宋体" w:hint="eastAsia"/>
          <w:sz w:val="24"/>
          <w:lang w:eastAsia="zh-Hans"/>
        </w:rPr>
        <w:t>》和1987年12月16日国务院批准、石油工业部发布的《</w:t>
      </w:r>
      <w:hyperlink r:id="rId50" w:history="1">
        <w:r>
          <w:rPr>
            <w:rFonts w:ascii="宋体" w:hAnsi="宋体" w:cs="宋体" w:hint="eastAsia"/>
            <w:sz w:val="24"/>
            <w:lang w:eastAsia="zh-Hans"/>
          </w:rPr>
          <w:t>石油及天然气勘查、开采登记管理暂行办法</w:t>
        </w:r>
      </w:hyperlink>
      <w:r>
        <w:rPr>
          <w:rFonts w:ascii="宋体" w:hAnsi="宋体" w:cs="宋体" w:hint="eastAsia"/>
          <w:sz w:val="24"/>
          <w:lang w:eastAsia="zh-Hans"/>
        </w:rPr>
        <w:t>》同时废止。</w:t>
      </w:r>
    </w:p>
    <w:p w14:paraId="61EB8144" w14:textId="77777777" w:rsidR="00A320E6" w:rsidRDefault="00000000" w:rsidP="00AE0286">
      <w:pPr>
        <w:pStyle w:val="a3"/>
        <w:spacing w:line="360" w:lineRule="auto"/>
        <w:ind w:firstLine="480"/>
        <w:jc w:val="right"/>
        <w:rPr>
          <w:rFonts w:ascii="宋体" w:hAnsi="宋体" w:cs="宋体"/>
          <w:sz w:val="24"/>
          <w:lang w:eastAsia="zh-Hans"/>
        </w:rPr>
      </w:pPr>
      <w:bookmarkStart w:id="294" w:name="No144_F1"/>
      <w:bookmarkEnd w:id="294"/>
      <w:r>
        <w:rPr>
          <w:rFonts w:ascii="宋体" w:hAnsi="宋体" w:cs="宋体" w:hint="eastAsia"/>
          <w:sz w:val="24"/>
          <w:lang w:eastAsia="zh-Hans"/>
        </w:rPr>
        <w:t>国家税务总局 国土资源部</w:t>
      </w:r>
    </w:p>
    <w:p w14:paraId="22CAE645"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295" w:name="_Toc112227451"/>
      <w:r>
        <w:rPr>
          <w:rFonts w:ascii="宋体" w:hAnsi="宋体" w:cs="宋体" w:hint="eastAsia"/>
          <w:b/>
          <w:bCs/>
          <w:sz w:val="24"/>
          <w:lang w:eastAsia="zh-Hans"/>
        </w:rPr>
        <w:t>关于落实资源税改革优惠政策若干事项的公告</w:t>
      </w:r>
      <w:bookmarkEnd w:id="295"/>
    </w:p>
    <w:p w14:paraId="5CF0B35D" w14:textId="77777777" w:rsidR="00A320E6" w:rsidRDefault="00000000" w:rsidP="00AE0286">
      <w:pPr>
        <w:pStyle w:val="a3"/>
        <w:spacing w:line="360" w:lineRule="auto"/>
        <w:ind w:firstLine="482"/>
        <w:jc w:val="center"/>
        <w:rPr>
          <w:rFonts w:ascii="宋体" w:hAnsi="宋体" w:cs="宋体"/>
          <w:b/>
          <w:bCs/>
          <w:sz w:val="24"/>
          <w:lang w:eastAsia="zh-Hans"/>
        </w:rPr>
      </w:pPr>
      <w:r>
        <w:rPr>
          <w:rFonts w:ascii="宋体" w:hAnsi="宋体" w:cs="宋体" w:hint="eastAsia"/>
          <w:b/>
          <w:bCs/>
          <w:sz w:val="24"/>
          <w:lang w:eastAsia="zh-Hans"/>
        </w:rPr>
        <w:t>国家税务总局公告2017年第2号</w:t>
      </w:r>
    </w:p>
    <w:p w14:paraId="06659746"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为落实《财政部 国家税务总局关于全面推进资源税改革的通知》（财税〔2016〕53号）、《财政部 国家税务总局关于资源税改革具体政策问题的通知》（财税〔2016〕54号）规定的资源税优惠政策，现将有关申报、审核等征管事项公告如下：</w:t>
      </w:r>
    </w:p>
    <w:p w14:paraId="6351EE04" w14:textId="7CE21CB1"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一、对符合条件的充填开采和衰竭期矿山减征资源税，实行备案管理制度。</w:t>
      </w:r>
    </w:p>
    <w:p w14:paraId="218E4286"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二、对依法在建筑物下、铁路下、水体下（以下简称“三下”）通过充填开采方式采出的矿产资源，资源税减征50%。“三下”的具体范围由省税务机关商同级国土资源主管部门确定。</w:t>
      </w:r>
    </w:p>
    <w:p w14:paraId="20BFD54D" w14:textId="4E46AE89"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充填开采是指随着回采工作面的推进，向采空区或离层带等空间充填废石、尾矿、废渣、建筑废料以及专用充填合格材料等采出矿产品的开采方法。</w:t>
      </w:r>
    </w:p>
    <w:p w14:paraId="3B697759"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减征资源税的充填开采，应当同时满足以下三个条件：一是采用先进适用的胶结或膏体等充填方式；二是对采空区实行全覆盖充填；三是对地下含水层和地表生态进行必要的保护。</w:t>
      </w:r>
    </w:p>
    <w:p w14:paraId="731F54E4" w14:textId="2B04A51B"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三、对实际开采年限在15年（含）以上的衰竭期矿山开采的矿产资源，资源税减征30%。</w:t>
      </w:r>
    </w:p>
    <w:p w14:paraId="34493CC3"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衰竭期矿山是指剩余可采储量下降到原设计可采储量的20%（含）以下或剩余服务年限不超过5年的矿山。原设计可采储量不明确的，衰竭期以剩余服务年限为准。衰竭期矿山以开采企业下属的单个矿山为单位确定。</w:t>
      </w:r>
    </w:p>
    <w:p w14:paraId="08DF9E56"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四、纳税人初次申报减税，应当区分充填开采减税和衰竭期矿山减税，向主管税务机关备案以下资料：</w:t>
      </w:r>
    </w:p>
    <w:p w14:paraId="4F9E556A" w14:textId="0A40CF98"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（一）充填开采减税</w:t>
      </w:r>
    </w:p>
    <w:p w14:paraId="3F4039F2"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1.纳税人减免税备案登记表；</w:t>
      </w:r>
    </w:p>
    <w:p w14:paraId="7F2EA38D"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2.资源税减免备案说明（包括矿区概况、开采方式、开采“三下”矿产的批件、“三下”压覆的矿产储量及其占全部储量的比例等）；</w:t>
      </w:r>
    </w:p>
    <w:p w14:paraId="3CA9DE3E"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3.采矿许可证复印件；</w:t>
      </w:r>
    </w:p>
    <w:p w14:paraId="3BCD4C9B"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4.矿产资源开发利用方案相关内容复印件；</w:t>
      </w:r>
    </w:p>
    <w:p w14:paraId="70EAEA15"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5.井上井下工程对照图；</w:t>
      </w:r>
    </w:p>
    <w:p w14:paraId="2ABA9CBB"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6.主管税务机关要求备案的其他资料。</w:t>
      </w:r>
    </w:p>
    <w:p w14:paraId="7DBF40A2"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（二）衰竭期矿山减税</w:t>
      </w:r>
    </w:p>
    <w:p w14:paraId="2D944767" w14:textId="5E3E655C"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1.纳税人减免税备案登记表；</w:t>
      </w:r>
    </w:p>
    <w:p w14:paraId="7212EE7B"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2.资源税减免备案说明（包括矿区概况、开采年限、剩余可采储量或剩余服务年限等）；</w:t>
      </w:r>
    </w:p>
    <w:p w14:paraId="2EDF9172"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3.采矿许可证复印件；</w:t>
      </w:r>
    </w:p>
    <w:p w14:paraId="4CE58CC5"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4.经国土资源主管部门备案的《矿产资源储量核实报告》评审意见书及相关备案证明；</w:t>
      </w:r>
    </w:p>
    <w:p w14:paraId="4CDA09C2" w14:textId="3A375654"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5.主管税务机关要求备案的其他资料。</w:t>
      </w:r>
    </w:p>
    <w:p w14:paraId="7A5540F8"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五、纳税人备案资料齐全、符合法定形式的，主管税务机关应当受理；备案资料不齐全或不符合法定形式的，主管税务机关应当当场一次性书面告知纳税人。主管税务机关应当将享受资源税减税的纳税人名单向社会公示，公示内容包括享受减税的企业名称、减税项目等。</w:t>
      </w:r>
    </w:p>
    <w:p w14:paraId="64C44C35"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六、为做好减免税备案的后续管理工作，主管税务机关与国土资源主管部门要建立相应的协作机制。根据工作需要，主管税务机关可请国土资源主管部门提供相关信息，国土资源主管部门予以协助支持。</w:t>
      </w:r>
    </w:p>
    <w:p w14:paraId="1E5AA8A2"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主管税务机关对相关信息进行比对，发现企业备案的有关储量、开采方式等信息有疑点的，可通过咨询国土资源主管部门进行核实。</w:t>
      </w:r>
    </w:p>
    <w:p w14:paraId="7E33C217"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七、经主管税务机关核实后，对于不符合资源税减税条件的纳税人，主管税务机关应当责令其停止享受减税优惠；已享受减税优惠的，由主管税务机关责令纳税人补缴已减征的资源税税款并加收滞纳金；提供虚假资料的，按照《中华人民共和国税收征收管理法》及其实施细则有关规定予以处理。</w:t>
      </w:r>
    </w:p>
    <w:p w14:paraId="2BADB214"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八、享受衰竭期矿山减税政策的纳税人，矿产资源可采储量增加的，纳税人应当在纳税申报时向主管税务机关报告；不再符合衰竭期矿山减税条件的，应当依法履行纳税义务；未依法纳税的，主管税务机关应当予以追缴。</w:t>
      </w:r>
    </w:p>
    <w:p w14:paraId="4B936957"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九、纳税人应当单独核算不同减税项目的销售额或销售量，未单独核算的，不享受减税优惠。</w:t>
      </w:r>
    </w:p>
    <w:p w14:paraId="4C2FFC4F"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纳税人每月充填开采采出矿产资源的减税销售额或销售量，按其“三下”压覆的矿产储量占全部储量的比例进行计算和申报。</w:t>
      </w:r>
    </w:p>
    <w:p w14:paraId="5CFC048A"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十、纳税人开采销售的应税矿产资源（同一笔销售业务）同时符合两项（含）以上资源税备案类减免税政策的，纳税人可选择享受其中一项优惠政策，不得叠加适用。</w:t>
      </w:r>
    </w:p>
    <w:p w14:paraId="0C87E69F"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十一、本公告不适用于原油、天然气、煤炭、稀土、钨、钼，上述资源税税目的有关优惠政策仍按原文件执行。</w:t>
      </w:r>
    </w:p>
    <w:p w14:paraId="034917D4"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十二、省级人民政府确定的资源税减免税项目可参照本办法执行。</w:t>
      </w:r>
    </w:p>
    <w:p w14:paraId="61BB003D"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十三、各省、自治区、直辖市税务局会同省国土资源部门根据本公告制定具体实施办法。</w:t>
      </w:r>
    </w:p>
    <w:p w14:paraId="39319E2C" w14:textId="77777777" w:rsidR="00242998"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十四、本公告自发布之日起施行。2016年7月1日至本公告施行日之间发生的尚未办理资源税减免备案的减免税事项，应当按本公告有关规定办理相关减免税事宜。</w:t>
      </w:r>
    </w:p>
    <w:p w14:paraId="191DEFDF" w14:textId="3F8DE114"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特此公告。</w:t>
      </w:r>
    </w:p>
    <w:p w14:paraId="2C8805DF"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br/>
        <w:t>国家税务总局     国土资源部</w:t>
      </w:r>
      <w:r>
        <w:rPr>
          <w:rFonts w:ascii="宋体" w:hAnsi="宋体" w:cs="宋体" w:hint="eastAsia"/>
          <w:sz w:val="24"/>
          <w:lang w:eastAsia="zh-Hans"/>
        </w:rPr>
        <w:br/>
        <w:t>2017年1月24日</w:t>
      </w:r>
    </w:p>
    <w:p w14:paraId="7955F6E7" w14:textId="77777777" w:rsidR="00A320E6" w:rsidRDefault="00000000" w:rsidP="00F67407">
      <w:pPr>
        <w:keepNext/>
        <w:spacing w:beforeLines="50" w:before="156" w:afterLines="20" w:after="62" w:line="360" w:lineRule="auto"/>
        <w:jc w:val="center"/>
        <w:outlineLvl w:val="2"/>
        <w:rPr>
          <w:rFonts w:ascii="宋体" w:hAnsi="宋体" w:cs="宋体"/>
          <w:b/>
          <w:bCs/>
          <w:sz w:val="24"/>
          <w:lang w:eastAsia="zh-Hans"/>
        </w:rPr>
      </w:pPr>
      <w:bookmarkStart w:id="296" w:name="_Toc112227452"/>
      <w:r>
        <w:rPr>
          <w:rFonts w:ascii="宋体" w:hAnsi="宋体" w:cs="宋体" w:hint="eastAsia"/>
          <w:b/>
          <w:bCs/>
          <w:sz w:val="24"/>
          <w:lang w:eastAsia="zh-Hans"/>
        </w:rPr>
        <w:t>关于调整山东省矿业权出让收益征收管理政策的通知</w:t>
      </w:r>
      <w:bookmarkEnd w:id="296"/>
    </w:p>
    <w:p w14:paraId="71EDF347" w14:textId="77777777" w:rsidR="00A320E6" w:rsidRDefault="00000000" w:rsidP="00AE0286">
      <w:pPr>
        <w:pStyle w:val="a3"/>
        <w:spacing w:line="360" w:lineRule="auto"/>
        <w:ind w:firstLine="482"/>
        <w:jc w:val="center"/>
        <w:rPr>
          <w:rFonts w:ascii="宋体" w:hAnsi="宋体" w:cs="宋体"/>
          <w:b/>
          <w:bCs/>
          <w:sz w:val="24"/>
          <w:lang w:eastAsia="zh-Hans"/>
        </w:rPr>
      </w:pPr>
      <w:r>
        <w:rPr>
          <w:rFonts w:ascii="宋体" w:hAnsi="宋体" w:cs="宋体" w:hint="eastAsia"/>
          <w:b/>
          <w:bCs/>
          <w:sz w:val="24"/>
          <w:lang w:eastAsia="zh-Hans"/>
        </w:rPr>
        <w:t>鲁财综〔2019〕34号</w:t>
      </w:r>
    </w:p>
    <w:p w14:paraId="509AD245" w14:textId="77777777" w:rsidR="00A320E6" w:rsidRDefault="00000000" w:rsidP="00AE0286">
      <w:pPr>
        <w:pStyle w:val="a3"/>
        <w:spacing w:line="360" w:lineRule="auto"/>
        <w:ind w:firstLineChars="0" w:firstLine="0"/>
        <w:rPr>
          <w:rFonts w:ascii="宋体" w:hAnsi="宋体" w:cs="宋体"/>
          <w:sz w:val="24"/>
          <w:lang w:eastAsia="zh-Hans"/>
        </w:rPr>
      </w:pPr>
      <w:r>
        <w:rPr>
          <w:rFonts w:ascii="宋体" w:hAnsi="宋体" w:cs="宋体" w:hint="eastAsia"/>
          <w:sz w:val="24"/>
          <w:lang w:eastAsia="zh-Hans"/>
        </w:rPr>
        <w:t>各市财政局、自然资源主管部门，省财政直接管理县（市）财政局：</w:t>
      </w:r>
    </w:p>
    <w:p w14:paraId="5E81750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根据《国务院关于印发矿产资源权益金制度改革方案的通知》(国发〔2017〕29号)和《财政部 国土资源部关于印发〈矿业权出让收益征收管理暂行办法〉的通知》(财综〔2017〕35号)等有关规定，经省政府同意，对我省矿业权出让收益征收管理政策进行调整。现将有关事项通知如下：</w:t>
      </w:r>
    </w:p>
    <w:p w14:paraId="2774B20B"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降低一次性缴纳标准。矿业权出让收益按出让金额征收。探矿权出让收益在500万元（含）以下的，原则上一次性征收。采矿权出让收益按照矿山生产建设规模类型确定一次性缴纳标准，建设规模为大型且出让收益在3000万元（含）以下的、建设规模为中型且出让收益在2000万元（含）以下的、建设规模为小型且出让收益在1000万元（含）以下的，原则上一次性征收。矿山生产建设规模类型按照《国土资源部关于调整部分矿种矿山生产建设规模标准的通知》（国土资发〔2004〕208号）有关规定确定。</w:t>
      </w:r>
    </w:p>
    <w:p w14:paraId="42DF118F"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二、完善分期缴纳政策。探矿权、采矿权出让收益高于一次性缴纳标准的，可一次性缴纳，也可按矿业权出让合同约定或自然资源主管部门批准的分期方式缴纳。具体如下：</w:t>
      </w:r>
    </w:p>
    <w:p w14:paraId="02B172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（一）探矿权人在取得勘查许可证前，首次缴纳比例为探矿权出让收益的20%且不少于500万元，剩余部分在转为采矿权后，在采矿权有效期内，按照规定的采矿权出让收益分期缴纳年限缴纳。</w:t>
      </w:r>
    </w:p>
    <w:p w14:paraId="6C7B5F52"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二）采矿权人在取得采矿许可证前，首次缴纳比例为采矿权出让收益的20%且不少于采矿权一次性缴纳标准，剩余部分可在采矿权有效期内分期缴纳。分期缴纳年限按照矿山生产建设规模类型确定：建设规模为大型的最长不超过15年，建设规模为中型的最长不超过10年，建设规模为小型的最长不超过5年；分期缴纳年限不得超过矿山剩余服务年限。</w:t>
      </w:r>
    </w:p>
    <w:p w14:paraId="5404BB16"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三、规范办理矿业权登记手续。矿业权人按规定缴纳矿业权出让收益后，方可办理矿业权变更、延续等行政审批手续。对尚未完成矿业权出让收益评估的，可先依据矿业权市场基准价估算结果，按规定预缴纳矿业权出让收益。</w:t>
      </w:r>
    </w:p>
    <w:p w14:paraId="548A13EE" w14:textId="77777777" w:rsidR="00A320E6" w:rsidRDefault="00000000" w:rsidP="00AE0286">
      <w:pPr>
        <w:pStyle w:val="a3"/>
        <w:spacing w:line="360" w:lineRule="auto"/>
        <w:ind w:firstLine="480"/>
        <w:rPr>
          <w:rFonts w:ascii="宋体" w:hAnsi="宋体" w:cs="宋体"/>
          <w:sz w:val="24"/>
          <w:lang w:eastAsia="zh-Hans"/>
        </w:rPr>
      </w:pPr>
      <w:r>
        <w:rPr>
          <w:rFonts w:ascii="宋体" w:hAnsi="宋体" w:cs="宋体" w:hint="eastAsia"/>
          <w:sz w:val="24"/>
          <w:lang w:eastAsia="zh-Hans"/>
        </w:rPr>
        <w:t>本通知自印发之日起施行，《山东省财政厅 山东省国土资源厅关于加强我省矿业权出让收益征收管理工作的通知》（鲁财综〔2018〕27号）中与本通知规定不一致的，以本通知为准。</w:t>
      </w:r>
    </w:p>
    <w:p w14:paraId="502B829A" w14:textId="4CF04DF9"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山 东 省 财 政 厅     山东省自然资源厅</w:t>
      </w:r>
    </w:p>
    <w:p w14:paraId="303E326D" w14:textId="77777777" w:rsidR="00A320E6" w:rsidRDefault="00000000" w:rsidP="00AE0286">
      <w:pPr>
        <w:pStyle w:val="a3"/>
        <w:spacing w:line="360" w:lineRule="auto"/>
        <w:ind w:firstLine="480"/>
        <w:jc w:val="right"/>
        <w:rPr>
          <w:rFonts w:ascii="宋体" w:hAnsi="宋体" w:cs="宋体"/>
          <w:sz w:val="24"/>
          <w:lang w:eastAsia="zh-Hans"/>
        </w:rPr>
      </w:pPr>
      <w:r>
        <w:rPr>
          <w:rFonts w:ascii="宋体" w:hAnsi="宋体" w:cs="宋体" w:hint="eastAsia"/>
          <w:sz w:val="24"/>
          <w:lang w:eastAsia="zh-Hans"/>
        </w:rPr>
        <w:t>2019年7月30日</w:t>
      </w:r>
    </w:p>
    <w:tbl>
      <w:tblPr>
        <w:tblStyle w:val="ae"/>
        <w:tblW w:w="8416" w:type="dxa"/>
        <w:tblLayout w:type="fixed"/>
        <w:tblLook w:val="04A0" w:firstRow="1" w:lastRow="0" w:firstColumn="1" w:lastColumn="0" w:noHBand="0" w:noVBand="1"/>
      </w:tblPr>
      <w:tblGrid>
        <w:gridCol w:w="1209"/>
        <w:gridCol w:w="4626"/>
        <w:gridCol w:w="751"/>
        <w:gridCol w:w="1830"/>
      </w:tblGrid>
      <w:tr w:rsidR="00A320E6" w14:paraId="61788751" w14:textId="77777777">
        <w:trPr>
          <w:trHeight w:hRule="exact" w:val="386"/>
        </w:trPr>
        <w:tc>
          <w:tcPr>
            <w:tcW w:w="6586" w:type="dxa"/>
            <w:gridSpan w:val="3"/>
            <w:vAlign w:val="center"/>
          </w:tcPr>
          <w:p w14:paraId="5D214953"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新分类标准</w:t>
            </w:r>
          </w:p>
        </w:tc>
        <w:tc>
          <w:tcPr>
            <w:tcW w:w="1830" w:type="dxa"/>
            <w:vAlign w:val="center"/>
          </w:tcPr>
          <w:p w14:paraId="6106EB2A"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原分类标准</w:t>
            </w:r>
          </w:p>
        </w:tc>
      </w:tr>
      <w:tr w:rsidR="00A320E6" w14:paraId="661BD946" w14:textId="77777777">
        <w:trPr>
          <w:trHeight w:hRule="exact" w:val="386"/>
        </w:trPr>
        <w:tc>
          <w:tcPr>
            <w:tcW w:w="1209" w:type="dxa"/>
            <w:vMerge w:val="restart"/>
            <w:vAlign w:val="center"/>
          </w:tcPr>
          <w:p w14:paraId="67EC1F31"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储量</w:t>
            </w:r>
          </w:p>
        </w:tc>
        <w:tc>
          <w:tcPr>
            <w:tcW w:w="4626" w:type="dxa"/>
            <w:vAlign w:val="center"/>
          </w:tcPr>
          <w:p w14:paraId="687582CD"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证实储量</w:t>
            </w:r>
          </w:p>
        </w:tc>
        <w:tc>
          <w:tcPr>
            <w:tcW w:w="750" w:type="dxa"/>
            <w:vAlign w:val="center"/>
          </w:tcPr>
          <w:p w14:paraId="7F27D0CE"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ZS</w:t>
            </w:r>
          </w:p>
        </w:tc>
        <w:tc>
          <w:tcPr>
            <w:tcW w:w="1830" w:type="dxa"/>
            <w:vAlign w:val="center"/>
          </w:tcPr>
          <w:p w14:paraId="358262FA"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111</w:t>
            </w:r>
          </w:p>
        </w:tc>
      </w:tr>
      <w:tr w:rsidR="00A320E6" w14:paraId="30B9AD3E" w14:textId="77777777">
        <w:trPr>
          <w:trHeight w:hRule="exact" w:val="386"/>
        </w:trPr>
        <w:tc>
          <w:tcPr>
            <w:tcW w:w="1209" w:type="dxa"/>
            <w:vMerge/>
            <w:vAlign w:val="center"/>
          </w:tcPr>
          <w:p w14:paraId="556B4512" w14:textId="77777777" w:rsidR="00A320E6" w:rsidRDefault="00A320E6" w:rsidP="00AE0286">
            <w:pPr>
              <w:pStyle w:val="a3"/>
              <w:ind w:firstLineChars="0" w:firstLine="0"/>
              <w:rPr>
                <w:rFonts w:ascii="宋体" w:hAnsi="宋体" w:cs="宋体"/>
                <w:szCs w:val="21"/>
                <w:lang w:eastAsia="zh-Hans"/>
              </w:rPr>
            </w:pPr>
          </w:p>
        </w:tc>
        <w:tc>
          <w:tcPr>
            <w:tcW w:w="4626" w:type="dxa"/>
            <w:vAlign w:val="center"/>
          </w:tcPr>
          <w:p w14:paraId="0F4599E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可信储量</w:t>
            </w:r>
          </w:p>
        </w:tc>
        <w:tc>
          <w:tcPr>
            <w:tcW w:w="750" w:type="dxa"/>
            <w:vAlign w:val="center"/>
          </w:tcPr>
          <w:p w14:paraId="7C2F29DB"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KX</w:t>
            </w:r>
          </w:p>
        </w:tc>
        <w:tc>
          <w:tcPr>
            <w:tcW w:w="1830" w:type="dxa"/>
            <w:vAlign w:val="center"/>
          </w:tcPr>
          <w:p w14:paraId="3865B410"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122</w:t>
            </w:r>
          </w:p>
        </w:tc>
      </w:tr>
      <w:tr w:rsidR="00A320E6" w14:paraId="230A8EA3" w14:textId="77777777">
        <w:trPr>
          <w:trHeight w:hRule="exact" w:val="386"/>
        </w:trPr>
        <w:tc>
          <w:tcPr>
            <w:tcW w:w="1209" w:type="dxa"/>
            <w:vMerge w:val="restart"/>
            <w:vAlign w:val="center"/>
          </w:tcPr>
          <w:p w14:paraId="5E37FEC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资源量</w:t>
            </w:r>
          </w:p>
        </w:tc>
        <w:tc>
          <w:tcPr>
            <w:tcW w:w="4626" w:type="dxa"/>
            <w:vAlign w:val="center"/>
          </w:tcPr>
          <w:p w14:paraId="25364800"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探明资源量</w:t>
            </w:r>
          </w:p>
        </w:tc>
        <w:tc>
          <w:tcPr>
            <w:tcW w:w="750" w:type="dxa"/>
            <w:vAlign w:val="center"/>
          </w:tcPr>
          <w:p w14:paraId="2E74FFD1"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TM</w:t>
            </w:r>
          </w:p>
        </w:tc>
        <w:tc>
          <w:tcPr>
            <w:tcW w:w="1830" w:type="dxa"/>
            <w:vAlign w:val="center"/>
          </w:tcPr>
          <w:p w14:paraId="5986CA45"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111b</w:t>
            </w:r>
          </w:p>
        </w:tc>
      </w:tr>
      <w:tr w:rsidR="00A320E6" w14:paraId="34F3701F" w14:textId="77777777">
        <w:trPr>
          <w:trHeight w:hRule="exact" w:val="386"/>
        </w:trPr>
        <w:tc>
          <w:tcPr>
            <w:tcW w:w="1209" w:type="dxa"/>
            <w:vMerge/>
            <w:vAlign w:val="center"/>
          </w:tcPr>
          <w:p w14:paraId="670EC753" w14:textId="77777777" w:rsidR="00A320E6" w:rsidRDefault="00A320E6" w:rsidP="00AE0286">
            <w:pPr>
              <w:pStyle w:val="a3"/>
              <w:ind w:firstLineChars="0" w:firstLine="0"/>
              <w:rPr>
                <w:rFonts w:ascii="宋体" w:hAnsi="宋体" w:cs="宋体"/>
                <w:szCs w:val="21"/>
                <w:lang w:eastAsia="zh-Hans"/>
              </w:rPr>
            </w:pPr>
          </w:p>
        </w:tc>
        <w:tc>
          <w:tcPr>
            <w:tcW w:w="4626" w:type="dxa"/>
            <w:vAlign w:val="center"/>
          </w:tcPr>
          <w:p w14:paraId="3D019943"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控制资源量</w:t>
            </w:r>
          </w:p>
        </w:tc>
        <w:tc>
          <w:tcPr>
            <w:tcW w:w="750" w:type="dxa"/>
            <w:vAlign w:val="center"/>
          </w:tcPr>
          <w:p w14:paraId="01617E94"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KZ</w:t>
            </w:r>
          </w:p>
        </w:tc>
        <w:tc>
          <w:tcPr>
            <w:tcW w:w="1830" w:type="dxa"/>
            <w:vAlign w:val="center"/>
          </w:tcPr>
          <w:p w14:paraId="1441A213"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122b</w:t>
            </w:r>
          </w:p>
        </w:tc>
      </w:tr>
      <w:tr w:rsidR="00A320E6" w14:paraId="3B97B49F" w14:textId="77777777">
        <w:trPr>
          <w:trHeight w:hRule="exact" w:val="386"/>
        </w:trPr>
        <w:tc>
          <w:tcPr>
            <w:tcW w:w="1209" w:type="dxa"/>
            <w:vMerge/>
            <w:vAlign w:val="center"/>
          </w:tcPr>
          <w:p w14:paraId="7A212399" w14:textId="77777777" w:rsidR="00A320E6" w:rsidRDefault="00A320E6" w:rsidP="00AE0286">
            <w:pPr>
              <w:pStyle w:val="a3"/>
              <w:ind w:firstLineChars="0" w:firstLine="0"/>
              <w:rPr>
                <w:rFonts w:ascii="宋体" w:hAnsi="宋体" w:cs="宋体"/>
                <w:szCs w:val="21"/>
                <w:lang w:eastAsia="zh-Hans"/>
              </w:rPr>
            </w:pPr>
          </w:p>
        </w:tc>
        <w:tc>
          <w:tcPr>
            <w:tcW w:w="4626" w:type="dxa"/>
            <w:vAlign w:val="center"/>
          </w:tcPr>
          <w:p w14:paraId="645F8DF7"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推断资源量</w:t>
            </w:r>
          </w:p>
        </w:tc>
        <w:tc>
          <w:tcPr>
            <w:tcW w:w="750" w:type="dxa"/>
            <w:vAlign w:val="center"/>
          </w:tcPr>
          <w:p w14:paraId="40D63C2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TD</w:t>
            </w:r>
          </w:p>
        </w:tc>
        <w:tc>
          <w:tcPr>
            <w:tcW w:w="1830" w:type="dxa"/>
            <w:vAlign w:val="center"/>
          </w:tcPr>
          <w:p w14:paraId="75CFAFC9"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333</w:t>
            </w:r>
          </w:p>
        </w:tc>
      </w:tr>
      <w:tr w:rsidR="00A320E6" w14:paraId="1ED7E419" w14:textId="77777777">
        <w:trPr>
          <w:trHeight w:hRule="exact" w:val="386"/>
        </w:trPr>
        <w:tc>
          <w:tcPr>
            <w:tcW w:w="1209" w:type="dxa"/>
            <w:vMerge/>
            <w:vAlign w:val="center"/>
          </w:tcPr>
          <w:p w14:paraId="45F90251" w14:textId="77777777" w:rsidR="00A320E6" w:rsidRDefault="00A320E6" w:rsidP="00AE0286">
            <w:pPr>
              <w:pStyle w:val="a3"/>
              <w:ind w:firstLineChars="0" w:firstLine="0"/>
              <w:rPr>
                <w:rFonts w:ascii="宋体" w:hAnsi="宋体" w:cs="宋体"/>
                <w:szCs w:val="21"/>
                <w:lang w:eastAsia="zh-Hans"/>
              </w:rPr>
            </w:pPr>
          </w:p>
        </w:tc>
        <w:tc>
          <w:tcPr>
            <w:tcW w:w="4626" w:type="dxa"/>
            <w:vAlign w:val="center"/>
          </w:tcPr>
          <w:p w14:paraId="7CDAACFF"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潜在矿产资源</w:t>
            </w:r>
          </w:p>
        </w:tc>
        <w:tc>
          <w:tcPr>
            <w:tcW w:w="750" w:type="dxa"/>
            <w:vAlign w:val="center"/>
          </w:tcPr>
          <w:p w14:paraId="6C2BAF17"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QZ</w:t>
            </w:r>
          </w:p>
        </w:tc>
        <w:tc>
          <w:tcPr>
            <w:tcW w:w="1830" w:type="dxa"/>
            <w:vAlign w:val="center"/>
          </w:tcPr>
          <w:p w14:paraId="62E8FA51" w14:textId="77777777" w:rsidR="00A320E6" w:rsidRDefault="00000000" w:rsidP="00AE0286">
            <w:pPr>
              <w:pStyle w:val="a3"/>
              <w:ind w:firstLineChars="0" w:firstLine="0"/>
              <w:rPr>
                <w:rFonts w:ascii="宋体" w:hAnsi="宋体" w:cs="宋体"/>
                <w:szCs w:val="21"/>
                <w:lang w:eastAsia="zh-Hans"/>
              </w:rPr>
            </w:pPr>
            <w:r>
              <w:rPr>
                <w:rFonts w:ascii="宋体" w:hAnsi="宋体" w:cs="宋体" w:hint="eastAsia"/>
                <w:szCs w:val="21"/>
                <w:lang w:eastAsia="zh-Hans"/>
              </w:rPr>
              <w:t>（334？）</w:t>
            </w:r>
          </w:p>
        </w:tc>
      </w:tr>
    </w:tbl>
    <w:p w14:paraId="5B56516C" w14:textId="77777777" w:rsidR="00A320E6" w:rsidRDefault="00A320E6" w:rsidP="00AE0286">
      <w:pPr>
        <w:pStyle w:val="a3"/>
        <w:spacing w:line="360" w:lineRule="auto"/>
        <w:ind w:firstLineChars="0" w:firstLine="0"/>
        <w:rPr>
          <w:rFonts w:ascii="宋体" w:hAnsi="宋体" w:cs="宋体"/>
          <w:sz w:val="24"/>
          <w:lang w:eastAsia="zh-Hans"/>
        </w:rPr>
      </w:pPr>
    </w:p>
    <w:sectPr w:rsidR="00A320E6" w:rsidSect="00520E9A">
      <w:headerReference w:type="even" r:id="rId51"/>
      <w:headerReference w:type="default" r:id="rId52"/>
      <w:footerReference w:type="even" r:id="rId53"/>
      <w:footerReference w:type="default" r:id="rId54"/>
      <w:headerReference w:type="first" r:id="rId55"/>
      <w:pgSz w:w="11906" w:h="16838"/>
      <w:pgMar w:top="1440" w:right="1588" w:bottom="1440"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67D83" w14:textId="77777777" w:rsidR="00DA32ED" w:rsidRDefault="00DA32ED">
      <w:r>
        <w:separator/>
      </w:r>
    </w:p>
  </w:endnote>
  <w:endnote w:type="continuationSeparator" w:id="0">
    <w:p w14:paraId="599FE68C" w14:textId="77777777" w:rsidR="00DA32ED" w:rsidRDefault="00DA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entury Schoolbook">
    <w:altName w:val="苹方-简"/>
    <w:panose1 w:val="0204060405050502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_GB2312">
    <w:altName w:val="方正仿宋_GBK"/>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ACC2" w14:textId="77777777" w:rsidR="00A320E6" w:rsidRDefault="00A320E6">
    <w:pPr>
      <w:pStyle w:val="a6"/>
      <w:jc w:val="right"/>
      <w:rPr>
        <w:rFonts w:ascii="宋体" w:hAnsi="宋体"/>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67F6" w14:textId="7879523F" w:rsidR="00A320E6" w:rsidRPr="00C27F7C" w:rsidRDefault="00311363" w:rsidP="00D947AC">
    <w:pPr>
      <w:pStyle w:val="a6"/>
      <w:pBdr>
        <w:top w:val="single" w:sz="4" w:space="1" w:color="auto"/>
      </w:pBdr>
      <w:tabs>
        <w:tab w:val="clear" w:pos="4153"/>
        <w:tab w:val="clear" w:pos="8306"/>
        <w:tab w:val="left" w:pos="1440"/>
      </w:tabs>
      <w:rPr>
        <w:rFonts w:ascii="宋体" w:hAnsi="宋体"/>
      </w:rPr>
    </w:pPr>
    <w:r w:rsidRPr="00D947AC">
      <w:rPr>
        <w:rFonts w:ascii="宋体" w:hAnsi="宋体"/>
        <w:noProof/>
      </w:rPr>
      <w:drawing>
        <wp:anchor distT="0" distB="0" distL="114300" distR="114300" simplePos="0" relativeHeight="251658752" behindDoc="0" locked="0" layoutInCell="1" allowOverlap="1" wp14:anchorId="4C7A7329" wp14:editId="5224D336">
          <wp:simplePos x="0" y="0"/>
          <wp:positionH relativeFrom="column">
            <wp:posOffset>4436745</wp:posOffset>
          </wp:positionH>
          <wp:positionV relativeFrom="paragraph">
            <wp:posOffset>27940</wp:posOffset>
          </wp:positionV>
          <wp:extent cx="1106170" cy="38417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 name="图片 3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6170" cy="384175"/>
                  </a:xfrm>
                  <a:prstGeom prst="rect">
                    <a:avLst/>
                  </a:prstGeom>
                  <a:noFill/>
                  <a:ln>
                    <a:noFill/>
                  </a:ln>
                </pic:spPr>
              </pic:pic>
            </a:graphicData>
          </a:graphic>
        </wp:anchor>
      </w:drawing>
    </w:r>
    <w:r w:rsidR="00D947AC" w:rsidRPr="00C27F7C">
      <w:rPr>
        <w:rFonts w:ascii="宋体" w:hAnsi="宋体"/>
        <w:sz w:val="21"/>
        <w:szCs w:val="21"/>
      </w:rPr>
      <w:fldChar w:fldCharType="begin"/>
    </w:r>
    <w:r w:rsidR="00D947AC" w:rsidRPr="00C27F7C">
      <w:rPr>
        <w:rFonts w:ascii="宋体" w:hAnsi="宋体"/>
        <w:sz w:val="21"/>
        <w:szCs w:val="21"/>
      </w:rPr>
      <w:instrText>PAGE   \* MERGEFORMAT</w:instrText>
    </w:r>
    <w:r w:rsidR="00D947AC" w:rsidRPr="00C27F7C">
      <w:rPr>
        <w:rFonts w:ascii="宋体" w:hAnsi="宋体"/>
        <w:sz w:val="21"/>
        <w:szCs w:val="21"/>
      </w:rPr>
      <w:fldChar w:fldCharType="separate"/>
    </w:r>
    <w:r w:rsidR="00D947AC" w:rsidRPr="00C27F7C">
      <w:rPr>
        <w:rFonts w:ascii="宋体" w:hAnsi="宋体"/>
        <w:sz w:val="21"/>
        <w:szCs w:val="21"/>
        <w:lang w:val="zh-CN"/>
      </w:rPr>
      <w:t>1</w:t>
    </w:r>
    <w:r w:rsidR="00D947AC" w:rsidRPr="00C27F7C">
      <w:rPr>
        <w:rFonts w:ascii="宋体" w:hAnsi="宋体"/>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EF" w14:textId="5DFFF570" w:rsidR="00A320E6" w:rsidRPr="00D947AC" w:rsidRDefault="005764FC" w:rsidP="00D947AC">
    <w:pPr>
      <w:pStyle w:val="a6"/>
      <w:pBdr>
        <w:top w:val="single" w:sz="4" w:space="1" w:color="auto"/>
      </w:pBdr>
      <w:jc w:val="right"/>
      <w:rPr>
        <w:rFonts w:ascii="宋体" w:hAnsi="宋体"/>
        <w:sz w:val="20"/>
        <w:szCs w:val="20"/>
      </w:rPr>
    </w:pPr>
    <w:r>
      <w:rPr>
        <w:noProof/>
      </w:rPr>
      <w:drawing>
        <wp:anchor distT="0" distB="0" distL="114300" distR="114300" simplePos="0" relativeHeight="251660800" behindDoc="0" locked="0" layoutInCell="1" allowOverlap="1" wp14:anchorId="3F77C0AD" wp14:editId="597FD078">
          <wp:simplePos x="0" y="0"/>
          <wp:positionH relativeFrom="column">
            <wp:posOffset>0</wp:posOffset>
          </wp:positionH>
          <wp:positionV relativeFrom="paragraph">
            <wp:posOffset>27306</wp:posOffset>
          </wp:positionV>
          <wp:extent cx="1008529" cy="342900"/>
          <wp:effectExtent l="0" t="0" r="127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351" cy="345900"/>
                  </a:xfrm>
                  <a:prstGeom prst="rect">
                    <a:avLst/>
                  </a:prstGeom>
                </pic:spPr>
              </pic:pic>
            </a:graphicData>
          </a:graphic>
          <wp14:sizeRelH relativeFrom="page">
            <wp14:pctWidth>0</wp14:pctWidth>
          </wp14:sizeRelH>
          <wp14:sizeRelV relativeFrom="page">
            <wp14:pctHeight>0</wp14:pctHeight>
          </wp14:sizeRelV>
        </wp:anchor>
      </w:drawing>
    </w:r>
    <w:r w:rsidR="00D947AC" w:rsidRPr="00D947AC">
      <w:rPr>
        <w:rFonts w:ascii="宋体" w:hAnsi="宋体"/>
        <w:sz w:val="20"/>
        <w:szCs w:val="20"/>
      </w:rPr>
      <w:fldChar w:fldCharType="begin"/>
    </w:r>
    <w:r w:rsidR="00D947AC" w:rsidRPr="00D947AC">
      <w:rPr>
        <w:rFonts w:ascii="宋体" w:hAnsi="宋体"/>
        <w:sz w:val="20"/>
        <w:szCs w:val="20"/>
      </w:rPr>
      <w:instrText>PAGE   \* MERGEFORMAT</w:instrText>
    </w:r>
    <w:r w:rsidR="00D947AC" w:rsidRPr="00D947AC">
      <w:rPr>
        <w:rFonts w:ascii="宋体" w:hAnsi="宋体"/>
        <w:sz w:val="20"/>
        <w:szCs w:val="20"/>
      </w:rPr>
      <w:fldChar w:fldCharType="separate"/>
    </w:r>
    <w:r w:rsidR="00D947AC" w:rsidRPr="00D947AC">
      <w:rPr>
        <w:rFonts w:ascii="宋体" w:hAnsi="宋体"/>
        <w:sz w:val="20"/>
        <w:szCs w:val="20"/>
        <w:lang w:val="zh-CN"/>
      </w:rPr>
      <w:t>1</w:t>
    </w:r>
    <w:r w:rsidR="00D947AC" w:rsidRPr="00D947AC">
      <w:rPr>
        <w:rFonts w:ascii="宋体" w:hAnsi="宋体"/>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BAED" w14:textId="77777777" w:rsidR="005764FC" w:rsidRPr="00C27F7C" w:rsidRDefault="005764FC" w:rsidP="00D947AC">
    <w:pPr>
      <w:pStyle w:val="a6"/>
      <w:pBdr>
        <w:top w:val="single" w:sz="4" w:space="1" w:color="auto"/>
      </w:pBdr>
      <w:tabs>
        <w:tab w:val="clear" w:pos="4153"/>
        <w:tab w:val="clear" w:pos="8306"/>
        <w:tab w:val="left" w:pos="1440"/>
      </w:tabs>
      <w:rPr>
        <w:rFonts w:ascii="宋体" w:hAnsi="宋体"/>
      </w:rPr>
    </w:pPr>
    <w:r w:rsidRPr="00D947AC">
      <w:rPr>
        <w:rFonts w:ascii="宋体" w:hAnsi="宋体"/>
        <w:noProof/>
      </w:rPr>
      <w:drawing>
        <wp:anchor distT="0" distB="0" distL="114300" distR="114300" simplePos="0" relativeHeight="251766272" behindDoc="0" locked="0" layoutInCell="1" allowOverlap="1" wp14:anchorId="5251E17A" wp14:editId="2A43D4D2">
          <wp:simplePos x="0" y="0"/>
          <wp:positionH relativeFrom="column">
            <wp:posOffset>4436745</wp:posOffset>
          </wp:positionH>
          <wp:positionV relativeFrom="paragraph">
            <wp:posOffset>37465</wp:posOffset>
          </wp:positionV>
          <wp:extent cx="1106170" cy="38417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 name="图片 3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6170" cy="384175"/>
                  </a:xfrm>
                  <a:prstGeom prst="rect">
                    <a:avLst/>
                  </a:prstGeom>
                  <a:noFill/>
                  <a:ln>
                    <a:noFill/>
                  </a:ln>
                </pic:spPr>
              </pic:pic>
            </a:graphicData>
          </a:graphic>
        </wp:anchor>
      </w:drawing>
    </w:r>
    <w:r w:rsidRPr="00C27F7C">
      <w:rPr>
        <w:rFonts w:ascii="宋体" w:hAnsi="宋体"/>
        <w:sz w:val="21"/>
        <w:szCs w:val="21"/>
      </w:rPr>
      <w:fldChar w:fldCharType="begin"/>
    </w:r>
    <w:r w:rsidRPr="00C27F7C">
      <w:rPr>
        <w:rFonts w:ascii="宋体" w:hAnsi="宋体"/>
        <w:sz w:val="21"/>
        <w:szCs w:val="21"/>
      </w:rPr>
      <w:instrText>PAGE   \* MERGEFORMAT</w:instrText>
    </w:r>
    <w:r w:rsidRPr="00C27F7C">
      <w:rPr>
        <w:rFonts w:ascii="宋体" w:hAnsi="宋体"/>
        <w:sz w:val="21"/>
        <w:szCs w:val="21"/>
      </w:rPr>
      <w:fldChar w:fldCharType="separate"/>
    </w:r>
    <w:r w:rsidRPr="00C27F7C">
      <w:rPr>
        <w:rFonts w:ascii="宋体" w:hAnsi="宋体"/>
        <w:sz w:val="21"/>
        <w:szCs w:val="21"/>
        <w:lang w:val="zh-CN"/>
      </w:rPr>
      <w:t>1</w:t>
    </w:r>
    <w:r w:rsidRPr="00C27F7C">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0EC3" w14:textId="3DCFF7D9" w:rsidR="00A320E6" w:rsidRPr="00C27F7C" w:rsidRDefault="005764FC" w:rsidP="00C27F7C">
    <w:pPr>
      <w:pStyle w:val="a6"/>
      <w:pBdr>
        <w:top w:val="single" w:sz="4" w:space="1" w:color="auto"/>
      </w:pBdr>
      <w:jc w:val="right"/>
      <w:rPr>
        <w:rFonts w:ascii="宋体" w:hAnsi="宋体"/>
        <w:sz w:val="21"/>
        <w:szCs w:val="21"/>
      </w:rPr>
    </w:pPr>
    <w:r>
      <w:rPr>
        <w:noProof/>
      </w:rPr>
      <w:drawing>
        <wp:anchor distT="0" distB="0" distL="114300" distR="114300" simplePos="0" relativeHeight="251768320" behindDoc="0" locked="0" layoutInCell="1" allowOverlap="1" wp14:anchorId="6E6423EF" wp14:editId="28F25FCD">
          <wp:simplePos x="0" y="0"/>
          <wp:positionH relativeFrom="column">
            <wp:posOffset>-9525</wp:posOffset>
          </wp:positionH>
          <wp:positionV relativeFrom="paragraph">
            <wp:posOffset>27940</wp:posOffset>
          </wp:positionV>
          <wp:extent cx="1008529" cy="342900"/>
          <wp:effectExtent l="0" t="0" r="127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8529" cy="342900"/>
                  </a:xfrm>
                  <a:prstGeom prst="rect">
                    <a:avLst/>
                  </a:prstGeom>
                </pic:spPr>
              </pic:pic>
            </a:graphicData>
          </a:graphic>
          <wp14:sizeRelH relativeFrom="page">
            <wp14:pctWidth>0</wp14:pctWidth>
          </wp14:sizeRelH>
          <wp14:sizeRelV relativeFrom="page">
            <wp14:pctHeight>0</wp14:pctHeight>
          </wp14:sizeRelV>
        </wp:anchor>
      </w:drawing>
    </w:r>
    <w:r w:rsidR="00C27F7C" w:rsidRPr="00C27F7C">
      <w:rPr>
        <w:rFonts w:ascii="宋体" w:hAnsi="宋体"/>
        <w:sz w:val="21"/>
        <w:szCs w:val="21"/>
      </w:rPr>
      <w:fldChar w:fldCharType="begin"/>
    </w:r>
    <w:r w:rsidR="00C27F7C" w:rsidRPr="00C27F7C">
      <w:rPr>
        <w:rFonts w:ascii="宋体" w:hAnsi="宋体"/>
        <w:sz w:val="21"/>
        <w:szCs w:val="21"/>
      </w:rPr>
      <w:instrText>PAGE   \* MERGEFORMAT</w:instrText>
    </w:r>
    <w:r w:rsidR="00C27F7C" w:rsidRPr="00C27F7C">
      <w:rPr>
        <w:rFonts w:ascii="宋体" w:hAnsi="宋体"/>
        <w:sz w:val="21"/>
        <w:szCs w:val="21"/>
      </w:rPr>
      <w:fldChar w:fldCharType="separate"/>
    </w:r>
    <w:r w:rsidR="00C27F7C" w:rsidRPr="00C27F7C">
      <w:rPr>
        <w:rFonts w:ascii="宋体" w:hAnsi="宋体"/>
        <w:sz w:val="21"/>
        <w:szCs w:val="21"/>
        <w:lang w:val="zh-CN"/>
      </w:rPr>
      <w:t>1</w:t>
    </w:r>
    <w:r w:rsidR="00C27F7C" w:rsidRPr="00C27F7C">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69714" w14:textId="77777777" w:rsidR="00DA32ED" w:rsidRDefault="00DA32ED">
      <w:r>
        <w:separator/>
      </w:r>
    </w:p>
  </w:footnote>
  <w:footnote w:type="continuationSeparator" w:id="0">
    <w:p w14:paraId="727129AF" w14:textId="77777777" w:rsidR="00DA32ED" w:rsidRDefault="00DA3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5176" w14:textId="09295D74" w:rsidR="00A320E6" w:rsidRDefault="00000000">
    <w:pPr>
      <w:pStyle w:val="a8"/>
      <w:pBdr>
        <w:bottom w:val="none" w:sz="0" w:space="0" w:color="auto"/>
      </w:pBdr>
      <w:jc w:val="left"/>
    </w:pPr>
    <w:r>
      <w:rPr>
        <w:noProof/>
      </w:rPr>
      <w:pict w14:anchorId="12F2E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5" o:spid="_x0000_s1080" type="#_x0000_t75" style="position:absolute;margin-left:0;margin-top:0;width:251.1pt;height:533.7pt;z-index:-251560448;mso-position-horizontal:center;mso-position-horizontal-relative:margin;mso-position-vertical:center;mso-position-vertical-relative:margin" o:allowincell="f">
          <v:imagedata r:id="rId1" o:title="水印"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BDBC" w14:textId="0ACEBF83" w:rsidR="00A320E6" w:rsidRDefault="00000000">
    <w:pPr>
      <w:pStyle w:val="a8"/>
      <w:pBdr>
        <w:bottom w:val="none" w:sz="0" w:space="0" w:color="auto"/>
      </w:pBdr>
      <w:jc w:val="right"/>
    </w:pPr>
    <w:r>
      <w:rPr>
        <w:noProof/>
      </w:rPr>
      <w:pict w14:anchorId="3895C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6" o:spid="_x0000_s1081" type="#_x0000_t75" style="position:absolute;left:0;text-align:left;margin-left:0;margin-top:0;width:251.1pt;height:533.7pt;z-index:-251559424;mso-position-horizontal:center;mso-position-horizontal-relative:margin;mso-position-vertical:center;mso-position-vertical-relative:margin" o:allowincell="f">
          <v:imagedata r:id="rId1" o:title="水印"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D2C4" w14:textId="444B82EE" w:rsidR="00A320E6" w:rsidRDefault="00000000">
    <w:pPr>
      <w:pStyle w:val="a8"/>
    </w:pPr>
    <w:r>
      <w:rPr>
        <w:noProof/>
      </w:rPr>
      <w:pict w14:anchorId="1FEAA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4" o:spid="_x0000_s1079" type="#_x0000_t75" style="position:absolute;left:0;text-align:left;margin-left:0;margin-top:0;width:251.1pt;height:533.7pt;z-index:-251561472;mso-position-horizontal:center;mso-position-horizontal-relative:margin;mso-position-vertical:center;mso-position-vertical-relative:margin" o:allowincell="f">
          <v:imagedata r:id="rId1" o:title="水印" gain="19661f" blacklevel="22938f"/>
          <w10:wrap anchorx="margin" anchory="margin"/>
        </v:shape>
      </w:pict>
    </w:r>
    <w:r w:rsidR="00C57439">
      <w:rPr>
        <w:noProof/>
      </w:rPr>
      <w:drawing>
        <wp:anchor distT="0" distB="0" distL="114300" distR="114300" simplePos="0" relativeHeight="251657216" behindDoc="1" locked="0" layoutInCell="0" allowOverlap="1" wp14:anchorId="63282B7C" wp14:editId="17191B4D">
          <wp:simplePos x="0" y="0"/>
          <wp:positionH relativeFrom="margin">
            <wp:align>center</wp:align>
          </wp:positionH>
          <wp:positionV relativeFrom="margin">
            <wp:align>center</wp:align>
          </wp:positionV>
          <wp:extent cx="3477895" cy="5038090"/>
          <wp:effectExtent l="0" t="0" r="1905" b="16510"/>
          <wp:wrapNone/>
          <wp:docPr id="17" name="WordPictureWatermark859890031" descr="中新纯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859890031" descr="中新纯logo"/>
                  <pic:cNvPicPr>
                    <a:picLocks noChangeAspect="1"/>
                  </pic:cNvPicPr>
                </pic:nvPicPr>
                <pic:blipFill>
                  <a:blip r:embed="rId2">
                    <a:lum bright="70001" contrast="-70000"/>
                  </a:blip>
                  <a:stretch>
                    <a:fillRect/>
                  </a:stretch>
                </pic:blipFill>
                <pic:spPr>
                  <a:xfrm>
                    <a:off x="0" y="0"/>
                    <a:ext cx="3477895" cy="5038090"/>
                  </a:xfrm>
                  <a:prstGeom prst="rect">
                    <a:avLst/>
                  </a:prstGeom>
                  <a:noFill/>
                  <a:ln w="9525">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890A" w14:textId="5A415241" w:rsidR="00A320E6" w:rsidRDefault="00000000">
    <w:pPr>
      <w:pStyle w:val="a8"/>
      <w:jc w:val="left"/>
      <w:rPr>
        <w:sz w:val="20"/>
        <w:szCs w:val="20"/>
      </w:rPr>
    </w:pPr>
    <w:r>
      <w:rPr>
        <w:noProof/>
        <w:sz w:val="20"/>
        <w:szCs w:val="20"/>
      </w:rPr>
      <w:pict w14:anchorId="16FD6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8" o:spid="_x0000_s1083" type="#_x0000_t75" style="position:absolute;margin-left:0;margin-top:0;width:251.1pt;height:533.7pt;z-index:-251557376;mso-position-horizontal:center;mso-position-horizontal-relative:margin;mso-position-vertical:center;mso-position-vertical-relative:margin" o:allowincell="f">
          <v:imagedata r:id="rId1" o:title="水印" gain="19661f" blacklevel="22938f"/>
          <w10:wrap anchorx="margin" anchory="margin"/>
        </v:shape>
      </w:pict>
    </w:r>
    <w:r w:rsidR="00C57439">
      <w:rPr>
        <w:rFonts w:hint="eastAsia"/>
        <w:sz w:val="20"/>
        <w:szCs w:val="20"/>
      </w:rPr>
      <w:t>目录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8DD3" w14:textId="13313E10" w:rsidR="00A320E6" w:rsidRDefault="00000000">
    <w:pPr>
      <w:pStyle w:val="a8"/>
      <w:pBdr>
        <w:bottom w:val="single" w:sz="4" w:space="1" w:color="auto"/>
      </w:pBdr>
      <w:jc w:val="right"/>
      <w:rPr>
        <w:sz w:val="20"/>
        <w:szCs w:val="20"/>
      </w:rPr>
    </w:pPr>
    <w:r>
      <w:rPr>
        <w:noProof/>
        <w:sz w:val="20"/>
        <w:szCs w:val="20"/>
      </w:rPr>
      <w:pict w14:anchorId="6326A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9" o:spid="_x0000_s1084" type="#_x0000_t75" style="position:absolute;left:0;text-align:left;margin-left:0;margin-top:0;width:251.1pt;height:533.7pt;z-index:-251556352;mso-position-horizontal:center;mso-position-horizontal-relative:margin;mso-position-vertical:center;mso-position-vertical-relative:margin" o:allowincell="f">
          <v:imagedata r:id="rId1" o:title="水印" gain="19661f" blacklevel="22938f"/>
          <w10:wrap anchorx="margin" anchory="margin"/>
        </v:shape>
      </w:pict>
    </w:r>
    <w:r w:rsidR="00C57439">
      <w:rPr>
        <w:rFonts w:hint="eastAsia"/>
        <w:sz w:val="20"/>
        <w:szCs w:val="20"/>
      </w:rPr>
      <w:t>目录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4765" w14:textId="64E27D67" w:rsidR="00A320E6" w:rsidRDefault="00000000">
    <w:pPr>
      <w:pStyle w:val="a8"/>
    </w:pPr>
    <w:r>
      <w:rPr>
        <w:noProof/>
      </w:rPr>
      <w:pict w14:anchorId="5FF1C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87" o:spid="_x0000_s1082" type="#_x0000_t75" style="position:absolute;left:0;text-align:left;margin-left:0;margin-top:0;width:251.1pt;height:533.7pt;z-index:-251558400;mso-position-horizontal:center;mso-position-horizontal-relative:margin;mso-position-vertical:center;mso-position-vertical-relative:margin" o:allowincell="f">
          <v:imagedata r:id="rId1" o:title="水印" gain="19661f" blacklevel="22938f"/>
          <w10:wrap anchorx="margin" anchory="margin"/>
        </v:shape>
      </w:pict>
    </w:r>
    <w:r w:rsidR="00C57439">
      <w:rPr>
        <w:noProof/>
      </w:rPr>
      <w:drawing>
        <wp:anchor distT="0" distB="0" distL="114300" distR="114300" simplePos="0" relativeHeight="251656704" behindDoc="1" locked="0" layoutInCell="0" allowOverlap="1" wp14:anchorId="2A4EEEEE" wp14:editId="3130E027">
          <wp:simplePos x="0" y="0"/>
          <wp:positionH relativeFrom="margin">
            <wp:align>center</wp:align>
          </wp:positionH>
          <wp:positionV relativeFrom="margin">
            <wp:align>center</wp:align>
          </wp:positionV>
          <wp:extent cx="3477895" cy="5038090"/>
          <wp:effectExtent l="0" t="0" r="1905" b="16510"/>
          <wp:wrapNone/>
          <wp:docPr id="36" name="WordPictureWatermark859890034" descr="中新纯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859890034" descr="中新纯logo"/>
                  <pic:cNvPicPr>
                    <a:picLocks noChangeAspect="1"/>
                  </pic:cNvPicPr>
                </pic:nvPicPr>
                <pic:blipFill>
                  <a:blip r:embed="rId2">
                    <a:lum bright="70001" contrast="-70000"/>
                  </a:blip>
                  <a:stretch>
                    <a:fillRect/>
                  </a:stretch>
                </pic:blipFill>
                <pic:spPr>
                  <a:xfrm>
                    <a:off x="0" y="0"/>
                    <a:ext cx="3477895" cy="5038090"/>
                  </a:xfrm>
                  <a:prstGeom prst="rect">
                    <a:avLst/>
                  </a:prstGeom>
                  <a:noFill/>
                  <a:ln w="9525">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423" w14:textId="6C4442D4" w:rsidR="00A320E6" w:rsidRDefault="00000000">
    <w:pPr>
      <w:pStyle w:val="a8"/>
      <w:jc w:val="left"/>
    </w:pPr>
    <w:r>
      <w:rPr>
        <w:noProof/>
      </w:rPr>
      <w:pict w14:anchorId="11C4A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91" o:spid="_x0000_s1086" type="#_x0000_t75" style="position:absolute;margin-left:0;margin-top:0;width:251.1pt;height:533.7pt;z-index:-251554304;mso-position-horizontal:center;mso-position-horizontal-relative:margin;mso-position-vertical:center;mso-position-vertical-relative:margin" o:allowincell="f">
          <v:imagedata r:id="rId1" o:title="水印" gain="19661f" blacklevel="22938f"/>
          <w10:wrap anchorx="margin" anchory="margin"/>
        </v:shape>
      </w:pict>
    </w:r>
    <w:r w:rsidR="00C57439">
      <w:rPr>
        <w:rFonts w:hint="eastAsia"/>
      </w:rPr>
      <w:t>资产评估相关法律法规汇编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6C80" w14:textId="3FACE9EC" w:rsidR="00A320E6" w:rsidRDefault="00000000">
    <w:pPr>
      <w:pStyle w:val="a8"/>
      <w:pBdr>
        <w:bottom w:val="single" w:sz="4" w:space="0" w:color="auto"/>
      </w:pBdr>
      <w:jc w:val="right"/>
    </w:pPr>
    <w:r>
      <w:rPr>
        <w:noProof/>
      </w:rPr>
      <w:pict w14:anchorId="6796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92" o:spid="_x0000_s1087" type="#_x0000_t75" style="position:absolute;left:0;text-align:left;margin-left:0;margin-top:0;width:251.1pt;height:533.7pt;z-index:-251553280;mso-position-horizontal:center;mso-position-horizontal-relative:margin;mso-position-vertical:center;mso-position-vertical-relative:margin" o:allowincell="f">
          <v:imagedata r:id="rId1" o:title="水印" gain="19661f" blacklevel="22938f"/>
          <w10:wrap anchorx="margin" anchory="margin"/>
        </v:shape>
      </w:pict>
    </w:r>
    <w:r w:rsidR="00C57439">
      <w:rPr>
        <w:rFonts w:hint="eastAsia"/>
      </w:rPr>
      <w:t>资产评估相关法律法规汇编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CA1C" w14:textId="5E183044" w:rsidR="00A320E6" w:rsidRDefault="00000000">
    <w:pPr>
      <w:pStyle w:val="a8"/>
    </w:pPr>
    <w:r>
      <w:rPr>
        <w:noProof/>
      </w:rPr>
      <w:pict w14:anchorId="61008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59490" o:spid="_x0000_s1085" type="#_x0000_t75" style="position:absolute;left:0;text-align:left;margin-left:0;margin-top:0;width:251.1pt;height:533.7pt;z-index:-251555328;mso-position-horizontal:center;mso-position-horizontal-relative:margin;mso-position-vertical:center;mso-position-vertical-relative:margin" o:allowincell="f">
          <v:imagedata r:id="rId1" o:title="水印"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A2760"/>
    <w:multiLevelType w:val="multilevel"/>
    <w:tmpl w:val="3BFA2760"/>
    <w:lvl w:ilvl="0">
      <w:start w:val="1"/>
      <w:numFmt w:val="japaneseCounting"/>
      <w:lvlText w:val="第%1章"/>
      <w:lvlJc w:val="left"/>
      <w:pPr>
        <w:ind w:left="945" w:hanging="94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2CB835B"/>
    <w:multiLevelType w:val="singleLevel"/>
    <w:tmpl w:val="62CB835B"/>
    <w:lvl w:ilvl="0">
      <w:start w:val="1"/>
      <w:numFmt w:val="chineseCounting"/>
      <w:suff w:val="nothing"/>
      <w:lvlText w:val="%1、"/>
      <w:lvlJc w:val="left"/>
    </w:lvl>
  </w:abstractNum>
  <w:abstractNum w:abstractNumId="2" w15:restartNumberingAfterBreak="0">
    <w:nsid w:val="62D51221"/>
    <w:multiLevelType w:val="singleLevel"/>
    <w:tmpl w:val="62D51221"/>
    <w:lvl w:ilvl="0">
      <w:start w:val="6"/>
      <w:numFmt w:val="chineseCounting"/>
      <w:suff w:val="nothing"/>
      <w:lvlText w:val="（%1）"/>
      <w:lvlJc w:val="left"/>
    </w:lvl>
  </w:abstractNum>
  <w:abstractNum w:abstractNumId="3" w15:restartNumberingAfterBreak="0">
    <w:nsid w:val="62E39576"/>
    <w:multiLevelType w:val="singleLevel"/>
    <w:tmpl w:val="62E39576"/>
    <w:lvl w:ilvl="0">
      <w:start w:val="10"/>
      <w:numFmt w:val="chineseCounting"/>
      <w:suff w:val="nothing"/>
      <w:lvlText w:val="第%1条"/>
      <w:lvlJc w:val="left"/>
    </w:lvl>
  </w:abstractNum>
  <w:abstractNum w:abstractNumId="4" w15:restartNumberingAfterBreak="0">
    <w:nsid w:val="62E3959B"/>
    <w:multiLevelType w:val="singleLevel"/>
    <w:tmpl w:val="62E3959B"/>
    <w:lvl w:ilvl="0">
      <w:start w:val="3"/>
      <w:numFmt w:val="chineseCounting"/>
      <w:suff w:val="nothing"/>
      <w:lvlText w:val="（%1）"/>
      <w:lvlJc w:val="left"/>
    </w:lvl>
  </w:abstractNum>
  <w:abstractNum w:abstractNumId="5" w15:restartNumberingAfterBreak="0">
    <w:nsid w:val="62E3A69E"/>
    <w:multiLevelType w:val="singleLevel"/>
    <w:tmpl w:val="62E3A69E"/>
    <w:lvl w:ilvl="0">
      <w:start w:val="3"/>
      <w:numFmt w:val="chineseCounting"/>
      <w:suff w:val="nothing"/>
      <w:lvlText w:val="第%1章"/>
      <w:lvlJc w:val="left"/>
    </w:lvl>
  </w:abstractNum>
  <w:num w:numId="1" w16cid:durableId="1792894856">
    <w:abstractNumId w:val="1"/>
  </w:num>
  <w:num w:numId="2" w16cid:durableId="887448205">
    <w:abstractNumId w:val="3"/>
  </w:num>
  <w:num w:numId="3" w16cid:durableId="911089288">
    <w:abstractNumId w:val="4"/>
  </w:num>
  <w:num w:numId="4" w16cid:durableId="433668534">
    <w:abstractNumId w:val="5"/>
  </w:num>
  <w:num w:numId="5" w16cid:durableId="69667901">
    <w:abstractNumId w:val="2"/>
  </w:num>
  <w:num w:numId="6" w16cid:durableId="30116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FFD6686"/>
    <w:rsid w:val="97BE5164"/>
    <w:rsid w:val="9AEFB89A"/>
    <w:rsid w:val="AFEA5096"/>
    <w:rsid w:val="B9DD8F89"/>
    <w:rsid w:val="BF9B536F"/>
    <w:rsid w:val="D8AFE4AE"/>
    <w:rsid w:val="DB35A91C"/>
    <w:rsid w:val="DCF21734"/>
    <w:rsid w:val="DF7F10A9"/>
    <w:rsid w:val="DFC0C8BB"/>
    <w:rsid w:val="E6DDC8B5"/>
    <w:rsid w:val="E77BAE1C"/>
    <w:rsid w:val="E7EFA933"/>
    <w:rsid w:val="EF5E6008"/>
    <w:rsid w:val="F25F3AED"/>
    <w:rsid w:val="F3ED7A13"/>
    <w:rsid w:val="F67E5FF4"/>
    <w:rsid w:val="F85F3DB3"/>
    <w:rsid w:val="FAE6F020"/>
    <w:rsid w:val="FB3EF412"/>
    <w:rsid w:val="FCFE4BDC"/>
    <w:rsid w:val="FD746EE5"/>
    <w:rsid w:val="FDB6CCEB"/>
    <w:rsid w:val="FDF06EFD"/>
    <w:rsid w:val="FE6FC857"/>
    <w:rsid w:val="FEC2B927"/>
    <w:rsid w:val="FF37AF3C"/>
    <w:rsid w:val="FF769184"/>
    <w:rsid w:val="FF97F5DD"/>
    <w:rsid w:val="FFB7FE07"/>
    <w:rsid w:val="FFC919E0"/>
    <w:rsid w:val="FFDD32DB"/>
    <w:rsid w:val="FFFD6686"/>
    <w:rsid w:val="FFFF34D2"/>
    <w:rsid w:val="0004718E"/>
    <w:rsid w:val="00090867"/>
    <w:rsid w:val="000B2928"/>
    <w:rsid w:val="000C1CE4"/>
    <w:rsid w:val="000E2429"/>
    <w:rsid w:val="00144390"/>
    <w:rsid w:val="001E602B"/>
    <w:rsid w:val="00242998"/>
    <w:rsid w:val="002A1705"/>
    <w:rsid w:val="002A3D5B"/>
    <w:rsid w:val="00311363"/>
    <w:rsid w:val="00320C3C"/>
    <w:rsid w:val="003259BC"/>
    <w:rsid w:val="0034113F"/>
    <w:rsid w:val="003B1F66"/>
    <w:rsid w:val="003D3E0F"/>
    <w:rsid w:val="003D4944"/>
    <w:rsid w:val="003F57DD"/>
    <w:rsid w:val="00407880"/>
    <w:rsid w:val="00414A88"/>
    <w:rsid w:val="00431106"/>
    <w:rsid w:val="00445D7B"/>
    <w:rsid w:val="00474926"/>
    <w:rsid w:val="004A60A8"/>
    <w:rsid w:val="004C6E90"/>
    <w:rsid w:val="004E6114"/>
    <w:rsid w:val="004F47B1"/>
    <w:rsid w:val="00520E9A"/>
    <w:rsid w:val="005764FC"/>
    <w:rsid w:val="0058001D"/>
    <w:rsid w:val="00607CA5"/>
    <w:rsid w:val="00621C83"/>
    <w:rsid w:val="00653C0D"/>
    <w:rsid w:val="00654A03"/>
    <w:rsid w:val="006A3ED9"/>
    <w:rsid w:val="006E4111"/>
    <w:rsid w:val="007B263B"/>
    <w:rsid w:val="007F2CBA"/>
    <w:rsid w:val="007F50F9"/>
    <w:rsid w:val="00827111"/>
    <w:rsid w:val="00855663"/>
    <w:rsid w:val="00856C05"/>
    <w:rsid w:val="008B03FA"/>
    <w:rsid w:val="008C30DF"/>
    <w:rsid w:val="008D1D0A"/>
    <w:rsid w:val="00944A38"/>
    <w:rsid w:val="0095000A"/>
    <w:rsid w:val="00952A96"/>
    <w:rsid w:val="00977BD5"/>
    <w:rsid w:val="009B5990"/>
    <w:rsid w:val="009D39F6"/>
    <w:rsid w:val="00A044A3"/>
    <w:rsid w:val="00A1539E"/>
    <w:rsid w:val="00A320E6"/>
    <w:rsid w:val="00A45A13"/>
    <w:rsid w:val="00A6550B"/>
    <w:rsid w:val="00A70BC1"/>
    <w:rsid w:val="00A85DBF"/>
    <w:rsid w:val="00AA2FAF"/>
    <w:rsid w:val="00AE0286"/>
    <w:rsid w:val="00AE3BF6"/>
    <w:rsid w:val="00B40F35"/>
    <w:rsid w:val="00B74663"/>
    <w:rsid w:val="00C27F7C"/>
    <w:rsid w:val="00C36EF7"/>
    <w:rsid w:val="00C57439"/>
    <w:rsid w:val="00C91D92"/>
    <w:rsid w:val="00D61E4F"/>
    <w:rsid w:val="00D71C66"/>
    <w:rsid w:val="00D947AC"/>
    <w:rsid w:val="00DA32ED"/>
    <w:rsid w:val="00E06E02"/>
    <w:rsid w:val="00E348F4"/>
    <w:rsid w:val="00E77641"/>
    <w:rsid w:val="00EC0B72"/>
    <w:rsid w:val="00EC50E9"/>
    <w:rsid w:val="00EC761E"/>
    <w:rsid w:val="00EF4D3D"/>
    <w:rsid w:val="00F53C81"/>
    <w:rsid w:val="00F64CCD"/>
    <w:rsid w:val="00F67407"/>
    <w:rsid w:val="00FE479E"/>
    <w:rsid w:val="1EFF16F8"/>
    <w:rsid w:val="1F7CD298"/>
    <w:rsid w:val="316FDBD7"/>
    <w:rsid w:val="33F6FDF2"/>
    <w:rsid w:val="354DAADF"/>
    <w:rsid w:val="3B9F17C7"/>
    <w:rsid w:val="3BE74A41"/>
    <w:rsid w:val="3C7F8D94"/>
    <w:rsid w:val="4FFE3046"/>
    <w:rsid w:val="56F01FE2"/>
    <w:rsid w:val="59E890E6"/>
    <w:rsid w:val="5B7F5172"/>
    <w:rsid w:val="5FFBB983"/>
    <w:rsid w:val="63DEDE4C"/>
    <w:rsid w:val="6B6F91AE"/>
    <w:rsid w:val="6EF88F4A"/>
    <w:rsid w:val="76534847"/>
    <w:rsid w:val="771FF388"/>
    <w:rsid w:val="77FF5327"/>
    <w:rsid w:val="79FDE2C2"/>
    <w:rsid w:val="7DFC38BB"/>
    <w:rsid w:val="7F8E19D6"/>
    <w:rsid w:val="7FDA961D"/>
    <w:rsid w:val="7FEE04B1"/>
    <w:rsid w:val="7FF73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D7DBC39"/>
  <w15:docId w15:val="{B8161101-CEEE-4372-A288-4D10CC30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qFormat="1"/>
    <w:lsdException w:name="Subtitle" w:qFormat="1"/>
    <w:lsdException w:name="Body Tex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hAnsiTheme="minorHAnsi" w:cstheme="minorBidi"/>
      <w:kern w:val="2"/>
      <w:sz w:val="21"/>
      <w:szCs w:val="22"/>
    </w:rPr>
  </w:style>
  <w:style w:type="paragraph" w:styleId="1">
    <w:name w:val="heading 1"/>
    <w:basedOn w:val="a"/>
    <w:next w:val="a"/>
    <w:qFormat/>
    <w:pPr>
      <w:keepNext/>
      <w:autoSpaceDE w:val="0"/>
      <w:autoSpaceDN w:val="0"/>
      <w:adjustRightInd w:val="0"/>
      <w:snapToGrid w:val="0"/>
      <w:spacing w:before="240" w:after="60" w:line="588" w:lineRule="atLeast"/>
      <w:outlineLvl w:val="0"/>
    </w:pPr>
    <w:rPr>
      <w:rFonts w:ascii="Cambria" w:hAnsi="Cambria" w:cs="黑体"/>
      <w:b/>
      <w:bCs/>
      <w:spacing w:val="6"/>
      <w:kern w:val="32"/>
      <w:sz w:val="32"/>
      <w:szCs w:val="32"/>
    </w:rPr>
  </w:style>
  <w:style w:type="paragraph" w:styleId="20">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spacing w:beforeAutospacing="1" w:afterAutospacing="1"/>
      <w:jc w:val="left"/>
      <w:outlineLvl w:val="2"/>
    </w:pPr>
    <w:rPr>
      <w:rFonts w:ascii="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spacing w:after="120" w:line="480" w:lineRule="auto"/>
      <w:ind w:leftChars="200" w:left="420"/>
    </w:pPr>
  </w:style>
  <w:style w:type="paragraph" w:styleId="a3">
    <w:name w:val="Normal Indent"/>
    <w:link w:val="a4"/>
    <w:qFormat/>
    <w:pPr>
      <w:widowControl w:val="0"/>
      <w:ind w:firstLineChars="200" w:firstLine="420"/>
      <w:jc w:val="both"/>
    </w:pPr>
    <w:rPr>
      <w:kern w:val="2"/>
      <w:sz w:val="21"/>
      <w:szCs w:val="24"/>
    </w:rPr>
  </w:style>
  <w:style w:type="paragraph" w:styleId="a5">
    <w:name w:val="Body Text"/>
    <w:basedOn w:val="a"/>
    <w:next w:val="a"/>
    <w:qFormat/>
    <w:pPr>
      <w:autoSpaceDE w:val="0"/>
      <w:autoSpaceDN w:val="0"/>
      <w:ind w:left="1418"/>
      <w:jc w:val="left"/>
    </w:pPr>
    <w:rPr>
      <w:rFonts w:ascii="宋体" w:hAnsi="宋体" w:cs="宋体"/>
      <w:kern w:val="0"/>
      <w:sz w:val="24"/>
      <w:szCs w:val="24"/>
      <w:lang w:val="zh-CN" w:bidi="zh-CN"/>
    </w:rPr>
  </w:style>
  <w:style w:type="paragraph" w:styleId="TOC3">
    <w:name w:val="toc 3"/>
    <w:basedOn w:val="a"/>
    <w:next w:val="a"/>
    <w:uiPriority w:val="39"/>
    <w:pPr>
      <w:ind w:leftChars="400" w:left="840"/>
    </w:pPr>
    <w:rPr>
      <w:rFonts w:ascii="Calibri" w:hAnsi="Calibri" w:cs="Times New Roman"/>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rPr>
      <w:rFonts w:ascii="Times New Roman" w:hAnsi="Times New Roman" w:cs="Times New Roman"/>
      <w:szCs w:val="24"/>
    </w:rPr>
  </w:style>
  <w:style w:type="paragraph" w:styleId="TOC2">
    <w:name w:val="toc 2"/>
    <w:basedOn w:val="a"/>
    <w:next w:val="a"/>
    <w:uiPriority w:val="39"/>
    <w:pPr>
      <w:ind w:leftChars="200" w:left="420"/>
    </w:pPr>
    <w:rPr>
      <w:rFonts w:ascii="Times New Roman" w:hAnsi="Times New Roman" w:cs="Times New Roman"/>
      <w:szCs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paragraph" w:styleId="a9">
    <w:name w:val="Normal (Web)"/>
    <w:basedOn w:val="a"/>
    <w:qFormat/>
    <w:pPr>
      <w:spacing w:beforeAutospacing="1" w:afterAutospacing="1"/>
      <w:jc w:val="left"/>
    </w:pPr>
    <w:rPr>
      <w:rFonts w:cs="Times New Roman"/>
      <w:kern w:val="0"/>
      <w:sz w:val="24"/>
    </w:rPr>
  </w:style>
  <w:style w:type="character" w:styleId="aa">
    <w:name w:val="Strong"/>
    <w:basedOn w:val="a0"/>
    <w:qFormat/>
    <w:rPr>
      <w:b/>
    </w:rPr>
  </w:style>
  <w:style w:type="character" w:styleId="ab">
    <w:name w:val="page number"/>
    <w:basedOn w:val="a0"/>
    <w:qFormat/>
  </w:style>
  <w:style w:type="character" w:styleId="ac">
    <w:name w:val="Hyperlink"/>
    <w:basedOn w:val="a0"/>
    <w:uiPriority w:val="99"/>
    <w:qFormat/>
    <w:rPr>
      <w:color w:val="0563C1" w:themeColor="hyperlink"/>
      <w:u w:val="single"/>
    </w:rPr>
  </w:style>
  <w:style w:type="character" w:styleId="ad">
    <w:name w:val="annotation reference"/>
    <w:basedOn w:val="a0"/>
    <w:qFormat/>
    <w:rPr>
      <w:sz w:val="21"/>
      <w:szCs w:val="21"/>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a"/>
    <w:qFormat/>
    <w:pPr>
      <w:spacing w:line="360" w:lineRule="auto"/>
      <w:ind w:firstLineChars="200" w:firstLine="360"/>
      <w:jc w:val="left"/>
    </w:pPr>
    <w:rPr>
      <w:sz w:val="24"/>
    </w:rPr>
  </w:style>
  <w:style w:type="paragraph" w:customStyle="1" w:styleId="TOC10">
    <w:name w:val="TOC 标题1"/>
    <w:basedOn w:val="1"/>
    <w:next w:val="a"/>
    <w:uiPriority w:val="39"/>
    <w:unhideWhenUsed/>
    <w:qFormat/>
    <w:pPr>
      <w:keepLines/>
      <w:widowControl/>
      <w:autoSpaceDE/>
      <w:autoSpaceDN/>
      <w:adjustRightInd/>
      <w:snapToGrid/>
      <w:spacing w:before="480" w:after="0" w:line="276" w:lineRule="auto"/>
      <w:jc w:val="left"/>
      <w:outlineLvl w:val="9"/>
    </w:pPr>
    <w:rPr>
      <w:rFonts w:asciiTheme="majorHAnsi" w:eastAsiaTheme="majorEastAsia" w:hAnsiTheme="majorHAnsi" w:cstheme="majorBidi"/>
      <w:color w:val="2E74B5" w:themeColor="accent1" w:themeShade="BF"/>
      <w:spacing w:val="0"/>
      <w:kern w:val="0"/>
      <w:sz w:val="28"/>
      <w:szCs w:val="28"/>
    </w:rPr>
  </w:style>
  <w:style w:type="paragraph" w:customStyle="1" w:styleId="11">
    <w:name w:val="级别1"/>
    <w:basedOn w:val="a"/>
    <w:qFormat/>
    <w:pPr>
      <w:spacing w:beforeLines="50" w:before="156" w:afterLines="50" w:after="156" w:line="360" w:lineRule="auto"/>
      <w:jc w:val="center"/>
      <w:outlineLvl w:val="0"/>
    </w:pPr>
    <w:rPr>
      <w:rFonts w:ascii="宋体" w:hAnsi="宋体"/>
      <w:b/>
      <w:bCs/>
      <w:sz w:val="32"/>
      <w:szCs w:val="32"/>
    </w:rPr>
  </w:style>
  <w:style w:type="paragraph" w:customStyle="1" w:styleId="21">
    <w:name w:val="级别2"/>
    <w:basedOn w:val="a"/>
    <w:qFormat/>
    <w:pPr>
      <w:keepNext/>
      <w:spacing w:beforeLines="50" w:before="50" w:afterLines="30" w:after="30" w:line="312" w:lineRule="auto"/>
      <w:jc w:val="center"/>
      <w:outlineLvl w:val="1"/>
    </w:pPr>
    <w:rPr>
      <w:rFonts w:ascii="宋体" w:hAnsi="宋体"/>
      <w:b/>
      <w:bCs/>
      <w:sz w:val="28"/>
      <w:szCs w:val="24"/>
    </w:rPr>
  </w:style>
  <w:style w:type="paragraph" w:customStyle="1" w:styleId="12">
    <w:name w:val="正文1"/>
    <w:basedOn w:val="a"/>
    <w:qFormat/>
    <w:pPr>
      <w:spacing w:line="312" w:lineRule="auto"/>
      <w:ind w:firstLineChars="200" w:firstLine="480"/>
    </w:pPr>
    <w:rPr>
      <w:rFonts w:ascii="宋体" w:hAnsi="宋体"/>
      <w:sz w:val="24"/>
      <w:szCs w:val="24"/>
    </w:rPr>
  </w:style>
  <w:style w:type="paragraph" w:customStyle="1" w:styleId="13">
    <w:name w:val="1章节名"/>
    <w:basedOn w:val="a"/>
    <w:link w:val="14"/>
    <w:qFormat/>
    <w:pPr>
      <w:keepNext/>
      <w:spacing w:beforeLines="20" w:before="20" w:afterLines="20" w:after="20" w:line="312" w:lineRule="auto"/>
      <w:jc w:val="center"/>
    </w:pPr>
    <w:rPr>
      <w:rFonts w:ascii="宋体" w:hAnsi="宋体"/>
      <w:b/>
      <w:bCs/>
      <w:sz w:val="24"/>
      <w:szCs w:val="24"/>
    </w:rPr>
  </w:style>
  <w:style w:type="paragraph" w:customStyle="1" w:styleId="Default">
    <w:name w:val="Default"/>
    <w:pPr>
      <w:widowControl w:val="0"/>
      <w:autoSpaceDE w:val="0"/>
      <w:autoSpaceDN w:val="0"/>
      <w:adjustRightInd w:val="0"/>
    </w:pPr>
    <w:rPr>
      <w:rFonts w:ascii="微软雅黑" w:eastAsia="微软雅黑" w:cs="微软雅黑"/>
      <w:color w:val="000000"/>
      <w:sz w:val="24"/>
      <w:szCs w:val="24"/>
    </w:rPr>
  </w:style>
  <w:style w:type="paragraph" w:customStyle="1" w:styleId="15">
    <w:name w:val="列表段落1"/>
    <w:basedOn w:val="a"/>
    <w:uiPriority w:val="34"/>
    <w:qFormat/>
    <w:pPr>
      <w:ind w:firstLineChars="200" w:firstLine="420"/>
    </w:pPr>
  </w:style>
  <w:style w:type="paragraph" w:customStyle="1" w:styleId="af">
    <w:name w:val="段"/>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font51">
    <w:name w:val="font51"/>
    <w:basedOn w:val="a0"/>
    <w:rPr>
      <w:rFonts w:ascii="黑体" w:eastAsia="黑体" w:hAnsi="宋体" w:cs="黑体"/>
      <w:color w:val="000000"/>
      <w:sz w:val="22"/>
      <w:szCs w:val="22"/>
      <w:u w:val="none"/>
    </w:rPr>
  </w:style>
  <w:style w:type="character" w:customStyle="1" w:styleId="150">
    <w:name w:val="15"/>
    <w:rPr>
      <w:rFonts w:ascii="宋体" w:eastAsia="宋体" w:hAnsi="宋体" w:hint="eastAsia"/>
      <w:color w:val="000000"/>
      <w:sz w:val="18"/>
      <w:szCs w:val="18"/>
    </w:rPr>
  </w:style>
  <w:style w:type="character" w:customStyle="1" w:styleId="font21">
    <w:name w:val="font21"/>
    <w:basedOn w:val="a0"/>
    <w:rPr>
      <w:rFonts w:ascii="宋体" w:eastAsia="宋体" w:hAnsi="宋体" w:cs="宋体" w:hint="eastAsia"/>
      <w:color w:val="000000"/>
      <w:sz w:val="18"/>
      <w:szCs w:val="18"/>
      <w:u w:val="none"/>
      <w:vertAlign w:val="superscript"/>
    </w:rPr>
  </w:style>
  <w:style w:type="character" w:customStyle="1" w:styleId="font11">
    <w:name w:val="font11"/>
    <w:basedOn w:val="a0"/>
    <w:rPr>
      <w:rFonts w:ascii="Arial" w:hAnsi="Arial" w:cs="Arial"/>
      <w:color w:val="000000"/>
      <w:sz w:val="18"/>
      <w:szCs w:val="18"/>
      <w:u w:val="none"/>
    </w:rPr>
  </w:style>
  <w:style w:type="character" w:customStyle="1" w:styleId="font01">
    <w:name w:val="font01"/>
    <w:basedOn w:val="a0"/>
    <w:rPr>
      <w:rFonts w:ascii="Times New Roman" w:hAnsi="Times New Roman" w:cs="Times New Roman" w:hint="default"/>
      <w:color w:val="000000"/>
      <w:sz w:val="18"/>
      <w:szCs w:val="18"/>
      <w:u w:val="none"/>
    </w:rPr>
  </w:style>
  <w:style w:type="character" w:customStyle="1" w:styleId="font31">
    <w:name w:val="font31"/>
    <w:basedOn w:val="a0"/>
    <w:rPr>
      <w:rFonts w:ascii="宋体" w:eastAsia="宋体" w:hAnsi="宋体" w:cs="宋体" w:hint="eastAsia"/>
      <w:color w:val="000000"/>
      <w:sz w:val="22"/>
      <w:szCs w:val="22"/>
      <w:u w:val="none"/>
      <w:vertAlign w:val="superscript"/>
    </w:rPr>
  </w:style>
  <w:style w:type="character" w:customStyle="1" w:styleId="font61">
    <w:name w:val="font61"/>
    <w:basedOn w:val="a0"/>
    <w:rPr>
      <w:rFonts w:ascii="宋体" w:eastAsia="宋体" w:hAnsi="宋体" w:cs="宋体" w:hint="eastAsia"/>
      <w:color w:val="000000"/>
      <w:sz w:val="22"/>
      <w:szCs w:val="22"/>
      <w:u w:val="none"/>
    </w:rPr>
  </w:style>
  <w:style w:type="character" w:customStyle="1" w:styleId="font41">
    <w:name w:val="font41"/>
    <w:basedOn w:val="a0"/>
    <w:rPr>
      <w:rFonts w:ascii="宋体" w:eastAsia="宋体" w:hAnsi="宋体" w:cs="宋体" w:hint="eastAsia"/>
      <w:color w:val="000000"/>
      <w:sz w:val="22"/>
      <w:szCs w:val="22"/>
      <w:u w:val="none"/>
    </w:rPr>
  </w:style>
  <w:style w:type="paragraph" w:customStyle="1" w:styleId="16">
    <w:name w:val="标题 #1"/>
    <w:basedOn w:val="a"/>
    <w:link w:val="17"/>
    <w:qFormat/>
    <w:pPr>
      <w:shd w:val="clear" w:color="auto" w:fill="FFFFFF"/>
      <w:spacing w:after="660" w:line="0" w:lineRule="atLeast"/>
      <w:jc w:val="center"/>
      <w:outlineLvl w:val="0"/>
    </w:pPr>
    <w:rPr>
      <w:rFonts w:ascii="宋体" w:hAnsi="宋体" w:cs="宋体"/>
      <w:spacing w:val="-10"/>
      <w:sz w:val="36"/>
      <w:szCs w:val="36"/>
    </w:rPr>
  </w:style>
  <w:style w:type="character" w:customStyle="1" w:styleId="1CenturySchoolbook">
    <w:name w:val="标题 #1 + Century Schoolbook"/>
    <w:basedOn w:val="17"/>
    <w:qFormat/>
    <w:rPr>
      <w:rFonts w:ascii="Century Schoolbook" w:eastAsia="Century Schoolbook" w:hAnsi="Century Schoolbook" w:cs="Century Schoolbook"/>
      <w:color w:val="000000"/>
      <w:spacing w:val="-10"/>
      <w:w w:val="100"/>
      <w:position w:val="0"/>
      <w:sz w:val="36"/>
      <w:szCs w:val="36"/>
      <w:u w:val="none"/>
      <w:lang w:val="zh-TW" w:eastAsia="zh-TW" w:bidi="zh-TW"/>
    </w:rPr>
  </w:style>
  <w:style w:type="character" w:customStyle="1" w:styleId="17">
    <w:name w:val="标题 #1_"/>
    <w:basedOn w:val="a0"/>
    <w:link w:val="16"/>
    <w:qFormat/>
    <w:rPr>
      <w:rFonts w:ascii="宋体" w:eastAsia="宋体" w:hAnsi="宋体" w:cs="宋体"/>
      <w:spacing w:val="-10"/>
      <w:sz w:val="36"/>
      <w:szCs w:val="36"/>
      <w:u w:val="none"/>
    </w:rPr>
  </w:style>
  <w:style w:type="paragraph" w:customStyle="1" w:styleId="22">
    <w:name w:val="正文文本 (2)"/>
    <w:basedOn w:val="a"/>
    <w:link w:val="23"/>
    <w:qFormat/>
    <w:pPr>
      <w:shd w:val="clear" w:color="auto" w:fill="FFFFFF"/>
      <w:spacing w:before="660" w:after="300" w:line="615" w:lineRule="exact"/>
    </w:pPr>
    <w:rPr>
      <w:rFonts w:ascii="宋体" w:hAnsi="宋体" w:cs="宋体"/>
      <w:spacing w:val="20"/>
      <w:sz w:val="30"/>
      <w:szCs w:val="30"/>
    </w:rPr>
  </w:style>
  <w:style w:type="paragraph" w:customStyle="1" w:styleId="30">
    <w:name w:val="正文文本 (3)"/>
    <w:basedOn w:val="a"/>
    <w:qFormat/>
    <w:pPr>
      <w:shd w:val="clear" w:color="auto" w:fill="FFFFFF"/>
      <w:spacing w:before="300" w:after="300" w:line="0" w:lineRule="atLeast"/>
      <w:ind w:firstLine="700"/>
    </w:pPr>
    <w:rPr>
      <w:rFonts w:ascii="宋体" w:hAnsi="宋体" w:cs="宋体"/>
      <w:sz w:val="32"/>
      <w:szCs w:val="32"/>
    </w:rPr>
  </w:style>
  <w:style w:type="paragraph" w:customStyle="1" w:styleId="4">
    <w:name w:val="正文文本 (4)"/>
    <w:basedOn w:val="a"/>
    <w:link w:val="40"/>
    <w:qFormat/>
    <w:pPr>
      <w:shd w:val="clear" w:color="auto" w:fill="FFFFFF"/>
      <w:spacing w:line="615" w:lineRule="exact"/>
    </w:pPr>
    <w:rPr>
      <w:rFonts w:ascii="宋体" w:hAnsi="宋体" w:cs="宋体"/>
      <w:b/>
      <w:bCs/>
      <w:sz w:val="32"/>
      <w:szCs w:val="32"/>
    </w:rPr>
  </w:style>
  <w:style w:type="character" w:customStyle="1" w:styleId="41">
    <w:name w:val="正文文本 (4) + 非粗体"/>
    <w:basedOn w:val="40"/>
    <w:qFormat/>
    <w:rPr>
      <w:rFonts w:ascii="宋体" w:eastAsia="宋体" w:hAnsi="宋体" w:cs="宋体"/>
      <w:b/>
      <w:bCs/>
      <w:color w:val="000000"/>
      <w:spacing w:val="40"/>
      <w:w w:val="100"/>
      <w:position w:val="0"/>
      <w:sz w:val="32"/>
      <w:szCs w:val="32"/>
      <w:u w:val="none"/>
      <w:lang w:val="zh-TW" w:eastAsia="zh-TW" w:bidi="zh-TW"/>
    </w:rPr>
  </w:style>
  <w:style w:type="character" w:customStyle="1" w:styleId="40">
    <w:name w:val="正文文本 (4)_"/>
    <w:basedOn w:val="a0"/>
    <w:link w:val="4"/>
    <w:qFormat/>
    <w:rPr>
      <w:rFonts w:ascii="宋体" w:eastAsia="宋体" w:hAnsi="宋体" w:cs="宋体"/>
      <w:b/>
      <w:bCs/>
      <w:sz w:val="32"/>
      <w:szCs w:val="32"/>
      <w:u w:val="none"/>
    </w:rPr>
  </w:style>
  <w:style w:type="character" w:customStyle="1" w:styleId="214pt">
    <w:name w:val="正文文本 (2) + 14 pt"/>
    <w:basedOn w:val="23"/>
    <w:qFormat/>
    <w:rPr>
      <w:rFonts w:ascii="宋体" w:eastAsia="宋体" w:hAnsi="宋体" w:cs="宋体"/>
      <w:color w:val="000000"/>
      <w:spacing w:val="0"/>
      <w:w w:val="100"/>
      <w:position w:val="0"/>
      <w:sz w:val="28"/>
      <w:szCs w:val="28"/>
      <w:u w:val="none"/>
      <w:lang w:val="zh-TW" w:eastAsia="zh-TW" w:bidi="zh-TW"/>
    </w:rPr>
  </w:style>
  <w:style w:type="character" w:customStyle="1" w:styleId="23">
    <w:name w:val="正文文本 (2)_"/>
    <w:basedOn w:val="a0"/>
    <w:link w:val="22"/>
    <w:qFormat/>
    <w:rPr>
      <w:rFonts w:ascii="宋体" w:eastAsia="宋体" w:hAnsi="宋体" w:cs="宋体"/>
      <w:spacing w:val="20"/>
      <w:sz w:val="30"/>
      <w:szCs w:val="30"/>
      <w:u w:val="none"/>
    </w:rPr>
  </w:style>
  <w:style w:type="character" w:customStyle="1" w:styleId="216pt">
    <w:name w:val="正文文本 (2) + 16 pt"/>
    <w:basedOn w:val="23"/>
    <w:qFormat/>
    <w:rPr>
      <w:rFonts w:ascii="宋体" w:eastAsia="宋体" w:hAnsi="宋体" w:cs="宋体"/>
      <w:color w:val="000000"/>
      <w:spacing w:val="0"/>
      <w:w w:val="100"/>
      <w:position w:val="0"/>
      <w:sz w:val="32"/>
      <w:szCs w:val="32"/>
      <w:u w:val="none"/>
      <w:lang w:val="zh-TW" w:eastAsia="zh-TW" w:bidi="zh-TW"/>
    </w:rPr>
  </w:style>
  <w:style w:type="character" w:customStyle="1" w:styleId="2CenturySchoolbook">
    <w:name w:val="正文文本 (2) + Century Schoolbook"/>
    <w:basedOn w:val="23"/>
    <w:qFormat/>
    <w:rPr>
      <w:rFonts w:ascii="Century Schoolbook" w:eastAsia="Century Schoolbook" w:hAnsi="Century Schoolbook" w:cs="Century Schoolbook"/>
      <w:color w:val="000000"/>
      <w:spacing w:val="30"/>
      <w:w w:val="100"/>
      <w:position w:val="0"/>
      <w:sz w:val="30"/>
      <w:szCs w:val="30"/>
      <w:u w:val="none"/>
      <w:lang w:val="en-US" w:eastAsia="en-US" w:bidi="en-US"/>
    </w:rPr>
  </w:style>
  <w:style w:type="paragraph" w:customStyle="1" w:styleId="24">
    <w:name w:val="标题 #2"/>
    <w:basedOn w:val="a"/>
    <w:qFormat/>
    <w:pPr>
      <w:shd w:val="clear" w:color="auto" w:fill="FFFFFF"/>
      <w:spacing w:line="615" w:lineRule="exact"/>
      <w:ind w:firstLine="680"/>
      <w:jc w:val="distribute"/>
      <w:outlineLvl w:val="1"/>
    </w:pPr>
    <w:rPr>
      <w:rFonts w:ascii="宋体" w:hAnsi="宋体" w:cs="宋体"/>
      <w:b/>
      <w:bCs/>
      <w:sz w:val="32"/>
      <w:szCs w:val="32"/>
    </w:rPr>
  </w:style>
  <w:style w:type="paragraph" w:customStyle="1" w:styleId="25">
    <w:name w:val="表格标题 (2)"/>
    <w:basedOn w:val="a"/>
    <w:qFormat/>
    <w:pPr>
      <w:shd w:val="clear" w:color="auto" w:fill="FFFFFF"/>
      <w:spacing w:line="0" w:lineRule="atLeast"/>
    </w:pPr>
    <w:rPr>
      <w:rFonts w:ascii="宋体" w:hAnsi="宋体" w:cs="宋体"/>
      <w:spacing w:val="30"/>
    </w:rPr>
  </w:style>
  <w:style w:type="character" w:customStyle="1" w:styleId="285pt">
    <w:name w:val="正文文本 (2) + 8.5 pt"/>
    <w:basedOn w:val="23"/>
    <w:qFormat/>
    <w:rPr>
      <w:rFonts w:ascii="宋体" w:eastAsia="宋体" w:hAnsi="宋体" w:cs="宋体"/>
      <w:color w:val="000000"/>
      <w:spacing w:val="20"/>
      <w:w w:val="100"/>
      <w:position w:val="0"/>
      <w:sz w:val="17"/>
      <w:szCs w:val="17"/>
      <w:u w:val="none"/>
      <w:lang w:val="zh-TW" w:eastAsia="zh-TW" w:bidi="zh-TW"/>
    </w:rPr>
  </w:style>
  <w:style w:type="character" w:customStyle="1" w:styleId="2Sylfaen">
    <w:name w:val="正文文本 (2) + Sylfaen"/>
    <w:basedOn w:val="23"/>
    <w:qFormat/>
    <w:rPr>
      <w:rFonts w:ascii="Sylfaen" w:eastAsia="Sylfaen" w:hAnsi="Sylfaen" w:cs="Sylfaen"/>
      <w:color w:val="000000"/>
      <w:spacing w:val="0"/>
      <w:w w:val="100"/>
      <w:position w:val="0"/>
      <w:sz w:val="8"/>
      <w:szCs w:val="8"/>
      <w:u w:val="none"/>
      <w:lang w:val="en-US" w:eastAsia="en-US" w:bidi="en-US"/>
    </w:rPr>
  </w:style>
  <w:style w:type="paragraph" w:customStyle="1" w:styleId="5">
    <w:name w:val="正文文本 (5)"/>
    <w:basedOn w:val="a"/>
    <w:link w:val="50"/>
    <w:qFormat/>
    <w:pPr>
      <w:shd w:val="clear" w:color="auto" w:fill="FFFFFF"/>
      <w:spacing w:line="0" w:lineRule="atLeast"/>
      <w:jc w:val="center"/>
    </w:pPr>
    <w:rPr>
      <w:rFonts w:ascii="宋体" w:hAnsi="宋体" w:cs="宋体"/>
      <w:sz w:val="22"/>
    </w:rPr>
  </w:style>
  <w:style w:type="character" w:customStyle="1" w:styleId="211pt">
    <w:name w:val="正文文本 (2) + 11 pt"/>
    <w:basedOn w:val="23"/>
    <w:qFormat/>
    <w:rPr>
      <w:rFonts w:ascii="宋体" w:eastAsia="宋体" w:hAnsi="宋体" w:cs="宋体"/>
      <w:color w:val="000000"/>
      <w:spacing w:val="0"/>
      <w:w w:val="100"/>
      <w:position w:val="0"/>
      <w:sz w:val="22"/>
      <w:szCs w:val="22"/>
      <w:u w:val="none"/>
      <w:lang w:val="zh-TW" w:eastAsia="zh-TW" w:bidi="zh-TW"/>
    </w:rPr>
  </w:style>
  <w:style w:type="paragraph" w:customStyle="1" w:styleId="6">
    <w:name w:val="正文文本 (6)"/>
    <w:basedOn w:val="a"/>
    <w:link w:val="60"/>
    <w:qFormat/>
    <w:pPr>
      <w:shd w:val="clear" w:color="auto" w:fill="FFFFFF"/>
      <w:spacing w:before="420" w:line="0" w:lineRule="atLeast"/>
    </w:pPr>
    <w:rPr>
      <w:rFonts w:ascii="宋体" w:hAnsi="宋体" w:cs="宋体"/>
      <w:spacing w:val="20"/>
      <w:szCs w:val="21"/>
    </w:rPr>
  </w:style>
  <w:style w:type="character" w:customStyle="1" w:styleId="6CenturySchoolbook">
    <w:name w:val="正文文本 (6) + Century Schoolbook"/>
    <w:basedOn w:val="60"/>
    <w:qFormat/>
    <w:rPr>
      <w:rFonts w:ascii="Century Schoolbook" w:eastAsia="Century Schoolbook" w:hAnsi="Century Schoolbook" w:cs="Century Schoolbook"/>
      <w:color w:val="000000"/>
      <w:spacing w:val="0"/>
      <w:w w:val="100"/>
      <w:position w:val="0"/>
      <w:sz w:val="19"/>
      <w:szCs w:val="19"/>
      <w:u w:val="none"/>
      <w:lang w:val="en-US" w:eastAsia="en-US" w:bidi="en-US"/>
    </w:rPr>
  </w:style>
  <w:style w:type="character" w:customStyle="1" w:styleId="60">
    <w:name w:val="正文文本 (6)_"/>
    <w:basedOn w:val="a0"/>
    <w:link w:val="6"/>
    <w:qFormat/>
    <w:rPr>
      <w:rFonts w:ascii="宋体" w:eastAsia="宋体" w:hAnsi="宋体" w:cs="宋体"/>
      <w:spacing w:val="20"/>
      <w:sz w:val="21"/>
      <w:szCs w:val="21"/>
      <w:u w:val="none"/>
    </w:rPr>
  </w:style>
  <w:style w:type="character" w:customStyle="1" w:styleId="2CourierNew">
    <w:name w:val="正文文本 (2) + Courier New"/>
    <w:basedOn w:val="23"/>
    <w:qFormat/>
    <w:rPr>
      <w:rFonts w:ascii="Courier New" w:eastAsia="Courier New" w:hAnsi="Courier New" w:cs="Courier New"/>
      <w:i/>
      <w:iCs/>
      <w:color w:val="000000"/>
      <w:spacing w:val="-70"/>
      <w:w w:val="100"/>
      <w:position w:val="0"/>
      <w:sz w:val="34"/>
      <w:szCs w:val="34"/>
      <w:u w:val="none"/>
      <w:lang w:val="en-US" w:eastAsia="en-US" w:bidi="en-US"/>
    </w:rPr>
  </w:style>
  <w:style w:type="paragraph" w:customStyle="1" w:styleId="af0">
    <w:name w:val="表格标题"/>
    <w:basedOn w:val="a"/>
    <w:link w:val="af1"/>
    <w:qFormat/>
    <w:pPr>
      <w:shd w:val="clear" w:color="auto" w:fill="FFFFFF"/>
      <w:spacing w:line="0" w:lineRule="atLeast"/>
    </w:pPr>
    <w:rPr>
      <w:rFonts w:ascii="宋体" w:hAnsi="宋体" w:cs="宋体"/>
      <w:sz w:val="22"/>
    </w:rPr>
  </w:style>
  <w:style w:type="character" w:customStyle="1" w:styleId="2105pt">
    <w:name w:val="正文文本 (2) + 10.5 pt"/>
    <w:basedOn w:val="23"/>
    <w:qFormat/>
    <w:rPr>
      <w:rFonts w:ascii="宋体" w:eastAsia="宋体" w:hAnsi="宋体" w:cs="宋体"/>
      <w:color w:val="000000"/>
      <w:spacing w:val="0"/>
      <w:w w:val="100"/>
      <w:position w:val="0"/>
      <w:sz w:val="21"/>
      <w:szCs w:val="21"/>
      <w:u w:val="none"/>
      <w:lang w:val="zh-TW" w:eastAsia="zh-TW" w:bidi="zh-TW"/>
    </w:rPr>
  </w:style>
  <w:style w:type="paragraph" w:customStyle="1" w:styleId="31">
    <w:name w:val="表格标题 (3)"/>
    <w:basedOn w:val="a"/>
    <w:link w:val="32"/>
    <w:qFormat/>
    <w:pPr>
      <w:shd w:val="clear" w:color="auto" w:fill="FFFFFF"/>
      <w:spacing w:line="0" w:lineRule="atLeast"/>
    </w:pPr>
    <w:rPr>
      <w:rFonts w:ascii="宋体" w:hAnsi="宋体" w:cs="宋体"/>
      <w:b/>
      <w:bCs/>
      <w:sz w:val="32"/>
      <w:szCs w:val="32"/>
    </w:rPr>
  </w:style>
  <w:style w:type="character" w:customStyle="1" w:styleId="311pt">
    <w:name w:val="表格标题 (3) + 11 pt"/>
    <w:basedOn w:val="32"/>
    <w:qFormat/>
    <w:rPr>
      <w:rFonts w:ascii="宋体" w:eastAsia="宋体" w:hAnsi="宋体" w:cs="宋体"/>
      <w:b/>
      <w:bCs/>
      <w:color w:val="000000"/>
      <w:spacing w:val="30"/>
      <w:w w:val="150"/>
      <w:position w:val="0"/>
      <w:sz w:val="22"/>
      <w:szCs w:val="22"/>
      <w:u w:val="none"/>
      <w:lang w:val="zh-TW" w:eastAsia="zh-TW" w:bidi="zh-TW"/>
    </w:rPr>
  </w:style>
  <w:style w:type="character" w:customStyle="1" w:styleId="32">
    <w:name w:val="表格标题 (3)_"/>
    <w:basedOn w:val="a0"/>
    <w:link w:val="31"/>
    <w:qFormat/>
    <w:rPr>
      <w:rFonts w:ascii="宋体" w:eastAsia="宋体" w:hAnsi="宋体" w:cs="宋体"/>
      <w:b/>
      <w:bCs/>
      <w:sz w:val="32"/>
      <w:szCs w:val="32"/>
      <w:u w:val="none"/>
    </w:rPr>
  </w:style>
  <w:style w:type="character" w:customStyle="1" w:styleId="5CenturySchoolbook">
    <w:name w:val="正文文本 (5) + Century Schoolbook"/>
    <w:basedOn w:val="50"/>
    <w:qFormat/>
    <w:rPr>
      <w:rFonts w:ascii="Century Schoolbook" w:eastAsia="Century Schoolbook" w:hAnsi="Century Schoolbook" w:cs="Century Schoolbook"/>
      <w:color w:val="000000"/>
      <w:spacing w:val="-10"/>
      <w:w w:val="100"/>
      <w:position w:val="0"/>
      <w:sz w:val="28"/>
      <w:szCs w:val="28"/>
      <w:u w:val="none"/>
      <w:lang w:val="en-US" w:eastAsia="en-US" w:bidi="en-US"/>
    </w:rPr>
  </w:style>
  <w:style w:type="character" w:customStyle="1" w:styleId="50">
    <w:name w:val="正文文本 (5)_"/>
    <w:basedOn w:val="a0"/>
    <w:link w:val="5"/>
    <w:qFormat/>
    <w:rPr>
      <w:rFonts w:ascii="宋体" w:eastAsia="宋体" w:hAnsi="宋体" w:cs="宋体"/>
      <w:sz w:val="22"/>
      <w:szCs w:val="22"/>
      <w:u w:val="none"/>
    </w:rPr>
  </w:style>
  <w:style w:type="character" w:customStyle="1" w:styleId="25pt">
    <w:name w:val="正文文本 (2) + 间距 5 pt"/>
    <w:basedOn w:val="23"/>
    <w:qFormat/>
    <w:rPr>
      <w:rFonts w:ascii="宋体" w:eastAsia="宋体" w:hAnsi="宋体" w:cs="宋体"/>
      <w:color w:val="000000"/>
      <w:spacing w:val="100"/>
      <w:w w:val="100"/>
      <w:position w:val="0"/>
      <w:sz w:val="30"/>
      <w:szCs w:val="30"/>
      <w:u w:val="none"/>
      <w:lang w:val="zh-TW" w:eastAsia="zh-TW" w:bidi="zh-TW"/>
    </w:rPr>
  </w:style>
  <w:style w:type="character" w:customStyle="1" w:styleId="1pt">
    <w:name w:val="表格标题 + 间距 1 pt"/>
    <w:basedOn w:val="af1"/>
    <w:qFormat/>
    <w:rPr>
      <w:rFonts w:ascii="宋体" w:eastAsia="宋体" w:hAnsi="宋体" w:cs="宋体"/>
      <w:color w:val="000000"/>
      <w:spacing w:val="30"/>
      <w:w w:val="100"/>
      <w:position w:val="0"/>
      <w:sz w:val="22"/>
      <w:szCs w:val="22"/>
      <w:u w:val="none"/>
      <w:lang w:val="zh-TW" w:eastAsia="zh-TW" w:bidi="zh-TW"/>
    </w:rPr>
  </w:style>
  <w:style w:type="character" w:customStyle="1" w:styleId="af1">
    <w:name w:val="表格标题_"/>
    <w:basedOn w:val="a0"/>
    <w:link w:val="af0"/>
    <w:qFormat/>
    <w:rPr>
      <w:rFonts w:ascii="宋体" w:eastAsia="宋体" w:hAnsi="宋体" w:cs="宋体"/>
      <w:sz w:val="22"/>
      <w:szCs w:val="22"/>
      <w:u w:val="none"/>
    </w:rPr>
  </w:style>
  <w:style w:type="character" w:customStyle="1" w:styleId="33">
    <w:name w:val="表格标题 (3) + 非粗体"/>
    <w:basedOn w:val="32"/>
    <w:qFormat/>
    <w:rPr>
      <w:rFonts w:ascii="宋体" w:eastAsia="宋体" w:hAnsi="宋体" w:cs="宋体"/>
      <w:b/>
      <w:bCs/>
      <w:color w:val="000000"/>
      <w:spacing w:val="0"/>
      <w:w w:val="100"/>
      <w:position w:val="0"/>
      <w:sz w:val="32"/>
      <w:szCs w:val="32"/>
      <w:u w:val="none"/>
      <w:lang w:val="zh-TW" w:eastAsia="zh-TW" w:bidi="zh-TW"/>
    </w:rPr>
  </w:style>
  <w:style w:type="character" w:customStyle="1" w:styleId="24pt">
    <w:name w:val="正文文本 (2) + 4 pt"/>
    <w:basedOn w:val="23"/>
    <w:qFormat/>
    <w:rPr>
      <w:rFonts w:ascii="宋体" w:eastAsia="宋体" w:hAnsi="宋体" w:cs="宋体"/>
      <w:color w:val="000000"/>
      <w:spacing w:val="0"/>
      <w:w w:val="66"/>
      <w:position w:val="0"/>
      <w:sz w:val="8"/>
      <w:szCs w:val="8"/>
      <w:u w:val="none"/>
      <w:lang w:val="zh-TW" w:eastAsia="zh-TW" w:bidi="zh-TW"/>
    </w:rPr>
  </w:style>
  <w:style w:type="character" w:customStyle="1" w:styleId="214ptExact">
    <w:name w:val="正文文本 (2) + 间距 14 pt Exact"/>
    <w:basedOn w:val="23"/>
    <w:qFormat/>
    <w:rPr>
      <w:rFonts w:ascii="宋体" w:eastAsia="宋体" w:hAnsi="宋体" w:cs="宋体"/>
      <w:color w:val="000000"/>
      <w:spacing w:val="280"/>
      <w:w w:val="100"/>
      <w:position w:val="0"/>
      <w:sz w:val="30"/>
      <w:szCs w:val="30"/>
      <w:u w:val="none"/>
      <w:lang w:val="zh-TW" w:eastAsia="zh-TW" w:bidi="zh-TW"/>
    </w:rPr>
  </w:style>
  <w:style w:type="character" w:customStyle="1" w:styleId="2Exact">
    <w:name w:val="正文文本 (2) Exact"/>
    <w:basedOn w:val="a0"/>
    <w:qFormat/>
    <w:rPr>
      <w:rFonts w:ascii="宋体" w:eastAsia="宋体" w:hAnsi="宋体" w:cs="宋体"/>
      <w:spacing w:val="20"/>
      <w:sz w:val="30"/>
      <w:szCs w:val="30"/>
      <w:u w:val="none"/>
    </w:rPr>
  </w:style>
  <w:style w:type="paragraph" w:customStyle="1" w:styleId="af2">
    <w:name w:val="脚注"/>
    <w:basedOn w:val="a"/>
    <w:link w:val="af3"/>
    <w:qFormat/>
    <w:pPr>
      <w:shd w:val="clear" w:color="auto" w:fill="FFFFFF"/>
      <w:spacing w:line="240" w:lineRule="exact"/>
      <w:jc w:val="distribute"/>
    </w:pPr>
    <w:rPr>
      <w:rFonts w:ascii="宋体" w:hAnsi="宋体" w:cs="宋体"/>
      <w:sz w:val="17"/>
      <w:szCs w:val="17"/>
    </w:rPr>
  </w:style>
  <w:style w:type="character" w:customStyle="1" w:styleId="CenturySchoolbook">
    <w:name w:val="脚注 + Century Schoolbook"/>
    <w:basedOn w:val="af3"/>
    <w:qFormat/>
    <w:rPr>
      <w:rFonts w:ascii="Century Schoolbook" w:eastAsia="Century Schoolbook" w:hAnsi="Century Schoolbook" w:cs="Century Schoolbook"/>
      <w:color w:val="000000"/>
      <w:spacing w:val="0"/>
      <w:w w:val="100"/>
      <w:position w:val="0"/>
      <w:sz w:val="16"/>
      <w:szCs w:val="16"/>
      <w:u w:val="none"/>
      <w:lang w:val="zh-TW" w:eastAsia="zh-TW" w:bidi="zh-TW"/>
    </w:rPr>
  </w:style>
  <w:style w:type="character" w:customStyle="1" w:styleId="af3">
    <w:name w:val="脚注_"/>
    <w:basedOn w:val="a0"/>
    <w:link w:val="af2"/>
    <w:qFormat/>
    <w:rPr>
      <w:rFonts w:ascii="宋体" w:eastAsia="宋体" w:hAnsi="宋体" w:cs="宋体"/>
      <w:sz w:val="17"/>
      <w:szCs w:val="17"/>
      <w:u w:val="none"/>
    </w:rPr>
  </w:style>
  <w:style w:type="character" w:customStyle="1" w:styleId="Cambria">
    <w:name w:val="脚注 + Cambria"/>
    <w:basedOn w:val="af3"/>
    <w:qFormat/>
    <w:rPr>
      <w:rFonts w:ascii="Cambria" w:eastAsia="Cambria" w:hAnsi="Cambria" w:cs="Cambria"/>
      <w:color w:val="000000"/>
      <w:spacing w:val="0"/>
      <w:w w:val="100"/>
      <w:position w:val="0"/>
      <w:sz w:val="23"/>
      <w:szCs w:val="23"/>
      <w:u w:val="none"/>
      <w:lang w:val="en-US" w:eastAsia="en-US" w:bidi="en-US"/>
    </w:rPr>
  </w:style>
  <w:style w:type="paragraph" w:customStyle="1" w:styleId="26">
    <w:name w:val="脚注 (2)"/>
    <w:basedOn w:val="a"/>
    <w:qFormat/>
    <w:pPr>
      <w:shd w:val="clear" w:color="auto" w:fill="FFFFFF"/>
      <w:spacing w:line="0" w:lineRule="atLeast"/>
      <w:jc w:val="center"/>
    </w:pPr>
    <w:rPr>
      <w:rFonts w:ascii="Century Schoolbook" w:eastAsia="Century Schoolbook" w:hAnsi="Century Schoolbook" w:cs="Century Schoolbook"/>
      <w:spacing w:val="-10"/>
      <w:sz w:val="28"/>
      <w:szCs w:val="28"/>
      <w:lang w:eastAsia="en-US" w:bidi="en-US"/>
    </w:rPr>
  </w:style>
  <w:style w:type="paragraph" w:customStyle="1" w:styleId="18">
    <w:name w:val="页眉或页脚1"/>
    <w:basedOn w:val="a"/>
    <w:link w:val="af4"/>
    <w:qFormat/>
    <w:pPr>
      <w:shd w:val="clear" w:color="auto" w:fill="FFFFFF"/>
      <w:spacing w:line="0" w:lineRule="atLeast"/>
    </w:pPr>
    <w:rPr>
      <w:rFonts w:ascii="Century Schoolbook" w:eastAsia="Century Schoolbook" w:hAnsi="Century Schoolbook" w:cs="Century Schoolbook"/>
      <w:sz w:val="16"/>
      <w:szCs w:val="16"/>
    </w:rPr>
  </w:style>
  <w:style w:type="character" w:customStyle="1" w:styleId="af5">
    <w:name w:val="页眉或页脚"/>
    <w:basedOn w:val="af4"/>
    <w:qFormat/>
    <w:rPr>
      <w:rFonts w:ascii="Century Schoolbook" w:eastAsia="Century Schoolbook" w:hAnsi="Century Schoolbook" w:cs="Century Schoolbook"/>
      <w:b/>
      <w:bCs/>
      <w:color w:val="000000"/>
      <w:spacing w:val="0"/>
      <w:w w:val="100"/>
      <w:position w:val="0"/>
      <w:sz w:val="16"/>
      <w:szCs w:val="16"/>
      <w:u w:val="none"/>
      <w:lang w:val="zh-TW" w:eastAsia="zh-TW" w:bidi="zh-TW"/>
    </w:rPr>
  </w:style>
  <w:style w:type="character" w:customStyle="1" w:styleId="af4">
    <w:name w:val="页眉或页脚_"/>
    <w:basedOn w:val="a0"/>
    <w:link w:val="18"/>
    <w:qFormat/>
    <w:rPr>
      <w:rFonts w:ascii="Century Schoolbook" w:eastAsia="Century Schoolbook" w:hAnsi="Century Schoolbook" w:cs="Century Schoolbook"/>
      <w:sz w:val="16"/>
      <w:szCs w:val="16"/>
      <w:u w:val="none"/>
    </w:rPr>
  </w:style>
  <w:style w:type="character" w:customStyle="1" w:styleId="metaname1">
    <w:name w:val="metaname1"/>
    <w:basedOn w:val="a0"/>
    <w:rPr>
      <w:rFonts w:ascii="微软雅黑" w:eastAsia="微软雅黑" w:hAnsi="微软雅黑" w:hint="eastAsia"/>
      <w:b/>
      <w:bCs/>
      <w:sz w:val="21"/>
      <w:szCs w:val="21"/>
    </w:rPr>
  </w:style>
  <w:style w:type="paragraph" w:customStyle="1" w:styleId="cntitle">
    <w:name w:val="cntitle"/>
    <w:basedOn w:val="a"/>
    <w:pPr>
      <w:spacing w:before="150" w:after="150"/>
      <w:ind w:left="150" w:right="150"/>
      <w:jc w:val="center"/>
    </w:pPr>
    <w:rPr>
      <w:rFonts w:ascii="微软雅黑" w:eastAsia="微软雅黑" w:hAnsi="微软雅黑"/>
      <w:b/>
      <w:bCs/>
      <w:vanish/>
    </w:rPr>
  </w:style>
  <w:style w:type="paragraph" w:customStyle="1" w:styleId="cnsubtitle">
    <w:name w:val="cnsubtitle"/>
    <w:basedOn w:val="a"/>
    <w:pPr>
      <w:spacing w:before="315" w:after="315" w:line="300" w:lineRule="exact"/>
    </w:pPr>
    <w:rPr>
      <w:rFonts w:ascii="微软雅黑" w:eastAsia="微软雅黑" w:hAnsi="微软雅黑"/>
      <w:szCs w:val="21"/>
    </w:rPr>
  </w:style>
  <w:style w:type="character" w:customStyle="1" w:styleId="sect2title1">
    <w:name w:val="sect2title1"/>
    <w:basedOn w:val="a0"/>
    <w:rPr>
      <w:rFonts w:ascii="微软雅黑" w:eastAsia="微软雅黑" w:hAnsi="微软雅黑" w:hint="eastAsia"/>
      <w:b/>
      <w:bCs/>
      <w:sz w:val="21"/>
      <w:szCs w:val="21"/>
    </w:rPr>
  </w:style>
  <w:style w:type="character" w:customStyle="1" w:styleId="title1">
    <w:name w:val="title1"/>
    <w:basedOn w:val="a0"/>
    <w:rPr>
      <w:rFonts w:ascii="微软雅黑" w:eastAsia="微软雅黑" w:hAnsi="微软雅黑" w:hint="eastAsia"/>
      <w:sz w:val="21"/>
      <w:szCs w:val="21"/>
    </w:rPr>
  </w:style>
  <w:style w:type="paragraph" w:customStyle="1" w:styleId="19">
    <w:name w:val="标题1"/>
    <w:basedOn w:val="a"/>
    <w:qFormat/>
    <w:pPr>
      <w:spacing w:before="100" w:beforeAutospacing="1" w:after="100" w:afterAutospacing="1"/>
      <w:ind w:firstLine="480"/>
    </w:pPr>
    <w:rPr>
      <w:rFonts w:ascii="微软雅黑" w:eastAsia="微软雅黑" w:hAnsi="微软雅黑"/>
      <w:szCs w:val="21"/>
    </w:rPr>
  </w:style>
  <w:style w:type="paragraph" w:customStyle="1" w:styleId="doc-a">
    <w:name w:val="doc-a"/>
    <w:basedOn w:val="a"/>
    <w:pPr>
      <w:spacing w:before="100" w:beforeAutospacing="1" w:after="100" w:afterAutospacing="1"/>
      <w:ind w:firstLine="480"/>
    </w:pPr>
    <w:rPr>
      <w:rFonts w:ascii="微软雅黑" w:eastAsia="微软雅黑" w:hAnsi="微软雅黑"/>
      <w:szCs w:val="21"/>
    </w:rPr>
  </w:style>
  <w:style w:type="character" w:customStyle="1" w:styleId="a7">
    <w:name w:val="页脚 字符"/>
    <w:basedOn w:val="a0"/>
    <w:link w:val="a6"/>
    <w:uiPriority w:val="99"/>
    <w:rsid w:val="00D947AC"/>
    <w:rPr>
      <w:rFonts w:asciiTheme="minorHAnsi" w:hAnsiTheme="minorHAnsi" w:cstheme="minorBidi"/>
      <w:kern w:val="2"/>
      <w:sz w:val="18"/>
      <w:szCs w:val="18"/>
    </w:rPr>
  </w:style>
  <w:style w:type="character" w:customStyle="1" w:styleId="14">
    <w:name w:val="1章节名 字符"/>
    <w:basedOn w:val="a0"/>
    <w:link w:val="13"/>
    <w:rsid w:val="00C36EF7"/>
    <w:rPr>
      <w:rFonts w:ascii="宋体" w:hAnsi="宋体" w:cstheme="minorBidi"/>
      <w:b/>
      <w:bCs/>
      <w:kern w:val="2"/>
      <w:sz w:val="24"/>
      <w:szCs w:val="24"/>
    </w:rPr>
  </w:style>
  <w:style w:type="paragraph" w:customStyle="1" w:styleId="27">
    <w:name w:val="2级标题"/>
    <w:basedOn w:val="a"/>
    <w:link w:val="28"/>
    <w:qFormat/>
    <w:rsid w:val="00EC761E"/>
    <w:pPr>
      <w:keepNext/>
      <w:jc w:val="left"/>
      <w:outlineLvl w:val="1"/>
    </w:pPr>
    <w:rPr>
      <w:rFonts w:ascii="黑体" w:eastAsia="黑体" w:hAnsi="宋体" w:cs="Times New Roman"/>
      <w:color w:val="000000"/>
      <w:kern w:val="0"/>
      <w:sz w:val="28"/>
      <w:szCs w:val="28"/>
    </w:rPr>
  </w:style>
  <w:style w:type="paragraph" w:customStyle="1" w:styleId="af6">
    <w:name w:val="段落标题"/>
    <w:basedOn w:val="a"/>
    <w:link w:val="af7"/>
    <w:qFormat/>
    <w:rsid w:val="00A70BC1"/>
    <w:pPr>
      <w:keepNext/>
      <w:spacing w:beforeLines="20" w:before="20" w:afterLines="20" w:after="20" w:line="312" w:lineRule="auto"/>
      <w:ind w:firstLineChars="200" w:firstLine="200"/>
      <w:jc w:val="left"/>
    </w:pPr>
    <w:rPr>
      <w:rFonts w:ascii="宋体" w:hAnsi="宋体"/>
      <w:b/>
      <w:bCs/>
      <w:sz w:val="24"/>
      <w:szCs w:val="24"/>
    </w:rPr>
  </w:style>
  <w:style w:type="character" w:customStyle="1" w:styleId="28">
    <w:name w:val="2级标题 字符"/>
    <w:basedOn w:val="a0"/>
    <w:link w:val="27"/>
    <w:rsid w:val="00EC761E"/>
    <w:rPr>
      <w:rFonts w:ascii="黑体" w:eastAsia="黑体" w:hAnsi="宋体"/>
      <w:color w:val="000000"/>
      <w:sz w:val="28"/>
      <w:szCs w:val="28"/>
    </w:rPr>
  </w:style>
  <w:style w:type="character" w:customStyle="1" w:styleId="af7">
    <w:name w:val="段落标题 字符"/>
    <w:basedOn w:val="a0"/>
    <w:link w:val="af6"/>
    <w:rsid w:val="00A70BC1"/>
    <w:rPr>
      <w:rFonts w:ascii="宋体" w:hAnsi="宋体" w:cstheme="minorBidi"/>
      <w:b/>
      <w:bCs/>
      <w:kern w:val="2"/>
      <w:sz w:val="24"/>
      <w:szCs w:val="24"/>
    </w:rPr>
  </w:style>
  <w:style w:type="paragraph" w:customStyle="1" w:styleId="1a">
    <w:name w:val="1段落标题"/>
    <w:basedOn w:val="af6"/>
    <w:link w:val="1b"/>
    <w:qFormat/>
    <w:rsid w:val="00A70BC1"/>
    <w:pPr>
      <w:spacing w:before="62" w:after="62"/>
      <w:ind w:firstLine="482"/>
    </w:pPr>
  </w:style>
  <w:style w:type="character" w:customStyle="1" w:styleId="1b">
    <w:name w:val="1段落标题 字符"/>
    <w:basedOn w:val="af7"/>
    <w:link w:val="1a"/>
    <w:rsid w:val="00A70BC1"/>
    <w:rPr>
      <w:rFonts w:ascii="宋体" w:hAnsi="宋体" w:cstheme="minorBidi"/>
      <w:b/>
      <w:bCs/>
      <w:kern w:val="2"/>
      <w:sz w:val="24"/>
      <w:szCs w:val="24"/>
    </w:rPr>
  </w:style>
  <w:style w:type="paragraph" w:customStyle="1" w:styleId="34">
    <w:name w:val="3级标题"/>
    <w:basedOn w:val="a"/>
    <w:link w:val="35"/>
    <w:qFormat/>
    <w:rsid w:val="00D61E4F"/>
    <w:pPr>
      <w:keepNext/>
      <w:spacing w:beforeLines="50" w:before="156" w:afterLines="20" w:after="62" w:line="360" w:lineRule="auto"/>
      <w:jc w:val="center"/>
      <w:outlineLvl w:val="2"/>
    </w:pPr>
    <w:rPr>
      <w:rFonts w:ascii="宋体" w:hAnsi="宋体" w:cs="Times New Roman"/>
      <w:b/>
      <w:color w:val="000000"/>
      <w:kern w:val="0"/>
      <w:sz w:val="24"/>
      <w:szCs w:val="24"/>
    </w:rPr>
  </w:style>
  <w:style w:type="paragraph" w:customStyle="1" w:styleId="1c">
    <w:name w:val="1正文居中"/>
    <w:basedOn w:val="a3"/>
    <w:link w:val="1d"/>
    <w:qFormat/>
    <w:rsid w:val="00F53C81"/>
    <w:pPr>
      <w:spacing w:line="360" w:lineRule="auto"/>
      <w:ind w:firstLineChars="0" w:firstLine="0"/>
      <w:jc w:val="center"/>
    </w:pPr>
    <w:rPr>
      <w:rFonts w:ascii="宋体" w:hAnsi="宋体" w:cs="宋体"/>
      <w:sz w:val="24"/>
    </w:rPr>
  </w:style>
  <w:style w:type="character" w:customStyle="1" w:styleId="35">
    <w:name w:val="3级标题 字符"/>
    <w:basedOn w:val="a0"/>
    <w:link w:val="34"/>
    <w:rsid w:val="00D61E4F"/>
    <w:rPr>
      <w:rFonts w:ascii="宋体" w:hAnsi="宋体"/>
      <w:b/>
      <w:color w:val="000000"/>
      <w:sz w:val="24"/>
      <w:szCs w:val="24"/>
    </w:rPr>
  </w:style>
  <w:style w:type="paragraph" w:styleId="TOC4">
    <w:name w:val="toc 4"/>
    <w:basedOn w:val="a"/>
    <w:next w:val="a"/>
    <w:autoRedefine/>
    <w:uiPriority w:val="39"/>
    <w:unhideWhenUsed/>
    <w:rsid w:val="00242998"/>
    <w:pPr>
      <w:ind w:leftChars="600" w:left="1260"/>
    </w:pPr>
    <w:rPr>
      <w:rFonts w:eastAsiaTheme="minorEastAsia"/>
    </w:rPr>
  </w:style>
  <w:style w:type="character" w:customStyle="1" w:styleId="a4">
    <w:name w:val="正文缩进 字符"/>
    <w:basedOn w:val="a0"/>
    <w:link w:val="a3"/>
    <w:rsid w:val="00F53C81"/>
    <w:rPr>
      <w:kern w:val="2"/>
      <w:sz w:val="21"/>
      <w:szCs w:val="24"/>
    </w:rPr>
  </w:style>
  <w:style w:type="character" w:customStyle="1" w:styleId="1d">
    <w:name w:val="1正文居中 字符"/>
    <w:basedOn w:val="a4"/>
    <w:link w:val="1c"/>
    <w:rsid w:val="00F53C81"/>
    <w:rPr>
      <w:rFonts w:ascii="宋体" w:hAnsi="宋体" w:cs="宋体"/>
      <w:kern w:val="2"/>
      <w:sz w:val="24"/>
      <w:szCs w:val="24"/>
    </w:rPr>
  </w:style>
  <w:style w:type="paragraph" w:styleId="TOC5">
    <w:name w:val="toc 5"/>
    <w:basedOn w:val="a"/>
    <w:next w:val="a"/>
    <w:autoRedefine/>
    <w:uiPriority w:val="39"/>
    <w:unhideWhenUsed/>
    <w:rsid w:val="00242998"/>
    <w:pPr>
      <w:ind w:leftChars="800" w:left="1680"/>
    </w:pPr>
    <w:rPr>
      <w:rFonts w:eastAsiaTheme="minorEastAsia"/>
    </w:rPr>
  </w:style>
  <w:style w:type="paragraph" w:styleId="TOC6">
    <w:name w:val="toc 6"/>
    <w:basedOn w:val="a"/>
    <w:next w:val="a"/>
    <w:autoRedefine/>
    <w:uiPriority w:val="39"/>
    <w:unhideWhenUsed/>
    <w:rsid w:val="00242998"/>
    <w:pPr>
      <w:ind w:leftChars="1000" w:left="2100"/>
    </w:pPr>
    <w:rPr>
      <w:rFonts w:eastAsiaTheme="minorEastAsia"/>
    </w:rPr>
  </w:style>
  <w:style w:type="paragraph" w:styleId="TOC7">
    <w:name w:val="toc 7"/>
    <w:basedOn w:val="a"/>
    <w:next w:val="a"/>
    <w:autoRedefine/>
    <w:uiPriority w:val="39"/>
    <w:unhideWhenUsed/>
    <w:rsid w:val="00242998"/>
    <w:pPr>
      <w:ind w:leftChars="1200" w:left="2520"/>
    </w:pPr>
    <w:rPr>
      <w:rFonts w:eastAsiaTheme="minorEastAsia"/>
    </w:rPr>
  </w:style>
  <w:style w:type="paragraph" w:styleId="TOC8">
    <w:name w:val="toc 8"/>
    <w:basedOn w:val="a"/>
    <w:next w:val="a"/>
    <w:autoRedefine/>
    <w:uiPriority w:val="39"/>
    <w:unhideWhenUsed/>
    <w:rsid w:val="00242998"/>
    <w:pPr>
      <w:ind w:leftChars="1400" w:left="2940"/>
    </w:pPr>
    <w:rPr>
      <w:rFonts w:eastAsiaTheme="minorEastAsia"/>
    </w:rPr>
  </w:style>
  <w:style w:type="paragraph" w:styleId="TOC9">
    <w:name w:val="toc 9"/>
    <w:basedOn w:val="a"/>
    <w:next w:val="a"/>
    <w:autoRedefine/>
    <w:uiPriority w:val="39"/>
    <w:unhideWhenUsed/>
    <w:rsid w:val="00242998"/>
    <w:pPr>
      <w:ind w:leftChars="1600" w:left="3360"/>
    </w:pPr>
    <w:rPr>
      <w:rFonts w:eastAsiaTheme="minorEastAsia"/>
    </w:rPr>
  </w:style>
  <w:style w:type="character" w:styleId="af8">
    <w:name w:val="Unresolved Mention"/>
    <w:basedOn w:val="a0"/>
    <w:uiPriority w:val="99"/>
    <w:semiHidden/>
    <w:unhideWhenUsed/>
    <w:rsid w:val="00242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www.bscea.org/html/rjjzsj/ndsj" TargetMode="External"/><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7.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law.wkinfo.com.cn/document/show?collection=legislation&amp;aid=MTAxMDAxMTE1NTQ%3D&amp;language=&#20013;&#25991;" TargetMode="External"/><Relationship Id="rId50" Type="http://schemas.openxmlformats.org/officeDocument/2006/relationships/hyperlink" Target="http://law.wkinfo.com.cn/document/show?collection=legislation&amp;aid=MTAwMDAwOTcwNDk%3D&amp;language=&#20013;&#25991;" TargetMode="Externa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law.wkinfo.com.cn/document/show?collection=legislation&amp;aid=MTAxMDAxMTIzNDQ%3D&amp;language=&#20013;&#25991;"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9.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oleObject" Target="embeddings/oleObject1.bin"/><Relationship Id="rId41" Type="http://schemas.openxmlformats.org/officeDocument/2006/relationships/image" Target="media/image2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law.wkinfo.com.cn/document/show?collection=legislation&amp;aid=MTAwMDAyNzI2MzE%3D&amp;language=&#20013;&#25991;"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5"/>
    <customShpInfo spid="_x0000_s1044"/>
    <customShpInfo spid="_x0000_s1043"/>
    <customShpInfo spid="_x0000_s1048"/>
    <customShpInfo spid="_x0000_s1047"/>
    <customShpInfo spid="_x0000_s1046"/>
    <customShpInfo spid="_x0000_s1051"/>
    <customShpInfo spid="_x0000_s1050"/>
    <customShpInfo spid="_x0000_s1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441</Pages>
  <Words>81405</Words>
  <Characters>464010</Characters>
  <Application>Microsoft Office Word</Application>
  <DocSecurity>0</DocSecurity>
  <Lines>3866</Lines>
  <Paragraphs>1088</Paragraphs>
  <ScaleCrop>false</ScaleCrop>
  <Company/>
  <LinksUpToDate>false</LinksUpToDate>
  <CharactersWithSpaces>544327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zaizaiaixuexi</dc:creator>
  <cp:lastModifiedBy>Dell</cp:lastModifiedBy>
  <cp:revision>15</cp:revision>
  <cp:lastPrinted>2022-08-05T09:25:00Z</cp:lastPrinted>
  <dcterms:created xsi:type="dcterms:W3CDTF">2022-07-15T03:57:00Z</dcterms:created>
  <dcterms:modified xsi:type="dcterms:W3CDTF">2022-08-24T02:48:00Z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